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烈山区发改委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2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.70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.08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</w:t>
            </w:r>
            <w:r>
              <w:rPr>
                <w:rFonts w:ascii="宋体" w:hAnsi="宋体" w:cs="宋体"/>
                <w:kern w:val="0"/>
                <w:szCs w:val="21"/>
              </w:rPr>
              <w:t>.70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3</w:t>
            </w:r>
            <w:r>
              <w:rPr>
                <w:rFonts w:ascii="宋体" w:hAnsi="宋体" w:cs="宋体"/>
                <w:kern w:val="0"/>
                <w:szCs w:val="21"/>
              </w:rPr>
              <w:t>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spacing w:line="600" w:lineRule="exact"/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spacing w:line="6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烈山区发改委2021年度一般公共预算财政拨款“三公”经费支出预算为</w:t>
      </w:r>
      <w:r>
        <w:rPr>
          <w:rFonts w:ascii="仿宋_GB2312" w:hAnsi="仿宋"/>
          <w:szCs w:val="32"/>
        </w:rPr>
        <w:t>2.70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ascii="仿宋_GB2312" w:hAnsi="仿宋"/>
          <w:szCs w:val="32"/>
        </w:rPr>
        <w:t>3.08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ascii="仿宋_GB2312" w:hAnsi="仿宋"/>
          <w:szCs w:val="32"/>
        </w:rPr>
        <w:t>114.07</w:t>
      </w:r>
      <w:r>
        <w:rPr>
          <w:rFonts w:hint="eastAsia" w:ascii="仿宋_GB2312" w:hAnsi="仿宋"/>
          <w:szCs w:val="32"/>
        </w:rPr>
        <w:t>%，决算数大于预算数的主要原因是增加招商团招商引资经费支出，本年度作为招商团牵头单位，本团招商引资公务接待费用均从本单位支出。</w:t>
      </w:r>
    </w:p>
    <w:p>
      <w:pPr>
        <w:spacing w:line="600" w:lineRule="exact"/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spacing w:line="60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烈山区发改委2021年度一般公共预算财政拨款“三公”经费支出决算中，因公出国（境）费支出决算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万元;公务接待费支出决算</w:t>
      </w:r>
      <w:r>
        <w:rPr>
          <w:rFonts w:ascii="仿宋_GB2312" w:hAnsi="仿宋"/>
          <w:szCs w:val="32"/>
        </w:rPr>
        <w:t>3.08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万元。具体情况如下：</w:t>
      </w:r>
    </w:p>
    <w:p>
      <w:pPr>
        <w:spacing w:line="600" w:lineRule="exact"/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万元，与2021年度预算相比，无增减。</w:t>
      </w:r>
    </w:p>
    <w:p>
      <w:pPr>
        <w:spacing w:line="60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ascii="仿宋_GB2312" w:hAnsi="仿宋"/>
          <w:szCs w:val="32"/>
        </w:rPr>
        <w:t>3.08</w:t>
      </w:r>
      <w:r>
        <w:rPr>
          <w:rFonts w:hint="eastAsia" w:ascii="仿宋_GB2312" w:hAnsi="仿宋"/>
          <w:szCs w:val="32"/>
        </w:rPr>
        <w:t>万元, 与2021年度预算相比，增加</w:t>
      </w:r>
      <w:r>
        <w:rPr>
          <w:rFonts w:ascii="仿宋_GB2312" w:hAnsi="仿宋"/>
          <w:szCs w:val="32"/>
        </w:rPr>
        <w:t>1.40</w:t>
      </w:r>
      <w:r>
        <w:rPr>
          <w:rFonts w:hint="eastAsia" w:ascii="仿宋_GB2312" w:hAnsi="仿宋"/>
          <w:szCs w:val="32"/>
        </w:rPr>
        <w:t>万元，增长</w:t>
      </w:r>
      <w:r>
        <w:rPr>
          <w:rFonts w:ascii="仿宋_GB2312" w:hAnsi="仿宋"/>
          <w:szCs w:val="32"/>
        </w:rPr>
        <w:t>83.33</w:t>
      </w:r>
      <w:r>
        <w:rPr>
          <w:rFonts w:hint="eastAsia" w:ascii="仿宋_GB2312" w:hAnsi="仿宋"/>
          <w:szCs w:val="32"/>
        </w:rPr>
        <w:t>%，增长的原因是增加招商团招商引资经费支出，本年度作为招商团牵头单位，本团招商引资公务接待费用均从本单位支出。2021年烈山区发改委国内公务接待共</w:t>
      </w:r>
      <w:r>
        <w:rPr>
          <w:rFonts w:ascii="仿宋_GB2312" w:hAnsi="仿宋"/>
          <w:szCs w:val="32"/>
        </w:rPr>
        <w:t>40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ascii="仿宋_GB2312" w:hAnsi="仿宋"/>
          <w:szCs w:val="32"/>
        </w:rPr>
        <w:t>320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/>
          <w:color w:val="333333"/>
          <w:kern w:val="0"/>
          <w:szCs w:val="32"/>
        </w:rPr>
        <w:t>接待招商引资、上级单位业务指导、工作调研等公务往来及本单位加班工资餐费支出</w:t>
      </w:r>
      <w:r>
        <w:rPr>
          <w:rFonts w:hint="eastAsia" w:ascii="仿宋_GB2312" w:hAnsi="仿宋"/>
          <w:szCs w:val="32"/>
        </w:rPr>
        <w:t>。经费使用严格贯彻中央八项规定要求，严格执行《党政机关厉行节约反对浪费条例》、淮北市公务接待相关规定等。</w:t>
      </w:r>
    </w:p>
    <w:p>
      <w:pPr>
        <w:spacing w:line="600" w:lineRule="exact"/>
        <w:ind w:firstLine="643" w:firstLineChars="200"/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万元，与2021年度预算相比，无增减。截至2021年12月31日，烈山区发改委开支财政拨款的公务用车保有量为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辆。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3MjI1OWI3MDY5ZjA1NTNkYWRhZWVhNjc3ZjFiY2IifQ=="/>
  </w:docVars>
  <w:rsids>
    <w:rsidRoot w:val="00D303BC"/>
    <w:rsid w:val="00253CD3"/>
    <w:rsid w:val="002F6DE8"/>
    <w:rsid w:val="00326726"/>
    <w:rsid w:val="003547B8"/>
    <w:rsid w:val="003671B4"/>
    <w:rsid w:val="003B6E2C"/>
    <w:rsid w:val="004275CA"/>
    <w:rsid w:val="00497C22"/>
    <w:rsid w:val="004D6484"/>
    <w:rsid w:val="00613D73"/>
    <w:rsid w:val="00656EC6"/>
    <w:rsid w:val="006661D2"/>
    <w:rsid w:val="006B3BF0"/>
    <w:rsid w:val="007719A9"/>
    <w:rsid w:val="008810B2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49D2088F"/>
    <w:rsid w:val="759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798</Characters>
  <Lines>6</Lines>
  <Paragraphs>1</Paragraphs>
  <TotalTime>14</TotalTime>
  <ScaleCrop>false</ScaleCrop>
  <LinksUpToDate>false</LinksUpToDate>
  <CharactersWithSpaces>936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2023-08-10T03:22:19Z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95B7D7A6868D44358BC8FEE951F652F5</vt:lpwstr>
  </property>
</Properties>
</file>