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170" w:type="dxa"/>
        <w:tblInd w:w="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645"/>
        <w:gridCol w:w="960"/>
        <w:gridCol w:w="3900"/>
        <w:gridCol w:w="3900"/>
        <w:gridCol w:w="2685"/>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 w:type="dxa"/>
            <w:vAlign w:val="center"/>
          </w:tcPr>
          <w:p>
            <w:pPr>
              <w:keepNext w:val="0"/>
              <w:keepLines w:val="0"/>
              <w:widowControl/>
              <w:suppressLineNumbers w:val="0"/>
              <w:jc w:val="center"/>
              <w:textAlignment w:val="center"/>
              <w:rPr>
                <w:rFonts w:hint="default" w:eastAsiaTheme="minorEastAsia"/>
                <w:sz w:val="18"/>
                <w:szCs w:val="18"/>
                <w:vertAlign w:val="baseline"/>
                <w:lang w:val="en-US" w:eastAsia="zh-CN"/>
              </w:rPr>
            </w:pPr>
            <w:r>
              <w:rPr>
                <w:rFonts w:hint="eastAsia" w:ascii="黑体" w:hAnsi="宋体" w:eastAsia="黑体" w:cs="黑体"/>
                <w:i w:val="0"/>
                <w:iCs w:val="0"/>
                <w:color w:val="000000"/>
                <w:kern w:val="0"/>
                <w:sz w:val="18"/>
                <w:szCs w:val="18"/>
                <w:u w:val="none"/>
                <w:lang w:val="en-US" w:eastAsia="zh-CN" w:bidi="ar"/>
              </w:rPr>
              <w:t>序号</w:t>
            </w:r>
          </w:p>
        </w:tc>
        <w:tc>
          <w:tcPr>
            <w:tcW w:w="645" w:type="dxa"/>
            <w:vAlign w:val="center"/>
          </w:tcPr>
          <w:p>
            <w:pPr>
              <w:keepNext w:val="0"/>
              <w:keepLines w:val="0"/>
              <w:widowControl/>
              <w:suppressLineNumbers w:val="0"/>
              <w:jc w:val="center"/>
              <w:textAlignment w:val="center"/>
              <w:rPr>
                <w:rFonts w:hint="default" w:eastAsiaTheme="minorEastAsia"/>
                <w:sz w:val="18"/>
                <w:szCs w:val="18"/>
                <w:vertAlign w:val="baseline"/>
                <w:lang w:val="en-US" w:eastAsia="zh-CN"/>
              </w:rPr>
            </w:pPr>
            <w:r>
              <w:rPr>
                <w:rFonts w:hint="eastAsia" w:ascii="黑体" w:hAnsi="宋体" w:eastAsia="黑体" w:cs="黑体"/>
                <w:i w:val="0"/>
                <w:iCs w:val="0"/>
                <w:color w:val="000000"/>
                <w:kern w:val="0"/>
                <w:sz w:val="18"/>
                <w:szCs w:val="18"/>
                <w:u w:val="none"/>
                <w:lang w:val="en-US" w:eastAsia="zh-CN" w:bidi="ar"/>
              </w:rPr>
              <w:t>事项</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类型</w:t>
            </w:r>
          </w:p>
        </w:tc>
        <w:tc>
          <w:tcPr>
            <w:tcW w:w="960" w:type="dxa"/>
            <w:vAlign w:val="center"/>
          </w:tcPr>
          <w:p>
            <w:pPr>
              <w:keepNext w:val="0"/>
              <w:keepLines w:val="0"/>
              <w:widowControl/>
              <w:suppressLineNumbers w:val="0"/>
              <w:jc w:val="center"/>
              <w:textAlignment w:val="center"/>
              <w:rPr>
                <w:rFonts w:hint="default" w:eastAsiaTheme="minorEastAsia"/>
                <w:sz w:val="18"/>
                <w:szCs w:val="18"/>
                <w:vertAlign w:val="baseline"/>
                <w:lang w:val="en-US" w:eastAsia="zh-CN"/>
              </w:rPr>
            </w:pPr>
            <w:bookmarkStart w:id="0" w:name="_GoBack"/>
            <w:bookmarkEnd w:id="0"/>
            <w:r>
              <w:rPr>
                <w:rFonts w:hint="eastAsia" w:ascii="黑体" w:hAnsi="宋体" w:eastAsia="黑体" w:cs="黑体"/>
                <w:i w:val="0"/>
                <w:iCs w:val="0"/>
                <w:color w:val="000000"/>
                <w:kern w:val="0"/>
                <w:sz w:val="18"/>
                <w:szCs w:val="18"/>
                <w:u w:val="none"/>
                <w:lang w:val="en-US" w:eastAsia="zh-CN" w:bidi="ar"/>
              </w:rPr>
              <w:t>事项名称</w:t>
            </w:r>
          </w:p>
        </w:tc>
        <w:tc>
          <w:tcPr>
            <w:tcW w:w="3900" w:type="dxa"/>
            <w:vAlign w:val="center"/>
          </w:tcPr>
          <w:p>
            <w:pPr>
              <w:keepNext w:val="0"/>
              <w:keepLines w:val="0"/>
              <w:widowControl/>
              <w:suppressLineNumbers w:val="0"/>
              <w:jc w:val="center"/>
              <w:textAlignment w:val="center"/>
              <w:rPr>
                <w:rFonts w:hint="default" w:eastAsiaTheme="minorEastAsia"/>
                <w:sz w:val="18"/>
                <w:szCs w:val="18"/>
                <w:vertAlign w:val="baseline"/>
                <w:lang w:val="en-US" w:eastAsia="zh-CN"/>
              </w:rPr>
            </w:pPr>
            <w:r>
              <w:rPr>
                <w:rFonts w:hint="eastAsia" w:ascii="黑体" w:hAnsi="宋体" w:eastAsia="黑体" w:cs="黑体"/>
                <w:i w:val="0"/>
                <w:iCs w:val="0"/>
                <w:color w:val="000000"/>
                <w:kern w:val="0"/>
                <w:sz w:val="18"/>
                <w:szCs w:val="18"/>
                <w:u w:val="none"/>
                <w:lang w:val="en-US" w:eastAsia="zh-CN" w:bidi="ar"/>
              </w:rPr>
              <w:t>实施依据</w:t>
            </w:r>
          </w:p>
        </w:tc>
        <w:tc>
          <w:tcPr>
            <w:tcW w:w="3900" w:type="dxa"/>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责任事项</w:t>
            </w:r>
          </w:p>
        </w:tc>
        <w:tc>
          <w:tcPr>
            <w:tcW w:w="2685" w:type="dxa"/>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追责情形</w:t>
            </w:r>
          </w:p>
        </w:tc>
        <w:tc>
          <w:tcPr>
            <w:tcW w:w="690" w:type="dxa"/>
            <w:vAlign w:val="center"/>
          </w:tcPr>
          <w:p>
            <w:pPr>
              <w:keepNext w:val="0"/>
              <w:keepLines w:val="0"/>
              <w:widowControl/>
              <w:suppressLineNumbers w:val="0"/>
              <w:jc w:val="center"/>
              <w:textAlignment w:val="center"/>
              <w:rPr>
                <w:sz w:val="18"/>
                <w:szCs w:val="18"/>
              </w:rPr>
            </w:pPr>
            <w:r>
              <w:rPr>
                <w:rFonts w:hint="eastAsia" w:ascii="黑体" w:hAnsi="宋体" w:eastAsia="黑体" w:cs="黑体"/>
                <w:i w:val="0"/>
                <w:iCs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6</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对安全评价检测检验机构及从业人员违反有关规定的处罚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安全评价检测检验机构管理办法》（应急管理部令第1号，2019年5月1日施行）第二十七条：申请人隐瞒有关情况或者提供虚假材料申请资质（包括资质延续、资质变更、增加业务范围等）的，资质认可机关不予受理或者不予行政许可，并给予警告。该申请人在一年内不得再次申请。第二十八条 申请人以欺骗、贿赂等不正当手段取得资质（包括资质延续、资质变更、增加业务范围等）的，应当予以撤销。该申请人在三年内不得再次申请；构成犯罪的，依法追究刑事责任。第二十九条 未取得资质的机构及其有关人员擅自从事安全评价、检测检验服务的，责令立即停止违法行为，依照下列规定给予处罚：（一）机构有违法所得的，没收其违法所得，并处违法所得一倍以上三倍以下的罚款，但最高不得超过三万元；没有违法所得的，处五千元以上一万元以下的罚款；（二）有关人员处五千元以上一万元以下的罚款。对有前款违法行为的机构及其人员，由资质认可机关记入有关机构和人员的信用记录，并依照有关规定予以公告。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一）未依法与委托方签订技术服务合同的；（二）违反法规标准规定更改或者简化安全评价、检测检验程序和相关内容的；（三）未按规定公开安全评价报告、安全生产检测检验报告相关信息及现场勘验图像影像资料的；（四）未在开展现场技术服务前七个工作日内，书面告知项目实施地资质认可机关的；（五）机构名称、注册地址、实验室条件、法定代表人、专职技术负责人、授权签字人发生变化之日起三十日内未向原资质认可机关提出变更申请的；（六）未按照有关法规标准的强制性规定从事安全评价、检测检验活动的；（七）出租、出借安全评价检测检验资质证书的；（八）安全评价项目组组长及负责勘验人员不到现场实际地点开展勘验等有关工作的；（九）承担现场检测检验的人员不到现场实际地点开展设备检测检验等有关工作的；（十）安全评价报告存在法规标准引用错误、关键危险有害因素漏项、重大危险源辨识错误、对策措施建议与存在问题严重不符等重大疏漏，但尚未造成重大损失的；（十一）安全生产检测检验报告存在法规标准引用错误、关键项目漏检、结论不明确等重大疏漏，但尚未造成重大损失的。</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6"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7</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对承担安全评价、认证、检测、检验工作的机构，出具虚假证明等违法行为的处罚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《中华人民共和国安全生产法》第九十二条　承担安全评价、认证、检测、检验职责的机构出具失实报告的，责令停业整顿，并处三万元以上十万元以下的罚款；给他人造成损害的，依法承担赔偿责任。</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对有前款违法行为的机构及其直接责任人员，吊销其相应资质和资格，五年内不得从事安全评价、认证、检测、检验等工作；情节严重的，实行终身行业和职业禁入。</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8</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对生产经营单位的决策机构、主要负责人或者个人经营的投资人不依照安全生产法规定保证安全生产所必需的资金投入的处罚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中华人民共和国安全生产法》第九十三条：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有前款违法行为，导致发生生产安全事故的，对生产经营单位的主要负责人给予撤职处分，对个人经营的投资人处二万元以上二十万元以下的罚款；构成犯罪的，依照刑法有关规定追究刑事责任。</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keepNext w:val="0"/>
              <w:keepLines w:val="0"/>
              <w:widowControl/>
              <w:suppressLineNumbers w:val="0"/>
              <w:jc w:val="center"/>
              <w:textAlignment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9</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对生产经营单位的主要负责人未履行安全生产法规定的安全生产管理职责的处罚</w:t>
            </w:r>
          </w:p>
        </w:tc>
        <w:tc>
          <w:tcPr>
            <w:tcW w:w="3900" w:type="dxa"/>
            <w:vAlign w:val="center"/>
          </w:tcPr>
          <w:p>
            <w:pPr>
              <w:keepNext w:val="0"/>
              <w:keepLines w:val="0"/>
              <w:widowControl/>
              <w:suppressLineNumbers w:val="0"/>
              <w:spacing w:after="200" w:afterAutospacing="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中华人民共和国安全生产法》第九十四条：生产经营单位的主要负责人未履行本法规定的安全生产管理职责的，责令限期改正，处二万元以上五万元以下的罚款；逾期未改正的，处五万元以上十万元以下的罚款，责令生产经营单位停产停业整顿。</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生产经营单位的主要负责人有前款违法行为，导致发生生产安全事故的，给予撤职处分；构成犯罪的，依照刑法有关规定追究刑事责任。</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3900" w:type="dxa"/>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keepNext w:val="0"/>
              <w:keepLines w:val="0"/>
              <w:widowControl/>
              <w:suppressLineNumbers w:val="0"/>
              <w:jc w:val="center"/>
              <w:textAlignment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10</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对生产经营单位的主要负责人未履行安全生产法规定的安全生产管理职责而导致发生生产安全事故的处罚</w:t>
            </w:r>
          </w:p>
        </w:tc>
        <w:tc>
          <w:tcPr>
            <w:tcW w:w="3900" w:type="dxa"/>
            <w:vAlign w:val="center"/>
          </w:tcPr>
          <w:p>
            <w:pPr>
              <w:keepNext w:val="0"/>
              <w:keepLines w:val="0"/>
              <w:widowControl/>
              <w:suppressLineNumbers w:val="0"/>
              <w:spacing w:after="200" w:afterAutospacing="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《中华人民共和国安全生产法》第九十五条：生产经营单位的主要负责人未履行本法规定的安全生产管理职责，导致发生生产安全事故的，由应急管理部门依照下列规定处以罚款:</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（一）发生一般事故的，处上一年年收入百分之四十的罚款；</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（二）发生较大事故的，处上一年年收入百分之六十的罚款；</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（三）发生重大事故的，处上一年年收入百分之八十的罚款；</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（四）发生特别重大事故的，处上一年年收入百分之一百的罚款。</w:t>
            </w:r>
          </w:p>
        </w:tc>
        <w:tc>
          <w:tcPr>
            <w:tcW w:w="3900" w:type="dxa"/>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11</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对生产经营单位的其他负责人和安全生产管理人员未履行《中华人民共和国安全生产法》有关规定的安全生产管理职责的处罚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中华人民共和国安全生产法》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8"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12</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对未按照规定设置安全生产管理机构或者配备安全生产管理人员、注册安全工程师等七类行为的处罚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（一）未按照规定设置安全生产管理机构或者配备安全生产管理人员、注册安全工程师的；</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（二）危险物品的生产、经营、储存、装卸单位以及矿山、金属冶炼、建筑施工、运输单位的主要负责人和安全生产管理人员未按照规定经考核合格的；</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（三）未按照规定对从业人员、被派遣劳动者、实习学生进行安全生产教育和培训，或者未按照规定如实告知有关的安全生产事项的；</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（四）未如实记录安全生产教育和培训情况的；</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（五）未将事故隐患排查治理情况如实记录或者未向从业人员通报的；</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（六）未按照规定制定生产安全事故应急救援预案或者未定期组织演练的；</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（七）特种作业人员未按照规定经专门的安全作业培训并取得相应资格，上岗作业的。</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keepNext w:val="0"/>
              <w:keepLines w:val="0"/>
              <w:widowControl/>
              <w:suppressLineNumbers w:val="0"/>
              <w:jc w:val="center"/>
              <w:textAlignment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13</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对未按照规定对矿山、金属冶炼建设项目或者用于生产、储存、装卸危险物品的建设项目进行安全评价等四类行为的处罚</w:t>
            </w:r>
          </w:p>
        </w:tc>
        <w:tc>
          <w:tcPr>
            <w:tcW w:w="3900" w:type="dxa"/>
            <w:vAlign w:val="center"/>
          </w:tcPr>
          <w:p>
            <w:pPr>
              <w:keepNext w:val="0"/>
              <w:keepLines w:val="0"/>
              <w:widowControl/>
              <w:suppressLineNumbers w:val="0"/>
              <w:spacing w:after="200" w:afterAutospacing="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《中华人民共和国安全生产法》第九十八条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（一）未按照规定对矿山、金属冶炼建设项目或者用于生产、储存、装卸危险物品的建设项目进行安全评价的；</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（二）矿山、金属冶炼建设项目或者用于生产、储存、装卸危险物品的建设项目没有安全设施设计或者安全设施设计未按照规定报经有关部门审查同意的；</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（三）矿山、金属冶炼建设项目或者用于生产、储存、装卸危险物品的建设项目的施工单位未按照批准的安全设施设计施工的；</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（四）矿山、金属冶炼建设项目或者用于生产、储存、装卸危险物品的建设项目竣工投入生产或者使用前，安全设施未经验收合格的。</w:t>
            </w:r>
          </w:p>
        </w:tc>
        <w:tc>
          <w:tcPr>
            <w:tcW w:w="3900" w:type="dxa"/>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8"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14</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对未在有较大危险因素的生产经营场所和有关设施、设备上设置明显的安全警示标志等七类行为的处罚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（一）未在有较大危险因素的生产经营场所和有关设施、设备上设置明显的安全警示标志的；</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（二）安全设备的安装、使用、检测、改造和报废不符合国家标准或者行业标准的；</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（三）未对安全设备进行经常性维护、保养和定期检测的；</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（四）关闭、破坏直接关系生产安全的监控、报警、防护、救生设备、设施，或者篡改、隐瞒、销毁其相关数据、信息的；</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（五）未为从业人员提供符合国家标准或者行业标准的劳动防护用品的；</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（六）危险物品的容器、运输工具，以及涉及人身安全、危险性较大的海洋石油开采特种设备和矿山井下特种设备未经具有专业资质的机构检测、检验合格，取得安全使用证或者安全标志，投入使用的；</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（七）使用应当淘汰的危及生产安全的工艺、设备的。</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15</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对生产、经营、运输、储存、使用危险物品或者处置废弃危险物品，未建立专门安全管理制度、未采取可靠的安全措施等五类行为的处罚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《中华人民共和国安全生产法》第一百零一条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（一）生产、经营、运输、储存、使用危险物品或者处置废弃危险物品，未建立专门安全管理制度、未采取可靠的安全措施的；</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（二）对重大危险源未登记建档，未进行定期检测、评估、监控，未制定应急预案，或者未告知应急措施的；</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（三）进行爆破、吊装、动火、临时用电以及国务院应急管理部门会同国务院有关部门规定的其他危险作业，未安排专门人员进行现场安全管理的；</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（四）未建立安全风险分级管控制度或者未按照安全风险分级采取相应管控措施的；</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（五）未建立事故隐患排查治理制度，或者重大事故隐患排查治理情况未按照规定报告的。</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16</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对生产经营单位未采取措施消除事故隐患的处罚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keepNext w:val="0"/>
              <w:keepLines w:val="0"/>
              <w:widowControl/>
              <w:suppressLineNumbers w:val="0"/>
              <w:jc w:val="center"/>
              <w:textAlignment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17</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对生产经营单位将生产经营项目、场所、设备发包或者出租给不具备安全生产条件或者相应资质的单位或者个人等四类行为的处罚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《中华人民共和国安全生产法》第一百零三条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18</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对两个以上生产经营单位在同一作业区域内进行可能危及对方安全生产的生产经营活动，未签订安全生产管理协议或者未指定专职安全生产管理人员进行安全检查与协调的处罚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中华人民共和国安全生产法》第一百零四条：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19</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生产、经营、储存、使用危险物品的车间、商店、仓库与员工宿舍在同一座建筑内，或者与员工宿舍的距离不符合安全要求等两类行为的处罚</w:t>
            </w:r>
          </w:p>
        </w:tc>
        <w:tc>
          <w:tcPr>
            <w:tcW w:w="3900" w:type="dxa"/>
            <w:vAlign w:val="center"/>
          </w:tcPr>
          <w:p>
            <w:pPr>
              <w:keepNext w:val="0"/>
              <w:keepLines w:val="0"/>
              <w:widowControl/>
              <w:suppressLineNumbers w:val="0"/>
              <w:spacing w:after="200" w:afterAutospacing="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中华人民共和国安全生产法》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（一）生产、经营、储存、使用危险物品的车间、商店、仓库与员工宿舍在同一座建筑内，或者与员工宿舍的距离不符合安全要求的；</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（二）生产经营场所和员工宿舍未设有符合紧急疏散需要、标志明显、保持畅通的出口、疏散通道，或者占用、锁闭、封堵生产经营场所或者员工宿舍出口、疏散通道的。</w:t>
            </w:r>
          </w:p>
        </w:tc>
        <w:tc>
          <w:tcPr>
            <w:tcW w:w="3900" w:type="dxa"/>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keepNext w:val="0"/>
              <w:keepLines w:val="0"/>
              <w:widowControl/>
              <w:suppressLineNumbers w:val="0"/>
              <w:jc w:val="center"/>
              <w:textAlignment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20</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对生产经营单位与从业人员订立协议，免除或者减轻其对从业人员因生产安全事故伤亡依法应承担的责任的处罚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1.《中华人民共和国安全生产法》第一百零六条：生产经营单位与从业人员订立协议，免除或者减轻其对从业人员因生产安全事故伤亡依法应承担的责任的，该协议无效；对生产经营单位的主要负责人、个人经营的投资人处二万元以上十万元以下的罚款。</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安全生产违法行为行政处罚办法》第四十七条：生产经营单位与从业人员订立协议，免除或者减轻其对从业人员因生产安全事故伤亡依法应承担的责任的，该协议无效；对生产经营单位的主要负责人、个人经营的投资人按照下列规定处以罚款：（一）在协议中减轻因生产安全事故伤亡对从业人员依法应承担的责任的，处2万元以上5万元以下的罚款；（二）在协议中免除因生产安全事故伤亡对从业人员依法应承担的责任的，处5万元以上10万元以下的罚款。</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21</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对生产经营单位拒绝、阻碍负有安全生产监督管理职责的部门依法实施监督检查的处罚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中华人民共和国安全生产法》第一百零八条：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22</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高危行业、领域的生产经营单位未按照国家规定投保安全生产责任保险的处罚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中华人民共和国安全生产法》第一百零九条：高危行业、领域的生产经营单位未按照国家规定投保安全生产责任保险的，责令限期改正，处五万元以上十万元以下的罚款；逾期未改正的，处十万元以上二十万元以下的罚款。</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23</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对生产经营单位的主要负责人在本单位发生生产安全事故时，不立即组织抢救或者在事故调查处理期间擅离职守或者逃匿等二类行为的处罚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中华人民共和国安全生产法》第一百一十条：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生产经营单位的主要负责人对生产安全事故隐瞒不报、谎报或者迟报的，依照前款规定处罚。</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24</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发生生产安全事故，对负有责任的生产经营单位的处罚</w:t>
            </w:r>
          </w:p>
        </w:tc>
        <w:tc>
          <w:tcPr>
            <w:tcW w:w="3900" w:type="dxa"/>
            <w:vAlign w:val="center"/>
          </w:tcPr>
          <w:p>
            <w:pPr>
              <w:keepNext w:val="0"/>
              <w:keepLines w:val="0"/>
              <w:widowControl/>
              <w:suppressLineNumbers w:val="0"/>
              <w:spacing w:after="200" w:afterAutospacing="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《中华人民共和国安全生产法》第一百一十四条　发生生产安全事故，对负有责任的生产经营单位除要求其依法承担相应的赔偿等责任外，由应急管理部门依照下列规定处以罚款:</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（一）发生一般事故的，处三十万元以上一百万元以下的罚款；</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（二）发生较大事故的，处一百万元以上二百万元以下的罚款；</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（三）发生重大事故的，处二百万元以上一千万元以下的罚款；</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（四）发生特别重大事故的，处一千万元以上二千万元以下的罚款。</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发生生产安全事故，情节特别严重、影响特别恶劣的，应急管理部门可以按照前款罚款数额的二倍以上五倍以下对负有责任的生产经营单位处以罚款。</w:t>
            </w:r>
          </w:p>
        </w:tc>
        <w:tc>
          <w:tcPr>
            <w:tcW w:w="3900" w:type="dxa"/>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25</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对谎报或者瞒报事故等六类行为的处罚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生产安全事故报告和调查处理条例》第三十六条：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一）谎报或者瞒报事故的；（二）伪造或者故意破坏事故现场的；（三）转移、隐匿资金、财产，或者销毁有关证据、资料的；（四）拒绝接受调查或者拒绝提供有关情况和资料的；（五）在事故调查中作伪证或者指使他人作伪证的；（六）事故发生后逃匿的。</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26</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对生产经营单位未落实安全培训工作经费的处罚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《中华人民共和国安全生产法》第四十七条　生产经营单位应当安排用于配备劳动防护用品、进行安全生产培训的经费。</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中华人民共和国安全生产法》第九十四条：生产经营单位的主要负责人未履行本法规定的安全生产管理职责的，责令限期改正，处二万元以上五万元以下的罚款；逾期未改正的，处五万元以上十万元以下的罚款，责令生产经营单位停产停业整顿。</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生产经营单位的主要负责人有前款违法行为，导致发生生产安全事故的，给予撤职处分；构成犯罪的，依照刑法有关规定追究刑事责任。</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keepNext w:val="0"/>
              <w:keepLines w:val="0"/>
              <w:widowControl/>
              <w:suppressLineNumbers w:val="0"/>
              <w:jc w:val="center"/>
              <w:textAlignment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27</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对生产经营单位及其主要负责人或者其他人员有违反操作规程或者安全管理规定作业等七类行为的处罚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二）违章指挥从业人员或者强令从业人员违章、冒险作业的；（三）发现从业人员违章作业不加制止的；（四）超过核定的生产能力、强度或者定员进行生产的；（五）对被查封或者扣押的设施、设备、器材、危险物品和作业场所，擅自启封或者使用的；（六）故意提供虚假情况或者隐瞒存在的事故隐患以及其他安全问题的；（七）拒不执行安全监管监察部门依法下达的安全监管监察指令的。</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5"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28</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危险物品的生产、经营、储存单位以及矿山、金属冶炼单位未建立应急救援组织或者生产经营规模较小、未指定兼职应急救援人员、未配备必要的应急救援器材、设备和物资，并进行经常性维护、保养，保证正常运转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安全生产违法行为行政处罚办法》第四十六条：危险物品的生产、经营、储存单位以及矿山、金属冶炼单位有下列行为之一的，责令改正，并可以处1万元以上3万元以下的罚款：（一）未建立应急救援组织或者生产经营规模较小、未指定兼职应急救援人员的；（二）未配备必要的应急救援器材、设备和物资，并进行经常性维护、保养，保证正常运转的。</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29</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对未取得安全生产许可证或者其他批准文件擅自从事生产经营活动的生产经营单位提供生产经营场所、运输、保管、仓储等条件的处罚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安全生产违法行为行政处罚办法》第五十条：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　　</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30</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对生产经营单位及其有关人员弄虚作假，骗取或者勾结、串通行政审批工作人员取得安全生产许可证书及其他批准文件的处罚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安全生产违法行为行政处罚办法》第五十一条：生产经营单位及其有关人员弄虚作假，骗取或者勾结、串通行政审批工作人员取得安全生产许可证书及其他批准文件的，撤销许可及批准文件，并按照下列规定处以罚款：（一）生产经营单位有违法所得的，没收违法所得，并处违法所得1倍以上3倍以下的罚款，但是最高不得超过3万元；没有违法所得的，并处5000元以上1万元以下的罚款。（二）对有关人员处1000元以上1万元以下的罚款。有前款规定违法行为的生产经营单位及其有关人员在3年内不得再次申请该行政许可。生产经营单位及其有关人员未依法办理安全生产许可证书变更手续的，责令限期改正，并对生产经营单位处1万元以上3万元以下的罚款，对有关人员处1000元以上5000元以下的罚款。</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31</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对未取得相应资格、资质证书的机构及其有关人员从事安全评价、认证、检测、检验工作，责令停止违法行为的处罚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安全生产违法行为行政处罚办法》第五十二条：未取得相应资格、资质证书的机构及其有关人员从事安全评价、认证、检测、检验工作，责令停止违法行为，并按照下列规定处以罚款：（一）机构有违法所得的，没收违法所得，并处违法所得1倍以上3倍以下的罚款，但是最高不得超过3万元；没有违法所得的，并处5000元以上1万元以下的罚款。（二）有关人员处5000元以上1万元以下的罚款。</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32</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对生产经营单位在应急预案编制前未按照规定开展风险辨识、评估和应急资源调查等七类行为的处罚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生产安全事故应急预案管理办法》第四十五条：生产经营单位有下列情形之一的，由县级以上人民政府应急管理部门责令限期改正，可以处1万元以上3万元以下的罚款：（一）在应急预案编制前未按照规定开展风险辨识、评估和应急资源调查的；（二）未按照规定开展应急预案评审的；（三）事故风险可能影响周边单位、人员的，未将事故风险的性质、影响范围和应急防范措施告知周边单位和人员的；（四）未按照规定开展应急预案评估的；（五）未按照规定进行应急预案修订的；（六）未落实应急预案规定的应急物资及装备的。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33</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对安全评价检测检验机构未依法与委托方签订技术服务合同等十一类行为的处罚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一）未依法与委托方签订技术服务合同的；（二）违反法规标准规定更改或者简化安全评价、检测检验程序和相关内容的；（三）未按规定公开安全评价报告、安全生产检测检验报告相关信息及现场勘验图像影像资料的；（四）未在开展现场技术服务前七个工作日内，书面告知项目实施地资质认可机关的；（五）机构名称、注册地址、实验室条件、法定代表人、专职技术负责人、授权签字人发生变化之日起三十日内未向原资质认可机关提出变更申请的；（六）未按照有关法规标准的强制性规定从事安全评价、检测检验活动的；（七）出租、出借安全评价检测检验资质证书的；（八）安全评价项目组组长及负责勘验人员不到现场实际地点开展勘验等有关工作的；（九）承担现场检测检验的人员不到现场实际地点开展设备检测检验等有关工作的；（十）安全评价报告存在法规标准引用错误、关键危险有害因素漏项、重大危险源辨识错误、对策措施建议与存在问题严重不符等重大疏漏，但尚未造成重大损失的；（十一）安全生产检测检验报告存在法规标准引用错误、关键项目漏检、结论不明确等重大疏漏，但尚未造成重大损失的。</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34</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对组织学生从事接触有毒有害、易燃易爆、放射性等危险物品活动的处罚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 xml:space="preserve">《安徽省安全生产条例》第五十一条：违反本条例第二十八条第二款、第三款规定，学校、幼儿园除教学研究活动外，组织学生从事接触有毒有害、易燃易爆、放射性等危险物品活动的，责令停止违法行为，并处一万元以上五万元以下的罚款；将教学场所作为危险物品的生产、经营、储存场所或者将正常使用的教学场所作为机动车停车场的，责令停止违法行为，并处二万元以上五万元以下的罚款。 </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35</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对生产、经营、使用国家禁止生产、经营、使用的危险化学品的处罚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危险化学品安全管理条例》第七十五条：生产、经营、使用国家禁止生产、经营、使用的危险化学品的，由安全生产监督管理部门责令停止生产、经营、使用活动，处20万元以上50万元以下的罚款，有违法所得的，没收违法所得；构成犯罪的，依法追究刑事责任。</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36</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未经安全条件审查，新建、改建、扩建生产、储存危险化学品的建设项目的处罚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危险化学品安全管理条例》第七十六条：未经安全条件审查，新建、改建、扩建生产、储存危险化学品的建设项目的，由安全生产监督管理部门责令停止建设，限期改正；逾期不改正的，处50万元以上100万元以下的罚款；构成犯罪的，依法追究刑事责任。</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37</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对未依法取得危险化学品安全生产许可证从事危险化学品生产的处罚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危险化学品安全管理条例》第七十七条：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违反本条例规定，化工企业未取得危险化学品安全使用许可证，使用危险化学品从事生产的，由安全生产监督管理部门责令限期改正，处10万元以上20万元以下的罚款；逾期不改正的，责令停产整顿。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38</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对生产、储存危险化学品的单位未对其铺设的危险化学品管道设置明显的标志，或者未对危险化学品管道定期检查、检测的等十二类情形的处罚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危险化学品安全管理条例》第七十八条:有下列情形之一的，由安全生产监督管理部门责令改正，可以处5万元以下的罚款；拒不改正的，处5万元以上10万元以下的罚款；情节严重的，责令停产停业整顿：（一）生产、储存危险化学品的单位未对其铺设的危险化学品管道设置明显的标志，或者未对危险化学品管道定期检查、检测的；（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三）危险化学品生产企业未提供化学品安全技术说明书，或者未在包装（包括外包装件）上粘贴、拴挂化学品安全标签的；（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五）危险化学品生产企业发现其生产的危险化学品有新的危险特性不立即公告，或者不及时修订其化学品安全技术说明书和化学品安全标签的；（六）危险化学品经营企业经营没有化学品安全技术说明书和化学品安全标签的危险化学品的；（七）危险化学品包装物、容器的材质以及包装的型式、规格、方法和单件质量（重量）与所包装的危险化学品的性质和用途不相适应的；（八）生产、储存危险化学品的单位未在作业场所和安全设施、设备上设置明显的安全警示标志，或者未在作业场所设置通信、报警装置的；（九）危险化学品专用仓库未设专人负责管理，或者对储存的剧毒化学品以及储存数量构成重大危险源的其他危险化学品未实行双人收发、双人保管制度的；（十）储存危险化学品的单位未建立危险化学品出入库核查、登记制度的；（十一）危险化学品专用仓库未设置明显标志的；（十二）危险化学品生产企业、进口企业不办理危险化学品登记，或者发现其生产、进口的危险化学品有新的危险特性不办理危险化学品登记内容变更手续的。</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39</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对重复使用的危险化学品包装物、容器，在重复使用前不进行检查等七项情形的处罚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危险化学品安全管理条例》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一）对重复使用的危险化学品包装物、容器，在重复使用前不进行检查的；（二）未根据其生产、储存的危险化学品的种类和危险特性，在作业场所设置相关安全设施、设备，或者未按照国家标准、行业标准或者国家有关规定对安全设施、设备进行经常性维护、保养的；（三）未依照本条例规定对其安全生产条件定期进行安全评价的；（四）未将危险化学品储存在专用仓库内，或者未将剧毒化学品以及储存数量构成重大危险源的其他危险化学品在专用仓库内单独存放的；（五）危险化学品的储存方式、方法或者储存数量不符合国家标准或者国家有关规定的；（六）危险化学品专用仓库不符合国家标准、行业标准的要求的；（七）未对危险化学品专用仓库的安全设施、设备定期进行检测、检验的。从事危险化学品仓储经营的港口经营人有前款规定情形的，由港口行政管理部门依照前款规定予以处罚。</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7"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40</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对生产、储存、使用危险化学品的单位转产、停产、停业或者解散，未采取有效措施及时、妥善处置其危险化学品生产装置、储存设施以及库存的危险化学品，或者丢弃危险化学品的处罚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危险化学品安全管理条例》第八十二条：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41</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对违反规定销售剧毒、易制爆化学品的处罚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危险化学品安全管理条例》第八十四条: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一）向不具有本条例第三十八条第一款、第二款规定的相关许可证件或者证明文件的单位销售剧毒化学品、易制爆危险化学品的；（二）不按照剧毒化学品购买许可证载明的品种、数量销售剧毒化学品的；（三）向个人销售剧毒化学品（属于剧毒化学品的农药除外）、易制爆危险化学品的。</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42</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对未经许可生产、经营烟花爆竹制品，或者向未取得烟花爆竹安全生产许可的单位或者个人销售黑火药、烟火药、引火线的处罚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烟花爆竹安全管理条例》第三十六条：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keepNext w:val="0"/>
              <w:keepLines w:val="0"/>
              <w:widowControl/>
              <w:suppressLineNumbers w:val="0"/>
              <w:jc w:val="center"/>
              <w:textAlignment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43</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对未按照标准生产烟花爆竹的处罚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烟花爆竹安全管理条例》第三十七条：生产烟花爆竹的企业有下列行为之一的，由安全生产监督管理部门责令限期改正，处1万元以上5万元以下的罚款；逾期不改正的，责令停产停业整顿，情节严重的，吊销安全生产许可证：（一）未按照安全生产许可证核定的产品种类进行生产的；（二）生产工序或者生产作业不符合有关国家标准、行业标准的；（三）雇佣未经设区的市人民政府安全生产监督管理部门考核合格的人员从事危险工序作业的；（四）生产烟花爆竹使用的原料不符合国家标准规定的，或者使用的原料超过国家标准规定的用量限制的；（五）使用按照国家标准规定禁止使用或者禁忌配伍的物质生产烟花爆竹的；（六）未按照国家标准的规定在烟花爆竹产品上标注燃放说明，或者未在烟花爆竹的包装物上印制易燃易爆危险物品警示标志的。</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0"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44</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从事烟花爆竹批发的企业向从事烟花爆竹零售的经营者供应非法生产、经营的烟花爆竹，或者供应按照国家标准规定应由专业燃放人员燃放的烟花爆竹的和从事烟花爆竹零售的经营者销售非法生产、经营的烟花爆竹，或者销售按照国家标准规定应由专业燃放人员燃放的烟花爆竹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烟花爆竹安全管理条例》第三十八条：从事烟花爆竹批发的企业向从事烟花爆竹零售的经营者供应非法生产、经营的烟花爆竹，或者供应按照国家标准规定应由专业燃放人员燃放的烟花爆竹的，由安全生产监督管理部门责令停止违法行为，处2万元以上10万元以下的罚款，并没收非法经营的物品及违法所得；情节严重的，吊销烟花爆竹经营许可证。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keepNext w:val="0"/>
              <w:keepLines w:val="0"/>
              <w:widowControl/>
              <w:suppressLineNumbers w:val="0"/>
              <w:jc w:val="center"/>
              <w:textAlignment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45</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对违反规定生产、经营、购买的易制毒化学品的处罚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易制毒化学品管理条例》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一）易制毒化学品生产、经营、购买、运输或者进口、出口单位未按规定建立安全管理制度的；（二）将许可证或者备案证明转借他人使用的；（三）超出许可的品种、数量生产、经营、购买易制毒化学品的；（四）生产、经营、购买单位不记录或者不如实记录交易情况、不按规定保存交易记录或者不如实、不及时向公安机关和有关行政主管部门备案销售情况的；（五）易制毒化学品丢失、被盗、被抢后未及时报告，造成严重后果的；（六）除个人合法购买第一类中的药品类易制毒化学品药品制剂以及第三类易制毒化学品外，使用现金或者实物进行易制毒化学品交易的；（七）易制毒化学品的产品包装和使用说明书不符合本条例规定要求的；（八）生产、经营易制毒化学品的单位不如实或者不按时向有关行政主管部门和公安机关报告年度生产、经销和库存等情况的。 企业的易制毒化学品生产经营许可被依法吊销后，未及时到工商行政管理部门办理经营范围变更或者企业注销登记的，依照前款规定，对易制毒化学品予以没收，并处罚款。</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46</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对生产、经营、购买、运输或者进口、出口易制毒化学品的单位或者个人拒不接受有关行政主管部门监督检查的处罚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易制毒化学品管理条例》第四十二条：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47</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对工（库）房没有设置准确、清晰、醒目的定员、定量、定级标识的和未向零售经营者或者零售经营场所提供烟花爆竹配送服务的处罚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《烟花爆竹生产经营安全规定》第三十三条： 生产企业、批发企业有下列行为之一的，责令限期改正；逾期未改正的，处一万元以上三万元以下的罚款：（一）工（库）房没有设置准确、清晰、醒目的定员、定量、定级标识的；（二）未向零售经营者或者零售经营场所提供烟花爆竹配送服务的。</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48</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对不具备安全培训条件、未按照统一的培训大纲组织教学培训、未建立培训档案或者培训档案管理不规范的处罚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《安全生产培训管理办法》第三十四条：安全培训机构有下列情形之一的，责令限期改正，处1万元以下的罚款；逾期未改正的，给予警告，处1万元以上3万元以下的罚款： （一）不具备安全培训条件的； （二）未按照统一的培训大纲组织教学培训的； （三）未建立培训档案或者培训档案管理不规范的； 安全培训机构采取不正当竞争手段，故意贬低、诋毁其他安全培训机构的，依照前款规定处罚。</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49</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对生产经营单位主要负责人、安全生产管理人员、特种作业人员以欺骗、贿赂等不正当手段取得安全合格证或者特种作业操作证的处罚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安全生产培训管理办法》第三十五条：生产经营单位主要负责人、安全生产管理人员、特种作业人员以欺骗、贿赂等不正当手段取得安全合格证或者特种作业操作证的，除撤销其相关证书外，处3000元以下的罚款，并自撤销其相关证书之日起3年内不得再次申请该证书。</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50</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对从业人员安全培训的时间少于规定、新招的危险工艺操作岗位人员未经实习期满独立上岗作业的、人员未按照规定重新参加安全培训的处罚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《安全生产培训管理办法》第三十六条：生产经营单位有下列情形之一的，责令改正，处3万元以下的罚款： （一）从业人员安全培训的时间少于《生产经营单位安全培训规定》或者有关标准规定的； （二）矿山新招的井下作业人员和危险物品生产经营单位新招的危险工艺操作岗位人员，未经实习期满独立上岗作业的； （三）相关人员未按照本办法第十二条规定重新参加安全培训的。</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51</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对未按照规定将安全评价报告以及整改方案的落实情况备案，或者未将其剧毒化学品以及储存数量构成重大危险源的其他危险化学品的储存数量、储存地点以及管理人员的情况备案的处罚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危险化学品安全管理条例》第八十一条第二款：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52</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对生产经营单位不具备规定的安全生产条件的，责令停产停业整顿，经整顿仍不具备安全生产条件的处罚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安徽省安全生产条例》第五十三条：生产经营单位不具备本条例规定的安全生产条件的，责令停产停业整顿；经整顿仍不具备安全生产条件的，由负有安全生产监督管理职责的部门报请县级以上人民政府决定予以关闭，有关部门应当依法吊销其有关证照。</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6"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53</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对在城市建成区内设立烟花爆竹储存仓库，或者在批发（展示）场所摆放有药样品等十类情形的处罚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烟花爆竹经营许可实施办法》第三十二条：批发企业有下列行为之一的，责令其限期改正，处5000元以上3万元以下的罚款：（一）在城市建成区内设立烟花爆竹储存仓库，或者在批发（展示）场所摆放有药样品的；（二）采购和销售质量不符合国家标准或者行业标准规定的烟花爆竹的；（三）在仓库内违反国家标准或者行业标准规定储存烟花爆竹的；（四）在烟花爆竹经营许可证载明的仓库以外储存烟花爆竹的；（五）对假冒伪劣、过期、含有超量、违禁药物以及其他存在严重质量问题的烟花爆竹未及时销毁的；（六）未执行合同管理、流向登记制度或者未按照规定应用烟花爆竹流向管理信息系统的；（七）未将黑火药、引火线的采购、销售记录报所在地县级安全监管局备案的；（八）仓储设施新建、改建、扩建后，未重新申请办理许可手续的；（九）变更企业名称、主要负责人、注册地址，未申请办理许可证变更手续的；（十）向未取得零售许可证的单位或者个人销售烟花爆竹的。</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54</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对零售经营者变更零售点名称、主要负责人或者经营场所，未重新办理零售许可证等两类行为的处罚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烟花爆竹经营许可实施办法》第三十五条：零售经营者有下列行为之一的，责令其限期改正，处1000元以上5000元以下的罚款；情节严重的，处5000元以上30000元以下的罚款：（一）变更零售点名称、主要负责人或者经营场所，未重新办理零售许可证的；（二）存放的烟花爆竹数量超过零售许可证载明范围的。</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keepNext w:val="0"/>
              <w:keepLines w:val="0"/>
              <w:widowControl/>
              <w:suppressLineNumbers w:val="0"/>
              <w:jc w:val="center"/>
              <w:textAlignment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55</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对烟花爆竹经营单位出租、出借、转让、买卖烟花爆竹经营许可证的处罚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烟花爆竹经营许可实施办法》第三十六条：烟花爆竹经营单位出租、出借、转让、买卖烟花爆竹经营许可证的，责令其停止违法行为，处1万元以上3万元以下的罚款，并依法撤销烟花爆竹经营许可证。冒用或者使用伪造的烟花爆竹经营许可证的，依照本办法第三十一条的规定处罚。</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keepNext w:val="0"/>
              <w:keepLines w:val="0"/>
              <w:widowControl/>
              <w:suppressLineNumbers w:val="0"/>
              <w:jc w:val="center"/>
              <w:textAlignment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56</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对已经批准的建设项目安全设施设计发生重大变更，生产经营单位未报原批准部门审查同意擅自开工建设的处罚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建设项目安全设施“三同时”监督管理办法》第二十九条：已经批准的建设项目安全设施设计发生重大变更，生产经营单位未报原批准部门审查同意擅自开工建设的，责令限期改正，可以并处1万元以上3万元以下的罚款。</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57</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对《建设项目安全设施“三同时”监督管理办法》第七条第一项、第二项、第三项和第四项规定以外的建设项目没有安全设施设计等四类情形的处罚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建设项目安全设施“三同时”监督管理办法》第三十条：本办法第七条第一项、第二项、第三项和第四项规定以外的建设项目有下列情形之一的，对有关生产经营单位责令限期改正，可以并处5000元以上3万元以下的罚款：（一）没有安全设施设计的；（二）安全设施设计未组织审查，并形成书面审查报告的；（三）施工单位未按照安全设施设计施工的；（四）投入生产或者使用前，安全设施未经竣工验收合格，并形成书面报告的。</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58</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对建设项目安全设施竣工后未进行检验、检测等四类情形的处罚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危险化学品建设项目安全监督管理办法》第三十七条：建设单位有下列行为之一的，责令改正，可以处1万元以下的罚款；逾期未改正的，处1万元以上3万元以下的罚款：（一）建设项目安全设施竣工后未进行检验、检测的；（二）在申请建设项目安全审查时提供虚假文件、资料的；（三）未组织有关单位和专家研究提出试生产（使用）可能出现的安全问题及对策，或者未制定周密的试生产（使用）方案，进行试生产（使用）的；（四）未组织有关专家对试生产（使用）方案进行审查、对试生产（使用）条件进行检查确认的。</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59</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对未向用户提供应急咨询服务或者应急咨询服务不符合规定等五类情形的处罚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危险化学品登记管理办法》第三十条：登记企业有下列行为之一的，责令改正，可以处3万元以下的罚款：（一）未向用户提供应急咨询服务或者应急咨询服务不符合本办法第二十二条规定的；（二）在危险化学品登记证有效期内企业名称、注册地址、应急咨询服务电话发生变化，未按规定按时办理危险化学品登记变更手续的；（三）危险化学品登记证有效期满后，未按规定申请复核换证，继续进行生产或者进口的；（四）转让、冒用或者使用伪造的危险化学品登记证，或者不如实填报登记内容、提交有关材料的。（五）拒绝、阻挠登记机构对本企业危险化学品登记情况进行现场核查的。</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60</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对已经取得经营许可证的企业不再具备规定的安全生产条件的经停产停业整顿仍不具备安全生产条件的处罚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危险化学品经营许可证管理办法》第三十二条：已经取得经营许可证的企业不再具备法律、法规和本办法规定的安全生产条件的，责令改正；逾期不改正的，责令停产停业整顿；经停产停业整顿仍不具备法律、法规、规章、国家标准和行业标准规定的安全生产条件的，吊销其经营许可证。</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61</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对已经取得经营许可证的企业未依照规定申请变更的处罚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危险化学品经营许可证管理办法》第三十三条：已经取得经营许可证的企业出现本办法第十四条、第十六条规定的情形之一，未依照本办法的规定申请变更的，责令限期改正，处1万元以下的罚款；逾期仍不申请变更的，处1万元以上3万元以下的罚款。</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62</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对企业未取得安全使用许可证，擅自使用危险化学品从事生产，且达到危险化学品使用量的数量标准规定等两类情形的处罚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危险化学品安全使用许可证实施办法》第三十七条：企业未取得安全使用许可证，擅自使用危险化学品从事生产，且达到危险化学品使用量的数量标准规定的，责令立即停止违法行为并限期改正，处10万元以上20万元以下的罚款；逾期不改正的，责令停产整顿。企业在安全使用许可证有效期届满后未办理延期手续，仍然使用危险化学品从事生产，且达到危险化学品使用量的数量标准规定的，依照前款规定给予处罚。</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63</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对企业伪造、变造或者出租、出借、转让安全使用许可证，或者使用伪造、变造的安全使用许可证的处罚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危险化学品安全使用许可证实施办法》第三十八条：企业伪造、变造或者出租、出借、转让安全使用许可证，或者使用伪造、变造的安全使用许可证的，处10万元以上20万元以下的罚款，有违法所得的，没收违法所得；构成违反治安管理行为的，依法给予治安管理处罚；构成犯罪的，依法追究刑事责任。</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9"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64</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企业在安全使用许可证有效期内主要负责人、企业名称、注册地址、隶属关系发生变更，未按照《危险化学品安全使用许可证实施办法》第二十四条规定的时限提出安全使用许可证变更申请或者将隶属关系变更证明材料报发证机关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危险化学品安全使用许可证实施办法》第三十九条：企业在安全使用许可证有效期内主要负责人、企业名称、注册地址、隶属关系发生变更，未按照本办法第二十四条规定的时限提出安全使用许可证变更申请或者将隶属关系变更证明材料报发证机关的，责令限期办理变更手续，处1万元以上3万元以下的罚款。</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65</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对增加使用的危险化学品品种，且达到危险化学品使用量的数量标准规定等三类情形的处罚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危险化学品安全使用许可证实施办法》第四十条：企业在安全使用许可证有效期内有下列情形之一，未按照本办法第二十五条的规定提出变更申请，继续从事生产的，责令限期改正，处1万元以上3万元以下的罚款：（一）增加使用的危险化学品品种，且达到危险化学品使用量的数量标准规定的；（二）涉及危险化学品安全使用许可范围的新建、改建、扩建建设项目，其安全设施已经竣工验收合格的（三）改变工艺技术对企业的安全生产条件产生重大影响的。</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66</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伪造、变造或者出租、出借、转让危险化学品经营许可证，或者使用伪造、变造的危险化学品经营许可证的处罚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危险化学品经营许可证管理办法》第三十一条；伪造、变造或者出租、出借、转让经营许可证，或者使用伪造、变造的经营许可证的，处10万元以上20万元以下的罚款，有违法所得的，没收违法所得；构成违反治安管理行为的，依法给予治安管理处罚；构成犯罪的，依法追究刑事责任。</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4"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67</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对化学品单位未规定对化学品进行物理危险性鉴定或者分类等三类行为的处罚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化学品物理危险性鉴定与分类管理办法》第十九条：化学品单位有下列情形之一的，由安全生产监督管理部门责令限期改正，可以处1万元以下的罚款；拒不改正的，处1万元以上3万元以下的罚款：（一）未按照本办法规定对化学品进行物理危险性鉴定或者分类的；（二）未按照本办法规定建立化学品物理危险性鉴定与分类管理档案的；（三）在办理化学品物理危险性的鉴定过程中，隐瞒化学品的危险性成分、含量等相关信息或者提供虚假材料的。</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68</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对鉴定机构在物理危险性鉴定过程中伪造、篡改数据或者有其他弄虚作假行为等三类行为的处罚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化学品物理危险性鉴定与分类管理办法》第二十条：鉴定机构在物理危险性鉴定过程中有下列行为之一的，处1万元以上3万元以下的罚款；情节严重的，由国家安全生产监督管理总局从鉴定机构名单中除名并公告： （一）伪造、篡改数据或者有其他弄虚作假行为的； （二）未通过安全生产监督管理部门的监督检查，仍从事鉴定工作的； （三）泄露化学品单位商业秘密的。</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69</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对矿山企业未按照规定建立健全领导带班下井制度或者未制定领导带班下井月度计划的处罚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金属非金属地下矿山企业领导带班下井及监督检查暂行规定》第十八条：矿山企业未按照规定建立健全领导带班下井制度或者未制定领导带班下井月度计划的，给予警告，并处3万元的罚款；对其主要负责人给予警告，并处1万元的罚款;情节严重的，依法暂扣其安全生产许可证，责令停产整顿。</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70</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对矿山企业未制定领导带班下井制度等三类行为的处罚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金属非金属地下矿山企业领导带班下井及监督检查暂行规定》第十九条：矿山企业存在下列行为之一的，责令限期整改，并处3万元的罚款;对其主要负责人给予警告，并处1万元的罚款:(一)未制定领导带班下井制度的；(二)未按照规定公告领导带班下井月度计划的；(三)未按照规定公示领导带班下井月度计划完成情况的。</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71</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对矿山企业领导未按照规定填写带班下井交接班记录、带班下井登记档案，或者弄虚作假的处罚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《金属非金属地下矿山企业领导带班下井及监督检查暂行规定》第二十条：矿山企业领导未按照规定填写带班下井交接班记录、带班下井登记档案，或者弄虚作假的，给予警告，并处1万元的罚款。</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72</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对矿山企业领导未按照规定带班下井的处罚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金属非金属地下矿山企业领导带班下井及监督检查暂行规定》第二十一条：矿山企业领导未按照规定带班下井的，对矿山企业给予警告，处3万元的罚款;情节严重的，依法责令停产整顿;对违反规定的矿山企业领导按照擅离职守处理，并处1万元的罚款。</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73</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对发生生产安全事故而没有领导带班下井的矿山企业的处罚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金属非金属地下矿山企业领导带班下井及监督检查暂行规定》第二十二条：对发生生产安全事故而没有领导带班下井的矿山企业，依法责令停产整顿，暂扣或者吊销安全生产许可证，并依照下列规定处以罚款;情节严重的，提请有关人民政府依法予以关闭:(一)发生一般事故，处50万元的罚款；(二)发生较大事故，处100万元的罚款；(三)发生重大事故，处500万元的罚款；(四)发生特别重大事故，处2000万元的罚款。</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74</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对地质勘探单位未按照规定设立安全生产管理机构或者配备专职安全生产管理人员等三类行为的处罚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金属与非金属矿产资源地质勘探安全生产监督管理暂行规定》第二十五条：地质勘探单位有下列情形之一的，责令限期改正，可以处5万元以下的罚款；逾期未改正的，责令停产停业整顿，并处5万元以上10万元以下的罚款，对其直接负责的主管人员和其他直接责任人员处1万元以上2万元以下的罚款：（一）未按照本规定设立安全生产管理机构或者配备专职安全生产管理人员的；（二）特种作业人员未持证上岗作业的；（三）从事坑探工程作业的人员未按照规定进行安全生产教育和培训的。</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75</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对地质勘探单位未按照规定建立有关安全生产制度和规程等三类行为的处罚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金属与非金属矿产资源地质勘探安全生产监督管理暂行规定》第二十六条：地质勘探单位有下列情形之一的，给予警告，并处3万元以下的罚款：（一）未按照本规定建立有关安全生产制度和规程的；（二）未按照规定提取和使用安全生产费用的；（三）坑探工程安全专篇未经安全生产监督管理部门审查同意擅自施工的。</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76</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对地质勘探单位未按照规定向工作区域所在地县级安全生产监督管理部门书面报告的处罚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《金属与非金属矿产资源地质勘探安全生产监督管理暂行规定》第二十七条：地质勘探单位未按照规定向工作区域所在地县级安全生产监督管理部门书面报告的，给予警告，并处2万元以下的罚款。</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77</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地质勘探单位将其承担的地质勘探工程项目转包给不具备安全生产条件或者相应资质的地质勘探单位的处罚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金属与非金属矿产资源地质勘探安全生产监督管理暂行规定》第二十八条：地质勘探单位将其承担的地质勘探工程项目转包给不具备安全生产条件或者相应资质的地质勘探单位的，责令限期改正，没收违法所得；违法所得10万元以上的，并处违法所得2倍以上5倍以下的罚款；没有违法所得或者违法所得不足10万元的，单处或者并处10万元以上20万元以下的罚款；对其直接负责的主管人员和其他直接责任人员处1万元以上2万元以下的罚款；导致发生生产安全事故给他人造成损害的，与承包方承担连带赔偿责任。</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1"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78</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对一等、二等、三等尾矿库未安装在线监测系统等八类行为的处罚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《尾矿库安全监督管理规定》第八条第二款：一等、二等、三等尾矿库应当安装在线监测系统。</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第十九条：尾矿库应当每三年至少进行一次安全现状评价。安全现状评价应当符合国家标准或者行业标准的要求。</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尾矿库安全现状评价工作应当有能够进行尾矿坝稳定性验算、尾矿库水文计算、构筑物计算的专业技术人员参加。</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上游式尾矿坝堆积至二分之一至三分之二最终设计坝高时，应当对坝体进行一次全面勘察，并进行稳定性专项评价。</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二十条：尾矿库经安全现状评价或者专家论证被确定为危库、险库和病库的，生产经营单位应当分别采取下列措施：(一)确定为危库的，应当立即停产，进行抢险，并向尾矿库所在地县级人民政府、安全生产监督管理部门和上级主管单位报告；(二)确定为险库的，应当立即停产，在限定的时间内消除险情，并向尾矿库所在地县级人民政府、安全生产监督管理部门和上级主管单位报告；(三)确定为病库的，应当在限定的时间内按照正常库标准进行整治，消除事故隐患。</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二十一条：生产经营单位应当建立健全防汛责任制，实施24小时监测监控和值班值守，并针对可能发生的垮坝、漫顶、排洪设施损毁等生产安全事故和影响尾矿库运行的洪水、泥石流、山体滑坡、地震等重大险情制定并及时修订应急救援预案，配备必要的应急救援器材、设备，放置在便于应急时使用的地方。</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应急预案应当按照规定报相应的安全生产监督管理部门备案，并每年至少进行一次演练。</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第二十二条：生产经营单位应当编制尾矿库年度、季度作业计划，严格按照作业计划生产运行，做好记录并长期保存。</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二十四条：尾矿库出现下列重大险情之一的，生产经营单位应当按照安全监管权限和职责立即报告当地县级安全生产监督管理部门和人民政府，并启动应急预案，进行抢险：(一)坝体出现严重的管涌、流土等现象的；(二)坝体出现严重裂缝、坍塌和滑动迹象的；(三)库内水位超过限制的最高洪水位的；(四)在用排水井倒塌或者排水管(洞)坍塌堵塞的；(五)其他危及尾矿库安全的重大险情。</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第二十六条：未经生产经营单位进行技术论证并同意，以及尾矿库建设项目安全设施设计原审批部门批准，任何单位和个人不得在库区从事爆破、采砂、地下采矿等危害尾矿库安全的作业。</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第二十九条第一款：尾矿库运行到设计最终标高的前12个月内，生产经营单位应当进行闭库前的安全现状评价和闭库设计，闭库设计应当包括安全设施设计。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三十九条：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79</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对生产经营单位或者尾矿库管理单位未经技术论证和安全生产监督管理部门批准变更相关事项的处罚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尾矿库安全监督管理规定》第十八条：对生产运行的尾矿库，未经技术论证和安全生产监督管理部门的批准，任何单位和个人不得对下列事项进行变更：(一)筑坝方式；(二)排放方式；(三)尾矿物化特性；(四)坝型、坝外坡坡比、最终堆积标高和最终坝轴线的位置；(五)坝体防渗、排渗及反滤层的设置；(六)排洪系统的型式、布置及尺寸；(七)设计以外的尾矿、废料或者废水进库等。</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第四十条：生产经营单位或者尾矿库管理单位违反本规定第十八条规定的，给予警告，并处3万元的罚款；情节严重的，依法责令停产整顿或者提请县级以上地方人民政府按照规定权限予以关闭。</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80</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对生产经营单位违反规定不主动闭库的处罚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尾矿库安全监督管理规定》第二十八条第一款：尾矿库运行到设计最终标高或者不再进行排尾作业的，应当在一年内完成闭库。特殊情况不能按期完成闭库的，应当报经相应的安全生产监督管理部门同意后方可延期，但延长期限不得超过6个月。</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第四十一条：生产经营单位违反本规定第二十八条第一款规定不主动实施闭库的，给予警告，并处3万元的罚款。</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81</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对小型露天采石场未至少配备一名专业技术人员，或者未聘用专业技术人员、注册安全工程师、委托相关技术服务机构为其提供安全生产管理服务的处罚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《小型露天采石场安全管理与监督检查规定》第六条：小型露天采石场应当至少配备一名专业技术人员，或者聘用专业技术人员、注册安全工程师、委托相关技术服务机构为其提供安全生产管理服务。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第三十六条：违反本规定第六条规定的，责令限期改正，并处1万元以下的罚款。</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82</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对小型露天采石场新建、改建、扩建工程项目安全设施未按照规定履行设计审查程序的处罚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《小型露天采石场安全管理与监督检查规定》第十条：小型露天采石场新建、改建、扩建工程项目安全设施应当按照规定履行设计审查程序。</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三十七条：违反本规定第十条第一款规定的，责令停止建设或者停产停业整顿，限期改正；逾期未改正的，处50万元以上100万元以下的罚款，对其直接负责的主管人员和其他直接责任人员处2万元以上5万元以下的罚款；构成犯罪的，依照刑法有关规定追究刑事责任。</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83</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对小型露天采石场未依法取得非煤矿矿山企业安全生产许可证的处罚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《小型露天采石场安全管理与监督检查规定》第十一条第一款：小型露天采石场应当依法取得非煤矿矿山企业安全生产许可证。未取得安全生产许可证的，不得从事生产活动。</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第三十八条：违反本规定第十一条第一款规定的，责令停止生产，没收违法所得，并处10万元以上50万元以下的罚款。</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keepNext w:val="0"/>
              <w:keepLines w:val="0"/>
              <w:widowControl/>
              <w:suppressLineNumbers w:val="0"/>
              <w:jc w:val="center"/>
              <w:textAlignment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9"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84</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对相邻的采石场开采范围之间最小距离小于300米等十类行为的处罚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小型露天采石场安全管理与监督检查规定》第十二条：相邻的采石场开采范围之间最小距离应当大于300米。对可能危及对方生产安全的，双方应当签订安全生产管理协议，明确各自的安全生产管理职责和应当采取的安全措施，指定专门人员进行安全检查与协调。</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十三条第一、二款：小型露天采石场应当采用中深孔爆破，严禁采用扩壶爆破、掏底崩落、掏挖开采和不分层的“一面墙”等开采方式。不具备实施中深孔爆破条件的，由所在地安全生产监督管理部门聘请有关专家进行论证，经论证符合要求的，方可采用浅孔爆破开采。</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第十四条：不采用爆破方式直接使用挖掘机进行采矿作业的，台阶高度不得超过挖掘机最大挖掘高度。</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十五条：小型露天采石场应当采用台阶式开采。不能采用台阶式开采的，应当自上而下分层顺序开采。分层开采的分层高度、最大开采高度（第一分层的坡顶线到最后一分层的坡底线的垂直距离）和最终边坡角由设计确定，实施浅孔爆破作业时，分层数不得超过6个，最大开采高度不得超过30米；实施中深孔爆破作业时，分层高度不得超过20米，分层数不得超过3个，最大开采高度不得超过60米。分层开采的凿岩平台宽度由设计确定，最小凿岩平台宽度不得小于4米。分层开采的底部装运平台宽度由设计确定，且应当满足调车作业所需的最小平台宽度要求。</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十六条：小型露天采石场应当遵守国家有关民用爆炸物品和爆破作业的安全规定，由具有相应资格的爆破作业人员进行爆破，设置爆破警戒范围，实行定时爆破制度。不得在爆破警戒范围内避炮。禁止在雷雨、大雾、大风等恶劣天气条件下进行爆破作业。雷电高发地区应当选用非电起爆系统。</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第十七条：对爆破后产生的大块矿岩应当采用机械方式进行破碎，不得使用爆破方式进行二次破碎。</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第十九条：采石场上部需要剥离的，剥离工作面应当超前于开采工作面4米以上。</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二十条第一款：小型露天采石场在作业前和作业中以及每次爆破后，应当对坡面进行安全检查。发现工作面有裂痕，或者在坡面上有浮石、危石和伞檐体可能塌落时，应当立即停止作业并撤离人员至安全地点，采取安全措施和消除隐患。</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第二十一条：在坡面上进行排险作业时，作业人员应当系安全带，不得站在危石、浮石上及悬空作业。严禁在同一坡面上下双层或者多层同时作业。距工作台阶坡底线50米范围内不得从事碎石加工作业。</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二十二条：小型露天采石场应当采用机械铲装作业，严禁使用人工装运矿岩。同一工作面有两台铲装机械作业时，最小间距应当大于铲装机械最大回转半径的2倍。严禁自卸汽车运载易燃、易爆物品；严禁超载运输；装载与运输作业时，严禁在驾驶室外侧、车斗内站人。</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三十九条：违反本规定第十二条、第十三条第一、二款、第十四条、第十五条、第十六条、第十七条、第十九条、第二十条第一款、第二十一条、第二十二条规定的，给予警告，并处1万元以上3万元以下的罚款。</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85</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对废石、废碴未排放到废石场，废石场的设置不符合设计要求和有关安全规定，顺山或顺沟排放废石、废碴的，未有防止泥石流的具体措施等四类行为的处罚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《小型露天采石场安全管理与监督检查规定》第二十三条：废石、废碴应当排放到废石场。废石场的设置应当符合设计要求和有关安全规定。顺山或顺沟排放废石、废碴的，应当有防止泥石流的具体措施。</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第二十四条：电气设备应当有接地、过流、漏电保护装置。变电所应当有独立的避雷系统和防火、防潮与防止小动物窜入带电部位的措施。</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第二十五条：小型露天采石场应当制定完善的防洪措施。对开采境界上方汇水影响安全的，应当设置截水沟。</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第二十八条：小型露天采石场应当在每年年末测绘采石场开采现状平面图和剖面图，并归档管理。　</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第四十条：违反本规定第二十三条、第二十四条、第二十五条、第二十八条规定的，给予警告，并处2万元以下的罚款。</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86</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对未对承包单位实施安全生产监督检查或者考核等三类行为的处罚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非煤矿山外包工程安全管理暂行办法》第三十四条：有关发包单位有下列行为之一的，责令限期改正，给予警告，并处一万元以上三万元以下的罚款。（一）违反本办法第十条、第十四条的规定，未对承包单位实施安全生产监督检查或者考核的；（二）违反本办法第十一条的规定，未将承包单位及其项目部纳入本单位的安全管理体系，实行统一管理的；（三）违反本办法第十三条的规定，未向承包单位进行外包工程技术交底，或者未按照合同约定向承包单位提供有关资料的。</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87</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对地下矿山实行分项发包的发包单位在地下矿山正常生产期间，将主通风、主提升、供排水、供配电、主供风系统及其设备设施的运行管理进行分项发包的处罚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非煤矿山外包工程安全管理暂行办法》第三十五条：对地下矿山实行分项发包的发包单位违反本办法第十二条的规定，在地下矿山正常生产期间，将主通风、主提升、供排水、供配电、主供风系统及其设备设施的运行管理进行分项发包的，责令限期改正，处2万元以上3万元以下罚款。</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88</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对承包地下矿山工程的项目部负责人同时兼任其他工程的项目部负责人的处罚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非煤矿山外包工程安全管理暂行办法》第二十一条：承包单位及其项目部应当根据承揽工程的规模和特点，依法健全安全生产责任体系，完善安全生产管理基本制度，设置安全生产管理机构，配备专职安全生产管理人员和有关工程技术人员。承包地下矿山工程的项目部应当配备与工程施工作业相适应的专职工程技术人员，其中至少有1名注册安全工程师或者具有5年以上井下工作经验的安全生产管理人员。项目部具备初中以上文化程度的从业人员比例应当不低于50%。项目部负责人应当取得安全生产管理人员安全资格证。承包地下矿山工程的项目部负责人不得同时兼任其他工程的项目部负责人。</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第三十六条：承包地下矿山工程的项目部负责人违反本办法第二十一条的规定，同时兼任其他工程的项目部负责人的，责令限期改正，处5000元以上1万元以下罚款。</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89</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对承包单位将发包单位投入的安全资金挪作他用等两类行为的处罚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《非煤矿山外包工程安全管理暂行办法》第二十二条：承包单位应当依照法律、法规、规章的规定以及承包合同和安全生产管理协议的约定，及时将发包单位投入的安全资金落实到位，不得挪作他用。</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第二十三条：承包单位应当依照有关规定制定施工方案，加强现场作业安全管理，及时发现并消除事故隐患，落实各项规章制度和安全操作规程。</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三十七条：承包单位违反本办法第二十二条的规定，将发包单位投入的安全资金挪作他用的，责令限期改正，给予警告，并处1万元以上3万元以下罚款。承包单位未按照本办法第二十三条的规定排查治理事故隐患的，责令立即消除或者限期消除；承包单位拒不执行的，责令停产停业整顿，并处10万元以上50万元以下的罚款，对其直接负责的主管人员和其他直接责任人员处2万元以上5万元以下的罚款。</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90</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对承包单位未定期对项目部人员进行安全生产教育培训与考核或者未对项目部进行安全生产检查的处罚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非煤矿山外包工程安全管理暂行办法》第三十八条：承包单位违反本办法第二十条规定对项目部疏于管理，未定期对项目部人员进行安全生产教育培训与考核或者未对项目部进行安全生产检查的，责令限期改正，可以处5万元以下的罚款；逾期未改正的，责令停产停业整顿，并处5万元以上10万元以下的罚款，对其直接负责的主管人员和其他直接责任人员处1万元以上2万元以下的罚款。</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7"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91</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对承包单位在登记注册的省、自治区、直辖市以外从事施工作业，未向作业所在地县级人民政府安全生产监督管理部门书面报告本单位取得有关许可和施工资质，以及所承包工程情况的处罚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非煤矿山外包工程安全管理暂行办法》第三十九条：承包单位违反本办法第二十七条的规定，在登记注册的省、自治区、直辖市以外从事施工作业，未向作业所在地县级人民政府安全生产监督管理部门书面报告本单位取得有关许可和施工资质，以及所承包工程情况的，责令限期改正，处1万元以上3万元以下的罚款。</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92</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对生产经营单位未建立健全特种作业人员档案的处罚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《特种作业人员安全技术培训考核管理规定》第三十八条：生产经营单位未建立健全特种作业人员档案的，给予警告，并处1万元以下的罚款。</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93</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对生产经营单位使用未取得特种作业操作证的特种作业人员上岗作业的处罚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特种作业人员安全技术培训考核管理规定》第三十九条：生产经营单位使用未取得特种作业操作证的特种作业人员上岗作业的，责令限期改正,可以处5万元以下的罚款；逾期未改正的，责令停产停业整顿，并处5万元以上10万元以下的罚款，对直接负责的主管人员和其他直接责任人员处1万元以上2万元以下的罚款。 煤矿企业使用未取得特种作业操作证的特种作业人员上岗作业的，依照《国务院关于预防煤矿生产安全事故的特别规定》的规定处罚。</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94</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对生产经营单位非法印制、伪造、倒卖特种作业操作证，或者使用非法印制、伪造、倒卖的特种作业操作证的处罚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特种作业人员安全技术培训考核管理规定》第四十条：生产经营单位非法印制、伪造、倒卖特种作业操作证，或者使用非法印制、伪造、倒卖的特种作业操作证的，给予警告，并处1万元以上3万元以下的罚款；构成犯罪的，依法追究刑事责任。</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95</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对特种作业人员伪造、涂改特种作业操作证或者使用伪造的特种作业操作证的处罚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《特种作业人员安全技术培训考核管理规定》第四十一条：特种作业人员伪造、涂改特种作业操作证或者使用伪造的特种作业操作证的，给予警告，并处1000元以上5000元以下的罚款。 特种作业人员转借、转让、冒用特种作业操作证的，给予警告，并处2000元以上1万元以下的罚款。</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96</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对未经注册擅自以注册安全工程师名义执业的处罚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注册安全工程师管理规定》第三十条：未经注册擅自以注册安全工程师名义执业的，由县级以上安全生产监督管理部门、有关主管部门或者煤矿安全监察机构责令其停止违法活动，没收违法所得，并处三万元以下的罚款；造成损失的，依法承担赔偿责任。</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97</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对注册安全工程师以欺骗、贿赂等不正当手段取得执业证的处罚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注册安全工程师管理规定》第三十一条：注册安全工程师以欺骗、贿赂等不正当手段取得执业证的，由县级以上安全生产监督管理部门、有关主管部门或者煤矿安全监察机构处三万元以下的罚款；由执业证颁发机关撤销其注册，当事人三年内不得再次申请注册。</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98</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对注册安全工程师准许他人以本人名义执业等七类情形的处罚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注册安全工程师管理规定》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一）准许他人以本人名义执业的；（二）以个人名义承接业务、收取费用的；（三）出租、出借、涂改、变造执业证和执业印章的；（四）泄漏执业过程中应当保守的秘密并造成严重后果的；（五）利用执业之便，贪污、索贿、受贿或者谋取不正当利益的；（六）提供虚假执业活动成果的；（七）超出执业范围或者聘用单位业务范围从事执业活动的；（八）法律、法规、规章规定的其他违法行为。</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99</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对工贸企业未按照规定对有限空间的现场负责人、监护人员、作业人员和应急救援人员进行安全培训等两类行为的处罚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工贸企业有限空间作业安全管理与监督暂行规定》第二十九条：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 （一）未按照本规定对有限空间的现场负责人、监护人员、作业人员和应急救援人员进行安全培训的； （二）未按照本规定对有限空间作业制定应急预案，或者定期进行演练的。</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100</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对违反《冶金企业和有色金属企业安全生产规定》第二十四条至第三十七条的规定，构成生产安全事故隐患的处罚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冶金企业和有色金属企业安全生产规定》第四十六条：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101</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对生产经营单位未建立安全生产事故隐患排查治理等各项制度等六类行为的处罚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 xml:space="preserve">《安全生产事故隐患排查治理暂行规定》第二十六条：生产经营单位违反本规定,有下列行为之一的,由安全监管监察部门给予警告，并处三万元以下的罚款：（一）未建立安全生产事故隐患排查治理等各项制度的；（二）未按规定上报事故隐患排查治理统计分析表的；（三）未制定事故隐患治理方案的； 四）重大事故隐患不报或者未及时报告的；（五）未对事故隐患进行排查治理擅自生产经营的；（六）整改不合格或者未经安全监管监察部门审查同意擅自恢复生产经营的。  </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102</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对危险化学品单位未按照标准对重大危险源进行辨识等四类行为的处罚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危险化学品重大危险源监督管理暂行规定》第三十四条：危险化学品单位有下列情形之一的，由县级以上人民政府安全生产监督管理部门给予警告，可以并处5000元以上3万元以下的罚款：（一）未按照标准对重大危险源进行辨识的；（二）未按照本规定明确重大危险源中关键装置、重点部位的责任人或者责任机构的；（三）未按照本规定建立应急救援组织或者配备应急救援人员，以及配备必要的防护装备及器材、设备、物资，并保障其完好的；（四）未按照本规定进行重大危险源备案或者核销的；（五）未将重大危险源可能引发的事故后果、应急措施等信息告知可能受影响的单位、区域及人员的；（六）未按照本规定要求开展重大危险源事故应急预案演练的。</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103</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对危险化学品单位未按照规定对重大危险源的安全生产状况进行定期检查，采取措施消除事故隐患的处罚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危险化学品重大危险源监督管理暂行规定》第三十五条：危险化学品单位未按照本规定对重大危险源的安全生产状况进行定期检查，采取措施消除事故隐患的，责令立即消除或者限期消除；危险化学品单位拒不执行的，责令停产停业整顿，并处10万元以上20万元以下的罚款，对其直接负责的主管人员和其他直接责任人员处2万元以上5万元以下的罚款。</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104</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对转产、停产、停止使用的危险化学品管道，管道单位未采取有效措施及时、妥善处置，并将处置方案报县级以上安全生产监督管理部门的处罚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危险化学品输送管道安全管理规定》第三十六条：对转产、停产、停止使用的危险化学品管道，管道单位未采取有效措施及时、妥善处置的，由安全生产监督管理部门责令改正，处5万元以上10万元以下的罚款；构成犯罪的，依法追究刑事责任。</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对转产、停产、停止使用的危险化学品管道，管道单位未按照本规定将处置方案报县级以上安全生产监督管理部门的，由安全生产监督管理部门责令改正，可以处1万元以下的罚款；拒不改正的，处1万元以上5万元以下的罚款。</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105</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对烟花爆竹生产企业、批发企业防范静电危害的措施不符合相关国家标准或者行业标准规定等三类行为的处罚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烟花爆竹生产经营安全规定》第三十四条：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 （一）防范静电危害的措施不符合相关国家标准或者行业标准规定的； （二）使用新安全设备，未进行安全性论证的； （三）在生产区、工（库）房等有药区域对安全设备进行检测、改造作业时，未将工（库）房内的药物、有药半成品、成品搬走并清理作业现场的。</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106</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对烟花爆竹生产企业、批发企业未建立从业人员、外来人员、车辆出入厂（库）区登记制度等四类行为的处罚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烟花爆竹生产经营安全规定》第三十五条：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 （一）未建立从业人员、外来人员、车辆出入厂（库）区登记制度的； （二）未制定专人管理、登记、分发黑火药、引火线、烟火药及库存和中转效果件的安全管理制度的； （三）未建立烟花爆竹买卖合同管理制度的； （四）未按规定建立烟花爆竹流向管理制度的。</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107</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对烟花爆竹生产企业、批发企业超越许可证载明限量储存烟花爆竹等两类行为的处罚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《烟花爆竹生产经营安全规定》第三十六条：零售经营者有下列行为之一的，责令其限期改正，可以处一千元以上五千元以下的罚款；逾期未改正的，处五千元以上一万元以下的罚款： （一）超越许可证载明限量储存烟花爆竹的； （二）到批发企业仓库自行提取烟花爆竹的。</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108</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烟花爆竹生产企业、批发企业对工（库）房、安全设施、电气线路、机械设备等进行检测、检修、维修、改造作业前，未制定安全作业方案，或者未切断被检修、维修的电气线路和机械设备电源等两类行为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烟花爆竹生产经营安全规定》第三十七条：生产经营单位有下列行为之一的，责令改正；拒不改正的，处一万元以上三万元以下的罚款，对其直接负责的主管人员和其他直接责任人员处五千元以上一万元以下的罚款： （一）对工（库）房、安全设施、电气线路、机械设备等进行检测、检修、维修、改造作业前，未制定安全作业方案，或者未切断被检修、维修的电气线路和机械设备电源的； （二）拒绝、阻挠受安全生产监督管理部门委托的专业技术服务机构开展检验、检测的。</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109</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非煤矿山发包单位违反《非煤矿山外包工程安全管理暂行办法》第六条的规定，违章指挥或者强令承包单位及其从业人员冒险作业的处罚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非煤矿山外包工程安全管理暂行办法》第三十二条：发包单位违反本办法第六条的规定，违章指挥或者强令承包单位及其从业人员冒险作业的，责令改正，处2万元以上3万元以下的罚款；造成损失的，依法承担赔偿责任。</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110</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对以其他地震安全性评价单位的名义承揽地震安全性评价业务等二类行为的处罚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地震安全性评价管理条例》（2019年国务院令第709号修改）第十七条：违反本条例的规定，地震安全性评价单位有下列行为之一的，由国务院地震工作主管部门或者县级以上地方人民政府负责管理地震工作的部门或者机构依据职权，责令改正，没收违法所得，并处１万元以上５万元以下的罚款：</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（一）以其他地震安全性评价单位的名义承揽地震安全性评价业务的；</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（二）允许其他单位以本单位名义承揽地震安全性评价业务的。</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111</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对侵占、毁损、拆除或者擅自移动地震监测设施等三类行为的处罚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1.《中华人民共和国防震减灾法》第八十四条：违反本法规定，有下列行为之一的，由国务院地震工作主管部门或者县级以上地方人民政府负责管理地震工作的部门或者机构责令停止违法行为，恢复原状或者采取其他补救措施；造成损失的，依法承担赔偿责任：（一）侵占、毁损、拆除或者擅自移动地震监测设施的；（二）危害地震观测环境的；（三）破坏典型地震遗址、遗迹的。单位有前款所列违法行为，情节严重的，处二万元以上二十万元以下的罚款；个人有前款所列违法行为，情节严重的，处二千元以下的罚款。构成违反治安管理行为的，由公安机关依法给予处罚。</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地震监测管理条例》第二十六条：禁止占用、拆除、损坏下列地震监测设施：（一）地震监测仪器、设备和装置；（二）供地震监测使用的山洞、观测井（泉）；（三）地震监测台网中心、中继站、遥测点的用房；（四）地震监测标志；（五）地震监测专用无线通信频段、信道和通信设施；（六）用于地震监测的供电、供水设施。</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二十八条：除依法从事本条例第三十二条、第三十三条规定的建设活动外，禁止在已划定的地震观测环境保护范围内从事下列活动：（一）爆破、采矿、采石、钻井、抽水、注水；（二）在测震观测环境保护范围内设置无线信号发射装置、进行振动作业和往复机械运动；（三）在电磁观测环境保护范围内铺设金属管线、电力电缆线路、堆放磁性物品和设置高频电磁辐射装置；（四）在地形变观测环境保护范围内进行振动作业；（五）在地下流体观测环境保护范围内堆积和填埋垃圾、进行污水处理；（六）在观测线和观测标志周围设置障碍物或者擅自移动地震观测标志。</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三十六条：有本条例第二十六条、第二十八条所列行为之一的，由国务院地震工作主管部门或者县级以上地方人民政府负责管理地震工作的部门或者机构给予警告，责令停止违法行为，对个人可以处5000元以下的罚款，对单位处2万元以上10万元以下的罚款；构成犯罪的，依法追究刑事责任；造成损失的，依法承担赔偿责任。</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112</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对未按照要求增建抗干扰设施或者新建地震监测设施的处罚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1.《中华人民共和国防震减灾法》第八十五条：违反本法规定，未按照要求增建抗干扰设施或者新建地震监测设施的，由国务院地震工作主管部门或者县级以上地方人民政府负责管理地震工作的部门或者机构责令限期改正；逾期不改正的，处二万元以上二十万元以下的罚款；造成损失的，依法承担赔偿责任。</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2.《地震监测管理条例》 第三十七条：违反本条例的规定，建设单位从事建设活动时，未按照要求增建抗干扰设施或者新建地震监测设施，对地震监测设施或者地震观测环境造成破坏的，由国务院地震工作主管部门或者县级以上地方人民政府负责管理地震工作的部门或者机构责令改正，限期恢复原状或者采取相应的补救措施；情节严重的，依照《中华人民共和国防震减灾法》第四十三条的规定处以罚款；构成犯罪的，依法追究刑事责任；造成损失的，依法承担赔偿责任。</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390" w:type="dxa"/>
            <w:vMerge w:val="restart"/>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113</w:t>
            </w:r>
          </w:p>
        </w:tc>
        <w:tc>
          <w:tcPr>
            <w:tcW w:w="645" w:type="dxa"/>
            <w:vMerge w:val="restart"/>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Merge w:val="restart"/>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对未依法进行地震安全性评价，或者未按照地震安全性评价报告所确定的抗震设防要求进行抗震设防,逾期不改正等二类行为的处罚。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1.《中华人民共和国防震减灾法》第八十七条：未依法进行地震安全性评价，或者未按照地震安全性评价报告所确定的抗震设防要求进行抗震设防的，由国务院地震工作主管部门或者县级以上地方人民政府负责管理地震工作的部门或者机构责令限期改正；逾期不改正的，处三万元以上三十万元以下的罚款。                                                                                                                                                                       2.《安徽省防震减灾条例》第四十条第一款：违反本条例第十四条第二款规定，未依法进行地震安全性评价或者未按照地震安全性评价报告所确定的抗震设防要求进行抗震设防的，由县级以上人民政府地震工作主管部门责令限期改正；逾期不改正的，处十万元以上三十万元以下的罚款。</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Merge w:val="restart"/>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390" w:type="dxa"/>
            <w:vMerge w:val="continue"/>
            <w:vAlign w:val="center"/>
          </w:tcPr>
          <w:p>
            <w:pPr>
              <w:jc w:val="center"/>
              <w:rPr>
                <w:rFonts w:hint="default" w:eastAsiaTheme="minorEastAsia"/>
                <w:sz w:val="15"/>
                <w:szCs w:val="15"/>
                <w:vertAlign w:val="baseline"/>
                <w:lang w:val="en-US" w:eastAsia="zh-CN"/>
              </w:rPr>
            </w:pPr>
          </w:p>
        </w:tc>
        <w:tc>
          <w:tcPr>
            <w:tcW w:w="645" w:type="dxa"/>
            <w:vMerge w:val="continue"/>
            <w:vAlign w:val="center"/>
          </w:tcPr>
          <w:p>
            <w:pPr>
              <w:jc w:val="center"/>
              <w:rPr>
                <w:rFonts w:hint="default" w:eastAsiaTheme="minorEastAsia"/>
                <w:sz w:val="15"/>
                <w:szCs w:val="15"/>
                <w:vertAlign w:val="baseline"/>
                <w:lang w:val="en-US" w:eastAsia="zh-CN"/>
              </w:rPr>
            </w:pPr>
          </w:p>
        </w:tc>
        <w:tc>
          <w:tcPr>
            <w:tcW w:w="960" w:type="dxa"/>
            <w:vMerge w:val="continue"/>
            <w:vAlign w:val="center"/>
          </w:tcPr>
          <w:p>
            <w:pPr>
              <w:jc w:val="center"/>
              <w:rPr>
                <w:rFonts w:hint="default" w:eastAsiaTheme="minorEastAsia"/>
                <w:sz w:val="15"/>
                <w:szCs w:val="15"/>
                <w:vertAlign w:val="baseline"/>
                <w:lang w:val="en-US" w:eastAsia="zh-CN"/>
              </w:rPr>
            </w:pP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安徽省防震减灾条例》第四十条第二款：违反本条例第十四条第四款规定，未按照地震动参数区划图或者地震小区划图所确定的抗震设防要求进行抗震设防的，由县级以上人民政府地震工作主管部门责令限期改正；逾期不改正的，处一万元以上三万元以下的罚款。学校、幼儿园、医院、养老院、大型商场、公共娱乐场所、体育场馆等人员密集场所的建设工程，未在当地房屋建筑抗震设防要求的基础上提高一档进行抗震设防的，由县级以上人民政府地震工作部门责令限期改正；拒不改正的，对直接负责的主管人员和其他直接责任人员，依法予以处分。</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Merge w:val="continue"/>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6"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114</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对擅自使用没有国家技术标准又未经审定通过的新技术、新材料，或者将不适用于抗震设防区的新技术、新材料用于抗震设防区，或者超出经审定的抗震烈度范围的处罚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房屋建筑工程抗震设防管理规定》第二十五条：违反本规定，擅自使用没有国家技术标准又未经审定通过的新技术、新材料，或者将不适用于抗震设防区的新技术、新材料用于抗震设防区，或者超出经审定的抗震烈度范围的，由县级以上地方人民政府建设主管部门责令限期改正，并处以1万元以上3万元以下罚款。</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115</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对擅自变动或者破坏房屋建筑抗震构件、隔震装置、减震部件或者地震反应观测系统等抗震设施的处罚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房屋建筑工程抗震设防管理规定》第二十六条：违反本规定，擅自变动或者破坏房屋建筑抗震构件、隔震装置、减震部件或者地震反应观测系统等抗震设施的，由县级以上地方人民政府建设主管部门责令限期改正，并对个人处以1000元以下罚款，对单位处以1万元以上3万元以下罚款。</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116</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对未对抗震能力受损、荷载增加或者需提高抗震设防类别的房屋建筑工程，进行抗震验算、修复和加固，逾期不改的处罚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房屋建筑工程抗震设防管理规定》第二十七条：违反本规定，未对抗震能力受损、荷载增加或者需提高抗震设防类别的房屋建筑工程，进行抗震验算、修复和加固的，由县级以上地方人民政府建设主管部门责令限期改正，逾期不改的，处以1万元以下罚款。</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117</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对经鉴定需抗震加固的房屋建筑工程在进行装修改造时未进行抗震加固，逾期不改的处罚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房屋建筑工程抗震设防管理规定》第二十八条：违反本规定，经鉴定需抗震加固的房屋建筑工程在进行装修改造时未进行抗震加固的，由县级以上地方人民政府建设主管部门责令限期改正，逾期不改的，处以1万元以下罚款。</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118</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对建设单位明示或者暗示勘察、设计、施工等单位和从业人员违反抗震设防强制性标准，降低工程抗震性能等三类行为的处罚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《建设工程抗震管理条例》第四十条　违反本条例规定，建设单位明示或者暗示勘察、设计、施工等单位和从业人员违反抗震设防强制性标准，降低工程抗震性能的，责令改正，处20万元以上50万元以下的罚款；情节严重的，处50万元以上500万元以下的罚款；造成损失的，依法承担赔偿责任。违反本条例规定，建设单位未经超限高层建筑工程抗震设防审批进行施工的，责令停止施工，限期改正，处20万元以上100万元以下的罚款；造成损失的，依法承担赔偿责任。违反本条例规定，建设单位未组织勘察、设计、施工、工程监理单位建立隔震减震工程质量可追溯制度的，或者未对隔震减震装置采购、勘察、设计、进场检测、安装施工、竣工验收等全过程的信息资料进行采集和存储，并纳入建设项目档案的，责令改正，处10万元以上30万元以下的罚款；造成损失的，依法承担赔偿责任。</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119</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对未按照超限高层建筑工程抗震设防审批意见进行施工图设计等三类行为的处罚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《建设工程抗震管理条例》第四十一条　违反本条例规定，设计单位有下列行为之一的，责令改正，处10万元以上30万元以下的罚款；情节严重的，责令停业整顿，降低资质等级或者吊销资质证书；造成损失的，依法承担赔偿责任：（一）未按照超限高层建筑工程抗震设防审批意见进行施工图设计；（二）未在初步设计阶段将建设工程抗震设防专篇作为设计文件组成部分；（三）未按照抗震设防强制性标准进行设计。</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120</w:t>
            </w:r>
          </w:p>
        </w:tc>
        <w:tc>
          <w:tcPr>
            <w:tcW w:w="645" w:type="dxa"/>
            <w:vAlign w:val="center"/>
          </w:tcPr>
          <w:p>
            <w:pPr>
              <w:keepNext w:val="0"/>
              <w:keepLines w:val="0"/>
              <w:widowControl/>
              <w:suppressLineNumbers w:val="0"/>
              <w:jc w:val="both"/>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both"/>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对施工单位在施工中未按照抗震设防强制性标准进行施工的处罚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《建设工程抗震管理条例》第四十二条　违反本条例规定，施工单位在施工中未按照抗震设防强制性标准进行施工的，责令改正，处工程合同价款2%以上4%以下的罚款；造成建设工程不符合抗震设防强制性标准的，负责返工、加固，并赔偿因此造成的损失；情节严重的，责令停业整顿，降低资质等级或者吊销资质证书。</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3"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121</w:t>
            </w:r>
          </w:p>
        </w:tc>
        <w:tc>
          <w:tcPr>
            <w:tcW w:w="645" w:type="dxa"/>
            <w:vAlign w:val="center"/>
          </w:tcPr>
          <w:p>
            <w:pPr>
              <w:keepNext w:val="0"/>
              <w:keepLines w:val="0"/>
              <w:widowControl/>
              <w:suppressLineNumbers w:val="0"/>
              <w:jc w:val="both"/>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both"/>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对施工单位未对隔震减震装置取样送检或者使用不合格隔震减震装置的处罚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《建设工程抗震管理条例》第四十三条　违反本条例规定，施工单位未对隔震减震装置取样送检或者使用不合格隔震减震装置的，责令改正，处10万元以上20万元以下的罚款；情节严重的，责令停业整顿，并处20万元以上50万元以下的罚款，降低资质等级或者吊销资质证书；造成损失的，依法承担赔偿责任。</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122</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对工程质量检测机构未建立建设工程过程数据和结果数据、检测影像资料及检测报告记录与留存制度等两类行为的处罚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《建设工程抗震管理条例》第四十四条　违反本条例规定，工程质量检测机构未建立建设工程过程数据和结果数据、检测影像资料及检测报告记录与留存制度的，责令改正，处10万元以上30万元以下的罚款；情节严重的，吊销资质证书；造成损失的，依法承担赔偿责任。违反本条例规定，工程质量检测机构出具虚假的检测数据或者检测报告的，责令改正，处10万元以上30万元以下的罚款；情节严重的，吊销资质证书和负有直接责任的注册执业人员的执业资格证书，其直接负责的主管人员和其他直接责任人员终身禁止从事工程质量检测业务；造成损失的，依法承担赔偿责任。</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123</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对抗震性能鉴定机构未按照抗震设防强制性标准进行抗震性能鉴定等两类行为的处罚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《建设工程抗震管理条例》第四十五条　违反本条例规定，抗震性能鉴定机构未按照抗震设防强制性标准进行抗震性能鉴定的，责令改正，处10万元以上30万元以下的罚款；情节严重的，责令停业整顿，并处30万元以上50万元以下的罚款；造成损失的，依法承担赔偿责任。违反本条例规定，抗震性能鉴定机构出具虚假鉴定结果的，责令改正，处10万元以上30万元以下的罚款；情节严重的，责令停业整顿，并处30万元以上50万元以下的罚款，吊销负有直接责任的注册执业人员的执业资格证书，其直接负责的主管人员和其他直接责任人员终身禁止从事抗震性能鉴定业务；造成损失的，依法承担赔偿责任。</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124</w:t>
            </w:r>
          </w:p>
        </w:tc>
        <w:tc>
          <w:tcPr>
            <w:tcW w:w="645" w:type="dxa"/>
            <w:vAlign w:val="center"/>
          </w:tcPr>
          <w:p>
            <w:pPr>
              <w:keepNext w:val="0"/>
              <w:keepLines w:val="0"/>
              <w:widowControl/>
              <w:suppressLineNumbers w:val="0"/>
              <w:jc w:val="both"/>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both"/>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对擅自变动、损坏或者拆除建设工程抗震构件、隔震沟、隔震缝、隔震减震装置及隔震标识的处罚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《建设工程抗震管理条例》第四十六条　违反本条例规定，擅自变动、损坏或者拆除建设工程抗震构件、隔震沟、隔震缝、隔震减震装置及隔震标识的，责令停止违法行为，恢复原状或者采取其他补救措施，对个人处5万元以上10万元以下的罚款，对单位处10万元以上30万元以下的罚款；造成损失的，依法承担赔偿责任。</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125</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对非煤矿山企业超出设计文件确定的生产能力、生产强度和生产定员组织生产的处罚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安徽省非煤矿山管理条例》第四十条：违反本条例第十八条规定，非煤矿山企业超出设计文件确定的生产能力、生产强度和生产定员组织生产的，由县级以上人民政府非煤矿山行业主管部门责令停产整顿，没收违法所得，并处以违法所得百分之五十以下罚款。</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126</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对擅自开采保安矿柱、岩柱等四类行为的处罚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安徽省非煤矿山管理条例》第十九条：（二）擅自开采保安矿柱、岩柱的；（三）采用可能危及及相邻矿山安全生产的决水、爆破、贯通巷道等危险作业方法的；（四）采掘生产图纸造假、图实不符的；（五）存在重大安全生产隐患未整改到位仍进行生产的。</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第四十一条：违反本条例第十九条第二项、第三项、第四项、第五项规定的，由县级以上人民政府非煤矿山行业主管部门责令改正；拒不改正的，责令停产停业整顿；构成犯罪的，依法追究刑事责任。</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39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127</w:t>
            </w:r>
          </w:p>
        </w:tc>
        <w:tc>
          <w:tcPr>
            <w:tcW w:w="645"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行政处罚</w:t>
            </w:r>
          </w:p>
        </w:tc>
        <w:tc>
          <w:tcPr>
            <w:tcW w:w="960" w:type="dxa"/>
            <w:vAlign w:val="center"/>
          </w:tcPr>
          <w:p>
            <w:pPr>
              <w:keepNext w:val="0"/>
              <w:keepLines w:val="0"/>
              <w:widowControl/>
              <w:suppressLineNumbers w:val="0"/>
              <w:jc w:val="center"/>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对非煤矿山企业未采取收尘、防尘措施的处罚</w:t>
            </w:r>
          </w:p>
        </w:tc>
        <w:tc>
          <w:tcPr>
            <w:tcW w:w="3900" w:type="dxa"/>
            <w:vAlign w:val="center"/>
          </w:tcPr>
          <w:p>
            <w:pPr>
              <w:keepNext w:val="0"/>
              <w:keepLines w:val="0"/>
              <w:widowControl/>
              <w:suppressLineNumbers w:val="0"/>
              <w:jc w:val="left"/>
              <w:textAlignment w:val="center"/>
              <w:rPr>
                <w:rFonts w:hint="default" w:eastAsiaTheme="minorEastAsia"/>
                <w:sz w:val="15"/>
                <w:szCs w:val="15"/>
                <w:vertAlign w:val="baseline"/>
                <w:lang w:val="en-US" w:eastAsia="zh-CN"/>
              </w:rPr>
            </w:pPr>
            <w:r>
              <w:rPr>
                <w:rFonts w:hint="eastAsia" w:ascii="宋体" w:hAnsi="宋体" w:eastAsia="宋体" w:cs="宋体"/>
                <w:i w:val="0"/>
                <w:iCs w:val="0"/>
                <w:color w:val="000000"/>
                <w:kern w:val="0"/>
                <w:sz w:val="15"/>
                <w:szCs w:val="15"/>
                <w:u w:val="none"/>
                <w:lang w:val="en-US" w:eastAsia="zh-CN" w:bidi="ar"/>
              </w:rPr>
              <w:t>《安徽省非煤矿山管理条例》第四十二条：违反本条例第二十八条规定，非煤矿山企业未采取收尘、防尘措施的，由县级以上人民政府非煤矿山行业主管部门责令限期改正，处以二万元以上十万元以下罚款；逾期未改正或者经改正仍达不到要求的，责令停产整顿。</w:t>
            </w:r>
          </w:p>
        </w:tc>
        <w:tc>
          <w:tcPr>
            <w:tcW w:w="39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1、立案责任：在检查中或者事故调查过程中发现、或者接到举报、或者下级安全监管部门移交的，生产、经营、使用国家禁止生产、经营、使用的危险化学品及违反国家关于危险化学品使用的限制性规定使用危险化学品的处罚。予以审查，决定是否立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2、调查责任：对已经立案的案件，进行调查时，执法人员不得少于两人，与当事人有直接利害关系的应当回避。调查时应出示执法证件，收集相关证据，允许当事人辩解陈述，执法人员应保守有关秘密。</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审查责任：对案件违法事实、证据、调查取证程序、法律适用、处罚种类和幅度、当事人陈述和申辩理由等方面进行审查，提出处理意见，拟作出《安全生产违法行为行政处罚办法》第二十八条规定的处罚，由安监部门负责人集体讨论决定。</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4、告知责任：在做出行政处罚决定前，制作《行政处罚告知书》和《听证告知书》，通知当事人，当事人享有的陈述、申辩、要求听证的权利。</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决定责任：根据审理情况决定是否予以行政处罚。依法需要给予行政处罚的，制作《行政处罚决定书》，载明违法事实和证据、处罚依据和内容、缴纳罚款的银行、申请行政复议或提起行政诉讼的途径和期限等内容。</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6、送达责任：《行政处罚决定书》按照法定的方式和期限送达当事人。</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7、执行责任：监督当事人在决定的期限内，履行生效的行政处罚决定。当事人在法定期限内不申请行政复议或者提起行政诉讼，又不履行的，发出催缴通知，加收罚款滞纳金，再不履行的向人民法院申请强制执行。作出10万元以上罚款、没收违法所得10万元以上、责令停产停业的行政处罚的，自作出行政处罚决定之日起10日内报国家安全生产监督管理总局备案。</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10、其他法律法规规章文件规定应履行的责任。</w:t>
            </w:r>
          </w:p>
        </w:tc>
        <w:tc>
          <w:tcPr>
            <w:tcW w:w="268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aps w:val="0"/>
                <w:color w:val="000000"/>
                <w:spacing w:val="0"/>
                <w:sz w:val="15"/>
                <w:szCs w:val="15"/>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1、没有法律和事实依据实施行政处罚的；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2、因处罚不当给当事人造成损失的；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3、执法人员玩忽职守，对应当予以制止和处罚的违法行为不予制止、处罚，致使公民、法人或者其他组织的合法权益、公共利益和社会秩序遭受损害的；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4、不具备行政执法资格实施行政处罚的；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5、违反“罚缴分离”规定，擅自收取罚款的；   6、擅自改变行政处罚种类、幅度的；            7、违反法定的行政处罚程序的；符合听证条件、行政管理相对人要求听证，应予组织听证而不组织听证的；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8、在项目审查审批过程中发生腐败行为的；</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i w:val="0"/>
                <w:iCs w:val="0"/>
                <w:caps w:val="0"/>
                <w:color w:val="000000"/>
                <w:spacing w:val="0"/>
                <w:sz w:val="15"/>
                <w:szCs w:val="15"/>
                <w:shd w:val="clear" w:fill="FFFFFF"/>
              </w:rPr>
              <w:t>9、其他违反法律法规文件规定的行为。</w:t>
            </w:r>
          </w:p>
        </w:tc>
        <w:tc>
          <w:tcPr>
            <w:tcW w:w="690" w:type="dxa"/>
            <w:vAlign w:val="center"/>
          </w:tcPr>
          <w:p>
            <w:pPr>
              <w:jc w:val="center"/>
              <w:rPr>
                <w:sz w:val="15"/>
                <w:szCs w:val="15"/>
              </w:rPr>
            </w:pPr>
          </w:p>
        </w:tc>
      </w:tr>
    </w:tbl>
    <w:p>
      <w:pPr>
        <w:rPr>
          <w:rFonts w:hint="default" w:eastAsia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jZTIxZjdjNDQ1YWVlOTExYTRkOTA3ZDMxNWZkN2IifQ=="/>
  </w:docVars>
  <w:rsids>
    <w:rsidRoot w:val="124635A5"/>
    <w:rsid w:val="09C47CD0"/>
    <w:rsid w:val="124635A5"/>
    <w:rsid w:val="1A393D63"/>
    <w:rsid w:val="376161AB"/>
    <w:rsid w:val="524F0574"/>
    <w:rsid w:val="71FB7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2"/>
    <w:basedOn w:val="4"/>
    <w:uiPriority w:val="0"/>
    <w:rPr>
      <w:rFonts w:hint="eastAsia" w:ascii="宋体" w:hAnsi="宋体" w:eastAsia="宋体" w:cs="宋体"/>
      <w:color w:val="000000"/>
      <w:sz w:val="20"/>
      <w:szCs w:val="20"/>
      <w:u w:val="none"/>
    </w:rPr>
  </w:style>
  <w:style w:type="character" w:customStyle="1" w:styleId="6">
    <w:name w:val="font41"/>
    <w:basedOn w:val="4"/>
    <w:uiPriority w:val="0"/>
    <w:rPr>
      <w:rFonts w:hint="eastAsia" w:ascii="宋体" w:hAnsi="宋体" w:eastAsia="宋体" w:cs="宋体"/>
      <w:color w:val="000000"/>
      <w:sz w:val="20"/>
      <w:szCs w:val="20"/>
      <w:u w:val="none"/>
    </w:rPr>
  </w:style>
  <w:style w:type="character" w:customStyle="1" w:styleId="7">
    <w:name w:val="font11"/>
    <w:basedOn w:val="4"/>
    <w:autoRedefine/>
    <w:qFormat/>
    <w:uiPriority w:val="0"/>
    <w:rPr>
      <w:rFonts w:hint="eastAsia" w:ascii="宋体" w:hAnsi="宋体" w:eastAsia="宋体" w:cs="宋体"/>
      <w:color w:val="000000"/>
      <w:sz w:val="20"/>
      <w:szCs w:val="20"/>
      <w:u w:val="none"/>
    </w:rPr>
  </w:style>
  <w:style w:type="character" w:customStyle="1" w:styleId="8">
    <w:name w:val="font51"/>
    <w:basedOn w:val="4"/>
    <w:autoRedefine/>
    <w:qFormat/>
    <w:uiPriority w:val="0"/>
    <w:rPr>
      <w:rFonts w:hint="eastAsia" w:ascii="宋体" w:hAnsi="宋体" w:eastAsia="宋体" w:cs="宋体"/>
      <w:color w:val="000000"/>
      <w:sz w:val="20"/>
      <w:szCs w:val="20"/>
      <w:u w:val="none"/>
    </w:rPr>
  </w:style>
  <w:style w:type="character" w:customStyle="1" w:styleId="9">
    <w:name w:val="font21"/>
    <w:basedOn w:val="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2024-01-09T01:37:00Z</dcterms:created>
  <dc:creator>Administrator</dc:creator>
  <cp:lastModifiedBy>Administrator</cp:lastModifiedBy>
  <dcterms:modified xsi:type="dcterms:W3CDTF">2024-01-09T08:34:59Z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F3A9DE025F77454CB70CEAAAFDB28757_13</vt:lpwstr>
  </property>
</Properties>
</file>