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3"/>
          <w:kern w:val="0"/>
          <w:sz w:val="44"/>
          <w:szCs w:val="44"/>
          <w:shd w:val="clear" w:color="auto" w:fill="FFFFFF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3"/>
          <w:kern w:val="0"/>
          <w:sz w:val="44"/>
          <w:szCs w:val="44"/>
          <w:shd w:val="clear" w:color="auto" w:fill="FFFFFF"/>
          <w:lang w:val="en-US" w:eastAsia="zh-CN" w:bidi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3"/>
          <w:kern w:val="0"/>
          <w:sz w:val="44"/>
          <w:szCs w:val="44"/>
          <w:shd w:val="clear" w:color="auto" w:fill="FFFFFF"/>
          <w:lang w:val="en-US" w:eastAsia="zh-CN" w:bidi="zh-CN"/>
          <w14:textFill>
            <w14:solidFill>
              <w14:schemeClr w14:val="tx1"/>
            </w14:solidFill>
          </w14:textFill>
        </w:rPr>
        <w:t>2024年“三公”经费支出预算情况说明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烈山区市场监督管理局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年“三公”经费支出预算为13.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52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年预算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减少0.08万元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。其中：因公出国（境）费支出预算为0万元，公务接待费支出预算为1.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52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万元，公务用车购置及运行费支出预算为12万元。具体情况如下：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（一）因公出国（境）费支出0万元, 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年预算比无变化。该项经费预算根据市外事办批准的因公临时出国（境）计划，按照规定标准安排；经费使用严格执行《淮北市财政局 淮北市外事办公室关于转发&lt;安徽省省直党政机关因公临时出国经费管理办法&gt;》的通知（财行〔2014〕327号）等相关规定。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（二）公务接待费支出1.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52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年预算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。该项经费主要用于行政执法人员加班、节假日值班及上级来人检查、督导、交流学习。经费使用严格执行《关于进一步加强公务接待费管理的通知》（财行〔2018〕288号）等相关规定。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（三）公务用车购置及运行费支出12万元，与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年预算无变化。其中：公务用车运行费12万元，与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年预算无变化；该项经费主要用于日常执法巡查、督察、执行区级及上级执法。公务用车购置费0万元，与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年预算无变化。（公车保有量6）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OTQ1ODE1YWU0YTVlMjIwOGIzNWE5YjJhODFlNzkifQ=="/>
  </w:docVars>
  <w:rsids>
    <w:rsidRoot w:val="648E7197"/>
    <w:rsid w:val="5B9621EF"/>
    <w:rsid w:val="648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eastAsia="仿宋_GB2312"/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530</Words>
  <Characters>588</Characters>
  <Lines>0</Lines>
  <Paragraphs>0</Paragraphs>
  <TotalTime>6</TotalTime>
  <ScaleCrop>false</ScaleCrop>
  <LinksUpToDate>false</LinksUpToDate>
  <CharactersWithSpaces>619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2023-03-20T09:16:00Z</dcterms:created>
  <dc:creator>Leo°</dc:creator>
  <cp:lastModifiedBy>Anita</cp:lastModifiedBy>
  <dcterms:modified xsi:type="dcterms:W3CDTF">2024-01-24T09:01:56Z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936746B1FBC24D00ABD73FDE28A6709F_13</vt:lpwstr>
  </property>
</Properties>
</file>