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40" w:lineRule="exact"/>
        <w:jc w:val="center"/>
        <w:rPr>
          <w:rFonts w:eastAsia="仿宋_GB2312"/>
          <w:bCs/>
          <w:sz w:val="44"/>
        </w:rPr>
      </w:pPr>
      <w:r>
        <w:rPr>
          <w:rFonts w:hint="eastAsia" w:eastAsia="方正小标宋简体"/>
          <w:bCs/>
          <w:sz w:val="44"/>
          <w:lang w:eastAsia="zh-CN"/>
        </w:rPr>
        <w:t>淮北市烈山区</w:t>
      </w:r>
      <w:bookmarkStart w:id="0" w:name="_GoBack"/>
      <w:bookmarkEnd w:id="0"/>
      <w:r>
        <w:rPr>
          <w:rFonts w:hint="eastAsia" w:eastAsia="方正小标宋简体"/>
          <w:bCs/>
          <w:sz w:val="44"/>
        </w:rPr>
        <w:t>孤儿基本生活保障实施办法</w:t>
      </w:r>
      <w:r>
        <w:rPr>
          <w:rFonts w:eastAsia="方正小标宋简体"/>
          <w:bCs/>
          <w:sz w:val="44"/>
        </w:rPr>
        <w:t xml:space="preserve"> </w:t>
      </w:r>
    </w:p>
    <w:p>
      <w:pPr>
        <w:autoSpaceDN w:val="0"/>
        <w:spacing w:line="540" w:lineRule="exact"/>
        <w:jc w:val="center"/>
        <w:rPr>
          <w:rFonts w:eastAsia="楷体_GB2312"/>
          <w:bCs/>
          <w:sz w:val="32"/>
        </w:rPr>
      </w:pPr>
      <w:r>
        <w:rPr>
          <w:rFonts w:eastAsia="方正小标宋简体"/>
          <w:bCs/>
          <w:sz w:val="44"/>
        </w:rPr>
        <w:t xml:space="preserve">  </w:t>
      </w:r>
    </w:p>
    <w:p>
      <w:pPr>
        <w:pStyle w:val="4"/>
        <w:widowControl w:val="0"/>
        <w:shd w:val="clear" w:color="auto" w:fill="FFFFFF"/>
        <w:spacing w:before="0" w:beforeAutospacing="0" w:after="0" w:afterAutospacing="0" w:line="54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sz w:val="32"/>
        </w:rPr>
        <w:t>根据</w:t>
      </w:r>
      <w:r>
        <w:rPr>
          <w:rFonts w:hint="eastAsia" w:ascii="Times New Roman" w:hAnsi="Times New Roman" w:eastAsia="仿宋_GB2312" w:cs="Times New Roman"/>
          <w:sz w:val="32"/>
          <w:szCs w:val="32"/>
        </w:rPr>
        <w:t>《安徽省人民政府关于</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年实施</w:t>
      </w:r>
      <w:r>
        <w:rPr>
          <w:rFonts w:ascii="Times New Roman" w:hAnsi="Times New Roman" w:eastAsia="仿宋_GB2312" w:cs="Times New Roman"/>
          <w:sz w:val="32"/>
          <w:szCs w:val="32"/>
        </w:rPr>
        <w:t>33</w:t>
      </w:r>
      <w:r>
        <w:rPr>
          <w:rFonts w:hint="eastAsia" w:ascii="Times New Roman" w:hAnsi="Times New Roman" w:eastAsia="仿宋_GB2312" w:cs="Times New Roman"/>
          <w:sz w:val="32"/>
          <w:szCs w:val="32"/>
        </w:rPr>
        <w:t>项民生工程的通知》（皖政〔</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17</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《民政部</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最高人民法院</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公安部等</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部委关于进一步加强事实无人抚养儿童保障工作的意见》（民发〔</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62</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、《淮北市人民政府关于</w:t>
      </w:r>
      <w:r>
        <w:rPr>
          <w:rFonts w:hint="eastAsia" w:ascii="Times New Roman" w:hAnsi="Times New Roman" w:eastAsia="仿宋_GB2312" w:cs="Times New Roman"/>
          <w:sz w:val="32"/>
          <w:szCs w:val="32"/>
          <w:lang w:val="en-US" w:eastAsia="zh-CN"/>
        </w:rPr>
        <w:t>2020年实施33项民生工程的通知</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color w:val="000000"/>
          <w:sz w:val="32"/>
          <w:szCs w:val="32"/>
        </w:rPr>
        <w:t>（</w:t>
      </w:r>
      <w:r>
        <w:rPr>
          <w:rFonts w:hint="eastAsia" w:ascii="Times New Roman" w:hAnsi="仿宋_GB2312" w:eastAsia="仿宋_GB2312" w:cs="Times New Roman"/>
          <w:color w:val="000000"/>
          <w:sz w:val="32"/>
          <w:szCs w:val="32"/>
          <w:lang w:eastAsia="zh-CN"/>
        </w:rPr>
        <w:t>淮</w:t>
      </w:r>
      <w:r>
        <w:rPr>
          <w:rFonts w:ascii="Times New Roman" w:hAnsi="仿宋_GB2312" w:eastAsia="仿宋_GB2312" w:cs="Times New Roman"/>
          <w:color w:val="000000"/>
          <w:sz w:val="32"/>
          <w:szCs w:val="32"/>
        </w:rPr>
        <w:t>政〔</w:t>
      </w:r>
      <w:r>
        <w:rPr>
          <w:rFonts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lang w:val="en-US" w:eastAsia="zh-CN"/>
        </w:rPr>
        <w:t>20</w:t>
      </w:r>
      <w:r>
        <w:rPr>
          <w:rFonts w:ascii="Times New Roman" w:hAnsi="仿宋_GB2312" w:eastAsia="仿宋_GB2312" w:cs="Times New Roman"/>
          <w:color w:val="000000"/>
          <w:sz w:val="32"/>
          <w:szCs w:val="32"/>
        </w:rPr>
        <w:t>〕</w:t>
      </w:r>
      <w:r>
        <w:rPr>
          <w:rFonts w:hint="eastAsia" w:ascii="Times New Roman" w:hAnsi="仿宋_GB2312" w:eastAsia="仿宋_GB2312" w:cs="Times New Roman"/>
          <w:color w:val="000000"/>
          <w:sz w:val="32"/>
          <w:szCs w:val="32"/>
          <w:lang w:val="en-US" w:eastAsia="zh-CN"/>
        </w:rPr>
        <w:t>8</w:t>
      </w:r>
      <w:r>
        <w:rPr>
          <w:rFonts w:ascii="Times New Roman" w:hAnsi="仿宋_GB2312" w:eastAsia="仿宋_GB2312" w:cs="Times New Roman"/>
          <w:color w:val="000000"/>
          <w:sz w:val="32"/>
          <w:szCs w:val="32"/>
        </w:rPr>
        <w:t>号）</w:t>
      </w:r>
      <w:r>
        <w:rPr>
          <w:rFonts w:hint="eastAsia" w:ascii="Times New Roman" w:hAnsi="Times New Roman" w:eastAsia="仿宋_GB2312" w:cs="Times New Roman"/>
          <w:sz w:val="32"/>
        </w:rPr>
        <w:t>，</w:t>
      </w:r>
      <w:r>
        <w:rPr>
          <w:rFonts w:hint="eastAsia" w:ascii="Times New Roman" w:hAnsi="Times New Roman" w:eastAsia="仿宋_GB2312" w:cs="Times New Roman"/>
          <w:color w:val="000000"/>
          <w:sz w:val="32"/>
          <w:szCs w:val="32"/>
        </w:rPr>
        <w:t>进一步完善我</w:t>
      </w:r>
      <w:r>
        <w:rPr>
          <w:rFonts w:hint="eastAsia" w:ascii="Times New Roman" w:hAnsi="Times New Roman" w:eastAsia="仿宋_GB2312" w:cs="Times New Roman"/>
          <w:color w:val="000000"/>
          <w:sz w:val="32"/>
          <w:szCs w:val="32"/>
          <w:lang w:eastAsia="zh-CN"/>
        </w:rPr>
        <w:t>区</w:t>
      </w:r>
      <w:r>
        <w:rPr>
          <w:rFonts w:hint="eastAsia" w:ascii="Times New Roman" w:hAnsi="Times New Roman" w:eastAsia="仿宋_GB2312" w:cs="Times New Roman"/>
          <w:color w:val="000000"/>
          <w:sz w:val="32"/>
          <w:szCs w:val="32"/>
        </w:rPr>
        <w:t>孤儿、事实无人抚养儿童基本生活保障制度，维护其合法权益，制定本办法。</w:t>
      </w:r>
    </w:p>
    <w:p>
      <w:pPr>
        <w:pStyle w:val="4"/>
        <w:widowControl w:val="0"/>
        <w:shd w:val="clear" w:color="auto" w:fill="FFFFFF"/>
        <w:spacing w:before="0" w:beforeAutospacing="0" w:after="0" w:afterAutospacing="0" w:line="540" w:lineRule="exact"/>
        <w:ind w:firstLine="643" w:firstLineChars="200"/>
        <w:rPr>
          <w:rFonts w:ascii="Times New Roman" w:hAnsi="Times New Roman" w:eastAsia="仿宋_GB2312" w:cs="Times New Roman"/>
          <w:sz w:val="32"/>
        </w:rPr>
      </w:pPr>
      <w:r>
        <w:rPr>
          <w:rFonts w:ascii="Times New Roman" w:hAnsi="Times New Roman" w:eastAsia="仿宋_GB2312" w:cs="Times New Roman"/>
          <w:b/>
          <w:sz w:val="32"/>
        </w:rPr>
        <w:t xml:space="preserve"> </w:t>
      </w:r>
      <w:r>
        <w:rPr>
          <w:rFonts w:hint="eastAsia" w:ascii="Times New Roman" w:hAnsi="Times New Roman" w:eastAsia="黑体" w:cs="Times New Roman"/>
          <w:bCs/>
          <w:sz w:val="32"/>
        </w:rPr>
        <w:t>一、指导思想</w:t>
      </w:r>
    </w:p>
    <w:p>
      <w:pPr>
        <w:autoSpaceDN w:val="0"/>
        <w:spacing w:line="540" w:lineRule="exact"/>
        <w:ind w:firstLine="480"/>
        <w:rPr>
          <w:rFonts w:eastAsia="仿宋_GB2312"/>
          <w:sz w:val="32"/>
        </w:rPr>
      </w:pPr>
      <w:r>
        <w:rPr>
          <w:rFonts w:eastAsia="仿宋_GB2312"/>
          <w:sz w:val="32"/>
        </w:rPr>
        <w:t xml:space="preserve"> </w:t>
      </w:r>
      <w:r>
        <w:rPr>
          <w:rFonts w:hint="eastAsia" w:eastAsia="仿宋_GB2312"/>
          <w:sz w:val="32"/>
        </w:rPr>
        <w:t>以习近平新时代中国特色社会主义思想为指导，</w:t>
      </w:r>
      <w:r>
        <w:rPr>
          <w:rFonts w:hint="eastAsia" w:eastAsia="仿宋_GB2312"/>
          <w:sz w:val="32"/>
          <w:lang w:eastAsia="zh-CN"/>
        </w:rPr>
        <w:t>全面贯彻落实党的十九大和十九届二中、三中、四中全会精神，</w:t>
      </w:r>
      <w:r>
        <w:rPr>
          <w:rFonts w:hint="eastAsia" w:eastAsia="仿宋_GB2312"/>
          <w:sz w:val="32"/>
        </w:rPr>
        <w:t>树立</w:t>
      </w:r>
      <w:r>
        <w:rPr>
          <w:rFonts w:eastAsia="仿宋_GB2312"/>
          <w:sz w:val="32"/>
        </w:rPr>
        <w:t>“</w:t>
      </w:r>
      <w:r>
        <w:rPr>
          <w:rFonts w:hint="eastAsia" w:eastAsia="仿宋_GB2312"/>
          <w:sz w:val="32"/>
        </w:rPr>
        <w:t>民政为民、民政爱民</w:t>
      </w:r>
      <w:r>
        <w:rPr>
          <w:rFonts w:eastAsia="仿宋_GB2312"/>
          <w:sz w:val="32"/>
        </w:rPr>
        <w:t>”</w:t>
      </w:r>
      <w:r>
        <w:rPr>
          <w:rFonts w:hint="eastAsia" w:eastAsia="仿宋_GB2312"/>
          <w:sz w:val="32"/>
        </w:rPr>
        <w:t>理念，坚持</w:t>
      </w:r>
      <w:r>
        <w:rPr>
          <w:rFonts w:eastAsia="仿宋_GB2312"/>
          <w:sz w:val="32"/>
        </w:rPr>
        <w:t>“</w:t>
      </w:r>
      <w:r>
        <w:rPr>
          <w:rFonts w:hint="eastAsia" w:eastAsia="仿宋_GB2312"/>
          <w:sz w:val="32"/>
        </w:rPr>
        <w:t>儿童优先</w:t>
      </w:r>
      <w:r>
        <w:rPr>
          <w:rFonts w:eastAsia="仿宋_GB2312"/>
          <w:sz w:val="32"/>
        </w:rPr>
        <w:t>”</w:t>
      </w:r>
      <w:r>
        <w:rPr>
          <w:rFonts w:hint="eastAsia" w:eastAsia="仿宋_GB2312"/>
          <w:sz w:val="32"/>
        </w:rPr>
        <w:t>、</w:t>
      </w:r>
      <w:r>
        <w:rPr>
          <w:rFonts w:eastAsia="仿宋_GB2312"/>
          <w:sz w:val="32"/>
        </w:rPr>
        <w:t>“</w:t>
      </w:r>
      <w:r>
        <w:rPr>
          <w:rFonts w:hint="eastAsia" w:eastAsia="仿宋_GB2312"/>
          <w:sz w:val="32"/>
        </w:rPr>
        <w:t>儿童利益最大化</w:t>
      </w:r>
      <w:r>
        <w:rPr>
          <w:rFonts w:eastAsia="仿宋_GB2312"/>
          <w:sz w:val="32"/>
        </w:rPr>
        <w:t>”</w:t>
      </w:r>
      <w:r>
        <w:rPr>
          <w:rFonts w:hint="eastAsia" w:eastAsia="仿宋_GB2312"/>
          <w:sz w:val="32"/>
        </w:rPr>
        <w:t>原则，对孤儿、事实无人抚养儿童，采取政府补助的方式增强儿童家庭养育能力，最大限度维系儿童原有家庭环境，保障其生存、保护和发展权益。</w:t>
      </w:r>
    </w:p>
    <w:p>
      <w:pPr>
        <w:autoSpaceDN w:val="0"/>
        <w:spacing w:line="540" w:lineRule="exact"/>
        <w:ind w:firstLine="480"/>
        <w:rPr>
          <w:rFonts w:eastAsia="黑体"/>
          <w:bCs/>
          <w:sz w:val="32"/>
        </w:rPr>
      </w:pPr>
      <w:r>
        <w:rPr>
          <w:rFonts w:eastAsia="黑体"/>
          <w:bCs/>
          <w:sz w:val="32"/>
        </w:rPr>
        <w:t xml:space="preserve"> </w:t>
      </w:r>
      <w:r>
        <w:rPr>
          <w:rFonts w:hint="eastAsia" w:eastAsia="黑体"/>
          <w:bCs/>
          <w:sz w:val="32"/>
        </w:rPr>
        <w:t>二、保障对象</w:t>
      </w:r>
    </w:p>
    <w:p>
      <w:pPr>
        <w:autoSpaceDN w:val="0"/>
        <w:spacing w:line="540" w:lineRule="exact"/>
        <w:ind w:firstLine="480"/>
        <w:rPr>
          <w:rFonts w:eastAsia="仿宋_GB2312"/>
          <w:sz w:val="32"/>
        </w:rPr>
      </w:pPr>
      <w:r>
        <w:rPr>
          <w:rFonts w:eastAsia="仿宋_GB2312"/>
          <w:sz w:val="32"/>
        </w:rPr>
        <w:t xml:space="preserve"> </w:t>
      </w:r>
      <w:r>
        <w:rPr>
          <w:rFonts w:hint="eastAsia" w:eastAsia="仿宋_GB2312"/>
          <w:sz w:val="32"/>
        </w:rPr>
        <w:t>（一）孤儿，指失去父母、查找不到生父母且未被依法收养的未满</w:t>
      </w:r>
      <w:r>
        <w:rPr>
          <w:rFonts w:eastAsia="仿宋_GB2312"/>
          <w:sz w:val="32"/>
        </w:rPr>
        <w:t>18</w:t>
      </w:r>
      <w:r>
        <w:rPr>
          <w:rFonts w:hint="eastAsia" w:eastAsia="仿宋_GB2312"/>
          <w:sz w:val="32"/>
        </w:rPr>
        <w:t>周岁的未成年人。包括：机构集中养育（含家庭寄养）、社会散居孤儿（含亲属抚养、独立生活等）。年满</w:t>
      </w:r>
      <w:r>
        <w:rPr>
          <w:rFonts w:eastAsia="仿宋_GB2312"/>
          <w:sz w:val="32"/>
        </w:rPr>
        <w:t>18</w:t>
      </w:r>
      <w:r>
        <w:rPr>
          <w:rFonts w:hint="eastAsia" w:eastAsia="仿宋_GB2312"/>
          <w:sz w:val="32"/>
        </w:rPr>
        <w:t>周岁，但仍在普通高中、中等职业学校、高等职业学校、全日制普通高校就读或正在服义务兵役的孤儿可继续享受孤儿基本生活保障。</w:t>
      </w:r>
    </w:p>
    <w:p>
      <w:pPr>
        <w:autoSpaceDN w:val="0"/>
        <w:spacing w:line="540" w:lineRule="exact"/>
        <w:rPr>
          <w:rFonts w:eastAsia="仿宋_GB2312"/>
          <w:sz w:val="32"/>
        </w:rPr>
      </w:pPr>
      <w:r>
        <w:rPr>
          <w:rFonts w:eastAsia="仿宋_GB2312"/>
          <w:sz w:val="32"/>
        </w:rPr>
        <w:t xml:space="preserve">   </w:t>
      </w:r>
      <w:r>
        <w:rPr>
          <w:rFonts w:hint="eastAsia" w:eastAsia="仿宋_GB2312"/>
          <w:sz w:val="32"/>
        </w:rPr>
        <w:t>（二）事实无人抚养儿童，指父母因重大困难无法履行抚养和监护责任的儿童。包括：父母双方均符合重残、重病、服刑在押、强制隔离戒毒、被执行其他限制人身自由的措施、失联、患有精神性疾病及完全丧失劳动能力情形之一的儿童；或者父母一方死亡、失踪或失联，另一方符合重残、重病、服刑在押、强制隔离戒毒、被执行其他限制人身自由的措施、失联、患有精神性疾病及完全丧失劳动能力的家庭中，未满</w:t>
      </w:r>
      <w:r>
        <w:rPr>
          <w:rFonts w:eastAsia="仿宋_GB2312"/>
          <w:sz w:val="32"/>
        </w:rPr>
        <w:t>18</w:t>
      </w:r>
      <w:r>
        <w:rPr>
          <w:rFonts w:hint="eastAsia" w:eastAsia="仿宋_GB2312"/>
          <w:sz w:val="32"/>
        </w:rPr>
        <w:t>周岁的未成年人；未满</w:t>
      </w:r>
      <w:r>
        <w:rPr>
          <w:rFonts w:eastAsia="仿宋_GB2312"/>
          <w:sz w:val="32"/>
        </w:rPr>
        <w:t>18</w:t>
      </w:r>
      <w:r>
        <w:rPr>
          <w:rFonts w:hint="eastAsia" w:eastAsia="仿宋_GB2312"/>
          <w:sz w:val="32"/>
        </w:rPr>
        <w:t>周岁的感染艾滋病病毒的未成年人。</w:t>
      </w:r>
    </w:p>
    <w:p>
      <w:pPr>
        <w:autoSpaceDN w:val="0"/>
        <w:spacing w:line="540" w:lineRule="exact"/>
        <w:rPr>
          <w:rFonts w:eastAsia="仿宋_GB2312"/>
          <w:sz w:val="32"/>
        </w:rPr>
      </w:pPr>
      <w:r>
        <w:rPr>
          <w:rFonts w:eastAsia="仿宋_GB2312"/>
          <w:sz w:val="32"/>
        </w:rPr>
        <w:t xml:space="preserve">     </w:t>
      </w:r>
      <w:r>
        <w:rPr>
          <w:rFonts w:hint="eastAsia" w:eastAsia="仿宋_GB2312"/>
          <w:sz w:val="32"/>
        </w:rPr>
        <w:t>重残是指二级以上（含二级）重度残疾或四级以上（含四级）精神、智力残疾；失踪是指失踪两年以上，人民法院宣告失踪；失联是指失去联系且未履行监护抚养责任</w:t>
      </w:r>
      <w:r>
        <w:rPr>
          <w:rFonts w:eastAsia="仿宋_GB2312"/>
          <w:sz w:val="32"/>
        </w:rPr>
        <w:t>6</w:t>
      </w:r>
      <w:r>
        <w:rPr>
          <w:rFonts w:hint="eastAsia" w:eastAsia="仿宋_GB2312"/>
          <w:sz w:val="32"/>
        </w:rPr>
        <w:t>个月以上；服刑在押、强制隔离戒毒或被执行其他限制人身自由措施期限在</w:t>
      </w:r>
      <w:r>
        <w:rPr>
          <w:rFonts w:eastAsia="仿宋_GB2312"/>
          <w:sz w:val="32"/>
        </w:rPr>
        <w:t>6</w:t>
      </w:r>
      <w:r>
        <w:rPr>
          <w:rFonts w:hint="eastAsia" w:eastAsia="仿宋_GB2312"/>
          <w:sz w:val="32"/>
        </w:rPr>
        <w:t>个月以上；死亡是指自然死亡或人民法院宣告死亡。</w:t>
      </w:r>
    </w:p>
    <w:p>
      <w:pPr>
        <w:autoSpaceDN w:val="0"/>
        <w:spacing w:line="540" w:lineRule="exact"/>
        <w:ind w:firstLine="480"/>
        <w:rPr>
          <w:rFonts w:eastAsia="仿宋_GB2312"/>
          <w:sz w:val="32"/>
        </w:rPr>
      </w:pPr>
      <w:r>
        <w:rPr>
          <w:rFonts w:eastAsia="仿宋_GB2312"/>
          <w:b/>
          <w:sz w:val="32"/>
        </w:rPr>
        <w:t xml:space="preserve"> </w:t>
      </w:r>
      <w:r>
        <w:rPr>
          <w:rFonts w:hint="eastAsia" w:eastAsia="黑体"/>
          <w:bCs/>
          <w:sz w:val="32"/>
        </w:rPr>
        <w:t>三、保障标准</w:t>
      </w:r>
    </w:p>
    <w:p>
      <w:pPr>
        <w:autoSpaceDN w:val="0"/>
        <w:spacing w:line="540" w:lineRule="exact"/>
        <w:ind w:firstLine="480"/>
        <w:rPr>
          <w:rFonts w:eastAsia="仿宋_GB2312"/>
          <w:sz w:val="32"/>
        </w:rPr>
      </w:pPr>
      <w:r>
        <w:rPr>
          <w:rFonts w:eastAsia="仿宋_GB2312"/>
          <w:sz w:val="32"/>
        </w:rPr>
        <w:t xml:space="preserve"> </w:t>
      </w:r>
      <w:r>
        <w:rPr>
          <w:rFonts w:hint="eastAsia" w:eastAsia="仿宋_GB2312"/>
          <w:sz w:val="32"/>
        </w:rPr>
        <w:t>社会散居孤儿每人每月基本生活费标准不低于</w:t>
      </w:r>
      <w:r>
        <w:rPr>
          <w:rFonts w:eastAsia="仿宋_GB2312"/>
          <w:sz w:val="32"/>
        </w:rPr>
        <w:t>1050</w:t>
      </w:r>
      <w:r>
        <w:rPr>
          <w:rFonts w:hint="eastAsia" w:eastAsia="仿宋_GB2312"/>
          <w:sz w:val="32"/>
        </w:rPr>
        <w:t>元，福利机构集中供养孤儿每人每月不低于</w:t>
      </w:r>
      <w:r>
        <w:rPr>
          <w:rFonts w:eastAsia="仿宋_GB2312"/>
          <w:sz w:val="32"/>
        </w:rPr>
        <w:t>1450</w:t>
      </w:r>
      <w:r>
        <w:rPr>
          <w:rFonts w:hint="eastAsia" w:eastAsia="仿宋_GB2312"/>
          <w:sz w:val="32"/>
        </w:rPr>
        <w:t>元，事实无人抚养儿童参照上述孤儿保障标准执行。</w:t>
      </w:r>
    </w:p>
    <w:p>
      <w:pPr>
        <w:autoSpaceDN w:val="0"/>
        <w:spacing w:line="540" w:lineRule="exact"/>
        <w:ind w:firstLine="480"/>
        <w:rPr>
          <w:rFonts w:eastAsia="仿宋_GB2312"/>
          <w:sz w:val="32"/>
        </w:rPr>
      </w:pPr>
      <w:r>
        <w:rPr>
          <w:rFonts w:eastAsia="仿宋_GB2312"/>
          <w:sz w:val="32"/>
        </w:rPr>
        <w:t xml:space="preserve"> </w:t>
      </w:r>
      <w:r>
        <w:rPr>
          <w:rFonts w:hint="eastAsia" w:eastAsia="仿宋_GB2312"/>
          <w:sz w:val="32"/>
        </w:rPr>
        <w:t>县（区）应努力拓宽资金渠道，采取多种方式落实孤儿基本生活保障经费，建立自然增长机制。对于已纳入孤儿基本生活保障范围的，不再适用特困人员救助供养政策。开展委托监护或者家庭寄养的劳务补贴标准，由市、县（区）民政部门会同同级财政部门制定，所需经费由市、县（区）财政另行安排。劳务补贴不得从基本生活费中列支。孤儿和事实无人抚养儿童基本生活费和重度残疾人护理补贴不计入家庭收入，不影响其家庭成员继续享受城乡低保等社会救助政策。</w:t>
      </w:r>
    </w:p>
    <w:p>
      <w:pPr>
        <w:autoSpaceDN w:val="0"/>
        <w:spacing w:line="540" w:lineRule="exact"/>
        <w:ind w:firstLine="480"/>
        <w:rPr>
          <w:rFonts w:eastAsia="黑体"/>
          <w:bCs/>
          <w:sz w:val="32"/>
        </w:rPr>
      </w:pPr>
      <w:r>
        <w:rPr>
          <w:rFonts w:eastAsia="黑体"/>
          <w:bCs/>
          <w:sz w:val="32"/>
        </w:rPr>
        <w:t xml:space="preserve"> </w:t>
      </w:r>
      <w:r>
        <w:rPr>
          <w:rFonts w:hint="eastAsia" w:eastAsia="黑体"/>
          <w:bCs/>
          <w:sz w:val="32"/>
        </w:rPr>
        <w:t>四、办理程序</w:t>
      </w:r>
    </w:p>
    <w:p>
      <w:pPr>
        <w:autoSpaceDN w:val="0"/>
        <w:spacing w:line="540" w:lineRule="exact"/>
        <w:ind w:firstLine="480"/>
        <w:rPr>
          <w:rFonts w:eastAsia="仿宋_GB2312"/>
          <w:sz w:val="32"/>
        </w:rPr>
      </w:pPr>
      <w:r>
        <w:rPr>
          <w:rFonts w:eastAsia="仿宋_GB2312"/>
          <w:sz w:val="32"/>
        </w:rPr>
        <w:t xml:space="preserve"> 1. </w:t>
      </w:r>
      <w:r>
        <w:rPr>
          <w:rFonts w:hint="eastAsia" w:eastAsia="仿宋_GB2312"/>
          <w:sz w:val="32"/>
        </w:rPr>
        <w:t>社会散居孤儿和事实无人抚养儿童申请基本生活费，履行以下程序：</w:t>
      </w:r>
    </w:p>
    <w:p>
      <w:pPr>
        <w:autoSpaceDN w:val="0"/>
        <w:spacing w:line="540" w:lineRule="exact"/>
        <w:ind w:firstLine="480"/>
        <w:rPr>
          <w:rFonts w:eastAsia="仿宋_GB2312"/>
          <w:sz w:val="32"/>
        </w:rPr>
      </w:pPr>
      <w:r>
        <w:rPr>
          <w:rFonts w:eastAsia="仿宋_GB2312"/>
          <w:sz w:val="32"/>
        </w:rPr>
        <w:t xml:space="preserve"> </w:t>
      </w:r>
      <w:r>
        <w:rPr>
          <w:rFonts w:hint="eastAsia" w:eastAsia="仿宋_GB2312"/>
          <w:sz w:val="32"/>
        </w:rPr>
        <w:t>（</w:t>
      </w:r>
      <w:r>
        <w:rPr>
          <w:rFonts w:eastAsia="仿宋_GB2312"/>
          <w:sz w:val="32"/>
        </w:rPr>
        <w:t>1</w:t>
      </w:r>
      <w:r>
        <w:rPr>
          <w:rFonts w:hint="eastAsia" w:eastAsia="仿宋_GB2312"/>
          <w:sz w:val="32"/>
        </w:rPr>
        <w:t>）申请。由孤儿和事实无人抚养儿童或其监护人向儿童户籍所在地的镇人民政府或街道办事处提出申请，申请时应提供：</w:t>
      </w:r>
    </w:p>
    <w:p>
      <w:pPr>
        <w:pStyle w:val="2"/>
        <w:spacing w:line="540" w:lineRule="exact"/>
        <w:rPr>
          <w:rFonts w:eastAsia="仿宋_GB2312"/>
          <w:sz w:val="32"/>
        </w:rPr>
      </w:pPr>
      <w:r>
        <w:rPr>
          <w:rFonts w:eastAsia="仿宋_GB2312"/>
          <w:sz w:val="32"/>
        </w:rPr>
        <w:t xml:space="preserve">    </w:t>
      </w:r>
      <w:r>
        <w:rPr>
          <w:rFonts w:hint="eastAsia" w:ascii="宋体" w:hAnsi="宋体" w:cs="宋体"/>
          <w:sz w:val="32"/>
        </w:rPr>
        <w:t>①</w:t>
      </w:r>
      <w:r>
        <w:rPr>
          <w:rFonts w:hint="eastAsia" w:eastAsia="仿宋_GB2312"/>
          <w:sz w:val="32"/>
        </w:rPr>
        <w:t>属于父母死亡的，提供公安机关或医疗机构出具的死亡证明或</w:t>
      </w:r>
      <w:r>
        <w:rPr>
          <w:rFonts w:hint="eastAsia" w:eastAsia="仿宋_GB2312"/>
          <w:sz w:val="32"/>
          <w:szCs w:val="22"/>
        </w:rPr>
        <w:t>法院</w:t>
      </w:r>
      <w:r>
        <w:rPr>
          <w:rFonts w:hint="eastAsia" w:eastAsia="仿宋_GB2312"/>
          <w:color w:val="000000"/>
          <w:sz w:val="32"/>
          <w:szCs w:val="22"/>
          <w:shd w:val="clear" w:color="auto" w:fill="FFFFFF"/>
        </w:rPr>
        <w:t>宣告死亡的法律文书</w:t>
      </w:r>
      <w:r>
        <w:rPr>
          <w:rFonts w:hint="eastAsia" w:eastAsia="仿宋_GB2312"/>
          <w:sz w:val="32"/>
        </w:rPr>
        <w:t>；属于父母患精神性疾病的，提供国家医疗卫生机构开具的医学鉴定材料；属于父母正在服刑、被强制戒毒、二级以上重度残疾或三级四级精神、智力残疾的，提供法院、公安、司法部门相关的法律文书以及残联部门颁发的残疾人证复印件；属于父母患重病而导致无能力抚养未成年人的，提供列入病种目录的重特大疾病救助报销凭证；属于被执行其他限制人身自由</w:t>
      </w:r>
      <w:r>
        <w:rPr>
          <w:rFonts w:eastAsia="仿宋_GB2312"/>
          <w:sz w:val="32"/>
        </w:rPr>
        <w:t>6</w:t>
      </w:r>
      <w:r>
        <w:rPr>
          <w:rFonts w:hint="eastAsia" w:eastAsia="仿宋_GB2312"/>
          <w:sz w:val="32"/>
        </w:rPr>
        <w:t>个月以上的，提供法院或公安机关的法律文书；属于失联未履行监护抚养责任</w:t>
      </w:r>
      <w:r>
        <w:rPr>
          <w:rFonts w:eastAsia="仿宋_GB2312"/>
          <w:sz w:val="32"/>
        </w:rPr>
        <w:t>6</w:t>
      </w:r>
      <w:r>
        <w:rPr>
          <w:rFonts w:hint="eastAsia" w:eastAsia="仿宋_GB2312"/>
          <w:sz w:val="32"/>
        </w:rPr>
        <w:t>个月以上的，提供公安机关登记受理书面意见（或报案记录），或村（居）委会走访评估材料（盖章），并有</w:t>
      </w:r>
      <w:r>
        <w:rPr>
          <w:rFonts w:eastAsia="仿宋_GB2312"/>
          <w:sz w:val="32"/>
        </w:rPr>
        <w:t>2-3</w:t>
      </w:r>
      <w:r>
        <w:rPr>
          <w:rFonts w:hint="eastAsia" w:eastAsia="仿宋_GB2312"/>
          <w:sz w:val="32"/>
        </w:rPr>
        <w:t>名邻里访问签字记录；属于父母失踪两年以上，查找联系不到父母信息的，提供人民法院出具的宣告儿童父母失踪的法律文书，或向公安机关的报案记录；属于父母完全丧失劳动能力的，提供户籍所在地市级人社部门劳动能力鉴定委员会出具的鉴定材料（工伤伤残等级达四级以上，非因工伤残或因病丧失劳动能力程度为完全丧失劳动能力）。</w:t>
      </w:r>
    </w:p>
    <w:p>
      <w:pPr>
        <w:autoSpaceDN w:val="0"/>
        <w:spacing w:line="540" w:lineRule="exact"/>
        <w:ind w:firstLine="480"/>
        <w:rPr>
          <w:rFonts w:eastAsia="仿宋_GB2312"/>
          <w:sz w:val="32"/>
        </w:rPr>
      </w:pPr>
      <w:r>
        <w:rPr>
          <w:rFonts w:eastAsia="仿宋_GB2312"/>
          <w:sz w:val="32"/>
        </w:rPr>
        <w:t xml:space="preserve"> </w:t>
      </w:r>
      <w:r>
        <w:rPr>
          <w:rFonts w:hint="eastAsia" w:ascii="宋体" w:hAnsi="宋体" w:cs="宋体"/>
          <w:sz w:val="32"/>
        </w:rPr>
        <w:t>②</w:t>
      </w:r>
      <w:r>
        <w:rPr>
          <w:rFonts w:hint="eastAsia" w:eastAsia="仿宋_GB2312"/>
          <w:sz w:val="32"/>
        </w:rPr>
        <w:t>孤儿和事实无人抚养儿童的身份证、户口簿；</w:t>
      </w:r>
    </w:p>
    <w:p>
      <w:pPr>
        <w:autoSpaceDN w:val="0"/>
        <w:spacing w:line="540" w:lineRule="exact"/>
        <w:ind w:firstLine="480"/>
        <w:rPr>
          <w:rFonts w:eastAsia="仿宋_GB2312"/>
          <w:sz w:val="32"/>
        </w:rPr>
      </w:pPr>
      <w:r>
        <w:rPr>
          <w:rFonts w:eastAsia="仿宋_GB2312"/>
          <w:sz w:val="32"/>
        </w:rPr>
        <w:t xml:space="preserve"> </w:t>
      </w:r>
      <w:r>
        <w:rPr>
          <w:rFonts w:hint="eastAsia" w:ascii="宋体" w:hAnsi="宋体" w:cs="宋体"/>
          <w:sz w:val="32"/>
        </w:rPr>
        <w:t>③</w:t>
      </w:r>
      <w:r>
        <w:rPr>
          <w:rFonts w:hint="eastAsia" w:eastAsia="仿宋_GB2312"/>
          <w:sz w:val="32"/>
        </w:rPr>
        <w:t>孤儿和事实无人抚养儿童的本人近期免冠照片；</w:t>
      </w:r>
    </w:p>
    <w:p>
      <w:pPr>
        <w:autoSpaceDN w:val="0"/>
        <w:spacing w:line="540" w:lineRule="exact"/>
        <w:ind w:firstLine="480"/>
        <w:rPr>
          <w:rFonts w:eastAsia="仿宋_GB2312"/>
          <w:sz w:val="32"/>
        </w:rPr>
      </w:pPr>
      <w:r>
        <w:rPr>
          <w:rFonts w:eastAsia="仿宋_GB2312"/>
          <w:sz w:val="32"/>
        </w:rPr>
        <w:t xml:space="preserve"> </w:t>
      </w:r>
      <w:r>
        <w:rPr>
          <w:rFonts w:hint="eastAsia" w:ascii="宋体" w:hAnsi="宋体" w:cs="宋体"/>
          <w:sz w:val="32"/>
        </w:rPr>
        <w:t>④</w:t>
      </w:r>
      <w:r>
        <w:rPr>
          <w:rFonts w:hint="eastAsia" w:eastAsia="仿宋_GB2312"/>
          <w:sz w:val="32"/>
        </w:rPr>
        <w:t>申请人填写的《安徽省孤儿和事实无人抚养儿童基本生活费申请表》（见附件</w:t>
      </w:r>
      <w:r>
        <w:rPr>
          <w:rFonts w:eastAsia="仿宋_GB2312"/>
          <w:sz w:val="32"/>
        </w:rPr>
        <w:t>1</w:t>
      </w:r>
      <w:r>
        <w:rPr>
          <w:rFonts w:hint="eastAsia" w:eastAsia="仿宋_GB2312"/>
          <w:sz w:val="32"/>
        </w:rPr>
        <w:t>）。</w:t>
      </w:r>
    </w:p>
    <w:p>
      <w:pPr>
        <w:pStyle w:val="3"/>
        <w:pBdr>
          <w:top w:val="none" w:color="auto" w:sz="0" w:space="0"/>
          <w:left w:val="none" w:color="auto" w:sz="0" w:space="0"/>
          <w:bottom w:val="none" w:color="auto" w:sz="0" w:space="0"/>
          <w:right w:val="none" w:color="auto" w:sz="0" w:space="0"/>
        </w:pBdr>
        <w:spacing w:line="540" w:lineRule="exact"/>
        <w:rPr>
          <w:rFonts w:eastAsia="仿宋_GB2312"/>
          <w:sz w:val="32"/>
        </w:rPr>
      </w:pPr>
      <w:r>
        <w:rPr>
          <w:rFonts w:eastAsia="仿宋_GB2312"/>
          <w:sz w:val="32"/>
        </w:rPr>
        <w:t xml:space="preserve">    </w:t>
      </w:r>
      <w:r>
        <w:rPr>
          <w:rFonts w:hint="eastAsia" w:eastAsia="仿宋_GB2312"/>
          <w:sz w:val="32"/>
        </w:rPr>
        <w:t>（</w:t>
      </w:r>
      <w:r>
        <w:rPr>
          <w:rFonts w:eastAsia="仿宋_GB2312"/>
          <w:sz w:val="32"/>
        </w:rPr>
        <w:t>2</w:t>
      </w:r>
      <w:r>
        <w:rPr>
          <w:rFonts w:hint="eastAsia" w:eastAsia="仿宋_GB2312"/>
          <w:sz w:val="32"/>
        </w:rPr>
        <w:t>）审核。镇人民政府、街道办事处在收到申报材料后，应在</w:t>
      </w:r>
      <w:r>
        <w:rPr>
          <w:rFonts w:eastAsia="仿宋_GB2312"/>
          <w:sz w:val="32"/>
        </w:rPr>
        <w:t>10</w:t>
      </w:r>
      <w:r>
        <w:rPr>
          <w:rFonts w:hint="eastAsia" w:eastAsia="仿宋_GB2312"/>
          <w:sz w:val="32"/>
        </w:rPr>
        <w:t>个工作日内，对申请人情况进行核实。对符合条件的，在《安徽省孤儿和事实无人抚养儿童基本生活费申请表》上签署意见，负责人签字并盖单位章，连同相关材料复印件一并报县（区）民政部门审批；对不符合条件的，书面通知申请人，并告知原因。</w:t>
      </w:r>
    </w:p>
    <w:p>
      <w:pPr>
        <w:autoSpaceDN w:val="0"/>
        <w:spacing w:line="540" w:lineRule="exact"/>
        <w:ind w:firstLine="480"/>
        <w:rPr>
          <w:rFonts w:eastAsia="仿宋_GB2312"/>
          <w:sz w:val="32"/>
        </w:rPr>
      </w:pPr>
      <w:r>
        <w:rPr>
          <w:rFonts w:eastAsia="仿宋_GB2312"/>
          <w:sz w:val="32"/>
        </w:rPr>
        <w:t xml:space="preserve"> </w:t>
      </w:r>
      <w:r>
        <w:rPr>
          <w:rFonts w:hint="eastAsia" w:eastAsia="仿宋_GB2312"/>
          <w:sz w:val="32"/>
        </w:rPr>
        <w:t>（</w:t>
      </w:r>
      <w:r>
        <w:rPr>
          <w:rFonts w:eastAsia="仿宋_GB2312"/>
          <w:sz w:val="32"/>
        </w:rPr>
        <w:t>3</w:t>
      </w:r>
      <w:r>
        <w:rPr>
          <w:rFonts w:hint="eastAsia" w:eastAsia="仿宋_GB2312"/>
          <w:sz w:val="32"/>
        </w:rPr>
        <w:t>）审批。县（区）民政部门接到申报材料后，应及时开展入户走访和调查核实，要在</w:t>
      </w:r>
      <w:r>
        <w:rPr>
          <w:rFonts w:eastAsia="仿宋_GB2312"/>
          <w:sz w:val="32"/>
        </w:rPr>
        <w:t>10</w:t>
      </w:r>
      <w:r>
        <w:rPr>
          <w:rFonts w:hint="eastAsia" w:eastAsia="仿宋_GB2312"/>
          <w:sz w:val="32"/>
        </w:rPr>
        <w:t>个工作日内完成对申报材料的审批工作。符合条件的，在《安徽省孤儿和事实无人抚养儿童基本生活费申请表》上签署意见，民政部门负责人签字盖章，自提出申请之月起，发放孤儿和事实无人抚养儿童基本生活费；对不符合条件的，书面通知申请人，并告知原因。</w:t>
      </w:r>
    </w:p>
    <w:p>
      <w:pPr>
        <w:autoSpaceDN w:val="0"/>
        <w:spacing w:line="540" w:lineRule="exact"/>
        <w:ind w:firstLine="480"/>
        <w:rPr>
          <w:rFonts w:eastAsia="仿宋_GB2312"/>
          <w:sz w:val="32"/>
        </w:rPr>
      </w:pPr>
      <w:r>
        <w:rPr>
          <w:rFonts w:eastAsia="仿宋_GB2312"/>
          <w:sz w:val="32"/>
        </w:rPr>
        <w:t xml:space="preserve"> </w:t>
      </w:r>
      <w:r>
        <w:rPr>
          <w:rFonts w:hint="eastAsia" w:eastAsia="仿宋_GB2312"/>
          <w:sz w:val="32"/>
        </w:rPr>
        <w:t>孤儿和事实无人抚养儿童监护人发生变化的，应按照以上程序重新办理有关手续。镇人民政府、街道办事处和民政部门应采取实地走访、入户调查等方式核实了解孤儿和事实无人抚养儿童相关情况。为保护孤儿和事实无人抚养儿童的隐私，应避免以公示、评议等方式核实了解情况。</w:t>
      </w:r>
    </w:p>
    <w:p>
      <w:pPr>
        <w:autoSpaceDN w:val="0"/>
        <w:spacing w:line="540" w:lineRule="exact"/>
        <w:ind w:firstLine="480"/>
        <w:rPr>
          <w:rFonts w:eastAsia="仿宋_GB2312"/>
          <w:sz w:val="32"/>
        </w:rPr>
      </w:pPr>
      <w:r>
        <w:rPr>
          <w:rFonts w:eastAsia="仿宋_GB2312"/>
          <w:sz w:val="32"/>
        </w:rPr>
        <w:t xml:space="preserve"> 2.</w:t>
      </w:r>
      <w:r>
        <w:rPr>
          <w:rFonts w:hint="eastAsia" w:eastAsia="仿宋_GB2312"/>
          <w:sz w:val="32"/>
        </w:rPr>
        <w:t>社会（儿童）福利机构集中供养的孤儿申请基本生活费，由福利机构负责汇总孤儿信息及相关材料，直接向主管民政部门提出申请，由主管民政部门审批。</w:t>
      </w:r>
    </w:p>
    <w:p>
      <w:pPr>
        <w:autoSpaceDN w:val="0"/>
        <w:spacing w:line="540" w:lineRule="exact"/>
        <w:rPr>
          <w:rFonts w:eastAsia="仿宋_GB2312"/>
          <w:sz w:val="32"/>
        </w:rPr>
      </w:pPr>
      <w:r>
        <w:rPr>
          <w:rFonts w:eastAsia="仿宋_GB2312"/>
          <w:sz w:val="32"/>
        </w:rPr>
        <w:t xml:space="preserve">    3.</w:t>
      </w:r>
      <w:r>
        <w:rPr>
          <w:rFonts w:hint="eastAsia" w:eastAsia="仿宋_GB2312"/>
          <w:sz w:val="32"/>
        </w:rPr>
        <w:t>感染艾滋病病毒的儿童申请基本生活费，由其监护人持国家医疗卫生机构开具的医学鉴定材料，直接向感染儿童户籍所在地县（区）民政部门提出申请，并由县（区）民政部门核定、审批。为保护感染儿童的隐私，不得以公示等形式核实了解情况。</w:t>
      </w:r>
    </w:p>
    <w:p>
      <w:pPr>
        <w:autoSpaceDN w:val="0"/>
        <w:spacing w:line="540" w:lineRule="exact"/>
        <w:ind w:firstLine="480"/>
        <w:rPr>
          <w:rFonts w:eastAsia="仿宋_GB2312"/>
          <w:sz w:val="32"/>
        </w:rPr>
      </w:pPr>
      <w:r>
        <w:rPr>
          <w:rFonts w:eastAsia="仿宋_GB2312"/>
          <w:sz w:val="32"/>
        </w:rPr>
        <w:t xml:space="preserve"> </w:t>
      </w:r>
      <w:r>
        <w:rPr>
          <w:rFonts w:hint="eastAsia" w:eastAsia="黑体"/>
          <w:sz w:val="32"/>
        </w:rPr>
        <w:t>五、资金发放</w:t>
      </w:r>
    </w:p>
    <w:p>
      <w:pPr>
        <w:autoSpaceDN w:val="0"/>
        <w:spacing w:line="540" w:lineRule="exact"/>
        <w:ind w:firstLine="480"/>
        <w:rPr>
          <w:rFonts w:eastAsia="仿宋_GB2312"/>
          <w:sz w:val="32"/>
        </w:rPr>
      </w:pPr>
      <w:r>
        <w:rPr>
          <w:rFonts w:eastAsia="仿宋_GB2312"/>
          <w:sz w:val="32"/>
        </w:rPr>
        <w:t xml:space="preserve"> 1.</w:t>
      </w:r>
      <w:r>
        <w:rPr>
          <w:rFonts w:hint="eastAsia" w:eastAsia="仿宋_GB2312"/>
          <w:sz w:val="32"/>
        </w:rPr>
        <w:t>孤儿和事实无人抚养儿童基本生活费发放实行</w:t>
      </w:r>
      <w:r>
        <w:rPr>
          <w:rFonts w:eastAsia="仿宋_GB2312"/>
          <w:sz w:val="32"/>
        </w:rPr>
        <w:t>“</w:t>
      </w:r>
      <w:r>
        <w:rPr>
          <w:rFonts w:hint="eastAsia" w:eastAsia="仿宋_GB2312"/>
          <w:sz w:val="32"/>
        </w:rPr>
        <w:t>动态管理、应保尽保</w:t>
      </w:r>
      <w:r>
        <w:rPr>
          <w:rFonts w:eastAsia="仿宋_GB2312"/>
          <w:sz w:val="32"/>
        </w:rPr>
        <w:t>”</w:t>
      </w:r>
      <w:r>
        <w:rPr>
          <w:rFonts w:hint="eastAsia" w:eastAsia="仿宋_GB2312"/>
          <w:sz w:val="32"/>
        </w:rPr>
        <w:t>，按月发放。镇人民政府、街道办事处和县（区）民政部门要采取多种形式，深入调查了解孤儿和事实无人抚养儿童基本生活费使用和保障等情况。及时按照程序和规定办理增发或停发手续。</w:t>
      </w:r>
    </w:p>
    <w:p>
      <w:pPr>
        <w:autoSpaceDN w:val="0"/>
        <w:spacing w:line="540" w:lineRule="exact"/>
        <w:ind w:firstLine="480"/>
        <w:rPr>
          <w:rFonts w:eastAsia="仿宋_GB2312"/>
          <w:sz w:val="32"/>
        </w:rPr>
      </w:pPr>
      <w:r>
        <w:rPr>
          <w:rFonts w:eastAsia="仿宋_GB2312"/>
          <w:sz w:val="32"/>
        </w:rPr>
        <w:t xml:space="preserve"> 2.</w:t>
      </w:r>
      <w:r>
        <w:rPr>
          <w:rFonts w:hint="eastAsia" w:eastAsia="仿宋_GB2312"/>
          <w:sz w:val="32"/>
        </w:rPr>
        <w:t>孤儿和事实无人抚养儿童基本生活费申请和发放情况由市、县（区）民政部门或委托所属的区域和非区域儿童福利机构负责汇总整理。汇总整理后，由民政部门于每月</w:t>
      </w:r>
      <w:r>
        <w:rPr>
          <w:rFonts w:eastAsia="仿宋_GB2312"/>
          <w:sz w:val="32"/>
        </w:rPr>
        <w:t>25</w:t>
      </w:r>
      <w:r>
        <w:rPr>
          <w:rFonts w:hint="eastAsia" w:eastAsia="仿宋_GB2312"/>
          <w:sz w:val="32"/>
        </w:rPr>
        <w:t>日前向同级财政部门提出支付申请。</w:t>
      </w:r>
    </w:p>
    <w:p>
      <w:pPr>
        <w:autoSpaceDN w:val="0"/>
        <w:spacing w:line="540" w:lineRule="exact"/>
        <w:ind w:firstLine="480"/>
        <w:rPr>
          <w:rFonts w:eastAsia="仿宋_GB2312"/>
          <w:sz w:val="32"/>
        </w:rPr>
      </w:pPr>
      <w:r>
        <w:rPr>
          <w:rFonts w:eastAsia="仿宋_GB2312"/>
          <w:sz w:val="32"/>
        </w:rPr>
        <w:t xml:space="preserve"> </w:t>
      </w:r>
      <w:r>
        <w:rPr>
          <w:rFonts w:hint="eastAsia" w:eastAsia="仿宋_GB2312"/>
          <w:sz w:val="32"/>
        </w:rPr>
        <w:t>福利机构集中供养孤儿基本生活费，由福利机构负责汇总孤儿信息、相关材料和《安徽省孤儿和事实无人抚养儿童基本生活费申请表》，经主管民政部门审核同意后，于每月</w:t>
      </w:r>
      <w:r>
        <w:rPr>
          <w:rFonts w:eastAsia="仿宋_GB2312"/>
          <w:sz w:val="32"/>
        </w:rPr>
        <w:t>25</w:t>
      </w:r>
      <w:r>
        <w:rPr>
          <w:rFonts w:hint="eastAsia" w:eastAsia="仿宋_GB2312"/>
          <w:sz w:val="32"/>
        </w:rPr>
        <w:t>日前向同级财政部门提出支付申请。</w:t>
      </w:r>
    </w:p>
    <w:p>
      <w:pPr>
        <w:autoSpaceDN w:val="0"/>
        <w:spacing w:line="540" w:lineRule="exact"/>
        <w:ind w:firstLine="480"/>
        <w:rPr>
          <w:rFonts w:eastAsia="仿宋_GB2312"/>
          <w:sz w:val="32"/>
        </w:rPr>
      </w:pPr>
      <w:r>
        <w:rPr>
          <w:rFonts w:eastAsia="仿宋_GB2312"/>
          <w:sz w:val="32"/>
        </w:rPr>
        <w:t xml:space="preserve"> 3.</w:t>
      </w:r>
      <w:r>
        <w:rPr>
          <w:rFonts w:hint="eastAsia" w:eastAsia="仿宋_GB2312"/>
          <w:sz w:val="32"/>
        </w:rPr>
        <w:t>市、县（区）财政部门对孤儿和事实无人抚养儿童基本生活费实行</w:t>
      </w:r>
      <w:r>
        <w:rPr>
          <w:rFonts w:eastAsia="仿宋_GB2312"/>
          <w:sz w:val="32"/>
        </w:rPr>
        <w:t>“</w:t>
      </w:r>
      <w:r>
        <w:rPr>
          <w:rFonts w:hint="eastAsia" w:eastAsia="仿宋_GB2312"/>
          <w:sz w:val="32"/>
        </w:rPr>
        <w:t>专账核算</w:t>
      </w:r>
      <w:r>
        <w:rPr>
          <w:rFonts w:eastAsia="仿宋_GB2312"/>
          <w:sz w:val="32"/>
        </w:rPr>
        <w:t>”</w:t>
      </w:r>
      <w:r>
        <w:rPr>
          <w:rFonts w:hint="eastAsia" w:eastAsia="仿宋_GB2312"/>
          <w:sz w:val="32"/>
        </w:rPr>
        <w:t>，根据同级民政部门提出的支付申请，将孤儿和事实无人抚养儿童基本生活费直接拨付到孤儿和事实无人抚养儿童（或其监护人）个人账户或福利机构集体账户。</w:t>
      </w:r>
    </w:p>
    <w:p>
      <w:pPr>
        <w:autoSpaceDN w:val="0"/>
        <w:spacing w:line="540" w:lineRule="exact"/>
        <w:rPr>
          <w:rFonts w:eastAsia="仿宋_GB2312"/>
          <w:color w:val="FF00FF"/>
          <w:sz w:val="32"/>
        </w:rPr>
      </w:pPr>
      <w:r>
        <w:rPr>
          <w:rFonts w:eastAsia="仿宋_GB2312"/>
          <w:sz w:val="32"/>
        </w:rPr>
        <w:t xml:space="preserve">    </w:t>
      </w:r>
      <w:r>
        <w:rPr>
          <w:rFonts w:hint="eastAsia" w:eastAsia="仿宋_GB2312"/>
          <w:sz w:val="32"/>
        </w:rPr>
        <w:t>由孤儿和事实无人抚养儿童父、母所在单位或村（居）委会担任监护人的，孤儿和事实无人抚养儿童基本生活费拨付到孤儿和事实无人抚养儿童本人账户。孤儿和事实无人抚养儿童在户籍地以外的地方就学、服役的，孤儿和事实无人抚养儿童基本生活费由原户籍地财政部门直接拨付到孤儿和事实无人抚养儿童本人账户。</w:t>
      </w:r>
    </w:p>
    <w:p>
      <w:pPr>
        <w:autoSpaceDN w:val="0"/>
        <w:spacing w:line="540" w:lineRule="exact"/>
        <w:rPr>
          <w:rFonts w:eastAsia="黑体"/>
          <w:sz w:val="32"/>
        </w:rPr>
      </w:pPr>
      <w:r>
        <w:rPr>
          <w:rFonts w:eastAsia="仿宋_GB2312"/>
          <w:sz w:val="32"/>
        </w:rPr>
        <w:t xml:space="preserve">    </w:t>
      </w:r>
      <w:r>
        <w:rPr>
          <w:rFonts w:hint="eastAsia" w:eastAsia="黑体"/>
          <w:sz w:val="32"/>
        </w:rPr>
        <w:t>六、监督管理</w:t>
      </w:r>
    </w:p>
    <w:p>
      <w:pPr>
        <w:autoSpaceDN w:val="0"/>
        <w:spacing w:line="540" w:lineRule="exact"/>
        <w:rPr>
          <w:rFonts w:eastAsia="仿宋_GB2312"/>
          <w:sz w:val="32"/>
        </w:rPr>
      </w:pPr>
      <w:r>
        <w:rPr>
          <w:rFonts w:eastAsia="仿宋_GB2312"/>
          <w:sz w:val="32"/>
        </w:rPr>
        <w:t xml:space="preserve">    1.</w:t>
      </w:r>
      <w:r>
        <w:rPr>
          <w:rFonts w:hint="eastAsia" w:eastAsia="仿宋_GB2312"/>
          <w:sz w:val="32"/>
        </w:rPr>
        <w:t>发放孤儿和事实无人抚养儿童基本生活费前，县（区）民政部门与孤儿和事实无人抚养儿童监护人要签订相关协议，对孤儿和事实无人抚养儿童监护人领取、使用孤儿和事实无人抚养儿童基本生活费及孤儿和事实无人抚养儿童养育状况要提出具体要求；明确孤儿和事实无人抚养儿童监护人的监护义务和责任。</w:t>
      </w:r>
    </w:p>
    <w:p>
      <w:pPr>
        <w:autoSpaceDN w:val="0"/>
        <w:spacing w:line="540" w:lineRule="exact"/>
        <w:rPr>
          <w:rFonts w:eastAsia="仿宋_GB2312"/>
          <w:sz w:val="32"/>
        </w:rPr>
      </w:pPr>
      <w:r>
        <w:rPr>
          <w:rFonts w:eastAsia="仿宋_GB2312"/>
          <w:sz w:val="32"/>
        </w:rPr>
        <w:t xml:space="preserve">    2.</w:t>
      </w:r>
      <w:r>
        <w:rPr>
          <w:rFonts w:hint="eastAsia" w:eastAsia="仿宋_GB2312"/>
          <w:sz w:val="32"/>
        </w:rPr>
        <w:t>市级民政部门应定期或根据季节情况需要及时对辖区的儿童福利机构、社会散居孤儿、事实无人抚养儿童和寄养家庭进行监督和巡查工作；县（区）民政部门要适时对社会散居孤儿、事实无人抚养儿童和儿童福利机构的儿童监护、养育、心理等情况深入开展入户走访评估等工作，或委托第三方社会服务机构进行走访评估或开展绩效评价工作，督促监护人切实履行监护与养育责任。民政部门或区域、非区域儿童福利机构对社会散居孤儿、事实无人抚养儿童以及家庭寄养儿童的养育走访评估内容，应按照《安徽省儿童福利机构工作规程》填写附件</w:t>
      </w:r>
      <w:r>
        <w:rPr>
          <w:rFonts w:eastAsia="仿宋_GB2312"/>
          <w:sz w:val="32"/>
        </w:rPr>
        <w:t>4</w:t>
      </w:r>
      <w:r>
        <w:rPr>
          <w:rFonts w:hint="eastAsia" w:eastAsia="仿宋_GB2312"/>
          <w:sz w:val="32"/>
        </w:rPr>
        <w:t>、</w:t>
      </w:r>
      <w:r>
        <w:rPr>
          <w:rFonts w:eastAsia="仿宋_GB2312"/>
          <w:sz w:val="32"/>
        </w:rPr>
        <w:t>5</w:t>
      </w:r>
      <w:r>
        <w:rPr>
          <w:rFonts w:hint="eastAsia" w:eastAsia="仿宋_GB2312"/>
          <w:sz w:val="32"/>
        </w:rPr>
        <w:t>有关记录，并存入该儿童档案。</w:t>
      </w:r>
    </w:p>
    <w:p>
      <w:pPr>
        <w:autoSpaceDN w:val="0"/>
        <w:spacing w:line="540" w:lineRule="exact"/>
        <w:ind w:firstLine="480"/>
        <w:rPr>
          <w:rFonts w:eastAsia="仿宋_GB2312"/>
          <w:sz w:val="32"/>
        </w:rPr>
      </w:pPr>
      <w:r>
        <w:rPr>
          <w:rFonts w:eastAsia="仿宋_GB2312"/>
          <w:sz w:val="32"/>
        </w:rPr>
        <w:t xml:space="preserve"> 3.</w:t>
      </w:r>
      <w:r>
        <w:rPr>
          <w:rFonts w:hint="eastAsia" w:eastAsia="仿宋_GB2312"/>
          <w:sz w:val="32"/>
        </w:rPr>
        <w:t>孤儿和事实无人抚养儿童档案实行</w:t>
      </w:r>
      <w:r>
        <w:rPr>
          <w:rFonts w:eastAsia="仿宋_GB2312"/>
          <w:sz w:val="32"/>
          <w:szCs w:val="32"/>
        </w:rPr>
        <w:t>“</w:t>
      </w:r>
      <w:r>
        <w:rPr>
          <w:rFonts w:hint="eastAsia" w:eastAsia="仿宋_GB2312"/>
          <w:sz w:val="32"/>
        </w:rPr>
        <w:t>分级管理、一人一档</w:t>
      </w:r>
      <w:r>
        <w:rPr>
          <w:rFonts w:eastAsia="仿宋_GB2312"/>
          <w:sz w:val="32"/>
        </w:rPr>
        <w:t>”</w:t>
      </w:r>
      <w:r>
        <w:rPr>
          <w:rFonts w:hint="eastAsia" w:eastAsia="仿宋_GB2312"/>
          <w:sz w:val="32"/>
          <w:szCs w:val="32"/>
        </w:rPr>
        <w:t>原则</w:t>
      </w:r>
      <w:r>
        <w:rPr>
          <w:rFonts w:hint="eastAsia" w:eastAsia="仿宋_GB2312"/>
          <w:sz w:val="32"/>
        </w:rPr>
        <w:t>。市、县（区）民政、财政部门应依托《全国儿童福利信息管理系统》和《安徽省孤儿档案管理办法》同时为孤儿和事实无人抚养儿童建立纸质和电子档案，镇人民政府、街道办事处应为孤儿和事实无人抚养儿童建立纸质或电子档案。孤儿和事实无人抚养儿童档案，包括姓名、照片、地址、家庭信息等隐私信息均不得向社会公开，不得用于宣传或其他商业用途。区域、非区域儿童福利机构负责本级基础信息数据库的日常管理。</w:t>
      </w:r>
    </w:p>
    <w:p>
      <w:pPr>
        <w:autoSpaceDN w:val="0"/>
        <w:spacing w:line="540" w:lineRule="exact"/>
        <w:ind w:firstLine="480"/>
        <w:rPr>
          <w:rFonts w:eastAsia="仿宋_GB2312"/>
          <w:sz w:val="32"/>
        </w:rPr>
      </w:pPr>
      <w:r>
        <w:rPr>
          <w:rFonts w:eastAsia="仿宋_GB2312"/>
          <w:sz w:val="32"/>
        </w:rPr>
        <w:t xml:space="preserve"> </w:t>
      </w:r>
      <w:r>
        <w:rPr>
          <w:rFonts w:hint="eastAsia" w:eastAsia="仿宋_GB2312"/>
          <w:sz w:val="32"/>
        </w:rPr>
        <w:t>孤儿和事实无人抚养儿童纸质档案主要包括：（</w:t>
      </w:r>
      <w:r>
        <w:rPr>
          <w:rFonts w:eastAsia="仿宋_GB2312"/>
          <w:sz w:val="32"/>
        </w:rPr>
        <w:t>1</w:t>
      </w:r>
      <w:r>
        <w:rPr>
          <w:rFonts w:hint="eastAsia" w:eastAsia="仿宋_GB2312"/>
          <w:sz w:val="32"/>
        </w:rPr>
        <w:t>）《安徽省孤儿和事实无人抚养儿童基本生活费申请表》；（</w:t>
      </w:r>
      <w:r>
        <w:rPr>
          <w:rFonts w:eastAsia="仿宋_GB2312"/>
          <w:sz w:val="32"/>
        </w:rPr>
        <w:t>2</w:t>
      </w:r>
      <w:r>
        <w:rPr>
          <w:rFonts w:hint="eastAsia" w:eastAsia="仿宋_GB2312"/>
          <w:sz w:val="32"/>
        </w:rPr>
        <w:t>）孤儿和事实无人抚养儿童相关材料复印件；（</w:t>
      </w:r>
      <w:r>
        <w:rPr>
          <w:rFonts w:eastAsia="仿宋_GB2312"/>
          <w:sz w:val="32"/>
        </w:rPr>
        <w:t>3</w:t>
      </w:r>
      <w:r>
        <w:rPr>
          <w:rFonts w:hint="eastAsia" w:eastAsia="仿宋_GB2312"/>
          <w:sz w:val="32"/>
        </w:rPr>
        <w:t>）孤儿和事实无人抚养儿童的养育状况（含监护、健康、学习、家庭以及周围环境等情况）；（</w:t>
      </w:r>
      <w:r>
        <w:rPr>
          <w:rFonts w:eastAsia="仿宋_GB2312"/>
          <w:sz w:val="32"/>
        </w:rPr>
        <w:t>4</w:t>
      </w:r>
      <w:r>
        <w:rPr>
          <w:rFonts w:hint="eastAsia" w:eastAsia="仿宋_GB2312"/>
          <w:sz w:val="32"/>
        </w:rPr>
        <w:t>）社会散居孤儿和事实无人抚养儿童的走访记录以及相关评估材料等；（</w:t>
      </w:r>
      <w:r>
        <w:rPr>
          <w:rFonts w:eastAsia="仿宋_GB2312"/>
          <w:sz w:val="32"/>
        </w:rPr>
        <w:t>5</w:t>
      </w:r>
      <w:r>
        <w:rPr>
          <w:rFonts w:hint="eastAsia" w:eastAsia="仿宋_GB2312"/>
          <w:sz w:val="32"/>
        </w:rPr>
        <w:t>）县（区）民政部门与孤儿和事实无人抚养儿童监护人签订的相关协议。</w:t>
      </w:r>
    </w:p>
    <w:p>
      <w:pPr>
        <w:autoSpaceDN w:val="0"/>
        <w:spacing w:line="540" w:lineRule="exact"/>
        <w:ind w:firstLine="640" w:firstLineChars="200"/>
        <w:rPr>
          <w:rFonts w:eastAsia="仿宋_GB2312"/>
          <w:sz w:val="32"/>
        </w:rPr>
      </w:pPr>
      <w:r>
        <w:rPr>
          <w:rFonts w:hint="eastAsia" w:eastAsia="仿宋_GB2312"/>
          <w:sz w:val="32"/>
        </w:rPr>
        <w:t>福利机构内孤儿纸质和电子档案建设和管理应按照民政部《儿童福利机构管理办法》《安徽省孤儿档案管理办法》《安徽省儿童福利机构工作规程》等规定执行。没有设立儿童福利机构的民政部门应参照《安徽省孤儿档案管理办法》做好孤儿和事实无人抚养儿童档案管理工作。</w:t>
      </w:r>
    </w:p>
    <w:p>
      <w:pPr>
        <w:autoSpaceDN w:val="0"/>
        <w:spacing w:line="540" w:lineRule="exact"/>
        <w:ind w:firstLine="480"/>
        <w:rPr>
          <w:rFonts w:eastAsia="仿宋_GB2312"/>
          <w:sz w:val="32"/>
        </w:rPr>
      </w:pPr>
      <w:r>
        <w:rPr>
          <w:rFonts w:eastAsia="仿宋_GB2312"/>
          <w:sz w:val="32"/>
        </w:rPr>
        <w:t xml:space="preserve"> 4.</w:t>
      </w:r>
      <w:r>
        <w:rPr>
          <w:rFonts w:hint="eastAsia" w:eastAsia="仿宋_GB2312"/>
          <w:sz w:val="32"/>
        </w:rPr>
        <w:t>孤儿和事实无人抚养儿童死亡、被依法收养或年满</w:t>
      </w:r>
      <w:r>
        <w:rPr>
          <w:rFonts w:eastAsia="仿宋_GB2312"/>
          <w:sz w:val="32"/>
        </w:rPr>
        <w:t>18</w:t>
      </w:r>
      <w:r>
        <w:rPr>
          <w:rFonts w:hint="eastAsia" w:eastAsia="仿宋_GB2312"/>
          <w:sz w:val="32"/>
        </w:rPr>
        <w:t>周岁的，自次月起，停发基本生活费。服刑、被强制戒毒或被执行其他限制人身自由的人员子女，自父母刑期届满、强制戒毒解除或期限届满、限制人身自由措施解除或期限届满的，自次月起，停发基本生活费。父母被宣告失踪、死亡或失联，但又查找到下落的，自查找到下落次月起，停发基本生活费。父母重病的，未提供重特大疾病救助报销凭证的，自次月起，停发基本生活费。</w:t>
      </w:r>
    </w:p>
    <w:p>
      <w:pPr>
        <w:autoSpaceDN w:val="0"/>
        <w:spacing w:line="540" w:lineRule="exact"/>
        <w:ind w:firstLine="480"/>
        <w:rPr>
          <w:rFonts w:eastAsia="仿宋_GB2312"/>
          <w:sz w:val="32"/>
        </w:rPr>
      </w:pPr>
      <w:r>
        <w:rPr>
          <w:rFonts w:eastAsia="仿宋_GB2312"/>
          <w:sz w:val="32"/>
        </w:rPr>
        <w:t xml:space="preserve"> 5.</w:t>
      </w:r>
      <w:r>
        <w:rPr>
          <w:rFonts w:hint="eastAsia" w:eastAsia="仿宋_GB2312"/>
          <w:sz w:val="32"/>
        </w:rPr>
        <w:t>因年龄原因被取消孤儿和事实无人抚养儿童基本生活费的，民政部门须提前三个月告知孤儿和事实无人抚养儿童或其监护人。取消发放时，有条件的地方可视情发给孤儿一定的一次性生活补贴。</w:t>
      </w:r>
    </w:p>
    <w:p>
      <w:pPr>
        <w:autoSpaceDN w:val="0"/>
        <w:spacing w:line="540" w:lineRule="exact"/>
        <w:ind w:firstLine="480"/>
        <w:rPr>
          <w:rFonts w:eastAsia="仿宋_GB2312"/>
          <w:sz w:val="32"/>
        </w:rPr>
      </w:pPr>
      <w:r>
        <w:rPr>
          <w:rFonts w:eastAsia="仿宋_GB2312"/>
          <w:sz w:val="32"/>
          <w:szCs w:val="32"/>
        </w:rPr>
        <w:t xml:space="preserve"> 6.</w:t>
      </w:r>
      <w:r>
        <w:rPr>
          <w:rFonts w:hint="eastAsia" w:eastAsia="仿宋_GB2312"/>
          <w:sz w:val="32"/>
          <w:szCs w:val="32"/>
        </w:rPr>
        <w:t>加强信用评价和失信行为联合惩戒建设，将存在恶意弃养情形或者采取虚报、隐瞒、伪造等手段骗取保障资金、物资或服务的父母及其他监护人失信行为记入信用记录，纳入全国信用信息共享平台，实施失信联合惩戒。</w:t>
      </w:r>
    </w:p>
    <w:p>
      <w:pPr>
        <w:autoSpaceDN w:val="0"/>
        <w:spacing w:line="540" w:lineRule="exact"/>
        <w:ind w:firstLine="480"/>
        <w:rPr>
          <w:rFonts w:eastAsia="黑体"/>
          <w:bCs/>
          <w:sz w:val="32"/>
        </w:rPr>
      </w:pPr>
      <w:r>
        <w:rPr>
          <w:rFonts w:eastAsia="黑体"/>
          <w:bCs/>
          <w:sz w:val="32"/>
        </w:rPr>
        <w:t xml:space="preserve"> </w:t>
      </w:r>
      <w:r>
        <w:rPr>
          <w:rFonts w:hint="eastAsia" w:eastAsia="黑体"/>
          <w:bCs/>
          <w:sz w:val="32"/>
        </w:rPr>
        <w:t>七、资金筹集</w:t>
      </w:r>
    </w:p>
    <w:p>
      <w:pPr>
        <w:spacing w:line="540" w:lineRule="exact"/>
        <w:ind w:firstLine="640" w:firstLineChars="200"/>
        <w:rPr>
          <w:rFonts w:eastAsia="仿宋_GB2312"/>
          <w:sz w:val="32"/>
        </w:rPr>
      </w:pPr>
      <w:r>
        <w:rPr>
          <w:rFonts w:hint="eastAsia" w:eastAsia="仿宋_GB2312"/>
          <w:sz w:val="32"/>
        </w:rPr>
        <w:t>每年初，市、县（区）民政、财政部门要根据孤儿和事实无人抚养儿童数量、供养标准和近年内支出变化规律，科学合理测算当地年度孤儿和事实无人抚养儿童保障资金总额，编制年度预算。预算总额扣除上级财政补助金额后的差额部分，由市、县（区）通过财政拨款足额安排落实。</w:t>
      </w:r>
      <w:r>
        <w:rPr>
          <w:rFonts w:hint="eastAsia" w:eastAsia="仿宋_GB2312"/>
          <w:sz w:val="32"/>
          <w:szCs w:val="32"/>
          <w:shd w:val="clear" w:color="auto" w:fill="FFFFFF"/>
        </w:rPr>
        <w:t>推进孤儿</w:t>
      </w:r>
      <w:r>
        <w:rPr>
          <w:rFonts w:hint="eastAsia" w:eastAsia="仿宋_GB2312"/>
          <w:sz w:val="32"/>
        </w:rPr>
        <w:t>和事实无人抚养儿童</w:t>
      </w:r>
      <w:r>
        <w:rPr>
          <w:rFonts w:hint="eastAsia" w:eastAsia="仿宋_GB2312"/>
          <w:sz w:val="32"/>
          <w:szCs w:val="32"/>
          <w:shd w:val="clear" w:color="auto" w:fill="FFFFFF"/>
        </w:rPr>
        <w:t>保障与社会救助资金统筹使用，盘活财政存量资金，优化财政支出结构，提升资金使用效益。各级财政、民政部门要加强资金使用管理情况检查，</w:t>
      </w:r>
      <w:r>
        <w:rPr>
          <w:rFonts w:hint="eastAsia" w:eastAsia="仿宋_GB2312"/>
          <w:sz w:val="32"/>
          <w:szCs w:val="32"/>
        </w:rPr>
        <w:t>提高财政资金绩效，防止发生挤占、挪用、冒领、套取等违法违规现象，对存在违法违规行为的，要按照相关规定依法处理。</w:t>
      </w:r>
    </w:p>
    <w:p>
      <w:pPr>
        <w:autoSpaceDN w:val="0"/>
        <w:spacing w:line="540" w:lineRule="exact"/>
        <w:rPr>
          <w:rFonts w:eastAsia="仿宋_GB2312"/>
          <w:sz w:val="32"/>
        </w:rPr>
      </w:pPr>
      <w:r>
        <w:rPr>
          <w:rFonts w:eastAsia="仿宋_GB2312"/>
          <w:b/>
          <w:sz w:val="32"/>
        </w:rPr>
        <w:t xml:space="preserve">    </w:t>
      </w:r>
      <w:r>
        <w:rPr>
          <w:rFonts w:hint="eastAsia" w:eastAsia="黑体"/>
          <w:bCs/>
          <w:sz w:val="32"/>
        </w:rPr>
        <w:t>八、附则</w:t>
      </w:r>
    </w:p>
    <w:p>
      <w:pPr>
        <w:autoSpaceDN w:val="0"/>
        <w:spacing w:line="540" w:lineRule="exact"/>
        <w:rPr>
          <w:rFonts w:eastAsia="仿宋_GB2312"/>
          <w:sz w:val="32"/>
        </w:rPr>
      </w:pPr>
      <w:r>
        <w:rPr>
          <w:rFonts w:eastAsia="仿宋_GB2312"/>
          <w:sz w:val="32"/>
        </w:rPr>
        <w:t xml:space="preserve">    </w:t>
      </w:r>
      <w:r>
        <w:rPr>
          <w:rFonts w:hint="eastAsia" w:eastAsia="仿宋_GB2312"/>
          <w:sz w:val="32"/>
        </w:rPr>
        <w:t>本办法由</w:t>
      </w:r>
      <w:r>
        <w:rPr>
          <w:rFonts w:hint="eastAsia" w:eastAsia="仿宋_GB2312"/>
          <w:sz w:val="32"/>
          <w:lang w:eastAsia="zh-CN"/>
        </w:rPr>
        <w:t>区</w:t>
      </w:r>
      <w:r>
        <w:rPr>
          <w:rFonts w:hint="eastAsia" w:eastAsia="仿宋_GB2312"/>
          <w:sz w:val="32"/>
        </w:rPr>
        <w:t>民政局、</w:t>
      </w:r>
      <w:r>
        <w:rPr>
          <w:rFonts w:hint="eastAsia" w:eastAsia="仿宋_GB2312"/>
          <w:sz w:val="32"/>
          <w:lang w:eastAsia="zh-CN"/>
        </w:rPr>
        <w:t>区</w:t>
      </w:r>
      <w:r>
        <w:rPr>
          <w:rFonts w:hint="eastAsia" w:eastAsia="仿宋_GB2312"/>
          <w:sz w:val="32"/>
        </w:rPr>
        <w:t>财政局会同有关部门共同解释。</w:t>
      </w:r>
    </w:p>
    <w:p>
      <w:pPr>
        <w:autoSpaceDN w:val="0"/>
        <w:spacing w:line="540" w:lineRule="exact"/>
        <w:ind w:firstLine="640" w:firstLineChars="200"/>
        <w:rPr>
          <w:rFonts w:eastAsia="仿宋_GB2312"/>
          <w:sz w:val="32"/>
        </w:rPr>
      </w:pPr>
      <w:r>
        <w:rPr>
          <w:rFonts w:hint="eastAsia" w:eastAsia="仿宋_GB2312"/>
          <w:sz w:val="32"/>
        </w:rPr>
        <w:t>本办法自发布之日起施行。以往有关规定与本办法不一致的，以本办法为准。</w:t>
      </w:r>
    </w:p>
    <w:p>
      <w:pPr>
        <w:autoSpaceDN w:val="0"/>
        <w:spacing w:line="540" w:lineRule="exact"/>
        <w:ind w:firstLine="640" w:firstLineChars="200"/>
        <w:rPr>
          <w:rFonts w:eastAsia="仿宋_GB2312"/>
          <w:sz w:val="32"/>
          <w:szCs w:val="48"/>
        </w:rPr>
      </w:pPr>
      <w:r>
        <w:rPr>
          <w:rFonts w:hint="eastAsia" w:eastAsia="仿宋_GB2312"/>
          <w:sz w:val="32"/>
        </w:rPr>
        <w:t>附件：安徽省</w:t>
      </w:r>
      <w:r>
        <w:rPr>
          <w:rFonts w:hint="eastAsia" w:eastAsia="仿宋_GB2312"/>
          <w:sz w:val="32"/>
          <w:szCs w:val="48"/>
        </w:rPr>
        <w:t>孤儿和事实无人抚养儿童基本生活费申</w:t>
      </w:r>
      <w:r>
        <w:rPr>
          <w:rFonts w:eastAsia="仿宋_GB2312"/>
          <w:sz w:val="32"/>
          <w:szCs w:val="48"/>
        </w:rPr>
        <w:t xml:space="preserve"> </w:t>
      </w:r>
    </w:p>
    <w:p>
      <w:pPr>
        <w:autoSpaceDN w:val="0"/>
        <w:spacing w:line="540" w:lineRule="exact"/>
        <w:ind w:firstLine="640" w:firstLineChars="200"/>
        <w:rPr>
          <w:rFonts w:hint="default" w:ascii="Times New Roman" w:hAnsi="Times New Roman" w:eastAsia="仿宋_GB2312" w:cs="Times New Roman"/>
          <w:sz w:val="32"/>
          <w:szCs w:val="48"/>
        </w:rPr>
      </w:pPr>
      <w:r>
        <w:rPr>
          <w:rFonts w:eastAsia="仿宋_GB2312"/>
          <w:sz w:val="32"/>
          <w:szCs w:val="48"/>
        </w:rPr>
        <w:t xml:space="preserve">      </w:t>
      </w:r>
      <w:r>
        <w:rPr>
          <w:rFonts w:hint="eastAsia" w:eastAsia="仿宋_GB2312"/>
          <w:sz w:val="32"/>
          <w:szCs w:val="48"/>
        </w:rPr>
        <w:t>请表（式样）</w:t>
      </w:r>
    </w:p>
    <w:p>
      <w:pPr>
        <w:keepNext w:val="0"/>
        <w:keepLines w:val="0"/>
        <w:pageBreakBefore w:val="0"/>
        <w:widowControl/>
        <w:kinsoku/>
        <w:wordWrap/>
        <w:overflowPunct/>
        <w:topLinePunct w:val="0"/>
        <w:bidi w:val="0"/>
        <w:spacing w:beforeAutospacing="0" w:afterAutospacing="0" w:line="540" w:lineRule="exact"/>
        <w:textAlignment w:val="auto"/>
        <w:rPr>
          <w:rFonts w:hint="default" w:ascii="Times New Roman" w:hAnsi="Times New Roman" w:eastAsia="楷体_GB2312" w:cs="Times New Roman"/>
          <w:sz w:val="36"/>
          <w:szCs w:val="48"/>
        </w:rPr>
      </w:pPr>
      <w:r>
        <w:rPr>
          <w:rFonts w:hint="default" w:ascii="Times New Roman" w:hAnsi="Times New Roman" w:eastAsia="仿宋_GB2312" w:cs="Times New Roman"/>
          <w:sz w:val="32"/>
        </w:rPr>
        <w:t xml:space="preserve"> </w:t>
      </w:r>
      <w:r>
        <w:rPr>
          <w:rFonts w:hint="default" w:ascii="Times New Roman" w:hAnsi="Times New Roman" w:eastAsia="仿宋_GB2312" w:cs="Times New Roman"/>
          <w:sz w:val="32"/>
          <w:lang w:val="en-US" w:eastAsia="zh-CN"/>
        </w:rPr>
        <w:t xml:space="preserve">   </w:t>
      </w:r>
      <w:r>
        <w:rPr>
          <w:rFonts w:hint="default" w:ascii="Times New Roman" w:hAnsi="Times New Roman" w:eastAsia="楷体_GB2312" w:cs="Times New Roman"/>
          <w:sz w:val="36"/>
          <w:szCs w:val="48"/>
        </w:rPr>
        <w:t>（式样）</w:t>
      </w:r>
    </w:p>
    <w:p>
      <w:pPr>
        <w:keepNext w:val="0"/>
        <w:keepLines w:val="0"/>
        <w:pageBreakBefore w:val="0"/>
        <w:widowControl/>
        <w:kinsoku/>
        <w:wordWrap/>
        <w:overflowPunct/>
        <w:topLinePunct w:val="0"/>
        <w:bidi w:val="0"/>
        <w:spacing w:beforeAutospacing="0" w:afterAutospacing="0" w:line="540" w:lineRule="exact"/>
        <w:jc w:val="center"/>
        <w:textAlignment w:val="auto"/>
        <w:rPr>
          <w:rFonts w:hint="default" w:ascii="Times New Roman" w:hAnsi="Times New Roman" w:eastAsia="方正小标宋简体" w:cs="Times New Roman"/>
          <w:bCs/>
          <w:kern w:val="0"/>
          <w:sz w:val="36"/>
          <w:szCs w:val="48"/>
        </w:rPr>
      </w:pPr>
      <w:r>
        <w:rPr>
          <w:rFonts w:hint="default" w:ascii="Times New Roman" w:hAnsi="Times New Roman" w:eastAsia="方正小标宋简体" w:cs="Times New Roman"/>
          <w:sz w:val="36"/>
          <w:szCs w:val="48"/>
        </w:rPr>
        <w:t>安徽省孤儿和事实无人抚养儿童基本生活费</w:t>
      </w:r>
    </w:p>
    <w:p>
      <w:pPr>
        <w:keepNext w:val="0"/>
        <w:keepLines w:val="0"/>
        <w:pageBreakBefore w:val="0"/>
        <w:widowControl/>
        <w:kinsoku/>
        <w:wordWrap/>
        <w:overflowPunct/>
        <w:topLinePunct w:val="0"/>
        <w:bidi w:val="0"/>
        <w:spacing w:beforeAutospacing="0" w:afterAutospacing="0" w:line="540" w:lineRule="exact"/>
        <w:jc w:val="center"/>
        <w:textAlignment w:val="auto"/>
        <w:rPr>
          <w:rFonts w:hint="default" w:ascii="Times New Roman" w:hAnsi="Times New Roman" w:cs="Times New Roman"/>
          <w:bCs/>
          <w:kern w:val="0"/>
          <w:sz w:val="48"/>
          <w:szCs w:val="48"/>
        </w:rPr>
      </w:pPr>
    </w:p>
    <w:p>
      <w:pPr>
        <w:keepNext w:val="0"/>
        <w:keepLines w:val="0"/>
        <w:pageBreakBefore w:val="0"/>
        <w:widowControl/>
        <w:kinsoku/>
        <w:wordWrap/>
        <w:overflowPunct/>
        <w:topLinePunct w:val="0"/>
        <w:bidi w:val="0"/>
        <w:spacing w:beforeAutospacing="0" w:afterAutospacing="0" w:line="540" w:lineRule="exact"/>
        <w:jc w:val="center"/>
        <w:textAlignment w:val="auto"/>
        <w:rPr>
          <w:rFonts w:hint="default" w:ascii="Times New Roman" w:hAnsi="Times New Roman" w:eastAsia="仿宋" w:cs="Times New Roman"/>
          <w:b/>
          <w:kern w:val="0"/>
          <w:sz w:val="32"/>
          <w:szCs w:val="32"/>
        </w:rPr>
      </w:pPr>
      <w:r>
        <w:rPr>
          <w:rFonts w:hint="default" w:ascii="Times New Roman" w:hAnsi="Times New Roman" w:cs="Times New Roman"/>
          <w:bCs/>
          <w:sz w:val="48"/>
          <w:szCs w:val="48"/>
        </w:rPr>
        <mc:AlternateContent>
          <mc:Choice Requires="wps">
            <w:drawing>
              <wp:anchor distT="0" distB="0" distL="114300" distR="114300" simplePos="0" relativeHeight="251658240" behindDoc="0" locked="0" layoutInCell="1" allowOverlap="1">
                <wp:simplePos x="0" y="0"/>
                <wp:positionH relativeFrom="column">
                  <wp:posOffset>1827530</wp:posOffset>
                </wp:positionH>
                <wp:positionV relativeFrom="paragraph">
                  <wp:posOffset>196215</wp:posOffset>
                </wp:positionV>
                <wp:extent cx="1096010" cy="3796665"/>
                <wp:effectExtent l="4445" t="5080" r="23495" b="8255"/>
                <wp:wrapSquare wrapText="bothSides"/>
                <wp:docPr id="2" name="文本框 2"/>
                <wp:cNvGraphicFramePr/>
                <a:graphic xmlns:a="http://schemas.openxmlformats.org/drawingml/2006/main">
                  <a:graphicData uri="http://schemas.microsoft.com/office/word/2010/wordprocessingShape">
                    <wps:wsp>
                      <wps:cNvSpPr txBox="1"/>
                      <wps:spPr>
                        <a:xfrm>
                          <a:off x="0" y="0"/>
                          <a:ext cx="1096010" cy="379666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880" w:lineRule="exact"/>
                              <w:textAlignment w:val="auto"/>
                              <w:rPr>
                                <w:rFonts w:hint="eastAsia" w:ascii="楷体" w:hAnsi="楷体" w:eastAsia="楷体_GB2312" w:cs="华文行楷"/>
                                <w:b/>
                                <w:kern w:val="0"/>
                                <w:sz w:val="96"/>
                                <w:szCs w:val="96"/>
                              </w:rPr>
                            </w:pPr>
                            <w:r>
                              <w:rPr>
                                <w:rFonts w:hint="eastAsia" w:ascii="楷体_GB2312" w:hAnsi="楷体_GB2312" w:eastAsia="楷体_GB2312" w:cs="华文行楷"/>
                                <w:bCs/>
                                <w:kern w:val="0"/>
                                <w:sz w:val="84"/>
                                <w:szCs w:val="84"/>
                              </w:rPr>
                              <w:t xml:space="preserve"> </w:t>
                            </w:r>
                            <w:r>
                              <w:rPr>
                                <w:rFonts w:hint="eastAsia" w:ascii="楷体_GB2312" w:hAnsi="楷体_GB2312" w:eastAsia="楷体_GB2312" w:cs="华文行楷"/>
                                <w:b/>
                                <w:kern w:val="0"/>
                                <w:sz w:val="96"/>
                                <w:szCs w:val="96"/>
                              </w:rPr>
                              <w:t>申 请 表</w:t>
                            </w:r>
                          </w:p>
                        </w:txbxContent>
                      </wps:txbx>
                      <wps:bodyPr vert="eaVert" upright="1"/>
                    </wps:wsp>
                  </a:graphicData>
                </a:graphic>
              </wp:anchor>
            </w:drawing>
          </mc:Choice>
          <mc:Fallback>
            <w:pict>
              <v:shape id="_x0000_s1026" o:spid="_x0000_s1026" o:spt="202" type="#_x0000_t202" style="position:absolute;left:0pt;margin-left:143.9pt;margin-top:15.45pt;height:298.95pt;width:86.3pt;mso-wrap-distance-bottom:0pt;mso-wrap-distance-left:9pt;mso-wrap-distance-right:9pt;mso-wrap-distance-top:0pt;z-index:251658240;mso-width-relative:page;mso-height-relative:page;" fillcolor="#FFFFFF" filled="t" stroked="t" coordsize="21600,21600" o:gfxdata="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4TNwLWAAAACgEAAA8AAAAAAAAAAQAgAAAAIgAAAGRycy9kb3ducmV2LnhtbFBLAQIU&#10;ABQAAAAIAIdO4kC9T8WY9QEAAPcDAAAOAAAAAAAAAAEAIAAAACUBAABkcnMvZTJvRG9jLnhtbFBL&#10;BQYAAAAABgAGAFkBAACMBQAAAAA=&#10;">
                <v:fill on="t" focussize="0,0"/>
                <v:stroke color="#FFFFFF" joinstyle="miter"/>
                <v:imagedata o:title=""/>
                <o:lock v:ext="edit" aspectratio="f"/>
                <v:textbox style="layout-flow:vertical-ideographic;">
                  <w:txbxContent>
                    <w:p>
                      <w:pPr>
                        <w:keepNext w:val="0"/>
                        <w:keepLines w:val="0"/>
                        <w:pageBreakBefore w:val="0"/>
                        <w:widowControl/>
                        <w:kinsoku/>
                        <w:wordWrap/>
                        <w:overflowPunct/>
                        <w:topLinePunct w:val="0"/>
                        <w:autoSpaceDE/>
                        <w:autoSpaceDN/>
                        <w:bidi w:val="0"/>
                        <w:adjustRightInd/>
                        <w:snapToGrid/>
                        <w:spacing w:line="880" w:lineRule="exact"/>
                        <w:textAlignment w:val="auto"/>
                        <w:rPr>
                          <w:rFonts w:hint="eastAsia" w:ascii="楷体" w:hAnsi="楷体" w:eastAsia="楷体_GB2312" w:cs="华文行楷"/>
                          <w:b/>
                          <w:kern w:val="0"/>
                          <w:sz w:val="96"/>
                          <w:szCs w:val="96"/>
                        </w:rPr>
                      </w:pPr>
                      <w:r>
                        <w:rPr>
                          <w:rFonts w:hint="eastAsia" w:ascii="楷体_GB2312" w:hAnsi="楷体_GB2312" w:eastAsia="楷体_GB2312" w:cs="华文行楷"/>
                          <w:bCs/>
                          <w:kern w:val="0"/>
                          <w:sz w:val="84"/>
                          <w:szCs w:val="84"/>
                        </w:rPr>
                        <w:t xml:space="preserve"> </w:t>
                      </w:r>
                      <w:r>
                        <w:rPr>
                          <w:rFonts w:hint="eastAsia" w:ascii="楷体_GB2312" w:hAnsi="楷体_GB2312" w:eastAsia="楷体_GB2312" w:cs="华文行楷"/>
                          <w:b/>
                          <w:kern w:val="0"/>
                          <w:sz w:val="96"/>
                          <w:szCs w:val="96"/>
                        </w:rPr>
                        <w:t>申 请 表</w:t>
                      </w:r>
                    </w:p>
                  </w:txbxContent>
                </v:textbox>
                <w10:wrap type="square"/>
              </v:shape>
            </w:pict>
          </mc:Fallback>
        </mc:AlternateContent>
      </w:r>
    </w:p>
    <w:p>
      <w:pPr>
        <w:keepNext w:val="0"/>
        <w:keepLines w:val="0"/>
        <w:pageBreakBefore w:val="0"/>
        <w:widowControl/>
        <w:kinsoku/>
        <w:wordWrap/>
        <w:overflowPunct/>
        <w:topLinePunct w:val="0"/>
        <w:bidi w:val="0"/>
        <w:spacing w:beforeAutospacing="0" w:afterAutospacing="0" w:line="540" w:lineRule="exact"/>
        <w:jc w:val="center"/>
        <w:textAlignment w:val="auto"/>
        <w:rPr>
          <w:rFonts w:hint="default" w:ascii="Times New Roman" w:hAnsi="Times New Roman" w:eastAsia="仿宋" w:cs="Times New Roman"/>
          <w:b/>
          <w:kern w:val="0"/>
          <w:sz w:val="32"/>
          <w:szCs w:val="32"/>
        </w:rPr>
      </w:pPr>
    </w:p>
    <w:p>
      <w:pPr>
        <w:keepNext w:val="0"/>
        <w:keepLines w:val="0"/>
        <w:pageBreakBefore w:val="0"/>
        <w:widowControl/>
        <w:kinsoku/>
        <w:wordWrap/>
        <w:overflowPunct/>
        <w:topLinePunct w:val="0"/>
        <w:bidi w:val="0"/>
        <w:spacing w:beforeAutospacing="0" w:afterAutospacing="0" w:line="540" w:lineRule="exact"/>
        <w:jc w:val="center"/>
        <w:textAlignment w:val="auto"/>
        <w:rPr>
          <w:rFonts w:hint="default" w:ascii="Times New Roman" w:hAnsi="Times New Roman" w:eastAsia="仿宋" w:cs="Times New Roman"/>
          <w:b/>
          <w:kern w:val="0"/>
          <w:sz w:val="32"/>
          <w:szCs w:val="32"/>
        </w:rPr>
      </w:pPr>
    </w:p>
    <w:p>
      <w:pPr>
        <w:keepNext w:val="0"/>
        <w:keepLines w:val="0"/>
        <w:pageBreakBefore w:val="0"/>
        <w:widowControl/>
        <w:kinsoku/>
        <w:wordWrap/>
        <w:overflowPunct/>
        <w:topLinePunct w:val="0"/>
        <w:bidi w:val="0"/>
        <w:spacing w:beforeAutospacing="0" w:afterAutospacing="0" w:line="540" w:lineRule="exact"/>
        <w:jc w:val="center"/>
        <w:textAlignment w:val="auto"/>
        <w:rPr>
          <w:rFonts w:hint="default" w:ascii="Times New Roman" w:hAnsi="Times New Roman" w:cs="Times New Roman"/>
          <w:b/>
          <w:kern w:val="0"/>
          <w:sz w:val="72"/>
          <w:szCs w:val="72"/>
        </w:rPr>
      </w:pPr>
    </w:p>
    <w:p>
      <w:pPr>
        <w:keepNext w:val="0"/>
        <w:keepLines w:val="0"/>
        <w:pageBreakBefore w:val="0"/>
        <w:widowControl/>
        <w:kinsoku/>
        <w:wordWrap/>
        <w:overflowPunct/>
        <w:topLinePunct w:val="0"/>
        <w:bidi w:val="0"/>
        <w:spacing w:beforeAutospacing="0" w:afterAutospacing="0" w:line="540" w:lineRule="exact"/>
        <w:jc w:val="center"/>
        <w:textAlignment w:val="auto"/>
        <w:rPr>
          <w:rFonts w:hint="default" w:ascii="Times New Roman" w:hAnsi="Times New Roman" w:cs="Times New Roman"/>
          <w:b/>
          <w:kern w:val="0"/>
          <w:sz w:val="72"/>
          <w:szCs w:val="72"/>
        </w:rPr>
      </w:pPr>
    </w:p>
    <w:p>
      <w:pPr>
        <w:keepNext w:val="0"/>
        <w:keepLines w:val="0"/>
        <w:pageBreakBefore w:val="0"/>
        <w:widowControl/>
        <w:kinsoku/>
        <w:wordWrap/>
        <w:overflowPunct/>
        <w:topLinePunct w:val="0"/>
        <w:bidi w:val="0"/>
        <w:spacing w:beforeAutospacing="0" w:afterAutospacing="0" w:line="540" w:lineRule="exact"/>
        <w:ind w:firstLine="2650" w:firstLineChars="600"/>
        <w:textAlignment w:val="auto"/>
        <w:rPr>
          <w:rFonts w:hint="default" w:ascii="Times New Roman" w:hAnsi="Times New Roman" w:cs="Times New Roman"/>
          <w:b/>
          <w:kern w:val="0"/>
          <w:sz w:val="44"/>
          <w:szCs w:val="44"/>
        </w:rPr>
      </w:pPr>
    </w:p>
    <w:p>
      <w:pPr>
        <w:keepNext w:val="0"/>
        <w:keepLines w:val="0"/>
        <w:pageBreakBefore w:val="0"/>
        <w:widowControl/>
        <w:kinsoku/>
        <w:wordWrap/>
        <w:overflowPunct/>
        <w:topLinePunct w:val="0"/>
        <w:bidi w:val="0"/>
        <w:spacing w:beforeAutospacing="0" w:afterAutospacing="0" w:line="540" w:lineRule="exact"/>
        <w:ind w:firstLine="2650" w:firstLineChars="600"/>
        <w:textAlignment w:val="auto"/>
        <w:rPr>
          <w:rFonts w:hint="default" w:ascii="Times New Roman" w:hAnsi="Times New Roman" w:cs="Times New Roman"/>
          <w:b/>
          <w:kern w:val="0"/>
          <w:sz w:val="44"/>
          <w:szCs w:val="44"/>
        </w:rPr>
      </w:pPr>
    </w:p>
    <w:p>
      <w:pPr>
        <w:keepNext w:val="0"/>
        <w:keepLines w:val="0"/>
        <w:pageBreakBefore w:val="0"/>
        <w:widowControl/>
        <w:kinsoku/>
        <w:wordWrap/>
        <w:overflowPunct/>
        <w:topLinePunct w:val="0"/>
        <w:bidi w:val="0"/>
        <w:spacing w:beforeAutospacing="0" w:afterAutospacing="0" w:line="540" w:lineRule="exact"/>
        <w:textAlignment w:val="auto"/>
        <w:rPr>
          <w:rFonts w:hint="default" w:ascii="Times New Roman" w:hAnsi="Times New Roman" w:eastAsia="黑体" w:cs="Times New Roman"/>
          <w:bCs/>
          <w:kern w:val="0"/>
          <w:sz w:val="48"/>
          <w:szCs w:val="48"/>
        </w:rPr>
      </w:pPr>
    </w:p>
    <w:p>
      <w:pPr>
        <w:keepNext w:val="0"/>
        <w:keepLines w:val="0"/>
        <w:pageBreakBefore w:val="0"/>
        <w:widowControl/>
        <w:kinsoku/>
        <w:wordWrap/>
        <w:overflowPunct/>
        <w:topLinePunct w:val="0"/>
        <w:bidi w:val="0"/>
        <w:spacing w:beforeAutospacing="0" w:afterAutospacing="0" w:line="540" w:lineRule="exact"/>
        <w:textAlignment w:val="auto"/>
        <w:rPr>
          <w:rFonts w:hint="default" w:ascii="Times New Roman" w:hAnsi="Times New Roman" w:eastAsia="楷体_GB2312" w:cs="Times New Roman"/>
          <w:bCs/>
          <w:kern w:val="0"/>
          <w:sz w:val="32"/>
          <w:szCs w:val="32"/>
        </w:rPr>
      </w:pPr>
    </w:p>
    <w:p>
      <w:pPr>
        <w:keepNext w:val="0"/>
        <w:keepLines w:val="0"/>
        <w:pageBreakBefore w:val="0"/>
        <w:kinsoku/>
        <w:wordWrap/>
        <w:overflowPunct/>
        <w:topLinePunct w:val="0"/>
        <w:bidi w:val="0"/>
        <w:spacing w:beforeAutospacing="0" w:afterAutospacing="0" w:line="54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pacing w:beforeAutospacing="0" w:afterAutospacing="0" w:line="54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pacing w:beforeAutospacing="0" w:afterAutospacing="0"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w:t>
      </w:r>
    </w:p>
    <w:p>
      <w:pPr>
        <w:keepNext w:val="0"/>
        <w:keepLines w:val="0"/>
        <w:pageBreakBefore w:val="0"/>
        <w:kinsoku/>
        <w:wordWrap/>
        <w:overflowPunct/>
        <w:topLinePunct w:val="0"/>
        <w:bidi w:val="0"/>
        <w:spacing w:beforeAutospacing="0" w:afterAutospacing="0"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□福利机构孤儿  □社会散居孤儿   □事实无人抚养儿童</w:t>
      </w:r>
    </w:p>
    <w:p>
      <w:pPr>
        <w:keepNext w:val="0"/>
        <w:keepLines w:val="0"/>
        <w:pageBreakBefore w:val="0"/>
        <w:kinsoku/>
        <w:wordWrap/>
        <w:overflowPunct/>
        <w:topLinePunct w:val="0"/>
        <w:bidi w:val="0"/>
        <w:spacing w:beforeAutospacing="0" w:afterAutospacing="0" w:line="540" w:lineRule="exact"/>
        <w:ind w:firstLine="1920" w:firstLineChars="6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pacing w:beforeAutospacing="0" w:afterAutospacing="0" w:line="540" w:lineRule="exact"/>
        <w:ind w:firstLine="1920" w:firstLineChars="6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pacing w:beforeAutospacing="0" w:afterAutospacing="0" w:line="540" w:lineRule="exact"/>
        <w:ind w:firstLine="1920" w:firstLineChars="6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pacing w:beforeAutospacing="0" w:afterAutospacing="0" w:line="540" w:lineRule="exact"/>
        <w:ind w:firstLine="2240" w:firstLineChars="7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归档单位：</w:t>
      </w:r>
    </w:p>
    <w:p>
      <w:pPr>
        <w:keepNext w:val="0"/>
        <w:keepLines w:val="0"/>
        <w:pageBreakBefore w:val="0"/>
        <w:kinsoku/>
        <w:wordWrap/>
        <w:overflowPunct/>
        <w:topLinePunct w:val="0"/>
        <w:bidi w:val="0"/>
        <w:spacing w:beforeAutospacing="0" w:afterAutospacing="0" w:line="54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归档日期：   年  月  日</w:t>
      </w:r>
    </w:p>
    <w:p>
      <w:pPr>
        <w:keepNext w:val="0"/>
        <w:keepLines w:val="0"/>
        <w:pageBreakBefore w:val="0"/>
        <w:kinsoku/>
        <w:wordWrap/>
        <w:overflowPunct/>
        <w:topLinePunct w:val="0"/>
        <w:bidi w:val="0"/>
        <w:spacing w:beforeAutospacing="0" w:afterAutospacing="0" w:line="54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bidi w:val="0"/>
        <w:snapToGrid w:val="0"/>
        <w:spacing w:beforeAutospacing="0" w:afterAutospacing="0" w:line="540" w:lineRule="exact"/>
        <w:textAlignment w:val="auto"/>
        <w:rPr>
          <w:rFonts w:hint="default" w:ascii="Times New Roman" w:hAnsi="Times New Roman" w:eastAsia="黑体" w:cs="Times New Roman"/>
          <w:sz w:val="36"/>
          <w:szCs w:val="32"/>
        </w:rPr>
      </w:pPr>
    </w:p>
    <w:p>
      <w:pPr>
        <w:keepNext w:val="0"/>
        <w:keepLines w:val="0"/>
        <w:pageBreakBefore w:val="0"/>
        <w:widowControl/>
        <w:kinsoku/>
        <w:wordWrap/>
        <w:overflowPunct/>
        <w:topLinePunct w:val="0"/>
        <w:bidi w:val="0"/>
        <w:snapToGrid w:val="0"/>
        <w:spacing w:beforeAutospacing="0" w:afterAutospacing="0" w:line="540" w:lineRule="exact"/>
        <w:jc w:val="center"/>
        <w:textAlignment w:val="auto"/>
        <w:rPr>
          <w:rFonts w:hint="default" w:ascii="Times New Roman" w:hAnsi="Times New Roman" w:eastAsia="黑体" w:cs="Times New Roman"/>
          <w:sz w:val="36"/>
          <w:szCs w:val="32"/>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5869940</wp:posOffset>
                </wp:positionH>
                <wp:positionV relativeFrom="paragraph">
                  <wp:posOffset>1116965</wp:posOffset>
                </wp:positionV>
                <wp:extent cx="153035" cy="133985"/>
                <wp:effectExtent l="4445" t="5080" r="13970" b="13335"/>
                <wp:wrapNone/>
                <wp:docPr id="1" name="文本框 1"/>
                <wp:cNvGraphicFramePr/>
                <a:graphic xmlns:a="http://schemas.openxmlformats.org/drawingml/2006/main">
                  <a:graphicData uri="http://schemas.microsoft.com/office/word/2010/wordprocessingShape">
                    <wps:wsp>
                      <wps:cNvSpPr txBox="1"/>
                      <wps:spPr>
                        <a:xfrm>
                          <a:off x="0" y="0"/>
                          <a:ext cx="153035" cy="1339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华文楷体" w:hAnsi="华文楷体" w:eastAsia="华文楷体" w:cs="华文楷体"/>
                                <w:sz w:val="36"/>
                                <w:szCs w:val="36"/>
                              </w:rPr>
                            </w:pPr>
                          </w:p>
                        </w:txbxContent>
                      </wps:txbx>
                      <wps:bodyPr upright="1"/>
                    </wps:wsp>
                  </a:graphicData>
                </a:graphic>
              </wp:anchor>
            </w:drawing>
          </mc:Choice>
          <mc:Fallback>
            <w:pict>
              <v:shape id="_x0000_s1026" o:spid="_x0000_s1026" o:spt="202" type="#_x0000_t202" style="position:absolute;left:0pt;margin-left:462.2pt;margin-top:87.95pt;height:10.55pt;width:12.05pt;z-index:251659264;mso-width-relative:page;mso-height-relative:page;" fillcolor="#FFFFFF" filled="t" stroked="t" coordsize="21600,21600" o:gfxdata="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0P&#10;FAXZAAAACwEAAA8AAAAAAAAAAQAgAAAAIgAAAGRycy9kb3ducmV2LnhtbFBLAQIUABQAAAAIAIdO&#10;4kCxxshi6QEAAOcDAAAOAAAAAAAAAAEAIAAAACgBAABkcnMvZTJvRG9jLnhtbFBLBQYAAAAABgAG&#10;AFkBAACDBQAAAAA=&#10;">
                <v:fill on="t" focussize="0,0"/>
                <v:stroke color="#FFFFFF" joinstyle="miter"/>
                <v:imagedata o:title=""/>
                <o:lock v:ext="edit" aspectratio="f"/>
                <v:textbox>
                  <w:txbxContent>
                    <w:p>
                      <w:pPr>
                        <w:rPr>
                          <w:rFonts w:hint="eastAsia" w:ascii="华文楷体" w:hAnsi="华文楷体" w:eastAsia="华文楷体" w:cs="华文楷体"/>
                          <w:sz w:val="36"/>
                          <w:szCs w:val="36"/>
                        </w:rPr>
                      </w:pPr>
                    </w:p>
                  </w:txbxContent>
                </v:textbox>
              </v:shape>
            </w:pict>
          </mc:Fallback>
        </mc:AlternateContent>
      </w:r>
      <w:r>
        <w:rPr>
          <w:rFonts w:hint="default" w:ascii="Times New Roman" w:hAnsi="Times New Roman" w:eastAsia="黑体" w:cs="Times New Roman"/>
          <w:sz w:val="36"/>
          <w:szCs w:val="32"/>
        </w:rPr>
        <w:t>安徽省民政厅儿童福利处制</w:t>
      </w:r>
    </w:p>
    <w:p>
      <w:pPr>
        <w:keepNext w:val="0"/>
        <w:keepLines w:val="0"/>
        <w:pageBreakBefore w:val="0"/>
        <w:widowControl/>
        <w:kinsoku/>
        <w:wordWrap/>
        <w:overflowPunct/>
        <w:topLinePunct w:val="0"/>
        <w:bidi w:val="0"/>
        <w:snapToGrid w:val="0"/>
        <w:spacing w:beforeAutospacing="0" w:afterAutospacing="0" w:line="540" w:lineRule="exact"/>
        <w:jc w:val="center"/>
        <w:textAlignment w:val="auto"/>
        <w:rPr>
          <w:rFonts w:hint="default" w:ascii="Times New Roman" w:hAnsi="Times New Roman" w:eastAsia="黑体" w:cs="Times New Roman"/>
          <w:sz w:val="36"/>
          <w:szCs w:val="32"/>
        </w:rPr>
      </w:pPr>
    </w:p>
    <w:p>
      <w:pPr>
        <w:keepNext w:val="0"/>
        <w:keepLines w:val="0"/>
        <w:pageBreakBefore w:val="0"/>
        <w:kinsoku/>
        <w:wordWrap/>
        <w:overflowPunct/>
        <w:topLinePunct w:val="0"/>
        <w:bidi w:val="0"/>
        <w:spacing w:beforeAutospacing="0" w:afterAutospacing="0" w:line="54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安徽省孤儿和事实无人抚养儿童基本生活费申请表</w:t>
      </w:r>
    </w:p>
    <w:p>
      <w:pPr>
        <w:keepNext w:val="0"/>
        <w:keepLines w:val="0"/>
        <w:pageBreakBefore w:val="0"/>
        <w:kinsoku/>
        <w:wordWrap/>
        <w:overflowPunct/>
        <w:topLinePunct w:val="0"/>
        <w:bidi w:val="0"/>
        <w:spacing w:beforeAutospacing="0" w:afterAutospacing="0" w:line="540" w:lineRule="exact"/>
        <w:jc w:val="both"/>
        <w:textAlignment w:val="auto"/>
        <w:rPr>
          <w:rFonts w:hint="default" w:ascii="Times New Roman" w:hAnsi="Times New Roman" w:eastAsia="仿宋_GB2312" w:cs="Times New Roman"/>
          <w:sz w:val="24"/>
          <w:szCs w:val="21"/>
        </w:rPr>
      </w:pPr>
      <w:r>
        <w:rPr>
          <w:rFonts w:hint="default" w:ascii="Times New Roman" w:hAnsi="Times New Roman" w:eastAsia="仿宋" w:cs="Times New Roman"/>
          <w:sz w:val="24"/>
          <w:szCs w:val="21"/>
        </w:rPr>
        <w:t xml:space="preserve"> </w:t>
      </w:r>
      <w:r>
        <w:rPr>
          <w:rFonts w:hint="default" w:ascii="Times New Roman" w:hAnsi="Times New Roman" w:eastAsia="仿宋" w:cs="Times New Roman"/>
          <w:sz w:val="24"/>
          <w:szCs w:val="21"/>
          <w:lang w:val="en-US" w:eastAsia="zh-CN"/>
        </w:rPr>
        <w:t xml:space="preserve">                                                    </w:t>
      </w:r>
      <w:r>
        <w:rPr>
          <w:rFonts w:hint="default" w:ascii="Times New Roman" w:hAnsi="Times New Roman" w:eastAsia="仿宋" w:cs="Times New Roman"/>
          <w:sz w:val="24"/>
          <w:szCs w:val="21"/>
          <w:lang w:eastAsia="zh-CN"/>
        </w:rPr>
        <w:t>编号：</w:t>
      </w:r>
      <w:r>
        <w:rPr>
          <w:rFonts w:hint="default" w:ascii="Times New Roman" w:hAnsi="Times New Roman" w:eastAsia="仿宋" w:cs="Times New Roman"/>
          <w:sz w:val="24"/>
          <w:szCs w:val="21"/>
        </w:rPr>
        <w:t xml:space="preserve">                                               </w:t>
      </w:r>
    </w:p>
    <w:tbl>
      <w:tblPr>
        <w:tblStyle w:val="5"/>
        <w:tblpPr w:leftFromText="180" w:rightFromText="180" w:vertAnchor="text" w:horzAnchor="margin" w:tblpX="-6" w:tblpY="211"/>
        <w:tblOverlap w:val="never"/>
        <w:tblW w:w="94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2"/>
        <w:gridCol w:w="1090"/>
        <w:gridCol w:w="287"/>
        <w:gridCol w:w="703"/>
        <w:gridCol w:w="63"/>
        <w:gridCol w:w="256"/>
        <w:gridCol w:w="383"/>
        <w:gridCol w:w="1297"/>
        <w:gridCol w:w="250"/>
        <w:gridCol w:w="2250"/>
        <w:gridCol w:w="422"/>
        <w:gridCol w:w="1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exact"/>
        </w:trPr>
        <w:tc>
          <w:tcPr>
            <w:tcW w:w="115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spacing w:line="360" w:lineRule="auto"/>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姓名</w:t>
            </w:r>
          </w:p>
          <w:p>
            <w:pPr>
              <w:autoSpaceDE w:val="0"/>
              <w:autoSpaceDN w:val="0"/>
              <w:adjustRightInd w:val="0"/>
              <w:jc w:val="center"/>
              <w:rPr>
                <w:rFonts w:hint="default" w:ascii="Times New Roman" w:hAnsi="Times New Roman" w:eastAsia="仿宋_GB2312" w:cs="Times New Roman"/>
                <w:sz w:val="24"/>
                <w:szCs w:val="21"/>
              </w:rPr>
            </w:pPr>
          </w:p>
        </w:tc>
        <w:tc>
          <w:tcPr>
            <w:tcW w:w="2399"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p>
        </w:tc>
        <w:tc>
          <w:tcPr>
            <w:tcW w:w="1680"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性别</w:t>
            </w:r>
          </w:p>
        </w:tc>
        <w:tc>
          <w:tcPr>
            <w:tcW w:w="2500"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p>
        </w:tc>
        <w:tc>
          <w:tcPr>
            <w:tcW w:w="1696" w:type="dxa"/>
            <w:gridSpan w:val="2"/>
            <w:vMerge w:val="restart"/>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p>
            <w:pPr>
              <w:autoSpaceDE w:val="0"/>
              <w:autoSpaceDN w:val="0"/>
              <w:adjustRightInd w:val="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近期免冠照片</w:t>
            </w:r>
          </w:p>
          <w:p>
            <w:pPr>
              <w:autoSpaceDE w:val="0"/>
              <w:autoSpaceDN w:val="0"/>
              <w:adjustRightInd w:val="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 xml:space="preserve">  （粘贴处）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115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出生日期</w:t>
            </w:r>
          </w:p>
        </w:tc>
        <w:tc>
          <w:tcPr>
            <w:tcW w:w="2399"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p>
        </w:tc>
        <w:tc>
          <w:tcPr>
            <w:tcW w:w="1680"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民族</w:t>
            </w:r>
          </w:p>
        </w:tc>
        <w:tc>
          <w:tcPr>
            <w:tcW w:w="2500"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p>
        </w:tc>
        <w:tc>
          <w:tcPr>
            <w:tcW w:w="1696" w:type="dxa"/>
            <w:gridSpan w:val="2"/>
            <w:vMerge w:val="continue"/>
            <w:tcBorders>
              <w:left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115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户籍状况</w:t>
            </w:r>
          </w:p>
        </w:tc>
        <w:tc>
          <w:tcPr>
            <w:tcW w:w="2399"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p>
        </w:tc>
        <w:tc>
          <w:tcPr>
            <w:tcW w:w="1680"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户籍所在地</w:t>
            </w:r>
          </w:p>
        </w:tc>
        <w:tc>
          <w:tcPr>
            <w:tcW w:w="2500"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p>
        </w:tc>
        <w:tc>
          <w:tcPr>
            <w:tcW w:w="1696" w:type="dxa"/>
            <w:gridSpan w:val="2"/>
            <w:vMerge w:val="continue"/>
            <w:tcBorders>
              <w:left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exact"/>
        </w:trPr>
        <w:tc>
          <w:tcPr>
            <w:tcW w:w="115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申请日期</w:t>
            </w:r>
          </w:p>
        </w:tc>
        <w:tc>
          <w:tcPr>
            <w:tcW w:w="2399"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p>
        </w:tc>
        <w:tc>
          <w:tcPr>
            <w:tcW w:w="1680"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身份证号</w:t>
            </w:r>
          </w:p>
        </w:tc>
        <w:tc>
          <w:tcPr>
            <w:tcW w:w="2500"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p>
        </w:tc>
        <w:tc>
          <w:tcPr>
            <w:tcW w:w="1696" w:type="dxa"/>
            <w:gridSpan w:val="2"/>
            <w:vMerge w:val="continue"/>
            <w:tcBorders>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exact"/>
        </w:trPr>
        <w:tc>
          <w:tcPr>
            <w:tcW w:w="115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pacing w:val="-20"/>
                <w:sz w:val="24"/>
                <w:szCs w:val="21"/>
              </w:rPr>
            </w:pPr>
            <w:r>
              <w:rPr>
                <w:rFonts w:hint="default" w:ascii="Times New Roman" w:hAnsi="Times New Roman" w:eastAsia="仿宋_GB2312" w:cs="Times New Roman"/>
                <w:spacing w:val="-20"/>
                <w:sz w:val="24"/>
                <w:szCs w:val="21"/>
              </w:rPr>
              <w:t>类型</w:t>
            </w:r>
          </w:p>
        </w:tc>
        <w:tc>
          <w:tcPr>
            <w:tcW w:w="8275" w:type="dxa"/>
            <w:gridSpan w:val="11"/>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ind w:firstLine="720" w:firstLineChars="30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sym w:font="Wingdings 2" w:char="00A3"/>
            </w:r>
            <w:r>
              <w:rPr>
                <w:rFonts w:hint="default" w:ascii="Times New Roman" w:hAnsi="Times New Roman" w:eastAsia="仿宋_GB2312" w:cs="Times New Roman"/>
                <w:sz w:val="24"/>
                <w:szCs w:val="21"/>
              </w:rPr>
              <w:t xml:space="preserve">孤儿          </w:t>
            </w:r>
            <w:r>
              <w:rPr>
                <w:rFonts w:hint="default" w:ascii="Times New Roman" w:hAnsi="Times New Roman" w:eastAsia="仿宋_GB2312" w:cs="Times New Roman"/>
                <w:sz w:val="24"/>
                <w:szCs w:val="21"/>
              </w:rPr>
              <w:sym w:font="Wingdings 2" w:char="00A3"/>
            </w:r>
            <w:r>
              <w:rPr>
                <w:rFonts w:hint="default" w:ascii="Times New Roman" w:hAnsi="Times New Roman" w:eastAsia="仿宋_GB2312" w:cs="Times New Roman"/>
                <w:sz w:val="24"/>
                <w:szCs w:val="21"/>
              </w:rPr>
              <w:t xml:space="preserve">事实无人抚养儿童         </w:t>
            </w:r>
            <w:r>
              <w:rPr>
                <w:rFonts w:hint="default" w:ascii="Times New Roman" w:hAnsi="Times New Roman" w:eastAsia="仿宋_GB2312" w:cs="Times New Roman"/>
                <w:sz w:val="24"/>
                <w:szCs w:val="21"/>
              </w:rPr>
              <w:sym w:font="Wingdings 2" w:char="00A3"/>
            </w:r>
            <w:r>
              <w:rPr>
                <w:rFonts w:hint="default" w:ascii="Times New Roman" w:hAnsi="Times New Roman" w:eastAsia="仿宋_GB2312" w:cs="Times New Roman"/>
                <w:sz w:val="24"/>
                <w:szCs w:val="21"/>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exact"/>
        </w:trPr>
        <w:tc>
          <w:tcPr>
            <w:tcW w:w="115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pacing w:val="-20"/>
                <w:sz w:val="24"/>
                <w:szCs w:val="21"/>
              </w:rPr>
              <w:t>儿童现住址</w:t>
            </w:r>
          </w:p>
        </w:tc>
        <w:tc>
          <w:tcPr>
            <w:tcW w:w="8275" w:type="dxa"/>
            <w:gridSpan w:val="11"/>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exact"/>
        </w:trPr>
        <w:tc>
          <w:tcPr>
            <w:tcW w:w="1152" w:type="dxa"/>
            <w:vMerge w:val="restart"/>
            <w:tcBorders>
              <w:top w:val="single" w:color="auto" w:sz="4" w:space="0"/>
              <w:left w:val="single" w:color="auto" w:sz="4" w:space="0"/>
              <w:right w:val="single" w:color="auto" w:sz="4" w:space="0"/>
            </w:tcBorders>
            <w:noWrap w:val="0"/>
            <w:tcMar>
              <w:left w:w="28" w:type="dxa"/>
              <w:right w:w="28" w:type="dxa"/>
            </w:tcMar>
            <w:vAlign w:val="center"/>
          </w:tcPr>
          <w:p>
            <w:pPr>
              <w:autoSpaceDE w:val="0"/>
              <w:autoSpaceDN w:val="0"/>
              <w:adjustRightInd w:val="0"/>
              <w:rPr>
                <w:rFonts w:hint="default" w:ascii="Times New Roman" w:hAnsi="Times New Roman" w:eastAsia="仿宋_GB2312" w:cs="Times New Roman"/>
                <w:sz w:val="24"/>
                <w:szCs w:val="21"/>
              </w:rPr>
            </w:pPr>
          </w:p>
          <w:p>
            <w:pPr>
              <w:autoSpaceDE w:val="0"/>
              <w:autoSpaceDN w:val="0"/>
              <w:adjustRightInd w:val="0"/>
              <w:rPr>
                <w:rFonts w:hint="default" w:ascii="Times New Roman" w:hAnsi="Times New Roman" w:eastAsia="仿宋_GB2312" w:cs="Times New Roman"/>
                <w:sz w:val="24"/>
                <w:szCs w:val="21"/>
              </w:rPr>
            </w:pPr>
          </w:p>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b/>
                <w:bCs/>
                <w:sz w:val="24"/>
                <w:szCs w:val="21"/>
              </w:rPr>
              <w:t>儿童父母情况</w:t>
            </w:r>
          </w:p>
        </w:tc>
        <w:tc>
          <w:tcPr>
            <w:tcW w:w="1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关系</w:t>
            </w:r>
          </w:p>
        </w:tc>
        <w:tc>
          <w:tcPr>
            <w:tcW w:w="105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姓名</w:t>
            </w:r>
          </w:p>
        </w:tc>
        <w:tc>
          <w:tcPr>
            <w:tcW w:w="193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身份证号码</w:t>
            </w:r>
          </w:p>
        </w:tc>
        <w:tc>
          <w:tcPr>
            <w:tcW w:w="292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现状况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7" w:hRule="exact"/>
        </w:trPr>
        <w:tc>
          <w:tcPr>
            <w:tcW w:w="1152" w:type="dxa"/>
            <w:vMerge w:val="continue"/>
            <w:tcBorders>
              <w:left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p>
        </w:tc>
        <w:tc>
          <w:tcPr>
            <w:tcW w:w="1090" w:type="dxa"/>
            <w:tcBorders>
              <w:top w:val="single" w:color="auto" w:sz="4" w:space="0"/>
              <w:left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父亲</w:t>
            </w:r>
          </w:p>
        </w:tc>
        <w:tc>
          <w:tcPr>
            <w:tcW w:w="1053" w:type="dxa"/>
            <w:gridSpan w:val="3"/>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tc>
        <w:tc>
          <w:tcPr>
            <w:tcW w:w="1936" w:type="dxa"/>
            <w:gridSpan w:val="3"/>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tc>
        <w:tc>
          <w:tcPr>
            <w:tcW w:w="292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□死亡 □失踪 □重病 □重残 □失联 □服刑在押 □精神疾病□完全丧失劳动能力□强制隔离戒毒 □被执行其他限制人身自由的措施 □其他：</w:t>
            </w:r>
            <w:r>
              <w:rPr>
                <w:rFonts w:hint="default" w:ascii="Times New Roman" w:hAnsi="Times New Roman" w:eastAsia="仿宋_GB2312" w:cs="Times New Roman"/>
                <w:color w:val="FFFFFF"/>
                <w:sz w:val="24"/>
                <w:szCs w:val="21"/>
                <w:u w:val="single"/>
              </w:rPr>
              <w:t>。</w:t>
            </w:r>
          </w:p>
        </w:tc>
        <w:tc>
          <w:tcPr>
            <w:tcW w:w="1274" w:type="dxa"/>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2" w:hRule="exact"/>
        </w:trPr>
        <w:tc>
          <w:tcPr>
            <w:tcW w:w="1152" w:type="dxa"/>
            <w:vMerge w:val="continue"/>
            <w:tcBorders>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p>
        </w:tc>
        <w:tc>
          <w:tcPr>
            <w:tcW w:w="1090" w:type="dxa"/>
            <w:tcBorders>
              <w:top w:val="single" w:color="auto" w:sz="4" w:space="0"/>
              <w:left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母亲</w:t>
            </w:r>
          </w:p>
        </w:tc>
        <w:tc>
          <w:tcPr>
            <w:tcW w:w="1053" w:type="dxa"/>
            <w:gridSpan w:val="3"/>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tc>
        <w:tc>
          <w:tcPr>
            <w:tcW w:w="1936" w:type="dxa"/>
            <w:gridSpan w:val="3"/>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tc>
        <w:tc>
          <w:tcPr>
            <w:tcW w:w="292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□死亡 □失踪 □重病 □重残 □失联 □服刑在押 □精神疾病□完全丧失劳动能力 □强制隔离戒毒 □被执行其他限制人身自由的措施 □其他：</w:t>
            </w:r>
            <w:r>
              <w:rPr>
                <w:rFonts w:hint="default" w:ascii="Times New Roman" w:hAnsi="Times New Roman" w:eastAsia="仿宋_GB2312" w:cs="Times New Roman"/>
                <w:color w:val="FFFFFF"/>
                <w:sz w:val="24"/>
                <w:szCs w:val="21"/>
                <w:u w:val="single"/>
              </w:rPr>
              <w:t>结合（）</w:t>
            </w:r>
          </w:p>
        </w:tc>
        <w:tc>
          <w:tcPr>
            <w:tcW w:w="1274" w:type="dxa"/>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exact"/>
        </w:trPr>
        <w:tc>
          <w:tcPr>
            <w:tcW w:w="115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b/>
                <w:bCs/>
                <w:sz w:val="24"/>
                <w:szCs w:val="21"/>
              </w:rPr>
            </w:pPr>
            <w:r>
              <w:rPr>
                <w:rFonts w:hint="default" w:ascii="Times New Roman" w:hAnsi="Times New Roman" w:eastAsia="仿宋_GB2312" w:cs="Times New Roman"/>
                <w:b/>
                <w:bCs/>
                <w:sz w:val="24"/>
                <w:szCs w:val="21"/>
              </w:rPr>
              <w:t>儿童身体状况</w:t>
            </w:r>
          </w:p>
        </w:tc>
        <w:tc>
          <w:tcPr>
            <w:tcW w:w="8275" w:type="dxa"/>
            <w:gridSpan w:val="11"/>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□健康      □视力残疾   □听力残疾  □言语残疾  □智力残疾</w:t>
            </w:r>
          </w:p>
          <w:p>
            <w:pPr>
              <w:autoSpaceDE w:val="0"/>
              <w:autoSpaceDN w:val="0"/>
              <w:adjustRightIn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□肢体残疾  □精神残疾   □多重残疾  □重病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exact"/>
        </w:trPr>
        <w:tc>
          <w:tcPr>
            <w:tcW w:w="1152" w:type="dxa"/>
            <w:tcBorders>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b/>
                <w:bCs/>
                <w:sz w:val="24"/>
                <w:szCs w:val="21"/>
              </w:rPr>
            </w:pPr>
            <w:r>
              <w:rPr>
                <w:rFonts w:hint="default" w:ascii="Times New Roman" w:hAnsi="Times New Roman" w:eastAsia="仿宋_GB2312" w:cs="Times New Roman"/>
                <w:b/>
                <w:bCs/>
                <w:sz w:val="24"/>
                <w:szCs w:val="21"/>
              </w:rPr>
              <w:t>儿童工学情况</w:t>
            </w:r>
          </w:p>
        </w:tc>
        <w:tc>
          <w:tcPr>
            <w:tcW w:w="8275" w:type="dxa"/>
            <w:gridSpan w:val="11"/>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□学龄前  □小学  □初中   □高中或职业高中  □技校        □中专</w:t>
            </w:r>
          </w:p>
          <w:p>
            <w:pPr>
              <w:autoSpaceDE w:val="0"/>
              <w:autoSpaceDN w:val="0"/>
              <w:adjustRightIn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□大专    □本科  □研究生 □失学   □特教   □无就学能力  □待业   □就业    □其他：</w:t>
            </w:r>
            <w:r>
              <w:rPr>
                <w:rFonts w:hint="default" w:ascii="Times New Roman" w:hAnsi="Times New Roman" w:eastAsia="仿宋_GB2312" w:cs="Times New Roman"/>
                <w:sz w:val="24"/>
                <w:szCs w:val="21"/>
                <w:u w:val="single"/>
              </w:rPr>
              <w:t xml:space="preserve">          </w:t>
            </w:r>
            <w:r>
              <w:rPr>
                <w:rFonts w:hint="default" w:ascii="Times New Roman" w:hAnsi="Times New Roman" w:eastAsia="仿宋_GB2312" w:cs="Times New Roman"/>
                <w:color w:val="FFFFFF"/>
                <w:sz w:val="24"/>
                <w:szCs w:val="21"/>
                <w:u w:val="singl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exact"/>
        </w:trPr>
        <w:tc>
          <w:tcPr>
            <w:tcW w:w="1152" w:type="dxa"/>
            <w:vMerge w:val="restart"/>
            <w:tcBorders>
              <w:top w:val="single" w:color="auto" w:sz="4" w:space="0"/>
              <w:left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b/>
                <w:bCs/>
                <w:sz w:val="24"/>
                <w:szCs w:val="21"/>
              </w:rPr>
            </w:pPr>
          </w:p>
          <w:p>
            <w:pPr>
              <w:autoSpaceDE w:val="0"/>
              <w:autoSpaceDN w:val="0"/>
              <w:adjustRightInd w:val="0"/>
              <w:jc w:val="center"/>
              <w:rPr>
                <w:rFonts w:hint="default" w:ascii="Times New Roman" w:hAnsi="Times New Roman" w:eastAsia="仿宋_GB2312" w:cs="Times New Roman"/>
                <w:b/>
                <w:bCs/>
                <w:sz w:val="24"/>
                <w:szCs w:val="21"/>
              </w:rPr>
            </w:pPr>
            <w:r>
              <w:rPr>
                <w:rFonts w:hint="default" w:ascii="Times New Roman" w:hAnsi="Times New Roman" w:eastAsia="仿宋_GB2312" w:cs="Times New Roman"/>
                <w:b/>
                <w:bCs/>
                <w:sz w:val="24"/>
                <w:szCs w:val="21"/>
              </w:rPr>
              <w:t>履行监护责任人员情况</w:t>
            </w:r>
          </w:p>
        </w:tc>
        <w:tc>
          <w:tcPr>
            <w:tcW w:w="1377"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姓名</w:t>
            </w:r>
          </w:p>
        </w:tc>
        <w:tc>
          <w:tcPr>
            <w:tcW w:w="7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性别</w:t>
            </w:r>
          </w:p>
        </w:tc>
        <w:tc>
          <w:tcPr>
            <w:tcW w:w="70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关系</w:t>
            </w:r>
          </w:p>
        </w:tc>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身份证号码</w:t>
            </w:r>
          </w:p>
        </w:tc>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工作单位或家庭住址</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exact"/>
        </w:trPr>
        <w:tc>
          <w:tcPr>
            <w:tcW w:w="1152" w:type="dxa"/>
            <w:vMerge w:val="continue"/>
            <w:tcBorders>
              <w:left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p>
        </w:tc>
        <w:tc>
          <w:tcPr>
            <w:tcW w:w="1377"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tc>
        <w:tc>
          <w:tcPr>
            <w:tcW w:w="70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tc>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tc>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default" w:ascii="Times New Roman" w:hAnsi="Times New Roman" w:eastAsia="仿宋_GB2312" w:cs="Times New Roman"/>
                <w:sz w:val="24"/>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exact"/>
        </w:trPr>
        <w:tc>
          <w:tcPr>
            <w:tcW w:w="1152" w:type="dxa"/>
            <w:vMerge w:val="continue"/>
            <w:tcBorders>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rPr>
                <w:rFonts w:hint="default" w:ascii="Times New Roman" w:hAnsi="Times New Roman" w:eastAsia="仿宋_GB2312" w:cs="Times New Roman"/>
                <w:sz w:val="24"/>
                <w:szCs w:val="21"/>
              </w:rPr>
            </w:pPr>
          </w:p>
        </w:tc>
        <w:tc>
          <w:tcPr>
            <w:tcW w:w="1377"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tc>
        <w:tc>
          <w:tcPr>
            <w:tcW w:w="70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tc>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tc>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default" w:ascii="Times New Roman" w:hAnsi="Times New Roman" w:eastAsia="仿宋_GB2312" w:cs="Times New Roman"/>
                <w:sz w:val="24"/>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trPr>
        <w:tc>
          <w:tcPr>
            <w:tcW w:w="1152" w:type="dxa"/>
            <w:vMerge w:val="restart"/>
            <w:tcBorders>
              <w:top w:val="single" w:color="auto" w:sz="4" w:space="0"/>
              <w:left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b/>
                <w:bCs/>
                <w:sz w:val="24"/>
                <w:szCs w:val="21"/>
              </w:rPr>
              <w:t>其他主要社会关系</w:t>
            </w:r>
          </w:p>
        </w:tc>
        <w:tc>
          <w:tcPr>
            <w:tcW w:w="1377"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姓名</w:t>
            </w:r>
          </w:p>
        </w:tc>
        <w:tc>
          <w:tcPr>
            <w:tcW w:w="7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性别</w:t>
            </w:r>
          </w:p>
        </w:tc>
        <w:tc>
          <w:tcPr>
            <w:tcW w:w="70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关系</w:t>
            </w:r>
          </w:p>
        </w:tc>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身份证号码</w:t>
            </w:r>
          </w:p>
        </w:tc>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工作单位或家庭住址</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exact"/>
        </w:trPr>
        <w:tc>
          <w:tcPr>
            <w:tcW w:w="1152" w:type="dxa"/>
            <w:vMerge w:val="continue"/>
            <w:tcBorders>
              <w:left w:val="single" w:color="auto" w:sz="4" w:space="0"/>
              <w:right w:val="single" w:color="auto" w:sz="4" w:space="0"/>
            </w:tcBorders>
            <w:noWrap w:val="0"/>
            <w:tcMar>
              <w:left w:w="28" w:type="dxa"/>
              <w:right w:w="28" w:type="dxa"/>
            </w:tcMar>
            <w:vAlign w:val="center"/>
          </w:tcPr>
          <w:p>
            <w:pPr>
              <w:autoSpaceDE w:val="0"/>
              <w:autoSpaceDN w:val="0"/>
              <w:adjustRightInd w:val="0"/>
              <w:rPr>
                <w:rFonts w:hint="default" w:ascii="Times New Roman" w:hAnsi="Times New Roman" w:eastAsia="仿宋_GB2312" w:cs="Times New Roman"/>
                <w:sz w:val="24"/>
                <w:szCs w:val="21"/>
              </w:rPr>
            </w:pPr>
          </w:p>
        </w:tc>
        <w:tc>
          <w:tcPr>
            <w:tcW w:w="1377"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tc>
        <w:tc>
          <w:tcPr>
            <w:tcW w:w="70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tc>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tc>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default" w:ascii="Times New Roman" w:hAnsi="Times New Roman" w:eastAsia="仿宋_GB2312" w:cs="Times New Roman"/>
                <w:sz w:val="24"/>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152" w:type="dxa"/>
            <w:vMerge w:val="continue"/>
            <w:tcBorders>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rPr>
                <w:rFonts w:hint="default" w:ascii="Times New Roman" w:hAnsi="Times New Roman" w:eastAsia="仿宋" w:cs="Times New Roman"/>
                <w:sz w:val="24"/>
                <w:szCs w:val="21"/>
              </w:rPr>
            </w:pPr>
          </w:p>
        </w:tc>
        <w:tc>
          <w:tcPr>
            <w:tcW w:w="1377"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 w:cs="Times New Roman"/>
                <w:sz w:val="24"/>
                <w:szCs w:val="21"/>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 w:cs="Times New Roman"/>
                <w:sz w:val="24"/>
                <w:szCs w:val="21"/>
              </w:rPr>
            </w:pPr>
          </w:p>
        </w:tc>
        <w:tc>
          <w:tcPr>
            <w:tcW w:w="70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 w:cs="Times New Roman"/>
                <w:sz w:val="24"/>
                <w:szCs w:val="21"/>
              </w:rPr>
            </w:pPr>
          </w:p>
        </w:tc>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 w:cs="Times New Roman"/>
                <w:sz w:val="24"/>
                <w:szCs w:val="21"/>
              </w:rPr>
            </w:pPr>
          </w:p>
        </w:tc>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default" w:ascii="Times New Roman" w:hAnsi="Times New Roman" w:eastAsia="仿宋" w:cs="Times New Roman"/>
                <w:sz w:val="24"/>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 w:cs="Times New Roman"/>
                <w:sz w:val="24"/>
                <w:szCs w:val="21"/>
              </w:rPr>
            </w:pPr>
          </w:p>
        </w:tc>
      </w:tr>
    </w:tbl>
    <w:tbl>
      <w:tblPr>
        <w:tblStyle w:val="5"/>
        <w:tblpPr w:leftFromText="180" w:rightFromText="180" w:vertAnchor="text" w:horzAnchor="margin" w:tblpY="22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1"/>
        <w:gridCol w:w="1238"/>
        <w:gridCol w:w="1456"/>
        <w:gridCol w:w="209"/>
        <w:gridCol w:w="1350"/>
        <w:gridCol w:w="270"/>
        <w:gridCol w:w="1006"/>
        <w:gridCol w:w="554"/>
        <w:gridCol w:w="721"/>
        <w:gridCol w:w="1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9497" w:type="dxa"/>
            <w:gridSpan w:val="10"/>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ind w:firstLine="118" w:firstLineChars="49"/>
              <w:jc w:val="left"/>
              <w:rPr>
                <w:rFonts w:hint="default" w:ascii="Times New Roman" w:hAnsi="Times New Roman" w:eastAsia="仿宋_GB2312" w:cs="Times New Roman"/>
                <w:b/>
                <w:sz w:val="24"/>
                <w:szCs w:val="21"/>
              </w:rPr>
            </w:pPr>
            <w:r>
              <w:rPr>
                <w:rFonts w:hint="default" w:ascii="Times New Roman" w:hAnsi="Times New Roman" w:eastAsia="仿宋_GB2312" w:cs="Times New Roman"/>
                <w:b/>
                <w:sz w:val="24"/>
                <w:szCs w:val="21"/>
              </w:rPr>
              <w:t>基本生活补贴发放情况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69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领取方式</w:t>
            </w:r>
          </w:p>
        </w:tc>
        <w:tc>
          <w:tcPr>
            <w:tcW w:w="2694"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□银行转账 □现金领取</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起领年月</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保障金额</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仿宋_GB2312" w:cs="Times New Roman"/>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exact"/>
        </w:trPr>
        <w:tc>
          <w:tcPr>
            <w:tcW w:w="169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开户人</w:t>
            </w:r>
          </w:p>
        </w:tc>
        <w:tc>
          <w:tcPr>
            <w:tcW w:w="123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 xml:space="preserve"> </w:t>
            </w:r>
          </w:p>
        </w:tc>
        <w:tc>
          <w:tcPr>
            <w:tcW w:w="166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领取人</w:t>
            </w:r>
          </w:p>
        </w:tc>
        <w:tc>
          <w:tcPr>
            <w:tcW w:w="1620"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p>
        </w:tc>
        <w:tc>
          <w:tcPr>
            <w:tcW w:w="1560"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领取人与儿童关系</w:t>
            </w:r>
          </w:p>
          <w:p>
            <w:pPr>
              <w:autoSpaceDE w:val="0"/>
              <w:autoSpaceDN w:val="0"/>
              <w:adjustRightInd w:val="0"/>
              <w:jc w:val="center"/>
              <w:rPr>
                <w:rFonts w:hint="default" w:ascii="Times New Roman" w:hAnsi="Times New Roman" w:eastAsia="仿宋_GB2312" w:cs="Times New Roman"/>
                <w:sz w:val="24"/>
                <w:szCs w:val="21"/>
              </w:rPr>
            </w:pPr>
          </w:p>
        </w:tc>
        <w:tc>
          <w:tcPr>
            <w:tcW w:w="1723"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trPr>
        <w:tc>
          <w:tcPr>
            <w:tcW w:w="169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开户银行</w:t>
            </w:r>
          </w:p>
        </w:tc>
        <w:tc>
          <w:tcPr>
            <w:tcW w:w="2694"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p>
        </w:tc>
        <w:tc>
          <w:tcPr>
            <w:tcW w:w="1559"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银行账号</w:t>
            </w:r>
          </w:p>
        </w:tc>
        <w:tc>
          <w:tcPr>
            <w:tcW w:w="3553"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69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ind w:firstLine="118" w:firstLineChars="49"/>
              <w:jc w:val="left"/>
              <w:rPr>
                <w:rFonts w:hint="default" w:ascii="Times New Roman" w:hAnsi="Times New Roman" w:eastAsia="仿宋_GB2312" w:cs="Times New Roman"/>
                <w:b/>
                <w:sz w:val="24"/>
                <w:szCs w:val="21"/>
              </w:rPr>
            </w:pPr>
            <w:r>
              <w:rPr>
                <w:rFonts w:hint="default" w:ascii="Times New Roman" w:hAnsi="Times New Roman" w:eastAsia="仿宋_GB2312" w:cs="Times New Roman"/>
                <w:b/>
                <w:sz w:val="24"/>
                <w:szCs w:val="21"/>
              </w:rPr>
              <w:t>其他救助情况</w:t>
            </w:r>
          </w:p>
        </w:tc>
        <w:tc>
          <w:tcPr>
            <w:tcW w:w="7806"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18" w:firstLineChars="49"/>
              <w:jc w:val="left"/>
              <w:rPr>
                <w:rFonts w:hint="default" w:ascii="Times New Roman" w:hAnsi="Times New Roman" w:eastAsia="仿宋_GB2312" w:cs="Times New Roman"/>
                <w:b/>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trPr>
        <w:tc>
          <w:tcPr>
            <w:tcW w:w="169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ind w:firstLine="118" w:firstLineChars="49"/>
              <w:jc w:val="left"/>
              <w:rPr>
                <w:rFonts w:hint="default" w:ascii="Times New Roman" w:hAnsi="Times New Roman" w:eastAsia="仿宋_GB2312" w:cs="Times New Roman"/>
                <w:b/>
                <w:sz w:val="24"/>
                <w:szCs w:val="21"/>
              </w:rPr>
            </w:pPr>
            <w:r>
              <w:rPr>
                <w:rFonts w:hint="default" w:ascii="Times New Roman" w:hAnsi="Times New Roman" w:eastAsia="仿宋_GB2312" w:cs="Times New Roman"/>
                <w:b/>
                <w:sz w:val="24"/>
                <w:szCs w:val="21"/>
              </w:rPr>
              <w:t>诚信承诺情况</w:t>
            </w:r>
          </w:p>
        </w:tc>
        <w:tc>
          <w:tcPr>
            <w:tcW w:w="7806"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18" w:firstLineChars="49"/>
              <w:jc w:val="left"/>
              <w:rPr>
                <w:rFonts w:hint="default" w:ascii="Times New Roman" w:hAnsi="Times New Roman" w:eastAsia="仿宋_GB2312" w:cs="Times New Roman"/>
                <w:b/>
                <w:sz w:val="24"/>
                <w:szCs w:val="21"/>
              </w:rPr>
            </w:pPr>
            <w:r>
              <w:rPr>
                <w:rFonts w:hint="default" w:ascii="Times New Roman" w:hAnsi="Times New Roman" w:eastAsia="仿宋_GB2312" w:cs="Times New Roman"/>
                <w:b/>
                <w:sz w:val="24"/>
                <w:szCs w:val="21"/>
              </w:rPr>
              <w:t xml:space="preserve">（我保证以上所有信息真实、准确、有效，如有不实，自愿退还已领取的所有生活费并承担失信后果） </w:t>
            </w:r>
          </w:p>
          <w:p>
            <w:pPr>
              <w:autoSpaceDE w:val="0"/>
              <w:autoSpaceDN w:val="0"/>
              <w:adjustRightInd w:val="0"/>
              <w:ind w:firstLine="118" w:firstLineChars="49"/>
              <w:jc w:val="left"/>
              <w:rPr>
                <w:rFonts w:hint="default" w:ascii="Times New Roman" w:hAnsi="Times New Roman" w:eastAsia="仿宋_GB2312" w:cs="Times New Roman"/>
                <w:b/>
                <w:sz w:val="24"/>
                <w:szCs w:val="21"/>
              </w:rPr>
            </w:pPr>
            <w:r>
              <w:rPr>
                <w:rFonts w:hint="default" w:ascii="Times New Roman" w:hAnsi="Times New Roman" w:eastAsia="仿宋_GB2312" w:cs="Times New Roman"/>
                <w:b/>
                <w:sz w:val="24"/>
                <w:szCs w:val="21"/>
              </w:rPr>
              <w:t xml:space="preserve">             </w:t>
            </w:r>
            <w:r>
              <w:rPr>
                <w:rFonts w:hint="default" w:ascii="Times New Roman" w:hAnsi="Times New Roman" w:eastAsia="仿宋_GB2312" w:cs="Times New Roman"/>
                <w:bCs/>
                <w:sz w:val="24"/>
                <w:szCs w:val="21"/>
              </w:rPr>
              <w:t>孤儿或监护人签名（按手印）：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2" w:hRule="atLeast"/>
        </w:trPr>
        <w:tc>
          <w:tcPr>
            <w:tcW w:w="169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jc w:val="center"/>
              <w:rPr>
                <w:rFonts w:hint="default" w:ascii="Times New Roman" w:hAnsi="Times New Roman" w:eastAsia="仿宋_GB2312" w:cs="Times New Roman"/>
                <w:b/>
                <w:bCs/>
                <w:sz w:val="24"/>
                <w:szCs w:val="21"/>
              </w:rPr>
            </w:pPr>
            <w:r>
              <w:rPr>
                <w:rFonts w:hint="default" w:ascii="Times New Roman" w:hAnsi="Times New Roman" w:eastAsia="仿宋_GB2312" w:cs="Times New Roman"/>
                <w:b/>
                <w:bCs/>
                <w:sz w:val="24"/>
                <w:szCs w:val="21"/>
              </w:rPr>
              <w:t>镇人民政府</w:t>
            </w:r>
          </w:p>
          <w:p>
            <w:pPr>
              <w:autoSpaceDE w:val="0"/>
              <w:autoSpaceDN w:val="0"/>
              <w:adjustRightInd w:val="0"/>
              <w:jc w:val="center"/>
              <w:rPr>
                <w:rFonts w:hint="default" w:ascii="Times New Roman" w:hAnsi="Times New Roman" w:eastAsia="仿宋_GB2312" w:cs="Times New Roman"/>
                <w:b/>
                <w:bCs/>
                <w:spacing w:val="-12"/>
                <w:sz w:val="24"/>
                <w:szCs w:val="21"/>
              </w:rPr>
            </w:pPr>
            <w:r>
              <w:rPr>
                <w:rFonts w:hint="default" w:ascii="Times New Roman" w:hAnsi="Times New Roman" w:eastAsia="仿宋_GB2312" w:cs="Times New Roman"/>
                <w:b/>
                <w:bCs/>
                <w:spacing w:val="-12"/>
                <w:sz w:val="24"/>
                <w:szCs w:val="21"/>
              </w:rPr>
              <w:t>（街道办事处）</w:t>
            </w:r>
          </w:p>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b/>
                <w:bCs/>
                <w:spacing w:val="-12"/>
                <w:sz w:val="24"/>
                <w:szCs w:val="21"/>
              </w:rPr>
              <w:t>审核</w:t>
            </w:r>
            <w:r>
              <w:rPr>
                <w:rFonts w:hint="default" w:ascii="Times New Roman" w:hAnsi="Times New Roman" w:eastAsia="仿宋_GB2312" w:cs="Times New Roman"/>
                <w:b/>
                <w:bCs/>
                <w:sz w:val="24"/>
                <w:szCs w:val="21"/>
              </w:rPr>
              <w:t>意见</w:t>
            </w:r>
          </w:p>
        </w:tc>
        <w:tc>
          <w:tcPr>
            <w:tcW w:w="7806" w:type="dxa"/>
            <w:gridSpan w:val="9"/>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autoSpaceDE w:val="0"/>
              <w:autoSpaceDN w:val="0"/>
              <w:adjustRightInd w:val="0"/>
              <w:ind w:firstLine="480" w:firstLineChars="20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经查验，---符合-- 、------------保障条件，建议予以审核。</w:t>
            </w:r>
          </w:p>
          <w:p>
            <w:pPr>
              <w:autoSpaceDE w:val="0"/>
              <w:autoSpaceDN w:val="0"/>
              <w:adjustRightInd w:val="0"/>
              <w:jc w:val="left"/>
              <w:rPr>
                <w:rFonts w:hint="default" w:ascii="Times New Roman" w:hAnsi="Times New Roman" w:eastAsia="仿宋_GB2312" w:cs="Times New Roman"/>
                <w:sz w:val="24"/>
                <w:szCs w:val="21"/>
              </w:rPr>
            </w:pPr>
          </w:p>
          <w:p>
            <w:pPr>
              <w:autoSpaceDE w:val="0"/>
              <w:autoSpaceDN w:val="0"/>
              <w:adjustRightIn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经办人：     查验人：        审核人:           （单位盖章）</w:t>
            </w:r>
          </w:p>
          <w:p>
            <w:pPr>
              <w:autoSpaceDE w:val="0"/>
              <w:autoSpaceDN w:val="0"/>
              <w:adjustRightInd w:val="0"/>
              <w:jc w:val="left"/>
              <w:rPr>
                <w:rFonts w:hint="default" w:ascii="Times New Roman" w:hAnsi="Times New Roman" w:eastAsia="仿宋_GB2312" w:cs="Times New Roman"/>
                <w:sz w:val="24"/>
                <w:szCs w:val="21"/>
              </w:rPr>
            </w:pPr>
          </w:p>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 xml:space="preserve">                               审核日期: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3" w:hRule="atLeast"/>
        </w:trPr>
        <w:tc>
          <w:tcPr>
            <w:tcW w:w="169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b/>
                <w:bCs/>
                <w:sz w:val="24"/>
                <w:szCs w:val="21"/>
              </w:rPr>
              <w:t>县</w:t>
            </w:r>
            <w:r>
              <w:rPr>
                <w:rFonts w:hint="eastAsia" w:eastAsia="仿宋_GB2312" w:cs="Times New Roman"/>
                <w:b/>
                <w:bCs/>
                <w:sz w:val="24"/>
                <w:szCs w:val="21"/>
                <w:lang w:eastAsia="zh-CN"/>
              </w:rPr>
              <w:t>（区）</w:t>
            </w:r>
            <w:r>
              <w:rPr>
                <w:rFonts w:hint="default" w:ascii="Times New Roman" w:hAnsi="Times New Roman" w:eastAsia="仿宋_GB2312" w:cs="Times New Roman"/>
                <w:b/>
                <w:bCs/>
                <w:sz w:val="24"/>
                <w:szCs w:val="21"/>
              </w:rPr>
              <w:t>民政部门审批意见</w:t>
            </w:r>
          </w:p>
        </w:tc>
        <w:tc>
          <w:tcPr>
            <w:tcW w:w="7806" w:type="dxa"/>
            <w:gridSpan w:val="9"/>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autoSpaceDE w:val="0"/>
              <w:autoSpaceDN w:val="0"/>
              <w:adjustRightIn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 xml:space="preserve">    经复核，---符合--、-------- 保障条件，予以确认，从     年    月起发放基本生活费补贴。</w:t>
            </w:r>
          </w:p>
          <w:p>
            <w:pPr>
              <w:autoSpaceDE w:val="0"/>
              <w:autoSpaceDN w:val="0"/>
              <w:adjustRightInd w:val="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 xml:space="preserve">    </w:t>
            </w:r>
          </w:p>
          <w:p>
            <w:pPr>
              <w:autoSpaceDE w:val="0"/>
              <w:autoSpaceDN w:val="0"/>
              <w:adjustRightInd w:val="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 xml:space="preserve">    </w:t>
            </w:r>
          </w:p>
          <w:p>
            <w:pPr>
              <w:autoSpaceDE w:val="0"/>
              <w:autoSpaceDN w:val="0"/>
              <w:adjustRightInd w:val="0"/>
              <w:rPr>
                <w:rFonts w:hint="default" w:ascii="Times New Roman" w:hAnsi="Times New Roman" w:eastAsia="仿宋_GB2312" w:cs="Times New Roman"/>
                <w:sz w:val="24"/>
                <w:szCs w:val="21"/>
              </w:rPr>
            </w:pPr>
          </w:p>
          <w:p>
            <w:pPr>
              <w:autoSpaceDE w:val="0"/>
              <w:autoSpaceDN w:val="0"/>
              <w:adjustRightInd w:val="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经办人：     复核人：        审批人:           （单位盖章）</w:t>
            </w:r>
          </w:p>
          <w:p>
            <w:pPr>
              <w:autoSpaceDE w:val="0"/>
              <w:autoSpaceDN w:val="0"/>
              <w:adjustRightInd w:val="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 xml:space="preserve">    </w:t>
            </w:r>
          </w:p>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 xml:space="preserve">                              审批日期: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5" w:hRule="atLeast"/>
        </w:trPr>
        <w:tc>
          <w:tcPr>
            <w:tcW w:w="169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autoSpaceDE w:val="0"/>
              <w:autoSpaceDN w:val="0"/>
              <w:adjustRightIn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b/>
                <w:bCs/>
                <w:sz w:val="24"/>
                <w:szCs w:val="21"/>
              </w:rPr>
              <w:t>市级民政部门审批意见</w:t>
            </w:r>
          </w:p>
        </w:tc>
        <w:tc>
          <w:tcPr>
            <w:tcW w:w="7806" w:type="dxa"/>
            <w:gridSpan w:val="9"/>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autoSpaceDE w:val="0"/>
              <w:autoSpaceDN w:val="0"/>
              <w:adjustRightInd w:val="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 xml:space="preserve">    经复核，---符合--机构供养保障条件，予以确认，从     年    月起发放基本生活费补贴。</w:t>
            </w:r>
          </w:p>
          <w:p>
            <w:pPr>
              <w:autoSpaceDE w:val="0"/>
              <w:autoSpaceDN w:val="0"/>
              <w:adjustRightInd w:val="0"/>
              <w:rPr>
                <w:rFonts w:hint="default" w:ascii="Times New Roman" w:hAnsi="Times New Roman" w:eastAsia="仿宋_GB2312" w:cs="Times New Roman"/>
                <w:sz w:val="24"/>
                <w:szCs w:val="21"/>
              </w:rPr>
            </w:pPr>
          </w:p>
          <w:p>
            <w:pPr>
              <w:autoSpaceDE w:val="0"/>
              <w:autoSpaceDN w:val="0"/>
              <w:adjustRightInd w:val="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 xml:space="preserve">    </w:t>
            </w:r>
          </w:p>
          <w:p>
            <w:pPr>
              <w:autoSpaceDE w:val="0"/>
              <w:autoSpaceDN w:val="0"/>
              <w:adjustRightInd w:val="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经办人：     复核人：        审批人:           （单位盖章）</w:t>
            </w:r>
          </w:p>
          <w:p>
            <w:pPr>
              <w:autoSpaceDE w:val="0"/>
              <w:autoSpaceDN w:val="0"/>
              <w:adjustRightInd w:val="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 xml:space="preserve">    </w:t>
            </w:r>
          </w:p>
          <w:p>
            <w:pPr>
              <w:autoSpaceDE w:val="0"/>
              <w:autoSpaceDN w:val="0"/>
              <w:adjustRightInd w:val="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 xml:space="preserve">                                  审批日期:     年  月  日</w:t>
            </w:r>
          </w:p>
        </w:tc>
      </w:tr>
    </w:tbl>
    <w:p>
      <w:pPr>
        <w:spacing w:line="400" w:lineRule="exact"/>
        <w:jc w:val="left"/>
        <w:rPr>
          <w:rFonts w:hint="default" w:ascii="Times New Roman" w:hAnsi="Times New Roman" w:cs="Times New Roman"/>
          <w:sz w:val="24"/>
        </w:rPr>
      </w:pPr>
      <w:r>
        <w:rPr>
          <w:rFonts w:hint="default" w:ascii="Times New Roman" w:hAnsi="Times New Roman" w:eastAsia="仿宋_GB2312" w:cs="Times New Roman"/>
          <w:b/>
          <w:bCs/>
          <w:sz w:val="24"/>
        </w:rPr>
        <w:t>备注：</w:t>
      </w:r>
      <w:r>
        <w:rPr>
          <w:rFonts w:hint="default" w:ascii="Times New Roman" w:hAnsi="Times New Roman" w:eastAsia="仿宋_GB2312" w:cs="Times New Roman"/>
          <w:sz w:val="24"/>
        </w:rPr>
        <w:t>此表一式三份，分别由儿童监护人、镇（街道）、县</w:t>
      </w:r>
      <w:r>
        <w:rPr>
          <w:rFonts w:hint="eastAsia" w:eastAsia="仿宋_GB2312" w:cs="Times New Roman"/>
          <w:sz w:val="24"/>
          <w:lang w:eastAsia="zh-CN"/>
        </w:rPr>
        <w:t>（区）</w:t>
      </w:r>
      <w:r>
        <w:rPr>
          <w:rFonts w:hint="default" w:ascii="Times New Roman" w:hAnsi="Times New Roman" w:eastAsia="仿宋_GB2312" w:cs="Times New Roman"/>
          <w:sz w:val="24"/>
        </w:rPr>
        <w:t>民政部门各存一份。福利机构集中养育的孤儿，由本级机构存档。</w:t>
      </w:r>
    </w:p>
    <w:p>
      <w:pPr>
        <w:keepNext w:val="0"/>
        <w:keepLines w:val="0"/>
        <w:pageBreakBefore w:val="0"/>
        <w:kinsoku/>
        <w:wordWrap/>
        <w:overflowPunct/>
        <w:topLinePunct w:val="0"/>
        <w:bidi w:val="0"/>
        <w:spacing w:beforeAutospacing="0" w:afterAutospacing="0" w:line="540" w:lineRule="exact"/>
        <w:textAlignment w:val="auto"/>
        <w:rPr>
          <w:rFonts w:hint="default" w:ascii="Times New Roman" w:hAnsi="Times New Roman"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06D0B"/>
    <w:rsid w:val="25706D0B"/>
    <w:rsid w:val="34A56F07"/>
    <w:rsid w:val="38D471D8"/>
    <w:rsid w:val="42410EC9"/>
    <w:rsid w:val="63446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248</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2020-04-20T07:05:00Z</dcterms:created>
  <dc:creator>且把时光炖了</dc:creator>
  <cp:lastModifiedBy>м ._乖,</cp:lastModifiedBy>
  <dcterms:modified xsi:type="dcterms:W3CDTF">2020-05-15T07:18:52Z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