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color w:val="auto"/>
          <w:lang w:val="en-US" w:eastAsia="zh-CN"/>
        </w:rPr>
      </w:pPr>
      <w:bookmarkStart w:id="5" w:name="_GoBack"/>
      <w:bookmarkEnd w:id="5"/>
      <w:r>
        <w:rPr>
          <w:rFonts w:hint="eastAsia"/>
          <w:color w:val="auto"/>
          <w:lang w:val="en-US" w:eastAsia="zh-CN"/>
        </w:rPr>
        <w:br w:type="textWrapping"/>
      </w:r>
      <w:r>
        <w:rPr>
          <w:rFonts w:hint="eastAsia"/>
          <w:color w:val="auto"/>
          <w:lang w:val="en-US" w:eastAsia="zh-CN"/>
        </w:rPr>
        <w:br w:type="textWrapping"/>
      </w:r>
      <w:r>
        <w:rPr>
          <w:rFonts w:hint="eastAsia"/>
          <w:color w:val="auto"/>
          <w:lang w:val="en-US" w:eastAsia="zh-CN"/>
        </w:rPr>
        <w:br w:type="textWrapping"/>
      </w:r>
      <w:r>
        <w:rPr>
          <w:rFonts w:hint="eastAsia"/>
          <w:color w:val="auto"/>
          <w:lang w:val="en-US" w:eastAsia="zh-CN"/>
        </w:rPr>
        <w:br w:type="textWrapping"/>
      </w:r>
      <w:r>
        <w:rPr>
          <w:rFonts w:hint="eastAsia"/>
          <w:color w:val="auto"/>
          <w:lang w:val="en-US" w:eastAsia="zh-CN"/>
        </w:rPr>
        <w:br w:type="textWrapping"/>
      </w:r>
      <w:r>
        <w:rPr>
          <w:rFonts w:hint="eastAsia"/>
          <w:color w:val="auto"/>
          <w:lang w:val="en-US" w:eastAsia="zh-CN"/>
        </w:rPr>
        <w:br w:type="textWrapping"/>
      </w:r>
      <w:r>
        <w:rPr>
          <w:rFonts w:hint="eastAsia"/>
          <w:color w:val="auto"/>
          <w:lang w:val="en-US" w:eastAsia="zh-CN"/>
        </w:rPr>
        <w:br w:type="textWrapping"/>
      </w:r>
      <w:r>
        <w:rPr>
          <w:rFonts w:hint="eastAsia"/>
          <w:color w:val="auto"/>
          <w:lang w:val="en-US" w:eastAsia="zh-CN"/>
        </w:rPr>
        <w:br w:type="textWrapping"/>
      </w:r>
    </w:p>
    <w:p>
      <w:pPr>
        <w:adjustRightInd w:val="0"/>
        <w:snapToGrid w:val="0"/>
        <w:jc w:val="center"/>
        <w:outlineLvl w:val="0"/>
        <w:rPr>
          <w:rFonts w:ascii="宋体"/>
          <w:b/>
          <w:bCs/>
          <w:color w:val="auto"/>
          <w:sz w:val="72"/>
          <w:szCs w:val="72"/>
        </w:rPr>
      </w:pPr>
      <w:r>
        <w:rPr>
          <w:rFonts w:hint="eastAsia"/>
          <w:color w:val="auto"/>
          <w:lang w:val="en-US" w:eastAsia="zh-CN"/>
        </w:rPr>
        <w:t xml:space="preserve">  </w:t>
      </w:r>
      <w:r>
        <w:rPr>
          <w:rFonts w:hint="eastAsia" w:ascii="宋体" w:hAnsi="宋体" w:cs="宋体"/>
          <w:b/>
          <w:bCs/>
          <w:color w:val="auto"/>
          <w:sz w:val="72"/>
          <w:szCs w:val="72"/>
        </w:rPr>
        <w:t>建设项目环境影响报告表</w:t>
      </w:r>
    </w:p>
    <w:p>
      <w:pPr>
        <w:adjustRightInd w:val="0"/>
        <w:snapToGrid w:val="0"/>
        <w:spacing w:line="480" w:lineRule="auto"/>
        <w:ind w:firstLine="172" w:firstLineChars="39"/>
        <w:jc w:val="center"/>
        <w:rPr>
          <w:rFonts w:ascii="楷体" w:hAnsi="楷体" w:eastAsia="楷体"/>
          <w:b/>
          <w:bCs/>
          <w:color w:val="auto"/>
          <w:sz w:val="44"/>
          <w:szCs w:val="44"/>
        </w:rPr>
      </w:pPr>
      <w:r>
        <w:rPr>
          <w:rFonts w:hint="eastAsia" w:ascii="楷体" w:hAnsi="楷体" w:eastAsia="楷体" w:cs="楷体"/>
          <w:b/>
          <w:bCs/>
          <w:color w:val="auto"/>
          <w:sz w:val="44"/>
          <w:szCs w:val="44"/>
        </w:rPr>
        <w:t>（污染影响类）</w:t>
      </w:r>
    </w:p>
    <w:p>
      <w:pPr>
        <w:jc w:val="center"/>
        <w:rPr>
          <w:rFonts w:ascii="华文仿宋" w:hAnsi="华文仿宋" w:eastAsia="华文仿宋"/>
          <w:b/>
          <w:bCs/>
          <w:color w:val="auto"/>
          <w:kern w:val="44"/>
          <w:sz w:val="44"/>
          <w:szCs w:val="44"/>
        </w:rPr>
      </w:pPr>
    </w:p>
    <w:p>
      <w:pPr>
        <w:jc w:val="center"/>
        <w:rPr>
          <w:rFonts w:hint="default" w:eastAsia="仿宋"/>
          <w:b/>
          <w:bCs/>
          <w:color w:val="auto"/>
          <w:sz w:val="52"/>
          <w:szCs w:val="52"/>
          <w:lang w:val="en-US" w:eastAsia="zh-CN"/>
        </w:rPr>
      </w:pPr>
      <w:r>
        <w:rPr>
          <w:rFonts w:hint="eastAsia" w:eastAsia="仿宋"/>
          <w:b/>
          <w:bCs/>
          <w:color w:val="auto"/>
          <w:sz w:val="52"/>
          <w:szCs w:val="52"/>
          <w:lang w:val="en-US" w:eastAsia="zh-CN"/>
        </w:rPr>
        <w:t xml:space="preserve">                </w:t>
      </w:r>
    </w:p>
    <w:p>
      <w:pPr>
        <w:ind w:firstLine="1040"/>
        <w:rPr>
          <w:rFonts w:eastAsia="仿宋"/>
          <w:b/>
          <w:bCs/>
          <w:color w:val="auto"/>
          <w:sz w:val="44"/>
          <w:szCs w:val="44"/>
        </w:rPr>
      </w:pPr>
    </w:p>
    <w:p>
      <w:pPr>
        <w:ind w:firstLine="1040"/>
        <w:rPr>
          <w:rFonts w:eastAsia="仿宋"/>
          <w:b/>
          <w:bCs/>
          <w:color w:val="auto"/>
          <w:sz w:val="44"/>
          <w:szCs w:val="44"/>
        </w:rPr>
      </w:pPr>
    </w:p>
    <w:p>
      <w:pPr>
        <w:ind w:firstLine="1040"/>
        <w:rPr>
          <w:rFonts w:eastAsia="仿宋"/>
          <w:b/>
          <w:bCs/>
          <w:color w:val="auto"/>
          <w:sz w:val="44"/>
          <w:szCs w:val="44"/>
        </w:rPr>
      </w:pPr>
    </w:p>
    <w:p>
      <w:pPr>
        <w:ind w:firstLine="1040"/>
        <w:rPr>
          <w:rFonts w:eastAsia="仿宋"/>
          <w:b/>
          <w:bCs/>
          <w:color w:val="auto"/>
          <w:sz w:val="44"/>
          <w:szCs w:val="44"/>
        </w:rPr>
      </w:pPr>
    </w:p>
    <w:p>
      <w:pPr>
        <w:adjustRightInd w:val="0"/>
        <w:snapToGrid w:val="0"/>
        <w:spacing w:line="480" w:lineRule="auto"/>
        <w:ind w:firstLine="643" w:firstLineChars="200"/>
        <w:rPr>
          <w:rFonts w:hint="default" w:eastAsia="楷体"/>
          <w:b/>
          <w:bCs/>
          <w:color w:val="auto"/>
          <w:sz w:val="32"/>
          <w:szCs w:val="32"/>
          <w:lang w:val="en-US" w:eastAsia="zh-CN"/>
        </w:rPr>
      </w:pPr>
      <w:bookmarkStart w:id="0" w:name="_Hlk57884087"/>
      <w:r>
        <w:rPr>
          <w:rFonts w:hint="eastAsia" w:ascii="楷体" w:hAnsi="楷体" w:eastAsia="楷体" w:cs="楷体"/>
          <w:b/>
          <w:bCs/>
          <w:color w:val="auto"/>
          <w:sz w:val="32"/>
          <w:szCs w:val="32"/>
        </w:rPr>
        <w:t>项目名称：</w:t>
      </w:r>
      <w:r>
        <w:rPr>
          <w:rFonts w:hint="eastAsia" w:ascii="楷体" w:hAnsi="楷体" w:eastAsia="楷体" w:cs="楷体"/>
          <w:b/>
          <w:bCs/>
          <w:color w:val="auto"/>
          <w:sz w:val="32"/>
          <w:szCs w:val="32"/>
          <w:u w:val="single"/>
          <w:lang w:val="en-US" w:eastAsia="zh-CN"/>
        </w:rPr>
        <w:t xml:space="preserve">   </w:t>
      </w:r>
      <w:r>
        <w:rPr>
          <w:rFonts w:hint="eastAsia" w:ascii="楷体" w:hAnsi="楷体" w:eastAsia="楷体" w:cs="楷体"/>
          <w:b/>
          <w:bCs/>
          <w:color w:val="auto"/>
          <w:sz w:val="32"/>
          <w:szCs w:val="32"/>
          <w:u w:val="single"/>
          <w:lang w:eastAsia="zh-CN"/>
        </w:rPr>
        <w:t>恒山密封材料项目（一期）</w:t>
      </w:r>
      <w:r>
        <w:rPr>
          <w:rFonts w:hint="eastAsia" w:ascii="楷体" w:hAnsi="楷体" w:eastAsia="楷体" w:cs="楷体"/>
          <w:b/>
          <w:bCs/>
          <w:color w:val="auto"/>
          <w:sz w:val="32"/>
          <w:szCs w:val="32"/>
          <w:u w:val="single"/>
          <w:lang w:val="en-US" w:eastAsia="zh-CN"/>
        </w:rPr>
        <w:t xml:space="preserve">                    </w:t>
      </w:r>
    </w:p>
    <w:p>
      <w:pPr>
        <w:adjustRightInd w:val="0"/>
        <w:snapToGrid w:val="0"/>
        <w:spacing w:line="480" w:lineRule="auto"/>
        <w:ind w:firstLine="643" w:firstLineChars="200"/>
        <w:rPr>
          <w:rFonts w:ascii="楷体" w:hAnsi="楷体" w:eastAsia="楷体" w:cs="楷体"/>
          <w:b/>
          <w:bCs/>
          <w:color w:val="auto"/>
          <w:sz w:val="32"/>
          <w:szCs w:val="32"/>
          <w:u w:val="single"/>
        </w:rPr>
      </w:pPr>
      <w:r>
        <w:rPr>
          <w:rFonts w:hint="eastAsia" w:ascii="楷体" w:hAnsi="楷体" w:eastAsia="楷体" w:cs="楷体"/>
          <w:b/>
          <w:bCs/>
          <w:color w:val="auto"/>
          <w:sz w:val="32"/>
          <w:szCs w:val="32"/>
        </w:rPr>
        <w:t>建设单位（盖章）：</w:t>
      </w:r>
      <w:r>
        <w:rPr>
          <w:rFonts w:hint="eastAsia" w:ascii="楷体" w:hAnsi="楷体" w:eastAsia="楷体" w:cs="楷体"/>
          <w:b/>
          <w:bCs/>
          <w:color w:val="auto"/>
          <w:sz w:val="32"/>
          <w:szCs w:val="32"/>
          <w:u w:val="single"/>
          <w:lang w:val="en-US" w:eastAsia="zh-CN"/>
        </w:rPr>
        <w:t xml:space="preserve">  </w:t>
      </w:r>
      <w:r>
        <w:rPr>
          <w:rFonts w:hint="eastAsia" w:ascii="楷体" w:hAnsi="楷体" w:eastAsia="楷体" w:cs="楷体"/>
          <w:b/>
          <w:bCs/>
          <w:color w:val="auto"/>
          <w:sz w:val="32"/>
          <w:szCs w:val="32"/>
          <w:u w:val="single"/>
          <w:lang w:eastAsia="zh-CN"/>
        </w:rPr>
        <w:t>淮北科美特环保科技有限公司</w:t>
      </w:r>
      <w:r>
        <w:rPr>
          <w:rFonts w:ascii="楷体" w:hAnsi="楷体" w:eastAsia="楷体" w:cs="楷体"/>
          <w:b/>
          <w:bCs/>
          <w:color w:val="auto"/>
          <w:sz w:val="32"/>
          <w:szCs w:val="32"/>
          <w:u w:val="single"/>
        </w:rPr>
        <w:t xml:space="preserve">   </w:t>
      </w:r>
    </w:p>
    <w:p>
      <w:pPr>
        <w:adjustRightInd w:val="0"/>
        <w:snapToGrid w:val="0"/>
        <w:spacing w:line="480" w:lineRule="auto"/>
        <w:ind w:firstLine="643" w:firstLineChars="200"/>
        <w:rPr>
          <w:rFonts w:ascii="仿宋_GB2312" w:eastAsia="仿宋_GB2312"/>
          <w:b/>
          <w:bCs/>
          <w:color w:val="auto"/>
          <w:sz w:val="32"/>
          <w:szCs w:val="32"/>
          <w:u w:val="single"/>
        </w:rPr>
      </w:pPr>
      <w:r>
        <w:rPr>
          <w:rFonts w:hint="eastAsia" w:ascii="楷体" w:hAnsi="楷体" w:eastAsia="楷体" w:cs="楷体"/>
          <w:b/>
          <w:bCs/>
          <w:color w:val="auto"/>
          <w:sz w:val="32"/>
          <w:szCs w:val="32"/>
        </w:rPr>
        <w:t>编制日期：</w:t>
      </w:r>
      <w:r>
        <w:rPr>
          <w:rFonts w:ascii="楷体" w:hAnsi="楷体" w:eastAsia="楷体" w:cs="楷体"/>
          <w:b/>
          <w:bCs/>
          <w:color w:val="auto"/>
          <w:sz w:val="32"/>
          <w:szCs w:val="32"/>
          <w:u w:val="single"/>
        </w:rPr>
        <w:t xml:space="preserve">          202</w:t>
      </w:r>
      <w:r>
        <w:rPr>
          <w:rFonts w:hint="eastAsia" w:ascii="楷体" w:hAnsi="楷体" w:eastAsia="楷体" w:cs="楷体"/>
          <w:b/>
          <w:bCs/>
          <w:color w:val="auto"/>
          <w:sz w:val="32"/>
          <w:szCs w:val="32"/>
          <w:u w:val="single"/>
          <w:lang w:val="en-US" w:eastAsia="zh-CN"/>
        </w:rPr>
        <w:t>4</w:t>
      </w:r>
      <w:r>
        <w:rPr>
          <w:rFonts w:hint="eastAsia" w:ascii="楷体" w:hAnsi="楷体" w:eastAsia="楷体" w:cs="楷体"/>
          <w:b/>
          <w:bCs/>
          <w:color w:val="auto"/>
          <w:sz w:val="32"/>
          <w:szCs w:val="32"/>
          <w:u w:val="single"/>
        </w:rPr>
        <w:t>年</w:t>
      </w:r>
      <w:r>
        <w:rPr>
          <w:rFonts w:hint="eastAsia" w:ascii="楷体" w:hAnsi="楷体" w:eastAsia="楷体" w:cs="楷体"/>
          <w:b/>
          <w:bCs/>
          <w:color w:val="auto"/>
          <w:sz w:val="32"/>
          <w:szCs w:val="32"/>
          <w:u w:val="single"/>
          <w:lang w:val="en-US" w:eastAsia="zh-CN"/>
        </w:rPr>
        <w:t>2</w:t>
      </w:r>
      <w:r>
        <w:rPr>
          <w:rFonts w:hint="eastAsia" w:ascii="楷体" w:hAnsi="楷体" w:eastAsia="楷体" w:cs="楷体"/>
          <w:b/>
          <w:bCs/>
          <w:color w:val="auto"/>
          <w:sz w:val="32"/>
          <w:szCs w:val="32"/>
          <w:u w:val="single"/>
        </w:rPr>
        <w:t>月</w:t>
      </w:r>
      <w:r>
        <w:rPr>
          <w:rFonts w:ascii="楷体" w:hAnsi="楷体" w:eastAsia="楷体" w:cs="楷体"/>
          <w:b/>
          <w:bCs/>
          <w:color w:val="auto"/>
          <w:sz w:val="32"/>
          <w:szCs w:val="32"/>
          <w:u w:val="single"/>
        </w:rPr>
        <w:t xml:space="preserve">             </w:t>
      </w:r>
      <w:r>
        <w:rPr>
          <w:rFonts w:hint="eastAsia" w:ascii="楷体" w:hAnsi="楷体" w:eastAsia="楷体" w:cs="楷体"/>
          <w:b/>
          <w:bCs/>
          <w:color w:val="auto"/>
          <w:sz w:val="32"/>
          <w:szCs w:val="32"/>
          <w:u w:val="single"/>
          <w:lang w:val="en-US" w:eastAsia="zh-CN"/>
        </w:rPr>
        <w:t xml:space="preserve">   </w:t>
      </w:r>
      <w:r>
        <w:rPr>
          <w:rFonts w:ascii="楷体" w:hAnsi="楷体" w:eastAsia="楷体" w:cs="楷体"/>
          <w:b/>
          <w:bCs/>
          <w:color w:val="auto"/>
          <w:sz w:val="32"/>
          <w:szCs w:val="32"/>
          <w:u w:val="single"/>
        </w:rPr>
        <w:t xml:space="preserve"> </w:t>
      </w:r>
    </w:p>
    <w:p>
      <w:pPr>
        <w:adjustRightInd w:val="0"/>
        <w:snapToGrid w:val="0"/>
        <w:spacing w:line="288" w:lineRule="auto"/>
        <w:ind w:firstLine="1040"/>
        <w:rPr>
          <w:rFonts w:ascii="楷体_GB2312" w:eastAsia="楷体_GB2312"/>
          <w:b/>
          <w:bCs/>
          <w:color w:val="auto"/>
          <w:sz w:val="36"/>
          <w:szCs w:val="36"/>
        </w:rPr>
      </w:pPr>
    </w:p>
    <w:p>
      <w:pPr>
        <w:adjustRightInd w:val="0"/>
        <w:snapToGrid w:val="0"/>
        <w:spacing w:line="288" w:lineRule="auto"/>
        <w:ind w:firstLine="1040"/>
        <w:rPr>
          <w:rFonts w:ascii="楷体_GB2312" w:eastAsia="楷体_GB2312"/>
          <w:b/>
          <w:bCs/>
          <w:color w:val="auto"/>
          <w:sz w:val="36"/>
          <w:szCs w:val="36"/>
        </w:rPr>
      </w:pPr>
    </w:p>
    <w:p>
      <w:pPr>
        <w:pStyle w:val="32"/>
        <w:rPr>
          <w:rFonts w:ascii="楷体_GB2312" w:eastAsia="楷体_GB2312"/>
          <w:b/>
          <w:bCs/>
          <w:color w:val="auto"/>
          <w:sz w:val="36"/>
          <w:szCs w:val="36"/>
        </w:rPr>
      </w:pPr>
    </w:p>
    <w:p>
      <w:pPr>
        <w:rPr>
          <w:color w:val="auto"/>
        </w:rPr>
      </w:pPr>
    </w:p>
    <w:p>
      <w:pPr>
        <w:adjustRightInd w:val="0"/>
        <w:snapToGrid w:val="0"/>
        <w:spacing w:line="288" w:lineRule="auto"/>
        <w:jc w:val="center"/>
        <w:rPr>
          <w:rFonts w:ascii="楷体_GB2312" w:eastAsia="楷体_GB2312"/>
          <w:b/>
          <w:bCs/>
          <w:color w:val="auto"/>
          <w:sz w:val="32"/>
          <w:szCs w:val="32"/>
        </w:rPr>
      </w:pPr>
      <w:r>
        <w:rPr>
          <w:rFonts w:hint="eastAsia" w:ascii="楷体_GB2312" w:eastAsia="楷体_GB2312" w:cs="楷体_GB2312"/>
          <w:b/>
          <w:bCs/>
          <w:color w:val="auto"/>
          <w:sz w:val="32"/>
          <w:szCs w:val="32"/>
        </w:rPr>
        <w:t>中华人民共和国生态环境部制</w:t>
      </w:r>
    </w:p>
    <w:p>
      <w:pPr>
        <w:adjustRightInd w:val="0"/>
        <w:snapToGrid w:val="0"/>
        <w:spacing w:line="288" w:lineRule="auto"/>
        <w:ind w:firstLine="1040"/>
        <w:jc w:val="center"/>
        <w:rPr>
          <w:rFonts w:ascii="仿宋_GB2312" w:eastAsia="仿宋_GB2312"/>
          <w:color w:val="auto"/>
          <w:sz w:val="36"/>
          <w:szCs w:val="36"/>
          <w:u w:val="single"/>
        </w:rPr>
      </w:pPr>
    </w:p>
    <w:p>
      <w:pPr>
        <w:pStyle w:val="32"/>
        <w:rPr>
          <w:rFonts w:ascii="仿宋_GB2312" w:eastAsia="仿宋_GB2312"/>
          <w:color w:val="auto"/>
          <w:sz w:val="36"/>
          <w:szCs w:val="36"/>
          <w:u w:val="single"/>
        </w:rPr>
      </w:pPr>
    </w:p>
    <w:p>
      <w:pPr>
        <w:rPr>
          <w:color w:val="auto"/>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bookmarkEnd w:id="0"/>
    <w:p>
      <w:pPr>
        <w:pStyle w:val="33"/>
        <w:jc w:val="center"/>
        <w:outlineLvl w:val="0"/>
        <w:rPr>
          <w:rFonts w:ascii="黑体" w:hAnsi="黑体" w:eastAsia="黑体" w:cs="Times New Roman"/>
          <w:snapToGrid w:val="0"/>
          <w:color w:val="auto"/>
          <w:sz w:val="30"/>
          <w:szCs w:val="30"/>
        </w:rPr>
      </w:pPr>
      <w:r>
        <w:rPr>
          <w:rFonts w:hint="eastAsia" w:ascii="黑体" w:hAnsi="黑体" w:eastAsia="黑体" w:cs="黑体"/>
          <w:snapToGrid w:val="0"/>
          <w:color w:val="auto"/>
          <w:sz w:val="30"/>
          <w:szCs w:val="30"/>
        </w:rPr>
        <w:t>一、建设项目基本情况</w:t>
      </w:r>
    </w:p>
    <w:tbl>
      <w:tblPr>
        <w:tblStyle w:val="36"/>
        <w:tblW w:w="95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05"/>
        <w:gridCol w:w="2376"/>
        <w:gridCol w:w="1994"/>
        <w:gridCol w:w="34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1705" w:type="dxa"/>
            <w:tcBorders>
              <w:top w:val="single" w:color="auto" w:sz="8" w:space="0"/>
            </w:tcBorders>
            <w:tcMar>
              <w:top w:w="16" w:type="dxa"/>
              <w:left w:w="16" w:type="dxa"/>
              <w:right w:w="16" w:type="dxa"/>
            </w:tcMar>
            <w:vAlign w:val="center"/>
          </w:tcPr>
          <w:p>
            <w:pPr>
              <w:adjustRightInd w:val="0"/>
              <w:snapToGrid w:val="0"/>
              <w:jc w:val="center"/>
              <w:rPr>
                <w:rFonts w:ascii="宋体"/>
                <w:color w:val="auto"/>
                <w:sz w:val="24"/>
                <w:szCs w:val="24"/>
              </w:rPr>
            </w:pPr>
            <w:r>
              <w:rPr>
                <w:rFonts w:hint="eastAsia" w:ascii="宋体" w:hAnsi="宋体" w:cs="宋体"/>
                <w:color w:val="auto"/>
                <w:sz w:val="24"/>
                <w:szCs w:val="24"/>
              </w:rPr>
              <w:t>建设项目名称</w:t>
            </w:r>
          </w:p>
        </w:tc>
        <w:tc>
          <w:tcPr>
            <w:tcW w:w="7834" w:type="dxa"/>
            <w:gridSpan w:val="3"/>
            <w:tcBorders>
              <w:top w:val="single" w:color="auto" w:sz="8" w:space="0"/>
            </w:tcBorders>
            <w:vAlign w:val="center"/>
          </w:tcPr>
          <w:p>
            <w:pPr>
              <w:adjustRightInd w:val="0"/>
              <w:snapToGrid w:val="0"/>
              <w:jc w:val="center"/>
              <w:rPr>
                <w:rFonts w:hint="eastAsia" w:ascii="宋体" w:eastAsia="宋体"/>
                <w:color w:val="auto"/>
                <w:sz w:val="24"/>
                <w:szCs w:val="24"/>
                <w:lang w:eastAsia="zh-CN"/>
              </w:rPr>
            </w:pPr>
            <w:r>
              <w:rPr>
                <w:rFonts w:hint="eastAsia" w:ascii="宋体" w:hAnsi="宋体" w:cs="宋体"/>
                <w:color w:val="auto"/>
                <w:sz w:val="24"/>
                <w:szCs w:val="24"/>
                <w:lang w:eastAsia="zh-CN"/>
              </w:rPr>
              <w:t>恒山密封材料项目（一期）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05" w:type="dxa"/>
            <w:tcMar>
              <w:top w:w="16" w:type="dxa"/>
              <w:left w:w="16" w:type="dxa"/>
              <w:right w:w="16" w:type="dxa"/>
            </w:tcMar>
            <w:vAlign w:val="center"/>
          </w:tcPr>
          <w:p>
            <w:pPr>
              <w:adjustRightInd w:val="0"/>
              <w:snapToGrid w:val="0"/>
              <w:jc w:val="center"/>
              <w:rPr>
                <w:rFonts w:ascii="宋体"/>
                <w:color w:val="auto"/>
                <w:sz w:val="24"/>
                <w:szCs w:val="24"/>
              </w:rPr>
            </w:pPr>
            <w:r>
              <w:rPr>
                <w:rFonts w:hint="eastAsia" w:ascii="宋体" w:hAnsi="宋体" w:cs="宋体"/>
                <w:color w:val="auto"/>
                <w:sz w:val="24"/>
                <w:szCs w:val="24"/>
              </w:rPr>
              <w:t>项目代码</w:t>
            </w:r>
          </w:p>
        </w:tc>
        <w:tc>
          <w:tcPr>
            <w:tcW w:w="7834" w:type="dxa"/>
            <w:gridSpan w:val="3"/>
            <w:vAlign w:val="center"/>
          </w:tcPr>
          <w:p>
            <w:pPr>
              <w:keepNext w:val="0"/>
              <w:keepLines w:val="0"/>
              <w:widowControl/>
              <w:suppressLineNumbers w:val="0"/>
              <w:jc w:val="center"/>
              <w:rPr>
                <w:rFonts w:hint="default" w:ascii="宋体"/>
                <w:color w:val="auto"/>
                <w:sz w:val="24"/>
                <w:szCs w:val="24"/>
                <w:lang w:val="en-US"/>
              </w:rPr>
            </w:pPr>
            <w:r>
              <w:rPr>
                <w:rFonts w:hint="eastAsia" w:ascii="宋体" w:hAnsi="宋体" w:cs="宋体"/>
                <w:color w:val="auto"/>
                <w:sz w:val="24"/>
                <w:szCs w:val="24"/>
                <w:lang w:val="en-US" w:eastAsia="zh-CN"/>
              </w:rPr>
              <w:t>2303-340604-04-05-965337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1705" w:type="dxa"/>
            <w:tcMar>
              <w:top w:w="16" w:type="dxa"/>
              <w:left w:w="16" w:type="dxa"/>
              <w:right w:w="16" w:type="dxa"/>
            </w:tcMar>
            <w:vAlign w:val="center"/>
          </w:tcPr>
          <w:p>
            <w:pPr>
              <w:adjustRightInd w:val="0"/>
              <w:snapToGrid w:val="0"/>
              <w:jc w:val="center"/>
              <w:rPr>
                <w:rFonts w:ascii="宋体"/>
                <w:color w:val="auto"/>
                <w:sz w:val="24"/>
                <w:szCs w:val="24"/>
              </w:rPr>
            </w:pPr>
            <w:r>
              <w:rPr>
                <w:rFonts w:hint="eastAsia" w:ascii="宋体" w:hAnsi="宋体" w:cs="宋体"/>
                <w:color w:val="auto"/>
                <w:sz w:val="24"/>
                <w:szCs w:val="24"/>
              </w:rPr>
              <w:t>建设单位联系人</w:t>
            </w:r>
          </w:p>
        </w:tc>
        <w:tc>
          <w:tcPr>
            <w:tcW w:w="2376" w:type="dxa"/>
            <w:vAlign w:val="center"/>
          </w:tcPr>
          <w:p>
            <w:pPr>
              <w:adjustRightInd w:val="0"/>
              <w:snapToGrid w:val="0"/>
              <w:jc w:val="center"/>
              <w:rPr>
                <w:rFonts w:hint="eastAsia" w:ascii="宋体" w:eastAsia="宋体"/>
                <w:color w:val="auto"/>
                <w:sz w:val="24"/>
                <w:szCs w:val="24"/>
                <w:highlight w:val="none"/>
                <w:lang w:eastAsia="zh-CN"/>
              </w:rPr>
            </w:pPr>
            <w:r>
              <w:rPr>
                <w:rFonts w:ascii="Times New Roman" w:hAnsi="Times New Roman"/>
                <w:color w:val="auto"/>
                <w:szCs w:val="21"/>
              </w:rPr>
              <w:t>刘恒山</w:t>
            </w:r>
          </w:p>
        </w:tc>
        <w:tc>
          <w:tcPr>
            <w:tcW w:w="1994" w:type="dxa"/>
            <w:vAlign w:val="center"/>
          </w:tcPr>
          <w:p>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联系方式</w:t>
            </w:r>
          </w:p>
        </w:tc>
        <w:tc>
          <w:tcPr>
            <w:tcW w:w="3464" w:type="dxa"/>
            <w:vAlign w:val="center"/>
          </w:tcPr>
          <w:p>
            <w:pPr>
              <w:adjustRightInd w:val="0"/>
              <w:snapToGrid w:val="0"/>
              <w:jc w:val="center"/>
              <w:rPr>
                <w:rFonts w:hint="default" w:ascii="宋体" w:eastAsia="宋体"/>
                <w:color w:val="auto"/>
                <w:sz w:val="24"/>
                <w:szCs w:val="24"/>
                <w:highlight w:val="none"/>
                <w:lang w:val="en-US" w:eastAsia="zh-CN"/>
              </w:rPr>
            </w:pPr>
            <w:r>
              <w:rPr>
                <w:rFonts w:hint="eastAsia" w:ascii="宋体" w:hAnsi="宋体" w:cs="宋体"/>
                <w:color w:val="auto"/>
                <w:sz w:val="24"/>
                <w:szCs w:val="24"/>
                <w:highlight w:val="none"/>
                <w:lang w:val="en-US" w:eastAsia="zh-CN"/>
              </w:rPr>
              <w:t>13831756777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1705" w:type="dxa"/>
            <w:tcMar>
              <w:top w:w="16" w:type="dxa"/>
              <w:left w:w="16" w:type="dxa"/>
              <w:right w:w="16" w:type="dxa"/>
            </w:tcMar>
            <w:vAlign w:val="center"/>
          </w:tcPr>
          <w:p>
            <w:pPr>
              <w:adjustRightInd w:val="0"/>
              <w:snapToGrid w:val="0"/>
              <w:jc w:val="center"/>
              <w:rPr>
                <w:rFonts w:ascii="宋体"/>
                <w:color w:val="auto"/>
                <w:sz w:val="24"/>
                <w:szCs w:val="24"/>
              </w:rPr>
            </w:pPr>
            <w:r>
              <w:rPr>
                <w:rFonts w:hint="eastAsia" w:ascii="宋体" w:hAnsi="宋体" w:cs="宋体"/>
                <w:color w:val="auto"/>
                <w:sz w:val="24"/>
                <w:szCs w:val="24"/>
              </w:rPr>
              <w:t>建设地点</w:t>
            </w:r>
          </w:p>
        </w:tc>
        <w:tc>
          <w:tcPr>
            <w:tcW w:w="7834" w:type="dxa"/>
            <w:gridSpan w:val="3"/>
            <w:vAlign w:val="center"/>
          </w:tcPr>
          <w:p>
            <w:pPr>
              <w:keepNext w:val="0"/>
              <w:keepLines w:val="0"/>
              <w:widowControl/>
              <w:suppressLineNumbers w:val="0"/>
              <w:jc w:val="center"/>
              <w:rPr>
                <w:rFonts w:ascii="宋体"/>
                <w:color w:val="auto"/>
                <w:sz w:val="24"/>
                <w:szCs w:val="24"/>
              </w:rPr>
            </w:pPr>
            <w:r>
              <w:rPr>
                <w:rFonts w:hint="eastAsia" w:ascii="宋体" w:hAnsi="宋体" w:eastAsia="宋体" w:cs="宋体"/>
                <w:color w:val="auto"/>
                <w:sz w:val="24"/>
                <w:szCs w:val="24"/>
                <w:lang w:val="en-US" w:eastAsia="zh-CN"/>
              </w:rPr>
              <w:t>安徽省淮北市烈山区烈山经济开发区南区唐山路智能制造产业园二区4号厂房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05" w:type="dxa"/>
            <w:tcMar>
              <w:top w:w="16" w:type="dxa"/>
              <w:left w:w="16" w:type="dxa"/>
              <w:right w:w="16" w:type="dxa"/>
            </w:tcMar>
            <w:vAlign w:val="center"/>
          </w:tcPr>
          <w:p>
            <w:pPr>
              <w:adjustRightInd w:val="0"/>
              <w:snapToGrid w:val="0"/>
              <w:jc w:val="center"/>
              <w:rPr>
                <w:rFonts w:ascii="宋体"/>
                <w:color w:val="auto"/>
                <w:sz w:val="24"/>
                <w:szCs w:val="24"/>
              </w:rPr>
            </w:pPr>
            <w:r>
              <w:rPr>
                <w:rFonts w:hint="eastAsia" w:ascii="宋体" w:hAnsi="宋体" w:cs="宋体"/>
                <w:color w:val="auto"/>
                <w:sz w:val="24"/>
                <w:szCs w:val="24"/>
              </w:rPr>
              <w:t>地理坐标</w:t>
            </w:r>
          </w:p>
        </w:tc>
        <w:tc>
          <w:tcPr>
            <w:tcW w:w="7834" w:type="dxa"/>
            <w:gridSpan w:val="3"/>
            <w:vAlign w:val="center"/>
          </w:tcPr>
          <w:p>
            <w:pPr>
              <w:adjustRightInd w:val="0"/>
              <w:snapToGrid w:val="0"/>
              <w:jc w:val="center"/>
              <w:rPr>
                <w:rFonts w:ascii="宋体"/>
                <w:color w:val="auto"/>
                <w:sz w:val="24"/>
                <w:szCs w:val="24"/>
              </w:rPr>
            </w:pPr>
            <w:r>
              <w:rPr>
                <w:rFonts w:hint="eastAsia" w:ascii="宋体" w:hAnsi="宋体" w:cs="宋体"/>
                <w:color w:val="auto"/>
                <w:sz w:val="24"/>
                <w:szCs w:val="24"/>
                <w:highlight w:val="none"/>
              </w:rPr>
              <w:t>（116°50′38.22</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″，33°48′42.278″）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88" w:hRule="atLeast"/>
          <w:jc w:val="center"/>
        </w:trPr>
        <w:tc>
          <w:tcPr>
            <w:tcW w:w="1705" w:type="dxa"/>
            <w:tcMar>
              <w:top w:w="16" w:type="dxa"/>
              <w:left w:w="16" w:type="dxa"/>
              <w:right w:w="16" w:type="dxa"/>
            </w:tcMar>
            <w:vAlign w:val="center"/>
          </w:tcPr>
          <w:p>
            <w:pPr>
              <w:adjustRightInd w:val="0"/>
              <w:snapToGrid w:val="0"/>
              <w:jc w:val="center"/>
              <w:rPr>
                <w:rFonts w:ascii="宋体"/>
                <w:color w:val="auto"/>
                <w:sz w:val="24"/>
                <w:szCs w:val="24"/>
              </w:rPr>
            </w:pPr>
            <w:r>
              <w:rPr>
                <w:rFonts w:hint="eastAsia" w:ascii="宋体" w:hAnsi="宋体" w:cs="宋体"/>
                <w:color w:val="auto"/>
                <w:sz w:val="24"/>
                <w:szCs w:val="24"/>
              </w:rPr>
              <w:t>国民经济</w:t>
            </w:r>
          </w:p>
          <w:p>
            <w:pPr>
              <w:adjustRightInd w:val="0"/>
              <w:snapToGrid w:val="0"/>
              <w:jc w:val="center"/>
              <w:rPr>
                <w:rFonts w:ascii="宋体"/>
                <w:color w:val="auto"/>
                <w:sz w:val="24"/>
                <w:szCs w:val="24"/>
              </w:rPr>
            </w:pPr>
            <w:r>
              <w:rPr>
                <w:rFonts w:hint="eastAsia" w:ascii="宋体" w:hAnsi="宋体" w:cs="宋体"/>
                <w:color w:val="auto"/>
                <w:sz w:val="24"/>
                <w:szCs w:val="24"/>
              </w:rPr>
              <w:t>行业类别</w:t>
            </w:r>
          </w:p>
        </w:tc>
        <w:tc>
          <w:tcPr>
            <w:tcW w:w="2376" w:type="dxa"/>
            <w:vAlign w:val="center"/>
          </w:tcPr>
          <w:p>
            <w:pPr>
              <w:adjustRightInd w:val="0"/>
              <w:snapToGrid w:val="0"/>
              <w:jc w:val="center"/>
              <w:rPr>
                <w:rFonts w:hint="eastAsia"/>
                <w:color w:val="auto"/>
                <w:sz w:val="24"/>
                <w:highlight w:val="none"/>
              </w:rPr>
            </w:pPr>
            <w:r>
              <w:rPr>
                <w:rFonts w:hint="eastAsia"/>
                <w:color w:val="auto"/>
                <w:sz w:val="24"/>
                <w:highlight w:val="none"/>
              </w:rPr>
              <w:t>C2922 塑料板、管、型材制造</w:t>
            </w:r>
          </w:p>
          <w:p>
            <w:pPr>
              <w:adjustRightInd w:val="0"/>
              <w:snapToGrid w:val="0"/>
              <w:jc w:val="center"/>
              <w:rPr>
                <w:rFonts w:hint="eastAsia" w:ascii="宋体" w:eastAsia="宋体"/>
                <w:color w:val="auto"/>
                <w:sz w:val="24"/>
                <w:szCs w:val="24"/>
                <w:lang w:eastAsia="zh-CN"/>
              </w:rPr>
            </w:pPr>
            <w:r>
              <w:rPr>
                <w:rFonts w:hint="eastAsia"/>
                <w:color w:val="auto"/>
                <w:sz w:val="24"/>
                <w:highlight w:val="none"/>
              </w:rPr>
              <w:t>C2912 橡胶板、管、带制造</w:t>
            </w:r>
          </w:p>
        </w:tc>
        <w:tc>
          <w:tcPr>
            <w:tcW w:w="1994" w:type="dxa"/>
            <w:vAlign w:val="center"/>
          </w:tcPr>
          <w:p>
            <w:pPr>
              <w:adjustRightInd w:val="0"/>
              <w:snapToGrid w:val="0"/>
              <w:jc w:val="center"/>
              <w:rPr>
                <w:rFonts w:ascii="宋体"/>
                <w:color w:val="auto"/>
                <w:sz w:val="24"/>
                <w:szCs w:val="24"/>
              </w:rPr>
            </w:pPr>
            <w:bookmarkStart w:id="1" w:name="_Hlk49843745"/>
            <w:r>
              <w:rPr>
                <w:rFonts w:hint="eastAsia" w:ascii="宋体" w:hAnsi="宋体" w:cs="宋体"/>
                <w:color w:val="auto"/>
                <w:sz w:val="24"/>
                <w:szCs w:val="24"/>
              </w:rPr>
              <w:t>建设项目</w:t>
            </w:r>
          </w:p>
          <w:p>
            <w:pPr>
              <w:adjustRightInd w:val="0"/>
              <w:snapToGrid w:val="0"/>
              <w:jc w:val="center"/>
              <w:rPr>
                <w:rFonts w:ascii="宋体"/>
                <w:color w:val="auto"/>
                <w:sz w:val="24"/>
                <w:szCs w:val="24"/>
              </w:rPr>
            </w:pPr>
            <w:r>
              <w:rPr>
                <w:rFonts w:hint="eastAsia" w:ascii="宋体" w:hAnsi="宋体" w:cs="宋体"/>
                <w:color w:val="auto"/>
                <w:sz w:val="24"/>
                <w:szCs w:val="24"/>
              </w:rPr>
              <w:t>行业类别</w:t>
            </w:r>
            <w:bookmarkEnd w:id="1"/>
          </w:p>
        </w:tc>
        <w:tc>
          <w:tcPr>
            <w:tcW w:w="3464" w:type="dxa"/>
            <w:vAlign w:val="center"/>
          </w:tcPr>
          <w:p>
            <w:pPr>
              <w:adjustRightInd w:val="0"/>
              <w:snapToGrid w:val="0"/>
              <w:jc w:val="center"/>
              <w:rPr>
                <w:rFonts w:hint="eastAsia" w:ascii="宋体" w:hAnsi="宋体" w:cs="宋体"/>
                <w:color w:val="auto"/>
                <w:sz w:val="24"/>
                <w:szCs w:val="24"/>
                <w:lang w:val="en-US" w:eastAsia="zh-CN"/>
              </w:rPr>
            </w:pPr>
            <w:r>
              <w:rPr>
                <w:rFonts w:hint="eastAsia" w:ascii="宋体" w:hAnsi="宋体" w:cs="宋体"/>
                <w:color w:val="auto"/>
                <w:sz w:val="24"/>
                <w:szCs w:val="24"/>
                <w:lang w:eastAsia="zh-CN"/>
              </w:rPr>
              <w:t>二十六</w:t>
            </w:r>
            <w:r>
              <w:rPr>
                <w:rFonts w:hint="eastAsia" w:ascii="宋体" w:hAnsi="宋体" w:cs="宋体"/>
                <w:color w:val="auto"/>
                <w:sz w:val="24"/>
                <w:szCs w:val="24"/>
              </w:rPr>
              <w:t>、</w:t>
            </w:r>
            <w:r>
              <w:rPr>
                <w:rFonts w:hint="eastAsia" w:ascii="宋体" w:hAnsi="宋体" w:cs="宋体"/>
                <w:color w:val="auto"/>
                <w:sz w:val="24"/>
                <w:szCs w:val="24"/>
                <w:lang w:eastAsia="zh-CN"/>
              </w:rPr>
              <w:t>橡胶和塑料制品业</w:t>
            </w:r>
            <w:r>
              <w:rPr>
                <w:rFonts w:hint="eastAsia" w:ascii="宋体" w:hAnsi="宋体" w:cs="宋体"/>
                <w:color w:val="auto"/>
                <w:sz w:val="24"/>
                <w:szCs w:val="24"/>
                <w:lang w:val="en-US" w:eastAsia="zh-CN"/>
              </w:rPr>
              <w:t xml:space="preserve">  29</w:t>
            </w:r>
          </w:p>
          <w:p>
            <w:pPr>
              <w:adjustRightInd w:val="0"/>
              <w:snapToGrid w:val="0"/>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52.橡胶制品业291</w:t>
            </w:r>
          </w:p>
          <w:p>
            <w:pPr>
              <w:adjustRightInd w:val="0"/>
              <w:snapToGrid w:val="0"/>
              <w:jc w:val="center"/>
              <w:rPr>
                <w:rFonts w:hint="eastAsia" w:ascii="宋体" w:hAnsi="宋体" w:cs="宋体"/>
                <w:color w:val="auto"/>
                <w:sz w:val="24"/>
                <w:szCs w:val="24"/>
                <w:lang w:val="en-US" w:eastAsia="zh-CN"/>
              </w:rPr>
            </w:pPr>
            <w:r>
              <w:rPr>
                <w:rFonts w:hint="eastAsia" w:ascii="宋体" w:hAnsi="宋体" w:cs="宋体"/>
                <w:color w:val="auto"/>
                <w:sz w:val="24"/>
                <w:szCs w:val="24"/>
                <w:lang w:eastAsia="zh-CN"/>
              </w:rPr>
              <w:t>二十六</w:t>
            </w:r>
            <w:r>
              <w:rPr>
                <w:rFonts w:hint="eastAsia" w:ascii="宋体" w:hAnsi="宋体" w:cs="宋体"/>
                <w:color w:val="auto"/>
                <w:sz w:val="24"/>
                <w:szCs w:val="24"/>
              </w:rPr>
              <w:t>、</w:t>
            </w:r>
            <w:r>
              <w:rPr>
                <w:rFonts w:hint="eastAsia" w:ascii="宋体" w:hAnsi="宋体" w:cs="宋体"/>
                <w:color w:val="auto"/>
                <w:sz w:val="24"/>
                <w:szCs w:val="24"/>
                <w:lang w:eastAsia="zh-CN"/>
              </w:rPr>
              <w:t>橡胶和塑料制品业</w:t>
            </w:r>
            <w:r>
              <w:rPr>
                <w:rFonts w:hint="eastAsia" w:ascii="宋体" w:hAnsi="宋体" w:cs="宋体"/>
                <w:color w:val="auto"/>
                <w:sz w:val="24"/>
                <w:szCs w:val="24"/>
                <w:lang w:val="en-US" w:eastAsia="zh-CN"/>
              </w:rPr>
              <w:t xml:space="preserve">  29</w:t>
            </w:r>
          </w:p>
          <w:p>
            <w:pPr>
              <w:adjustRightInd w:val="0"/>
              <w:snapToGrid w:val="0"/>
              <w:jc w:val="center"/>
              <w:rPr>
                <w:rFonts w:hint="default" w:ascii="宋体" w:eastAsia="宋体"/>
                <w:color w:val="auto"/>
                <w:sz w:val="24"/>
                <w:szCs w:val="24"/>
                <w:lang w:val="en-US" w:eastAsia="zh-CN"/>
              </w:rPr>
            </w:pPr>
            <w:r>
              <w:rPr>
                <w:rFonts w:hint="eastAsia" w:ascii="宋体" w:hAnsi="宋体" w:cs="宋体"/>
                <w:color w:val="auto"/>
                <w:sz w:val="24"/>
                <w:szCs w:val="24"/>
                <w:lang w:val="en-US" w:eastAsia="zh-CN"/>
              </w:rPr>
              <w:t>53.塑料制品业292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11" w:hRule="atLeast"/>
          <w:jc w:val="center"/>
        </w:trPr>
        <w:tc>
          <w:tcPr>
            <w:tcW w:w="1705" w:type="dxa"/>
            <w:tcMar>
              <w:top w:w="16" w:type="dxa"/>
              <w:left w:w="16" w:type="dxa"/>
              <w:right w:w="16" w:type="dxa"/>
            </w:tcMar>
            <w:vAlign w:val="center"/>
          </w:tcPr>
          <w:p>
            <w:pPr>
              <w:adjustRightInd w:val="0"/>
              <w:snapToGrid w:val="0"/>
              <w:jc w:val="center"/>
              <w:rPr>
                <w:rFonts w:ascii="宋体"/>
                <w:color w:val="auto"/>
                <w:sz w:val="24"/>
                <w:szCs w:val="24"/>
              </w:rPr>
            </w:pPr>
            <w:r>
              <w:rPr>
                <w:rFonts w:hint="eastAsia" w:ascii="宋体" w:hAnsi="宋体" w:cs="宋体"/>
                <w:color w:val="auto"/>
                <w:sz w:val="24"/>
                <w:szCs w:val="24"/>
              </w:rPr>
              <w:t>建设性质</w:t>
            </w:r>
          </w:p>
        </w:tc>
        <w:tc>
          <w:tcPr>
            <w:tcW w:w="2376" w:type="dxa"/>
            <w:vAlign w:val="center"/>
          </w:tcPr>
          <w:p>
            <w:pPr>
              <w:adjustRightInd w:val="0"/>
              <w:snapToGrid w:val="0"/>
              <w:ind w:leftChars="100"/>
              <w:jc w:val="left"/>
              <w:rPr>
                <w:rFonts w:ascii="宋体"/>
                <w:color w:val="auto"/>
                <w:sz w:val="24"/>
                <w:szCs w:val="24"/>
              </w:rPr>
            </w:pPr>
            <w:r>
              <w:rPr>
                <w:rFonts w:hint="eastAsia" w:ascii="MS Mincho" w:hAnsi="MS Mincho" w:eastAsia="宋体" w:cs="MS Mincho"/>
                <w:color w:val="auto"/>
                <w:sz w:val="24"/>
                <w:szCs w:val="24"/>
                <w:lang w:eastAsia="zh-CN"/>
              </w:rPr>
              <w:t>☑</w:t>
            </w:r>
            <w:r>
              <w:rPr>
                <w:rFonts w:hint="eastAsia" w:ascii="宋体" w:hAnsi="宋体" w:cs="宋体"/>
                <w:color w:val="auto"/>
                <w:sz w:val="24"/>
                <w:szCs w:val="24"/>
              </w:rPr>
              <w:t>新建</w:t>
            </w:r>
          </w:p>
          <w:p>
            <w:pPr>
              <w:adjustRightInd w:val="0"/>
              <w:snapToGrid w:val="0"/>
              <w:ind w:leftChars="100"/>
              <w:jc w:val="left"/>
              <w:rPr>
                <w:rFonts w:ascii="宋体"/>
                <w:color w:val="auto"/>
                <w:sz w:val="24"/>
                <w:szCs w:val="24"/>
              </w:rPr>
            </w:pPr>
            <w:r>
              <w:rPr>
                <w:rFonts w:ascii="宋体" w:hAnsi="宋体" w:cs="宋体"/>
                <w:color w:val="auto"/>
                <w:sz w:val="24"/>
                <w:szCs w:val="24"/>
              </w:rPr>
              <w:fldChar w:fldCharType="begin"/>
            </w:r>
            <w:r>
              <w:rPr>
                <w:rFonts w:ascii="宋体" w:hAnsi="宋体" w:cs="宋体"/>
                <w:color w:val="auto"/>
                <w:sz w:val="24"/>
                <w:szCs w:val="24"/>
              </w:rPr>
              <w:instrText xml:space="preserve">eq \o\ac(</w:instrText>
            </w:r>
            <w:r>
              <w:rPr>
                <w:rFonts w:hint="eastAsia" w:ascii="宋体" w:hAnsi="宋体" w:cs="宋体"/>
                <w:color w:val="auto"/>
                <w:sz w:val="24"/>
                <w:szCs w:val="24"/>
              </w:rPr>
              <w:instrText xml:space="preserve">□</w:instrText>
            </w:r>
            <w:r>
              <w:rPr>
                <w:rFonts w:ascii="宋体" w:hAnsi="宋体" w:cs="宋体"/>
                <w:color w:val="auto"/>
                <w:sz w:val="24"/>
                <w:szCs w:val="24"/>
              </w:rPr>
              <w:instrText xml:space="preserve">)</w:instrText>
            </w:r>
            <w:r>
              <w:rPr>
                <w:rFonts w:ascii="宋体" w:hAnsi="宋体" w:cs="宋体"/>
                <w:color w:val="auto"/>
                <w:sz w:val="24"/>
                <w:szCs w:val="24"/>
              </w:rPr>
              <w:fldChar w:fldCharType="end"/>
            </w:r>
            <w:r>
              <w:rPr>
                <w:rFonts w:hint="eastAsia" w:ascii="宋体" w:hAnsi="宋体" w:cs="宋体"/>
                <w:color w:val="auto"/>
                <w:sz w:val="24"/>
                <w:szCs w:val="24"/>
              </w:rPr>
              <w:t>改建</w:t>
            </w:r>
          </w:p>
          <w:p>
            <w:pPr>
              <w:adjustRightInd w:val="0"/>
              <w:snapToGrid w:val="0"/>
              <w:ind w:leftChars="100"/>
              <w:jc w:val="left"/>
              <w:rPr>
                <w:rFonts w:ascii="宋体"/>
                <w:color w:val="auto"/>
                <w:sz w:val="24"/>
                <w:szCs w:val="24"/>
              </w:rPr>
            </w:pPr>
            <w:r>
              <w:rPr>
                <w:rFonts w:ascii="宋体" w:hAnsi="宋体" w:cs="宋体"/>
                <w:color w:val="auto"/>
                <w:sz w:val="24"/>
                <w:szCs w:val="24"/>
              </w:rPr>
              <w:fldChar w:fldCharType="begin"/>
            </w:r>
            <w:r>
              <w:rPr>
                <w:rFonts w:ascii="宋体" w:hAnsi="宋体" w:cs="宋体"/>
                <w:color w:val="auto"/>
                <w:sz w:val="24"/>
                <w:szCs w:val="24"/>
              </w:rPr>
              <w:instrText xml:space="preserve">eq \o\ac(</w:instrText>
            </w:r>
            <w:r>
              <w:rPr>
                <w:rFonts w:hint="eastAsia" w:ascii="宋体" w:hAnsi="宋体" w:cs="宋体"/>
                <w:color w:val="auto"/>
                <w:sz w:val="24"/>
                <w:szCs w:val="24"/>
              </w:rPr>
              <w:instrText xml:space="preserve">□</w:instrText>
            </w:r>
            <w:r>
              <w:rPr>
                <w:rFonts w:ascii="宋体" w:hAnsi="宋体" w:cs="宋体"/>
                <w:color w:val="auto"/>
                <w:sz w:val="24"/>
                <w:szCs w:val="24"/>
              </w:rPr>
              <w:instrText xml:space="preserve">)</w:instrText>
            </w:r>
            <w:r>
              <w:rPr>
                <w:rFonts w:ascii="宋体" w:hAnsi="宋体" w:cs="宋体"/>
                <w:color w:val="auto"/>
                <w:sz w:val="24"/>
                <w:szCs w:val="24"/>
              </w:rPr>
              <w:fldChar w:fldCharType="end"/>
            </w:r>
            <w:r>
              <w:rPr>
                <w:rFonts w:hint="eastAsia" w:ascii="宋体" w:hAnsi="宋体" w:cs="宋体"/>
                <w:color w:val="auto"/>
                <w:sz w:val="24"/>
                <w:szCs w:val="24"/>
              </w:rPr>
              <w:t>扩建</w:t>
            </w:r>
          </w:p>
          <w:p>
            <w:pPr>
              <w:adjustRightInd w:val="0"/>
              <w:snapToGrid w:val="0"/>
              <w:ind w:leftChars="100"/>
              <w:jc w:val="left"/>
              <w:rPr>
                <w:rFonts w:ascii="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技术改造</w:t>
            </w:r>
          </w:p>
        </w:tc>
        <w:tc>
          <w:tcPr>
            <w:tcW w:w="1994"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建设项目</w:t>
            </w:r>
          </w:p>
          <w:p>
            <w:pPr>
              <w:adjustRightInd w:val="0"/>
              <w:snapToGrid w:val="0"/>
              <w:jc w:val="center"/>
              <w:rPr>
                <w:rFonts w:ascii="宋体"/>
                <w:color w:val="auto"/>
                <w:sz w:val="24"/>
                <w:szCs w:val="24"/>
              </w:rPr>
            </w:pPr>
            <w:r>
              <w:rPr>
                <w:rFonts w:hint="eastAsia" w:ascii="宋体" w:hAnsi="宋体" w:cs="宋体"/>
                <w:color w:val="auto"/>
                <w:sz w:val="24"/>
                <w:szCs w:val="24"/>
              </w:rPr>
              <w:t>申报情形</w:t>
            </w:r>
          </w:p>
        </w:tc>
        <w:tc>
          <w:tcPr>
            <w:tcW w:w="3464" w:type="dxa"/>
            <w:vAlign w:val="center"/>
          </w:tcPr>
          <w:p>
            <w:pPr>
              <w:adjustRightInd w:val="0"/>
              <w:snapToGrid w:val="0"/>
              <w:ind w:leftChars="100"/>
              <w:jc w:val="left"/>
              <w:rPr>
                <w:rFonts w:ascii="宋体"/>
                <w:color w:val="auto"/>
                <w:sz w:val="24"/>
                <w:szCs w:val="24"/>
              </w:rPr>
            </w:pPr>
            <w:r>
              <w:rPr>
                <w:rFonts w:hint="eastAsia" w:ascii="MS Mincho" w:hAnsi="MS Mincho" w:cs="MS Mincho"/>
                <w:color w:val="auto"/>
                <w:sz w:val="24"/>
                <w:szCs w:val="24"/>
                <w:lang w:eastAsia="zh-CN"/>
              </w:rPr>
              <w:t>☑</w:t>
            </w:r>
            <w:r>
              <w:rPr>
                <w:rFonts w:hint="eastAsia" w:ascii="宋体" w:hAnsi="宋体" w:cs="宋体"/>
                <w:color w:val="auto"/>
                <w:sz w:val="24"/>
                <w:szCs w:val="24"/>
              </w:rPr>
              <w:t>首次申报项目</w:t>
            </w:r>
          </w:p>
          <w:p>
            <w:pPr>
              <w:adjustRightInd w:val="0"/>
              <w:snapToGrid w:val="0"/>
              <w:ind w:leftChars="100"/>
              <w:jc w:val="left"/>
              <w:rPr>
                <w:rFonts w:ascii="宋体"/>
                <w:color w:val="auto"/>
                <w:sz w:val="24"/>
                <w:szCs w:val="24"/>
              </w:rPr>
            </w:pPr>
            <w:r>
              <w:rPr>
                <w:rFonts w:hint="eastAsia" w:ascii="宋体" w:hAnsi="宋体" w:cs="宋体"/>
                <w:color w:val="auto"/>
                <w:sz w:val="24"/>
                <w:szCs w:val="24"/>
              </w:rPr>
              <w:t>□不予批准后再次申报项目</w:t>
            </w:r>
          </w:p>
          <w:p>
            <w:pPr>
              <w:adjustRightInd w:val="0"/>
              <w:snapToGrid w:val="0"/>
              <w:ind w:leftChars="100"/>
              <w:jc w:val="left"/>
              <w:rPr>
                <w:rFonts w:ascii="宋体"/>
                <w:color w:val="auto"/>
                <w:sz w:val="24"/>
                <w:szCs w:val="24"/>
              </w:rPr>
            </w:pPr>
            <w:r>
              <w:rPr>
                <w:rFonts w:hint="eastAsia" w:ascii="宋体" w:hAnsi="宋体" w:cs="宋体"/>
                <w:color w:val="auto"/>
                <w:sz w:val="24"/>
                <w:szCs w:val="24"/>
              </w:rPr>
              <w:t>□超五年重新审核项目</w:t>
            </w:r>
          </w:p>
          <w:p>
            <w:pPr>
              <w:adjustRightInd w:val="0"/>
              <w:snapToGrid w:val="0"/>
              <w:ind w:leftChars="100"/>
              <w:jc w:val="left"/>
              <w:rPr>
                <w:rFonts w:ascii="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24" w:hRule="atLeast"/>
          <w:jc w:val="center"/>
        </w:trPr>
        <w:tc>
          <w:tcPr>
            <w:tcW w:w="1705" w:type="dxa"/>
            <w:tcMar>
              <w:top w:w="16" w:type="dxa"/>
              <w:left w:w="16" w:type="dxa"/>
              <w:right w:w="16" w:type="dxa"/>
            </w:tcMar>
            <w:vAlign w:val="center"/>
          </w:tcPr>
          <w:p>
            <w:pPr>
              <w:adjustRightInd w:val="0"/>
              <w:snapToGrid w:val="0"/>
              <w:jc w:val="center"/>
              <w:rPr>
                <w:rFonts w:ascii="宋体"/>
                <w:color w:val="auto"/>
                <w:sz w:val="24"/>
                <w:szCs w:val="24"/>
              </w:rPr>
            </w:pPr>
            <w:r>
              <w:rPr>
                <w:rFonts w:hint="eastAsia" w:ascii="宋体" w:hAnsi="宋体" w:cs="宋体"/>
                <w:color w:val="auto"/>
                <w:sz w:val="24"/>
                <w:szCs w:val="24"/>
              </w:rPr>
              <w:t>项目审批（核准</w:t>
            </w:r>
            <w:r>
              <w:rPr>
                <w:rFonts w:ascii="宋体" w:hAnsi="宋体" w:cs="宋体"/>
                <w:color w:val="auto"/>
                <w:sz w:val="24"/>
                <w:szCs w:val="24"/>
              </w:rPr>
              <w:t>/</w:t>
            </w:r>
          </w:p>
          <w:p>
            <w:pPr>
              <w:adjustRightInd w:val="0"/>
              <w:snapToGrid w:val="0"/>
              <w:jc w:val="center"/>
              <w:rPr>
                <w:rFonts w:ascii="宋体"/>
                <w:color w:val="auto"/>
                <w:sz w:val="24"/>
                <w:szCs w:val="24"/>
              </w:rPr>
            </w:pPr>
            <w:r>
              <w:rPr>
                <w:rFonts w:hint="eastAsia" w:ascii="宋体" w:hAnsi="宋体" w:cs="宋体"/>
                <w:color w:val="auto"/>
                <w:sz w:val="24"/>
                <w:szCs w:val="24"/>
              </w:rPr>
              <w:t>备案）部门（选填）</w:t>
            </w:r>
          </w:p>
        </w:tc>
        <w:tc>
          <w:tcPr>
            <w:tcW w:w="2376" w:type="dxa"/>
            <w:vAlign w:val="center"/>
          </w:tcPr>
          <w:p>
            <w:pPr>
              <w:adjustRightInd w:val="0"/>
              <w:snapToGrid w:val="0"/>
              <w:jc w:val="center"/>
              <w:rPr>
                <w:rFonts w:hint="eastAsia" w:ascii="宋体" w:eastAsia="宋体"/>
                <w:color w:val="auto"/>
                <w:sz w:val="24"/>
                <w:szCs w:val="24"/>
                <w:lang w:eastAsia="zh-CN"/>
              </w:rPr>
            </w:pPr>
            <w:r>
              <w:rPr>
                <w:rFonts w:hint="eastAsia" w:ascii="宋体" w:hAnsi="宋体" w:cs="宋体"/>
                <w:color w:val="auto"/>
                <w:sz w:val="24"/>
                <w:szCs w:val="24"/>
                <w:lang w:eastAsia="zh-CN"/>
              </w:rPr>
              <w:t>烈山区</w:t>
            </w:r>
            <w:r>
              <w:rPr>
                <w:rFonts w:hint="eastAsia" w:ascii="宋体" w:hAnsi="宋体" w:cs="宋体"/>
                <w:color w:val="auto"/>
                <w:sz w:val="24"/>
                <w:szCs w:val="24"/>
              </w:rPr>
              <w:t>发展</w:t>
            </w:r>
            <w:r>
              <w:rPr>
                <w:rFonts w:hint="eastAsia" w:ascii="宋体" w:hAnsi="宋体" w:cs="宋体"/>
                <w:color w:val="auto"/>
                <w:sz w:val="24"/>
                <w:szCs w:val="24"/>
                <w:lang w:eastAsia="zh-CN"/>
              </w:rPr>
              <w:t>和</w:t>
            </w:r>
            <w:r>
              <w:rPr>
                <w:rFonts w:hint="eastAsia" w:ascii="宋体" w:hAnsi="宋体" w:cs="宋体"/>
                <w:color w:val="auto"/>
                <w:sz w:val="24"/>
                <w:szCs w:val="24"/>
              </w:rPr>
              <w:t>改革委</w:t>
            </w:r>
            <w:r>
              <w:rPr>
                <w:rFonts w:hint="eastAsia" w:ascii="宋体" w:hAnsi="宋体" w:cs="宋体"/>
                <w:color w:val="auto"/>
                <w:sz w:val="24"/>
                <w:szCs w:val="24"/>
                <w:lang w:eastAsia="zh-CN"/>
              </w:rPr>
              <w:t>员会</w:t>
            </w:r>
          </w:p>
        </w:tc>
        <w:tc>
          <w:tcPr>
            <w:tcW w:w="1994"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项目审批（核准</w:t>
            </w:r>
            <w:r>
              <w:rPr>
                <w:rFonts w:ascii="宋体" w:hAnsi="宋体" w:cs="宋体"/>
                <w:color w:val="auto"/>
                <w:sz w:val="24"/>
                <w:szCs w:val="24"/>
              </w:rPr>
              <w:t>/</w:t>
            </w:r>
          </w:p>
          <w:p>
            <w:pPr>
              <w:adjustRightInd w:val="0"/>
              <w:snapToGrid w:val="0"/>
              <w:jc w:val="center"/>
              <w:rPr>
                <w:rFonts w:ascii="宋体"/>
                <w:color w:val="auto"/>
                <w:sz w:val="24"/>
                <w:szCs w:val="24"/>
              </w:rPr>
            </w:pPr>
            <w:r>
              <w:rPr>
                <w:rFonts w:hint="eastAsia" w:ascii="宋体" w:hAnsi="宋体" w:cs="宋体"/>
                <w:color w:val="auto"/>
                <w:sz w:val="24"/>
                <w:szCs w:val="24"/>
              </w:rPr>
              <w:t>备案）文号（选填）</w:t>
            </w:r>
          </w:p>
        </w:tc>
        <w:tc>
          <w:tcPr>
            <w:tcW w:w="3464" w:type="dxa"/>
            <w:vAlign w:val="center"/>
          </w:tcPr>
          <w:p>
            <w:pPr>
              <w:adjustRightInd w:val="0"/>
              <w:snapToGrid w:val="0"/>
              <w:jc w:val="center"/>
              <w:rPr>
                <w:rFonts w:hint="eastAsia" w:ascii="宋体" w:eastAsia="宋体"/>
                <w:color w:val="auto"/>
                <w:sz w:val="24"/>
                <w:szCs w:val="24"/>
                <w:lang w:eastAsia="zh-CN"/>
              </w:rPr>
            </w:pPr>
            <w:r>
              <w:rPr>
                <w:rFonts w:hint="eastAsia" w:ascii="宋体" w:hAnsi="宋体" w:cs="宋体"/>
                <w:color w:val="auto"/>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05" w:type="dxa"/>
            <w:tcMar>
              <w:top w:w="16" w:type="dxa"/>
              <w:left w:w="16" w:type="dxa"/>
              <w:right w:w="16" w:type="dxa"/>
            </w:tcMar>
            <w:vAlign w:val="center"/>
          </w:tcPr>
          <w:p>
            <w:pPr>
              <w:adjustRightInd w:val="0"/>
              <w:snapToGrid w:val="0"/>
              <w:jc w:val="center"/>
              <w:rPr>
                <w:rFonts w:ascii="宋体"/>
                <w:color w:val="auto"/>
                <w:sz w:val="24"/>
                <w:szCs w:val="24"/>
              </w:rPr>
            </w:pPr>
            <w:r>
              <w:rPr>
                <w:rFonts w:hint="eastAsia" w:ascii="宋体" w:hAnsi="宋体" w:cs="宋体"/>
                <w:color w:val="auto"/>
                <w:sz w:val="24"/>
                <w:szCs w:val="24"/>
              </w:rPr>
              <w:t>总投资（万元）</w:t>
            </w:r>
          </w:p>
        </w:tc>
        <w:tc>
          <w:tcPr>
            <w:tcW w:w="2376" w:type="dxa"/>
            <w:vAlign w:val="center"/>
          </w:tcPr>
          <w:p>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lang w:val="en-US" w:eastAsia="zh-CN"/>
              </w:rPr>
              <w:t>12</w:t>
            </w:r>
            <w:r>
              <w:rPr>
                <w:rFonts w:ascii="宋体" w:hAnsi="宋体" w:cs="宋体"/>
                <w:color w:val="auto"/>
                <w:sz w:val="24"/>
                <w:szCs w:val="24"/>
                <w:highlight w:val="none"/>
              </w:rPr>
              <w:t>000</w:t>
            </w:r>
          </w:p>
        </w:tc>
        <w:tc>
          <w:tcPr>
            <w:tcW w:w="1994" w:type="dxa"/>
            <w:tcMar>
              <w:top w:w="16" w:type="dxa"/>
              <w:left w:w="16" w:type="dxa"/>
              <w:right w:w="16" w:type="dxa"/>
            </w:tcMar>
            <w:vAlign w:val="center"/>
          </w:tcPr>
          <w:p>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环保投资（万元）</w:t>
            </w:r>
          </w:p>
        </w:tc>
        <w:tc>
          <w:tcPr>
            <w:tcW w:w="3464" w:type="dxa"/>
            <w:vAlign w:val="center"/>
          </w:tcPr>
          <w:p>
            <w:pPr>
              <w:adjustRightInd w:val="0"/>
              <w:snapToGrid w:val="0"/>
              <w:jc w:val="center"/>
              <w:rPr>
                <w:rFonts w:hint="default" w:ascii="宋体" w:eastAsia="宋体"/>
                <w:color w:val="auto"/>
                <w:sz w:val="24"/>
                <w:szCs w:val="24"/>
                <w:highlight w:val="none"/>
                <w:lang w:val="en-US" w:eastAsia="zh-CN"/>
              </w:rPr>
            </w:pPr>
            <w:r>
              <w:rPr>
                <w:rFonts w:hint="eastAsia" w:ascii="宋体"/>
                <w:color w:val="auto"/>
                <w:sz w:val="24"/>
                <w:szCs w:val="24"/>
                <w:highlight w:val="none"/>
                <w:lang w:val="en-US" w:eastAsia="zh-CN"/>
              </w:rPr>
              <w:t>158.3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1705" w:type="dxa"/>
            <w:tcMar>
              <w:top w:w="16" w:type="dxa"/>
              <w:left w:w="16" w:type="dxa"/>
              <w:right w:w="16" w:type="dxa"/>
            </w:tcMar>
            <w:vAlign w:val="center"/>
          </w:tcPr>
          <w:p>
            <w:pPr>
              <w:adjustRightInd w:val="0"/>
              <w:snapToGrid w:val="0"/>
              <w:jc w:val="center"/>
              <w:rPr>
                <w:rFonts w:ascii="宋体"/>
                <w:color w:val="auto"/>
                <w:sz w:val="24"/>
                <w:szCs w:val="24"/>
              </w:rPr>
            </w:pPr>
            <w:r>
              <w:rPr>
                <w:rFonts w:hint="eastAsia" w:ascii="宋体" w:hAnsi="宋体" w:cs="宋体"/>
                <w:color w:val="auto"/>
                <w:sz w:val="24"/>
                <w:szCs w:val="24"/>
              </w:rPr>
              <w:t>环保投资占比（</w:t>
            </w:r>
            <w:r>
              <w:rPr>
                <w:rFonts w:ascii="宋体" w:hAnsi="宋体" w:cs="宋体"/>
                <w:color w:val="auto"/>
                <w:sz w:val="24"/>
                <w:szCs w:val="24"/>
              </w:rPr>
              <w:t>%</w:t>
            </w:r>
            <w:r>
              <w:rPr>
                <w:rFonts w:hint="eastAsia" w:ascii="宋体" w:hAnsi="宋体" w:cs="宋体"/>
                <w:color w:val="auto"/>
                <w:sz w:val="24"/>
                <w:szCs w:val="24"/>
              </w:rPr>
              <w:t>）</w:t>
            </w:r>
          </w:p>
        </w:tc>
        <w:tc>
          <w:tcPr>
            <w:tcW w:w="2376" w:type="dxa"/>
            <w:vAlign w:val="center"/>
          </w:tcPr>
          <w:p>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lang w:val="en-US" w:eastAsia="zh-CN"/>
              </w:rPr>
              <w:t>1.32</w:t>
            </w:r>
            <w:r>
              <w:rPr>
                <w:rFonts w:ascii="宋体" w:hAnsi="宋体" w:cs="宋体"/>
                <w:color w:val="auto"/>
                <w:sz w:val="24"/>
                <w:szCs w:val="24"/>
                <w:highlight w:val="none"/>
              </w:rPr>
              <w:t>%</w:t>
            </w:r>
          </w:p>
        </w:tc>
        <w:tc>
          <w:tcPr>
            <w:tcW w:w="1994" w:type="dxa"/>
            <w:tcMar>
              <w:top w:w="16" w:type="dxa"/>
              <w:left w:w="16" w:type="dxa"/>
              <w:right w:w="16" w:type="dxa"/>
            </w:tcMar>
            <w:vAlign w:val="center"/>
          </w:tcPr>
          <w:p>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施工工期</w:t>
            </w:r>
          </w:p>
        </w:tc>
        <w:tc>
          <w:tcPr>
            <w:tcW w:w="3464" w:type="dxa"/>
            <w:vAlign w:val="center"/>
          </w:tcPr>
          <w:p>
            <w:pPr>
              <w:adjustRightInd w:val="0"/>
              <w:snapToGrid w:val="0"/>
              <w:jc w:val="center"/>
              <w:rPr>
                <w:rFonts w:hint="eastAsia" w:ascii="宋体" w:eastAsia="宋体"/>
                <w:color w:val="auto"/>
                <w:sz w:val="24"/>
                <w:szCs w:val="24"/>
                <w:highlight w:val="none"/>
                <w:lang w:eastAsia="zh-CN"/>
              </w:rPr>
            </w:pPr>
            <w:r>
              <w:rPr>
                <w:rFonts w:hint="eastAsia" w:ascii="宋体" w:hAnsi="宋体" w:cs="宋体"/>
                <w:color w:val="auto"/>
                <w:sz w:val="24"/>
                <w:szCs w:val="24"/>
                <w:highlight w:val="none"/>
                <w:lang w:val="en-US" w:eastAsia="zh-CN"/>
              </w:rPr>
              <w:t>5个月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88" w:hRule="atLeast"/>
          <w:jc w:val="center"/>
        </w:trPr>
        <w:tc>
          <w:tcPr>
            <w:tcW w:w="1705" w:type="dxa"/>
            <w:tcMar>
              <w:top w:w="16" w:type="dxa"/>
              <w:left w:w="16" w:type="dxa"/>
              <w:right w:w="16" w:type="dxa"/>
            </w:tcMar>
            <w:vAlign w:val="center"/>
          </w:tcPr>
          <w:p>
            <w:pPr>
              <w:adjustRightInd w:val="0"/>
              <w:snapToGrid w:val="0"/>
              <w:jc w:val="center"/>
              <w:rPr>
                <w:rFonts w:ascii="宋体"/>
                <w:color w:val="auto"/>
                <w:sz w:val="24"/>
                <w:szCs w:val="24"/>
              </w:rPr>
            </w:pPr>
            <w:r>
              <w:rPr>
                <w:rFonts w:hint="eastAsia" w:ascii="宋体" w:hAnsi="宋体" w:cs="宋体"/>
                <w:color w:val="auto"/>
                <w:sz w:val="24"/>
                <w:szCs w:val="24"/>
              </w:rPr>
              <w:t>是否开工建设</w:t>
            </w:r>
          </w:p>
        </w:tc>
        <w:tc>
          <w:tcPr>
            <w:tcW w:w="2376" w:type="dxa"/>
            <w:vAlign w:val="center"/>
          </w:tcPr>
          <w:p>
            <w:pPr>
              <w:adjustRightInd w:val="0"/>
              <w:snapToGrid w:val="0"/>
              <w:ind w:leftChars="100"/>
              <w:jc w:val="left"/>
              <w:rPr>
                <w:rFonts w:ascii="宋体"/>
                <w:color w:val="auto"/>
                <w:sz w:val="24"/>
                <w:szCs w:val="24"/>
              </w:rPr>
            </w:pPr>
            <w:r>
              <w:rPr>
                <w:rFonts w:hint="eastAsia" w:ascii="MS Mincho" w:hAnsi="MS Mincho" w:cs="MS Mincho"/>
                <w:color w:val="auto"/>
                <w:sz w:val="24"/>
                <w:szCs w:val="24"/>
                <w:lang w:eastAsia="zh-CN"/>
              </w:rPr>
              <w:t>□</w:t>
            </w:r>
            <w:r>
              <w:rPr>
                <w:rFonts w:hint="eastAsia" w:ascii="宋体" w:hAnsi="宋体" w:cs="宋体"/>
                <w:color w:val="auto"/>
                <w:sz w:val="24"/>
                <w:szCs w:val="24"/>
              </w:rPr>
              <w:t>否</w:t>
            </w:r>
          </w:p>
          <w:p>
            <w:pPr>
              <w:adjustRightInd w:val="0"/>
              <w:snapToGrid w:val="0"/>
              <w:ind w:leftChars="100"/>
              <w:jc w:val="both"/>
              <w:rPr>
                <w:rFonts w:hint="default" w:ascii="宋体" w:eastAsia="宋体"/>
                <w:color w:val="auto"/>
                <w:sz w:val="24"/>
                <w:szCs w:val="24"/>
                <w:u w:val="single"/>
                <w:lang w:val="en-US" w:eastAsia="zh-CN"/>
              </w:rPr>
            </w:pPr>
            <w:r>
              <w:rPr>
                <w:rFonts w:hint="eastAsia" w:ascii="MS Mincho" w:hAnsi="MS Mincho" w:cs="MS Mincho"/>
                <w:color w:val="auto"/>
                <w:sz w:val="24"/>
                <w:szCs w:val="24"/>
                <w:lang w:eastAsia="zh-CN"/>
              </w:rPr>
              <w:t>☑</w:t>
            </w:r>
            <w:r>
              <w:rPr>
                <w:rFonts w:hint="eastAsia" w:ascii="宋体" w:hAnsi="宋体" w:cs="宋体"/>
                <w:color w:val="auto"/>
                <w:sz w:val="24"/>
                <w:szCs w:val="24"/>
              </w:rPr>
              <w:t>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u w:val="single"/>
              </w:rPr>
              <w:t>部分设备已建设完成，未批先建，已作处罚</w:t>
            </w:r>
            <w:r>
              <w:rPr>
                <w:rFonts w:hint="eastAsia" w:ascii="宋体" w:hAnsi="宋体" w:cs="宋体"/>
                <w:color w:val="auto"/>
                <w:sz w:val="24"/>
                <w:u w:val="single"/>
                <w:lang w:val="en-US" w:eastAsia="zh-CN"/>
              </w:rPr>
              <w:t xml:space="preserve"> </w:t>
            </w:r>
            <w:r>
              <w:rPr>
                <w:rFonts w:hint="eastAsia" w:ascii="宋体" w:hAnsi="宋体" w:cs="宋体"/>
                <w:color w:val="auto"/>
                <w:sz w:val="24"/>
              </w:rPr>
              <w:t xml:space="preserve"> </w:t>
            </w:r>
          </w:p>
        </w:tc>
        <w:tc>
          <w:tcPr>
            <w:tcW w:w="1994" w:type="dxa"/>
            <w:tcMar>
              <w:top w:w="16" w:type="dxa"/>
              <w:left w:w="16" w:type="dxa"/>
              <w:right w:w="16" w:type="dxa"/>
            </w:tcMar>
            <w:vAlign w:val="center"/>
          </w:tcPr>
          <w:p>
            <w:pPr>
              <w:adjustRightInd w:val="0"/>
              <w:snapToGrid w:val="0"/>
              <w:jc w:val="center"/>
              <w:rPr>
                <w:rFonts w:ascii="宋体"/>
                <w:color w:val="auto"/>
                <w:sz w:val="24"/>
                <w:szCs w:val="24"/>
              </w:rPr>
            </w:pPr>
            <w:r>
              <w:rPr>
                <w:rFonts w:hint="eastAsia" w:ascii="宋体" w:hAnsi="宋体" w:cs="宋体"/>
                <w:color w:val="auto"/>
                <w:sz w:val="24"/>
                <w:szCs w:val="24"/>
              </w:rPr>
              <w:t>用地（用海）</w:t>
            </w:r>
          </w:p>
          <w:p>
            <w:pPr>
              <w:adjustRightInd w:val="0"/>
              <w:snapToGrid w:val="0"/>
              <w:jc w:val="center"/>
              <w:rPr>
                <w:rFonts w:ascii="宋体"/>
                <w:color w:val="auto"/>
                <w:sz w:val="24"/>
                <w:szCs w:val="24"/>
              </w:rPr>
            </w:pPr>
            <w:r>
              <w:rPr>
                <w:rFonts w:hint="eastAsia" w:ascii="宋体" w:hAnsi="宋体" w:cs="宋体"/>
                <w:color w:val="auto"/>
                <w:sz w:val="24"/>
                <w:szCs w:val="24"/>
              </w:rPr>
              <w:t>面积（</w:t>
            </w:r>
            <w:r>
              <w:rPr>
                <w:rFonts w:ascii="宋体" w:hAnsi="宋体" w:cs="宋体"/>
                <w:color w:val="auto"/>
                <w:sz w:val="24"/>
                <w:szCs w:val="24"/>
              </w:rPr>
              <w:t>m</w:t>
            </w:r>
            <w:r>
              <w:rPr>
                <w:rFonts w:ascii="宋体" w:hAnsi="宋体" w:cs="宋体"/>
                <w:color w:val="auto"/>
                <w:sz w:val="24"/>
                <w:szCs w:val="24"/>
                <w:vertAlign w:val="superscript"/>
              </w:rPr>
              <w:t>2</w:t>
            </w:r>
            <w:r>
              <w:rPr>
                <w:rFonts w:hint="eastAsia" w:ascii="宋体" w:hAnsi="宋体" w:cs="宋体"/>
                <w:color w:val="auto"/>
                <w:sz w:val="24"/>
                <w:szCs w:val="24"/>
              </w:rPr>
              <w:t>）</w:t>
            </w:r>
          </w:p>
        </w:tc>
        <w:tc>
          <w:tcPr>
            <w:tcW w:w="3464" w:type="dxa"/>
            <w:vAlign w:val="center"/>
          </w:tcPr>
          <w:p>
            <w:pPr>
              <w:adjustRightInd w:val="0"/>
              <w:snapToGrid w:val="0"/>
              <w:jc w:val="center"/>
              <w:rPr>
                <w:rFonts w:hint="default" w:ascii="宋体" w:eastAsia="宋体"/>
                <w:color w:val="auto"/>
                <w:sz w:val="24"/>
                <w:szCs w:val="24"/>
                <w:lang w:val="en-US" w:eastAsia="zh-CN"/>
              </w:rPr>
            </w:pPr>
            <w:r>
              <w:rPr>
                <w:rFonts w:hint="eastAsia" w:ascii="宋体"/>
                <w:color w:val="auto"/>
                <w:sz w:val="24"/>
                <w:szCs w:val="24"/>
                <w:lang w:val="en-US" w:eastAsia="zh-CN"/>
              </w:rPr>
              <w:t>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705"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专项评价设置情况</w:t>
            </w:r>
          </w:p>
        </w:tc>
        <w:tc>
          <w:tcPr>
            <w:tcW w:w="7834" w:type="dxa"/>
            <w:gridSpan w:val="3"/>
            <w:vAlign w:val="center"/>
          </w:tcPr>
          <w:p>
            <w:pPr>
              <w:adjustRightInd w:val="0"/>
              <w:snapToGrid w:val="0"/>
              <w:jc w:val="center"/>
              <w:rPr>
                <w:rFonts w:ascii="宋体"/>
                <w:color w:val="auto"/>
                <w:sz w:val="24"/>
                <w:szCs w:val="24"/>
              </w:rPr>
            </w:pPr>
            <w:r>
              <w:rPr>
                <w:rFonts w:hint="eastAsia" w:ascii="宋体" w:hAnsi="宋体" w:cs="宋体"/>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9" w:hRule="atLeast"/>
          <w:jc w:val="center"/>
        </w:trPr>
        <w:tc>
          <w:tcPr>
            <w:tcW w:w="1705"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规划情况</w:t>
            </w:r>
          </w:p>
        </w:tc>
        <w:tc>
          <w:tcPr>
            <w:tcW w:w="7834" w:type="dxa"/>
            <w:gridSpan w:val="3"/>
            <w:vAlign w:val="center"/>
          </w:tcPr>
          <w:p>
            <w:pPr>
              <w:adjustRightInd w:val="0"/>
              <w:snapToGrid w:val="0"/>
              <w:ind w:leftChars="200"/>
              <w:jc w:val="left"/>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t>规划名称：《</w:t>
            </w:r>
            <w:r>
              <w:rPr>
                <w:rFonts w:hint="default" w:ascii="宋体" w:hAnsi="宋体" w:cs="宋体"/>
                <w:color w:val="auto"/>
                <w:sz w:val="24"/>
                <w:szCs w:val="24"/>
              </w:rPr>
              <w:t>淮北经济开发区扩区总体规划</w:t>
            </w:r>
            <w:r>
              <w:rPr>
                <w:rFonts w:hint="default" w:ascii="宋体" w:hAnsi="宋体" w:cs="宋体"/>
                <w:color w:val="auto"/>
                <w:sz w:val="24"/>
                <w:szCs w:val="24"/>
                <w:lang w:val="en-US" w:eastAsia="zh-CN"/>
              </w:rPr>
              <w:t>》</w:t>
            </w:r>
          </w:p>
          <w:p>
            <w:pPr>
              <w:adjustRightInd w:val="0"/>
              <w:snapToGrid w:val="0"/>
              <w:ind w:leftChars="200"/>
              <w:jc w:val="left"/>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t>审批机关：安徽省人民政府</w:t>
            </w:r>
          </w:p>
          <w:p>
            <w:pPr>
              <w:adjustRightInd w:val="0"/>
              <w:snapToGrid w:val="0"/>
              <w:ind w:leftChars="200"/>
              <w:jc w:val="left"/>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t>审批文件：《关于同意&lt;</w:t>
            </w:r>
            <w:r>
              <w:rPr>
                <w:rFonts w:hint="default" w:ascii="宋体" w:hAnsi="宋体" w:cs="宋体"/>
                <w:color w:val="auto"/>
                <w:sz w:val="24"/>
                <w:szCs w:val="24"/>
              </w:rPr>
              <w:t>淮北经济开发区扩区</w:t>
            </w:r>
            <w:r>
              <w:rPr>
                <w:rFonts w:hint="default" w:ascii="宋体" w:hAnsi="宋体" w:cs="宋体"/>
                <w:color w:val="auto"/>
                <w:sz w:val="24"/>
                <w:szCs w:val="24"/>
                <w:lang w:val="en-US" w:eastAsia="zh-CN"/>
              </w:rPr>
              <w:t>&gt;的批复》</w:t>
            </w:r>
          </w:p>
          <w:p>
            <w:pPr>
              <w:adjustRightInd w:val="0"/>
              <w:snapToGrid w:val="0"/>
              <w:ind w:leftChars="200"/>
              <w:jc w:val="left"/>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t>审批文号：皖政秘【2011】314号</w:t>
            </w:r>
          </w:p>
          <w:p>
            <w:pPr>
              <w:adjustRightInd w:val="0"/>
              <w:snapToGrid w:val="0"/>
              <w:ind w:firstLine="480" w:firstLineChars="200"/>
              <w:jc w:val="left"/>
              <w:rPr>
                <w:rFonts w:ascii="宋体"/>
                <w:color w:val="auto"/>
                <w:sz w:val="24"/>
                <w:szCs w:val="24"/>
              </w:rPr>
            </w:pPr>
            <w:r>
              <w:rPr>
                <w:rFonts w:hint="default" w:ascii="宋体" w:hAnsi="宋体" w:cs="宋体"/>
                <w:color w:val="auto"/>
                <w:sz w:val="24"/>
                <w:szCs w:val="24"/>
                <w:lang w:val="en-US" w:eastAsia="zh-CN"/>
              </w:rPr>
              <w:t>《关于&lt;淮北市省级以上开发区优化整合方案&gt;的批复》（皖政秘【2018】36号）：“同意撤销安徽淮北龙湖高新技术产业开发区，将其整体并入安徽淮北经济开发区，并更名为安徽淮北高新技术产业开发区”。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9" w:hRule="atLeast"/>
          <w:jc w:val="center"/>
        </w:trPr>
        <w:tc>
          <w:tcPr>
            <w:tcW w:w="1705" w:type="dxa"/>
            <w:vAlign w:val="center"/>
          </w:tcPr>
          <w:p>
            <w:pPr>
              <w:adjustRightInd w:val="0"/>
              <w:snapToGrid w:val="0"/>
              <w:jc w:val="center"/>
              <w:rPr>
                <w:rFonts w:hint="eastAsia" w:ascii="宋体" w:hAnsi="宋体" w:cs="宋体"/>
                <w:color w:val="auto"/>
                <w:sz w:val="24"/>
                <w:szCs w:val="24"/>
              </w:rPr>
            </w:pPr>
          </w:p>
          <w:p>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规划</w:t>
            </w:r>
          </w:p>
          <w:p>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环境</w:t>
            </w:r>
          </w:p>
          <w:p>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影响</w:t>
            </w:r>
          </w:p>
          <w:p>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评价</w:t>
            </w:r>
          </w:p>
          <w:p>
            <w:pPr>
              <w:adjustRightInd w:val="0"/>
              <w:snapToGrid w:val="0"/>
              <w:jc w:val="center"/>
              <w:rPr>
                <w:rFonts w:ascii="宋体"/>
                <w:color w:val="auto"/>
                <w:sz w:val="24"/>
                <w:szCs w:val="24"/>
              </w:rPr>
            </w:pPr>
            <w:r>
              <w:rPr>
                <w:rFonts w:hint="eastAsia" w:ascii="宋体" w:hAnsi="宋体" w:cs="宋体"/>
                <w:color w:val="auto"/>
                <w:sz w:val="24"/>
                <w:szCs w:val="24"/>
              </w:rPr>
              <w:t>情况</w:t>
            </w:r>
          </w:p>
        </w:tc>
        <w:tc>
          <w:tcPr>
            <w:tcW w:w="7834" w:type="dxa"/>
            <w:gridSpan w:val="3"/>
            <w:vAlign w:val="center"/>
          </w:tcPr>
          <w:p>
            <w:pPr>
              <w:spacing w:line="360" w:lineRule="auto"/>
              <w:ind w:firstLine="480" w:firstLineChars="200"/>
              <w:rPr>
                <w:rFonts w:hint="default" w:cs="Times New Roman"/>
                <w:color w:val="auto"/>
                <w:sz w:val="24"/>
                <w:lang w:eastAsia="zh-CN"/>
              </w:rPr>
            </w:pPr>
            <w:r>
              <w:rPr>
                <w:rFonts w:hint="default" w:cs="Times New Roman"/>
                <w:color w:val="auto"/>
                <w:sz w:val="24"/>
                <w:lang w:eastAsia="zh-CN"/>
              </w:rPr>
              <w:t>规划环评名称：《淮北经济技术开发区扩区规划环境影响报告书》</w:t>
            </w:r>
          </w:p>
          <w:p>
            <w:pPr>
              <w:spacing w:line="360" w:lineRule="auto"/>
              <w:ind w:firstLine="480" w:firstLineChars="200"/>
              <w:rPr>
                <w:rFonts w:hint="default" w:cs="Times New Roman"/>
                <w:color w:val="auto"/>
                <w:sz w:val="24"/>
                <w:lang w:eastAsia="zh-CN"/>
              </w:rPr>
            </w:pPr>
            <w:r>
              <w:rPr>
                <w:rFonts w:hint="default" w:cs="Times New Roman"/>
                <w:color w:val="auto"/>
                <w:sz w:val="24"/>
                <w:lang w:eastAsia="zh-CN"/>
              </w:rPr>
              <w:t>规划环评审查机关：安徽省环境保护厅</w:t>
            </w:r>
          </w:p>
          <w:p>
            <w:pPr>
              <w:spacing w:line="360" w:lineRule="auto"/>
              <w:ind w:firstLine="480" w:firstLineChars="200"/>
              <w:rPr>
                <w:rFonts w:hint="default" w:cs="Times New Roman"/>
                <w:color w:val="auto"/>
                <w:sz w:val="24"/>
                <w:lang w:eastAsia="zh-CN"/>
              </w:rPr>
            </w:pPr>
            <w:r>
              <w:rPr>
                <w:rFonts w:hint="default" w:cs="Times New Roman"/>
                <w:color w:val="auto"/>
                <w:sz w:val="24"/>
                <w:lang w:eastAsia="zh-CN"/>
              </w:rPr>
              <w:t>审查文件名称及文号：《关于&lt;淮北经济技术开发区扩区规划环境影响报告书&gt;的审查意见》</w:t>
            </w:r>
          </w:p>
          <w:p>
            <w:pPr>
              <w:spacing w:line="360" w:lineRule="auto"/>
              <w:ind w:firstLine="480" w:firstLineChars="200"/>
              <w:rPr>
                <w:rFonts w:hint="default" w:cs="Times New Roman"/>
                <w:color w:val="auto"/>
                <w:sz w:val="24"/>
                <w:lang w:eastAsia="zh-CN"/>
              </w:rPr>
            </w:pPr>
            <w:r>
              <w:rPr>
                <w:rFonts w:hint="default" w:cs="Times New Roman"/>
                <w:color w:val="auto"/>
                <w:sz w:val="24"/>
                <w:lang w:eastAsia="zh-CN"/>
              </w:rPr>
              <w:t>审查文号：环评函【2011】1129号</w:t>
            </w:r>
          </w:p>
          <w:p>
            <w:pPr>
              <w:spacing w:line="360" w:lineRule="auto"/>
              <w:ind w:firstLine="480" w:firstLineChars="200"/>
              <w:rPr>
                <w:rFonts w:hint="default" w:cs="Times New Roman"/>
                <w:color w:val="auto"/>
                <w:sz w:val="24"/>
                <w:lang w:eastAsia="zh-CN"/>
              </w:rPr>
            </w:pPr>
            <w:r>
              <w:rPr>
                <w:rFonts w:hint="default" w:cs="Times New Roman"/>
                <w:color w:val="auto"/>
                <w:sz w:val="24"/>
                <w:lang w:eastAsia="zh-CN"/>
              </w:rPr>
              <w:t>规划跟踪评价名称：《安徽淮北高新技术产业开发区规划环境影响跟踪评价报告书》；</w:t>
            </w:r>
          </w:p>
          <w:p>
            <w:pPr>
              <w:spacing w:line="360" w:lineRule="auto"/>
              <w:ind w:firstLine="480" w:firstLineChars="200"/>
              <w:rPr>
                <w:rFonts w:hint="default" w:cs="Times New Roman"/>
                <w:color w:val="auto"/>
                <w:sz w:val="24"/>
                <w:lang w:eastAsia="zh-CN"/>
              </w:rPr>
            </w:pPr>
            <w:r>
              <w:rPr>
                <w:rFonts w:hint="default" w:cs="Times New Roman"/>
                <w:color w:val="auto"/>
                <w:sz w:val="24"/>
                <w:lang w:eastAsia="zh-CN"/>
              </w:rPr>
              <w:t>规划环评审查机关：淮北市生态环境局</w:t>
            </w:r>
          </w:p>
          <w:p>
            <w:pPr>
              <w:spacing w:line="360" w:lineRule="auto"/>
              <w:ind w:firstLine="480" w:firstLineChars="200"/>
              <w:rPr>
                <w:rFonts w:hint="default" w:cs="Times New Roman"/>
                <w:color w:val="auto"/>
                <w:sz w:val="24"/>
                <w:lang w:eastAsia="zh-CN"/>
              </w:rPr>
            </w:pPr>
            <w:r>
              <w:rPr>
                <w:rFonts w:hint="default" w:cs="Times New Roman"/>
                <w:color w:val="auto"/>
                <w:sz w:val="24"/>
                <w:lang w:eastAsia="zh-CN"/>
              </w:rPr>
              <w:t>审查文件名称及文号：《关于印发&lt;安徽淮北高新技术产业开发区规划环境影响跟踪评价报告书&gt;审查意见的函》</w:t>
            </w:r>
          </w:p>
          <w:p>
            <w:pPr>
              <w:spacing w:line="360" w:lineRule="auto"/>
              <w:ind w:firstLine="480" w:firstLineChars="200"/>
              <w:rPr>
                <w:rFonts w:ascii="宋体"/>
                <w:color w:val="auto"/>
                <w:sz w:val="24"/>
                <w:szCs w:val="24"/>
              </w:rPr>
            </w:pPr>
            <w:r>
              <w:rPr>
                <w:rFonts w:hint="default" w:cs="Times New Roman"/>
                <w:color w:val="auto"/>
                <w:sz w:val="24"/>
                <w:lang w:eastAsia="zh-CN"/>
              </w:rPr>
              <w:t>审查文号：淮环函【2020】173号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5"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规划及规划环境影响评价符合性分析</w:t>
            </w:r>
          </w:p>
        </w:tc>
        <w:tc>
          <w:tcPr>
            <w:tcW w:w="7834" w:type="dxa"/>
            <w:gridSpan w:val="3"/>
            <w:vAlign w:val="center"/>
          </w:tcPr>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1、规划符合性分析</w:t>
            </w:r>
          </w:p>
          <w:p>
            <w:pPr>
              <w:spacing w:line="360" w:lineRule="auto"/>
              <w:ind w:firstLine="480" w:firstLineChars="200"/>
              <w:rPr>
                <w:rFonts w:hint="default" w:cs="Times New Roman"/>
                <w:color w:val="auto"/>
                <w:sz w:val="24"/>
                <w:lang w:val="en-US" w:eastAsia="zh-CN"/>
              </w:rPr>
            </w:pPr>
            <w:r>
              <w:rPr>
                <w:rFonts w:hint="eastAsia" w:cs="Times New Roman"/>
                <w:color w:val="auto"/>
                <w:sz w:val="24"/>
                <w:lang w:val="en-US" w:eastAsia="zh-CN"/>
              </w:rPr>
              <w:t>（1）产业规划</w:t>
            </w:r>
          </w:p>
          <w:p>
            <w:pPr>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根据</w:t>
            </w:r>
            <w:r>
              <w:rPr>
                <w:rFonts w:hint="default" w:cs="Times New Roman"/>
                <w:color w:val="auto"/>
                <w:sz w:val="24"/>
                <w:lang w:val="en-US" w:eastAsia="zh-CN"/>
              </w:rPr>
              <w:t>《关于</w:t>
            </w:r>
            <w:r>
              <w:rPr>
                <w:rFonts w:hint="eastAsia" w:cs="Times New Roman"/>
                <w:color w:val="auto"/>
                <w:sz w:val="24"/>
                <w:lang w:val="en-US" w:eastAsia="zh-CN"/>
              </w:rPr>
              <w:t>&lt;淮北经济技术开发区扩区规划</w:t>
            </w:r>
            <w:r>
              <w:rPr>
                <w:rFonts w:hint="default" w:cs="Times New Roman"/>
                <w:color w:val="auto"/>
                <w:sz w:val="24"/>
                <w:lang w:val="en-US" w:eastAsia="zh-CN"/>
              </w:rPr>
              <w:t>环境影响报告书</w:t>
            </w:r>
            <w:r>
              <w:rPr>
                <w:rFonts w:hint="eastAsia" w:cs="Times New Roman"/>
                <w:color w:val="auto"/>
                <w:sz w:val="24"/>
                <w:lang w:val="en-US" w:eastAsia="zh-CN"/>
              </w:rPr>
              <w:t>&gt;</w:t>
            </w:r>
            <w:r>
              <w:rPr>
                <w:rFonts w:hint="default" w:cs="Times New Roman"/>
                <w:color w:val="auto"/>
                <w:sz w:val="24"/>
                <w:lang w:val="en-US" w:eastAsia="zh-CN"/>
              </w:rPr>
              <w:t>的审查意见》</w:t>
            </w:r>
            <w:r>
              <w:rPr>
                <w:rFonts w:hint="eastAsia" w:cs="Times New Roman"/>
                <w:color w:val="auto"/>
                <w:sz w:val="24"/>
                <w:lang w:val="en-US" w:eastAsia="zh-CN"/>
              </w:rPr>
              <w:t>（</w:t>
            </w:r>
            <w:r>
              <w:rPr>
                <w:rFonts w:hint="default" w:cs="Times New Roman"/>
                <w:color w:val="auto"/>
                <w:sz w:val="24"/>
                <w:lang w:val="en-US" w:eastAsia="zh-CN"/>
              </w:rPr>
              <w:t>环评函</w:t>
            </w:r>
            <w:r>
              <w:rPr>
                <w:rFonts w:hint="eastAsia" w:cs="Times New Roman"/>
                <w:color w:val="auto"/>
                <w:sz w:val="24"/>
                <w:lang w:val="en-US" w:eastAsia="zh-CN"/>
              </w:rPr>
              <w:t>【2011】</w:t>
            </w:r>
            <w:r>
              <w:rPr>
                <w:rFonts w:hint="default" w:cs="Times New Roman"/>
                <w:color w:val="auto"/>
                <w:sz w:val="24"/>
                <w:lang w:val="en-US" w:eastAsia="zh-CN"/>
              </w:rPr>
              <w:t>11</w:t>
            </w:r>
            <w:r>
              <w:rPr>
                <w:rFonts w:hint="eastAsia" w:cs="Times New Roman"/>
                <w:color w:val="auto"/>
                <w:sz w:val="24"/>
                <w:lang w:val="en-US" w:eastAsia="zh-CN"/>
              </w:rPr>
              <w:t>29</w:t>
            </w:r>
            <w:r>
              <w:rPr>
                <w:rFonts w:hint="default" w:cs="Times New Roman"/>
                <w:color w:val="auto"/>
                <w:sz w:val="24"/>
                <w:lang w:val="en-US" w:eastAsia="zh-CN"/>
              </w:rPr>
              <w:t>号</w:t>
            </w:r>
            <w:r>
              <w:rPr>
                <w:rFonts w:hint="eastAsia" w:cs="Times New Roman"/>
                <w:color w:val="auto"/>
                <w:sz w:val="24"/>
                <w:lang w:val="en-US" w:eastAsia="zh-CN"/>
              </w:rPr>
              <w:t>，安徽省环境保护厅，2011年10月31日）：“</w:t>
            </w:r>
            <w:r>
              <w:rPr>
                <w:rFonts w:hint="eastAsia" w:cs="Times New Roman"/>
                <w:color w:val="auto"/>
                <w:sz w:val="24"/>
                <w:lang w:eastAsia="zh-CN"/>
              </w:rPr>
              <w:t>淮北经济技术开发区扩区位于淮北市南部，古饶镇区北侧，是以装备制造与加工、纺织服装以及新兴产业为主导功能的省级经济技术开发区，规划范围为：山前路、虎山路以东，滨河路以西，新濉河以南，谷山以北区域。规</w:t>
            </w:r>
            <w:r>
              <w:rPr>
                <w:rFonts w:hint="default" w:cs="Times New Roman"/>
                <w:color w:val="auto"/>
                <w:sz w:val="24"/>
                <w:lang w:eastAsia="zh-CN"/>
              </w:rPr>
              <w:t>划期限近期为</w:t>
            </w:r>
            <w:r>
              <w:rPr>
                <w:rFonts w:hint="default" w:cs="Times New Roman"/>
                <w:color w:val="auto"/>
                <w:sz w:val="24"/>
                <w:lang w:val="en-US" w:eastAsia="zh-CN"/>
              </w:rPr>
              <w:t>2011-2020年，用地10km（其中起步区规划时段为2011-2015</w:t>
            </w:r>
            <w:r>
              <w:rPr>
                <w:rFonts w:hint="eastAsia" w:cs="Times New Roman"/>
                <w:color w:val="auto"/>
                <w:sz w:val="24"/>
                <w:lang w:val="en-US" w:eastAsia="zh-CN"/>
              </w:rPr>
              <w:t>年</w:t>
            </w:r>
            <w:r>
              <w:rPr>
                <w:rFonts w:hint="default" w:cs="Times New Roman"/>
                <w:color w:val="auto"/>
                <w:sz w:val="24"/>
                <w:lang w:val="en-US" w:eastAsia="zh-CN"/>
              </w:rPr>
              <w:t>，用地5.26km</w:t>
            </w:r>
            <w:r>
              <w:rPr>
                <w:rFonts w:hint="default" w:cs="Times New Roman"/>
                <w:color w:val="auto"/>
                <w:sz w:val="24"/>
                <w:vertAlign w:val="superscript"/>
                <w:lang w:val="en-US" w:eastAsia="zh-CN"/>
              </w:rPr>
              <w:t>2</w:t>
            </w:r>
            <w:r>
              <w:rPr>
                <w:rFonts w:hint="default" w:cs="Times New Roman"/>
                <w:color w:val="auto"/>
                <w:sz w:val="24"/>
                <w:lang w:val="en-US" w:eastAsia="zh-CN"/>
              </w:rPr>
              <w:t>）；远期为2021-2030年，用地20km</w:t>
            </w:r>
            <w:r>
              <w:rPr>
                <w:rFonts w:hint="default" w:cs="Times New Roman"/>
                <w:color w:val="auto"/>
                <w:sz w:val="24"/>
                <w:vertAlign w:val="superscript"/>
                <w:lang w:val="en-US" w:eastAsia="zh-CN"/>
              </w:rPr>
              <w:t>2</w:t>
            </w:r>
            <w:r>
              <w:rPr>
                <w:rFonts w:hint="default" w:cs="Times New Roman"/>
                <w:color w:val="auto"/>
                <w:sz w:val="24"/>
                <w:lang w:val="en-US" w:eastAsia="zh-CN"/>
              </w:rPr>
              <w:t>。</w:t>
            </w:r>
            <w:r>
              <w:rPr>
                <w:rFonts w:hint="eastAsia" w:cs="Times New Roman"/>
                <w:color w:val="auto"/>
                <w:sz w:val="24"/>
                <w:lang w:val="en-US" w:eastAsia="zh-CN"/>
              </w:rPr>
              <w:t>”</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cs="宋体"/>
                <w:color w:val="auto"/>
                <w:sz w:val="24"/>
                <w:szCs w:val="24"/>
                <w:lang w:val="en-US" w:eastAsia="zh-CN"/>
              </w:rPr>
            </w:pPr>
            <w:r>
              <w:rPr>
                <w:rFonts w:hint="eastAsia" w:ascii="Times New Roman" w:hAnsi="Times New Roman" w:eastAsia="宋体" w:cs="Times New Roman"/>
                <w:color w:val="auto"/>
                <w:sz w:val="24"/>
                <w:szCs w:val="24"/>
                <w:lang w:val="en-US" w:eastAsia="zh-CN"/>
              </w:rPr>
              <w:t>对照《建设项目环境影响评价分类管理名录（2021年版）》，本项目属于“二十六、橡胶和塑料制品业  29 53 塑料制品业 292”，且同属于“二十六、橡胶和塑料制品业  29</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52</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橡胶制品业</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291”</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不属于园区的主导产业，但</w:t>
            </w:r>
            <w:r>
              <w:rPr>
                <w:rFonts w:hint="eastAsia" w:cs="Times New Roman"/>
                <w:color w:val="auto"/>
                <w:sz w:val="24"/>
                <w:szCs w:val="24"/>
                <w:lang w:val="en-US" w:eastAsia="zh-CN"/>
              </w:rPr>
              <w:t>也</w:t>
            </w:r>
            <w:r>
              <w:rPr>
                <w:rFonts w:hint="default" w:ascii="Times New Roman" w:hAnsi="Times New Roman" w:eastAsia="宋体" w:cs="Times New Roman"/>
                <w:color w:val="auto"/>
                <w:sz w:val="24"/>
                <w:szCs w:val="24"/>
                <w:lang w:val="en-US" w:eastAsia="zh-CN"/>
              </w:rPr>
              <w:t>不属于园区</w:t>
            </w:r>
            <w:r>
              <w:rPr>
                <w:rFonts w:hint="eastAsia" w:ascii="Times New Roman" w:hAnsi="Times New Roman" w:eastAsia="宋体" w:cs="Times New Roman"/>
                <w:color w:val="auto"/>
                <w:sz w:val="24"/>
                <w:szCs w:val="24"/>
                <w:lang w:val="en-US" w:eastAsia="zh-CN"/>
              </w:rPr>
              <w:t>禁止及</w:t>
            </w:r>
            <w:r>
              <w:rPr>
                <w:rFonts w:hint="default" w:ascii="Times New Roman" w:hAnsi="Times New Roman" w:eastAsia="宋体" w:cs="Times New Roman"/>
                <w:color w:val="auto"/>
                <w:sz w:val="24"/>
                <w:szCs w:val="24"/>
                <w:lang w:val="en-US" w:eastAsia="zh-CN"/>
              </w:rPr>
              <w:t>限</w:t>
            </w:r>
            <w:r>
              <w:rPr>
                <w:rFonts w:ascii="Times New Roman" w:hAnsi="Times New Roman" w:eastAsia="宋体" w:cs="Times New Roman"/>
                <w:color w:val="auto"/>
                <w:kern w:val="0"/>
                <w:sz w:val="24"/>
              </w:rPr>
              <w:t>制</w:t>
            </w:r>
            <w:r>
              <w:rPr>
                <w:rFonts w:hint="eastAsia" w:cs="Times New Roman"/>
                <w:color w:val="auto"/>
                <w:kern w:val="0"/>
                <w:sz w:val="24"/>
                <w:lang w:eastAsia="zh-CN"/>
              </w:rPr>
              <w:t>类的产业</w:t>
            </w:r>
            <w:r>
              <w:rPr>
                <w:rFonts w:ascii="Times New Roman" w:hAnsi="Times New Roman" w:eastAsia="宋体" w:cs="Times New Roman"/>
                <w:color w:val="auto"/>
                <w:kern w:val="0"/>
                <w:sz w:val="24"/>
              </w:rPr>
              <w:t>，</w:t>
            </w:r>
            <w:r>
              <w:rPr>
                <w:rFonts w:hint="eastAsia" w:eastAsia="宋体" w:cs="Times New Roman"/>
                <w:color w:val="auto"/>
                <w:kern w:val="0"/>
                <w:sz w:val="24"/>
                <w:lang w:eastAsia="zh-CN"/>
              </w:rPr>
              <w:t>可视</w:t>
            </w:r>
            <w:r>
              <w:rPr>
                <w:rFonts w:hint="eastAsia" w:cs="宋体"/>
                <w:color w:val="auto"/>
                <w:sz w:val="24"/>
                <w:szCs w:val="24"/>
                <w:lang w:val="en-US" w:eastAsia="zh-CN"/>
              </w:rPr>
              <w:t>为允许类项目。因此本项目符合淮北经济技术开发区扩区规划要求。</w:t>
            </w:r>
          </w:p>
          <w:p>
            <w:pPr>
              <w:keepNext w:val="0"/>
              <w:keepLines w:val="0"/>
              <w:pageBreakBefore w:val="0"/>
              <w:widowControl w:val="0"/>
              <w:numPr>
                <w:ilvl w:val="0"/>
                <w:numId w:val="2"/>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cs="宋体"/>
                <w:color w:val="auto"/>
                <w:sz w:val="24"/>
                <w:szCs w:val="24"/>
                <w:lang w:val="en-US" w:eastAsia="zh-CN"/>
              </w:rPr>
            </w:pPr>
            <w:r>
              <w:rPr>
                <w:rFonts w:hint="eastAsia" w:cs="宋体"/>
                <w:color w:val="auto"/>
                <w:sz w:val="24"/>
                <w:szCs w:val="24"/>
                <w:lang w:val="en-US" w:eastAsia="zh-CN"/>
              </w:rPr>
              <w:t xml:space="preserve">用地规划 </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textAlignment w:val="auto"/>
              <w:rPr>
                <w:rFonts w:hint="default" w:cs="宋体"/>
                <w:color w:val="auto"/>
                <w:sz w:val="24"/>
                <w:szCs w:val="24"/>
                <w:lang w:val="en-US" w:eastAsia="zh-CN"/>
              </w:rPr>
            </w:pPr>
            <w:r>
              <w:rPr>
                <w:rFonts w:hint="eastAsia" w:cs="宋体"/>
                <w:color w:val="auto"/>
                <w:sz w:val="24"/>
                <w:szCs w:val="24"/>
                <w:lang w:val="en-US" w:eastAsia="zh-CN"/>
              </w:rPr>
              <w:t>项目位于安徽省淮北市烈山区烈山经济开发区南区唐山路智能制造产业园二区4号厂房。项目选址位于园区规划的工业用地，项目的选址符合园区用地布局规划要求。</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cs="宋体"/>
                <w:color w:val="auto"/>
                <w:sz w:val="24"/>
                <w:szCs w:val="24"/>
                <w:lang w:val="en-US" w:eastAsia="zh-CN"/>
              </w:rPr>
            </w:pPr>
            <w:r>
              <w:rPr>
                <w:rFonts w:hint="eastAsia" w:cs="宋体"/>
                <w:color w:val="auto"/>
                <w:sz w:val="24"/>
                <w:szCs w:val="24"/>
                <w:lang w:val="en-US" w:eastAsia="zh-CN"/>
              </w:rPr>
              <w:t>2、项目</w:t>
            </w:r>
            <w:r>
              <w:rPr>
                <w:rFonts w:hint="default" w:cs="宋体"/>
                <w:color w:val="auto"/>
                <w:sz w:val="24"/>
                <w:szCs w:val="24"/>
                <w:lang w:val="en-US" w:eastAsia="zh-CN"/>
              </w:rPr>
              <w:t>与《关于</w:t>
            </w:r>
            <w:r>
              <w:rPr>
                <w:rFonts w:hint="eastAsia" w:cs="宋体"/>
                <w:color w:val="auto"/>
                <w:sz w:val="24"/>
                <w:szCs w:val="24"/>
                <w:lang w:val="en-US" w:eastAsia="zh-CN"/>
              </w:rPr>
              <w:t>&lt;淮北经济技术开发区扩区规划</w:t>
            </w:r>
            <w:r>
              <w:rPr>
                <w:rFonts w:hint="default" w:cs="宋体"/>
                <w:color w:val="auto"/>
                <w:sz w:val="24"/>
                <w:szCs w:val="24"/>
                <w:lang w:val="en-US" w:eastAsia="zh-CN"/>
              </w:rPr>
              <w:t>环境影响报告书</w:t>
            </w:r>
            <w:r>
              <w:rPr>
                <w:rFonts w:hint="eastAsia" w:cs="宋体"/>
                <w:color w:val="auto"/>
                <w:sz w:val="24"/>
                <w:szCs w:val="24"/>
                <w:lang w:val="en-US" w:eastAsia="zh-CN"/>
              </w:rPr>
              <w:t>&gt;</w:t>
            </w:r>
            <w:r>
              <w:rPr>
                <w:rFonts w:hint="default" w:cs="宋体"/>
                <w:color w:val="auto"/>
                <w:sz w:val="24"/>
                <w:szCs w:val="24"/>
                <w:lang w:val="en-US" w:eastAsia="zh-CN"/>
              </w:rPr>
              <w:t>的审查意见》</w:t>
            </w:r>
            <w:r>
              <w:rPr>
                <w:rFonts w:hint="eastAsia" w:cs="宋体"/>
                <w:color w:val="auto"/>
                <w:sz w:val="24"/>
                <w:szCs w:val="24"/>
                <w:lang w:val="en-US" w:eastAsia="zh-CN"/>
              </w:rPr>
              <w:t>（</w:t>
            </w:r>
            <w:r>
              <w:rPr>
                <w:rFonts w:hint="default" w:cs="宋体"/>
                <w:color w:val="auto"/>
                <w:sz w:val="24"/>
                <w:szCs w:val="24"/>
                <w:lang w:val="en-US" w:eastAsia="zh-CN"/>
              </w:rPr>
              <w:t>环评函</w:t>
            </w:r>
            <w:r>
              <w:rPr>
                <w:rFonts w:hint="eastAsia" w:cs="宋体"/>
                <w:color w:val="auto"/>
                <w:sz w:val="24"/>
                <w:szCs w:val="24"/>
                <w:lang w:val="en-US" w:eastAsia="zh-CN"/>
              </w:rPr>
              <w:t>【2011】</w:t>
            </w:r>
            <w:r>
              <w:rPr>
                <w:rFonts w:hint="default" w:cs="宋体"/>
                <w:color w:val="auto"/>
                <w:sz w:val="24"/>
                <w:szCs w:val="24"/>
                <w:lang w:val="en-US" w:eastAsia="zh-CN"/>
              </w:rPr>
              <w:t>11</w:t>
            </w:r>
            <w:r>
              <w:rPr>
                <w:rFonts w:hint="eastAsia" w:cs="宋体"/>
                <w:color w:val="auto"/>
                <w:sz w:val="24"/>
                <w:szCs w:val="24"/>
                <w:lang w:val="en-US" w:eastAsia="zh-CN"/>
              </w:rPr>
              <w:t>29</w:t>
            </w:r>
            <w:r>
              <w:rPr>
                <w:rFonts w:hint="default" w:cs="宋体"/>
                <w:color w:val="auto"/>
                <w:sz w:val="24"/>
                <w:szCs w:val="24"/>
                <w:lang w:val="en-US" w:eastAsia="zh-CN"/>
              </w:rPr>
              <w:t>号</w:t>
            </w:r>
            <w:r>
              <w:rPr>
                <w:rFonts w:hint="eastAsia" w:cs="宋体"/>
                <w:color w:val="auto"/>
                <w:sz w:val="24"/>
                <w:szCs w:val="24"/>
                <w:lang w:val="en-US" w:eastAsia="zh-CN"/>
              </w:rPr>
              <w:t>，安徽省环境保护厅，2011年10月31日）</w:t>
            </w:r>
            <w:r>
              <w:rPr>
                <w:rFonts w:hint="default" w:cs="宋体"/>
                <w:color w:val="auto"/>
                <w:sz w:val="24"/>
                <w:szCs w:val="24"/>
                <w:lang w:val="en-US" w:eastAsia="zh-CN"/>
              </w:rPr>
              <w:t>的相符性分析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b w:val="0"/>
                <w:bCs w:val="0"/>
                <w:color w:val="auto"/>
                <w:sz w:val="24"/>
                <w:szCs w:val="24"/>
                <w:lang w:val="en-US" w:eastAsia="zh-CN"/>
              </w:rPr>
              <w:t>本项目与《关于</w:t>
            </w:r>
            <w:r>
              <w:rPr>
                <w:rFonts w:hint="eastAsia" w:ascii="Times New Roman" w:hAnsi="Times New Roman" w:cs="Times New Roman"/>
                <w:b w:val="0"/>
                <w:bCs w:val="0"/>
                <w:color w:val="auto"/>
                <w:sz w:val="24"/>
                <w:szCs w:val="24"/>
                <w:lang w:val="en-US" w:eastAsia="zh-CN"/>
              </w:rPr>
              <w:t>&lt;淮北经济技术开发区扩区规划</w:t>
            </w:r>
            <w:r>
              <w:rPr>
                <w:rFonts w:hint="default" w:ascii="Times New Roman" w:hAnsi="Times New Roman" w:eastAsia="宋体" w:cs="Times New Roman"/>
                <w:b w:val="0"/>
                <w:bCs w:val="0"/>
                <w:color w:val="auto"/>
                <w:sz w:val="24"/>
                <w:szCs w:val="24"/>
                <w:lang w:val="en-US" w:eastAsia="zh-CN"/>
              </w:rPr>
              <w:t>环境影响报告书</w:t>
            </w:r>
            <w:r>
              <w:rPr>
                <w:rFonts w:hint="eastAsia" w:ascii="Times New Roman" w:hAnsi="Times New Roman" w:eastAsia="宋体" w:cs="Times New Roman"/>
                <w:b w:val="0"/>
                <w:bCs w:val="0"/>
                <w:color w:val="auto"/>
                <w:sz w:val="24"/>
                <w:szCs w:val="24"/>
                <w:lang w:val="en-US" w:eastAsia="zh-CN"/>
              </w:rPr>
              <w:t>&gt;</w:t>
            </w:r>
            <w:r>
              <w:rPr>
                <w:rFonts w:hint="default" w:ascii="Times New Roman" w:hAnsi="Times New Roman" w:eastAsia="宋体" w:cs="Times New Roman"/>
                <w:b w:val="0"/>
                <w:bCs w:val="0"/>
                <w:color w:val="auto"/>
                <w:sz w:val="24"/>
                <w:szCs w:val="24"/>
                <w:lang w:val="en-US" w:eastAsia="zh-CN"/>
              </w:rPr>
              <w:t>的审查意见》</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环评函</w:t>
            </w:r>
            <w:r>
              <w:rPr>
                <w:rFonts w:hint="eastAsia" w:ascii="Times New Roman" w:hAnsi="Times New Roman" w:eastAsia="宋体" w:cs="Times New Roman"/>
                <w:b w:val="0"/>
                <w:bCs w:val="0"/>
                <w:color w:val="auto"/>
                <w:sz w:val="24"/>
                <w:szCs w:val="24"/>
                <w:lang w:val="en-US" w:eastAsia="zh-CN"/>
              </w:rPr>
              <w:t>【2011】</w:t>
            </w:r>
            <w:r>
              <w:rPr>
                <w:rFonts w:hint="default" w:ascii="Times New Roman" w:hAnsi="Times New Roman" w:eastAsia="宋体" w:cs="Times New Roman"/>
                <w:b w:val="0"/>
                <w:bCs w:val="0"/>
                <w:color w:val="auto"/>
                <w:sz w:val="24"/>
                <w:szCs w:val="24"/>
                <w:lang w:val="en-US" w:eastAsia="zh-CN"/>
              </w:rPr>
              <w:t>11</w:t>
            </w:r>
            <w:r>
              <w:rPr>
                <w:rFonts w:hint="eastAsia" w:ascii="Times New Roman" w:hAnsi="Times New Roman" w:eastAsia="宋体" w:cs="Times New Roman"/>
                <w:b w:val="0"/>
                <w:bCs w:val="0"/>
                <w:color w:val="auto"/>
                <w:sz w:val="24"/>
                <w:szCs w:val="24"/>
                <w:lang w:val="en-US" w:eastAsia="zh-CN"/>
              </w:rPr>
              <w:t>29</w:t>
            </w:r>
            <w:r>
              <w:rPr>
                <w:rFonts w:hint="default" w:ascii="Times New Roman" w:hAnsi="Times New Roman" w:eastAsia="宋体" w:cs="Times New Roman"/>
                <w:b w:val="0"/>
                <w:bCs w:val="0"/>
                <w:color w:val="auto"/>
                <w:sz w:val="24"/>
                <w:szCs w:val="24"/>
                <w:lang w:val="en-US" w:eastAsia="zh-CN"/>
              </w:rPr>
              <w:t>号</w:t>
            </w:r>
            <w:r>
              <w:rPr>
                <w:rFonts w:hint="eastAsia" w:ascii="Times New Roman" w:hAnsi="Times New Roman" w:eastAsia="宋体" w:cs="Times New Roman"/>
                <w:b w:val="0"/>
                <w:bCs w:val="0"/>
                <w:color w:val="auto"/>
                <w:sz w:val="24"/>
                <w:szCs w:val="24"/>
                <w:lang w:val="en-US" w:eastAsia="zh-CN"/>
              </w:rPr>
              <w:t>，安徽省环境保护厅，2011年10月31日）</w:t>
            </w:r>
            <w:r>
              <w:rPr>
                <w:rFonts w:hint="default" w:ascii="Times New Roman" w:hAnsi="Times New Roman" w:cs="Times New Roman"/>
                <w:color w:val="auto"/>
                <w:sz w:val="24"/>
                <w:szCs w:val="24"/>
              </w:rPr>
              <w:t>相符性分析见下表</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2</w:t>
            </w:r>
            <w:r>
              <w:rPr>
                <w:rFonts w:hint="default" w:ascii="Times New Roman" w:hAnsi="Times New Roman" w:cs="Times New Roman"/>
                <w:color w:val="auto"/>
                <w:sz w:val="24"/>
                <w:szCs w:val="24"/>
              </w:rPr>
              <w:t>所示。</w:t>
            </w:r>
          </w:p>
          <w:p>
            <w:pPr>
              <w:pStyle w:val="126"/>
              <w:spacing w:line="240" w:lineRule="auto"/>
              <w:ind w:left="0" w:leftChars="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表1.</w:t>
            </w:r>
            <w:r>
              <w:rPr>
                <w:rFonts w:hint="eastAsia" w:ascii="Times New Roman" w:hAnsi="Times New Roman" w:cs="Times New Roman"/>
                <w:b w:val="0"/>
                <w:bCs w:val="0"/>
                <w:color w:val="auto"/>
                <w:sz w:val="21"/>
                <w:szCs w:val="21"/>
                <w:lang w:val="en-US" w:eastAsia="zh-CN"/>
              </w:rPr>
              <w:t>2  与</w:t>
            </w:r>
            <w:r>
              <w:rPr>
                <w:rFonts w:hint="default" w:ascii="Times New Roman" w:hAnsi="Times New Roman" w:eastAsia="宋体" w:cs="Times New Roman"/>
                <w:b w:val="0"/>
                <w:bCs w:val="0"/>
                <w:color w:val="auto"/>
                <w:sz w:val="21"/>
                <w:szCs w:val="21"/>
                <w:lang w:val="en-US" w:eastAsia="zh-CN"/>
              </w:rPr>
              <w:t>《关于</w:t>
            </w:r>
            <w:r>
              <w:rPr>
                <w:rFonts w:hint="eastAsia" w:ascii="Times New Roman" w:hAnsi="Times New Roman" w:eastAsia="宋体" w:cs="Times New Roman"/>
                <w:b w:val="0"/>
                <w:bCs w:val="0"/>
                <w:color w:val="auto"/>
                <w:sz w:val="21"/>
                <w:szCs w:val="21"/>
                <w:lang w:val="en-US" w:eastAsia="zh-CN"/>
              </w:rPr>
              <w:t>&lt;淮北经济技术开发区扩区规划</w:t>
            </w:r>
            <w:r>
              <w:rPr>
                <w:rFonts w:hint="default" w:ascii="Times New Roman" w:hAnsi="Times New Roman" w:eastAsia="宋体" w:cs="Times New Roman"/>
                <w:b w:val="0"/>
                <w:bCs w:val="0"/>
                <w:color w:val="auto"/>
                <w:sz w:val="21"/>
                <w:szCs w:val="21"/>
                <w:lang w:val="en-US" w:eastAsia="zh-CN"/>
              </w:rPr>
              <w:t>环境影响报告书</w:t>
            </w:r>
            <w:r>
              <w:rPr>
                <w:rFonts w:hint="eastAsia" w:ascii="Times New Roman" w:hAnsi="Times New Roman" w:eastAsia="宋体" w:cs="Times New Roman"/>
                <w:b w:val="0"/>
                <w:bCs w:val="0"/>
                <w:color w:val="auto"/>
                <w:sz w:val="21"/>
                <w:szCs w:val="21"/>
                <w:lang w:val="en-US" w:eastAsia="zh-CN"/>
              </w:rPr>
              <w:t>&gt;</w:t>
            </w:r>
            <w:r>
              <w:rPr>
                <w:rFonts w:hint="default" w:ascii="Times New Roman" w:hAnsi="Times New Roman" w:eastAsia="宋体" w:cs="Times New Roman"/>
                <w:b w:val="0"/>
                <w:bCs w:val="0"/>
                <w:color w:val="auto"/>
                <w:sz w:val="21"/>
                <w:szCs w:val="21"/>
                <w:lang w:val="en-US" w:eastAsia="zh-CN"/>
              </w:rPr>
              <w:t>的审查意见》</w:t>
            </w:r>
            <w:r>
              <w:rPr>
                <w:rFonts w:hint="default" w:ascii="Times New Roman" w:hAnsi="Times New Roman" w:cs="Times New Roman"/>
                <w:b w:val="0"/>
                <w:bCs w:val="0"/>
                <w:color w:val="auto"/>
                <w:sz w:val="21"/>
                <w:szCs w:val="21"/>
              </w:rPr>
              <w:t>相符性分析</w:t>
            </w:r>
          </w:p>
          <w:tbl>
            <w:tblPr>
              <w:tblStyle w:val="36"/>
              <w:tblW w:w="7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0"/>
              <w:gridCol w:w="2972"/>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3540" w:type="dxa"/>
                  <w:noWrap w:val="0"/>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《关于</w:t>
                  </w:r>
                  <w:r>
                    <w:rPr>
                      <w:rFonts w:hint="eastAsia" w:ascii="Times New Roman" w:hAnsi="Times New Roman" w:eastAsia="宋体" w:cs="Times New Roman"/>
                      <w:b w:val="0"/>
                      <w:bCs w:val="0"/>
                      <w:color w:val="auto"/>
                      <w:sz w:val="21"/>
                      <w:szCs w:val="21"/>
                      <w:lang w:val="en-US" w:eastAsia="zh-CN"/>
                    </w:rPr>
                    <w:t>&lt;淮北经济技术开发区扩区规划</w:t>
                  </w:r>
                  <w:r>
                    <w:rPr>
                      <w:rFonts w:hint="default" w:ascii="Times New Roman" w:hAnsi="Times New Roman" w:eastAsia="宋体" w:cs="Times New Roman"/>
                      <w:b w:val="0"/>
                      <w:bCs w:val="0"/>
                      <w:color w:val="auto"/>
                      <w:sz w:val="21"/>
                      <w:szCs w:val="21"/>
                      <w:lang w:val="en-US" w:eastAsia="zh-CN"/>
                    </w:rPr>
                    <w:t>环境影响报告书</w:t>
                  </w:r>
                  <w:r>
                    <w:rPr>
                      <w:rFonts w:hint="eastAsia" w:ascii="Times New Roman" w:hAnsi="Times New Roman" w:eastAsia="宋体" w:cs="Times New Roman"/>
                      <w:b w:val="0"/>
                      <w:bCs w:val="0"/>
                      <w:color w:val="auto"/>
                      <w:sz w:val="21"/>
                      <w:szCs w:val="21"/>
                      <w:lang w:val="en-US" w:eastAsia="zh-CN"/>
                    </w:rPr>
                    <w:t>&gt;</w:t>
                  </w:r>
                  <w:r>
                    <w:rPr>
                      <w:rFonts w:hint="default" w:ascii="Times New Roman" w:hAnsi="Times New Roman" w:eastAsia="宋体" w:cs="Times New Roman"/>
                      <w:b w:val="0"/>
                      <w:bCs w:val="0"/>
                      <w:color w:val="auto"/>
                      <w:sz w:val="21"/>
                      <w:szCs w:val="21"/>
                      <w:lang w:val="en-US" w:eastAsia="zh-CN"/>
                    </w:rPr>
                    <w:t>的审查意见》</w:t>
                  </w:r>
                  <w:r>
                    <w:rPr>
                      <w:rFonts w:hint="eastAsia" w:cs="Times New Roman"/>
                      <w:b w:val="0"/>
                      <w:bCs w:val="0"/>
                      <w:color w:val="auto"/>
                      <w:sz w:val="21"/>
                      <w:szCs w:val="21"/>
                      <w:lang w:val="en-US" w:eastAsia="zh-CN"/>
                    </w:rPr>
                    <w:t>内容</w:t>
                  </w:r>
                </w:p>
              </w:tc>
              <w:tc>
                <w:tcPr>
                  <w:tcW w:w="2972" w:type="dxa"/>
                  <w:noWrap w:val="0"/>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本项目情况</w:t>
                  </w:r>
                </w:p>
              </w:tc>
              <w:tc>
                <w:tcPr>
                  <w:tcW w:w="826" w:type="dxa"/>
                  <w:noWrap w:val="0"/>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3540" w:type="dxa"/>
                  <w:noWrap w:val="0"/>
                  <w:vAlign w:val="center"/>
                </w:tcPr>
                <w:p>
                  <w:pPr>
                    <w:bidi w:val="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进一步优化论证开发区主导产业功能定位，优化产业结构，控制非主导产业定位方向的项目入园建设，严格限制高能耗、高水耗、污染严重的项目入园。严禁建设国家产业政策、技术政策和环保法律法规政策明令禁止的项目</w:t>
                  </w:r>
                  <w:r>
                    <w:rPr>
                      <w:rFonts w:hint="eastAsia" w:ascii="Times New Roman" w:hAnsi="Times New Roman" w:eastAsia="宋体" w:cs="Times New Roman"/>
                      <w:b w:val="0"/>
                      <w:bCs w:val="0"/>
                      <w:color w:val="auto"/>
                      <w:kern w:val="0"/>
                      <w:sz w:val="21"/>
                      <w:szCs w:val="21"/>
                      <w:lang w:val="en-US" w:eastAsia="zh-CN" w:bidi="ar-SA"/>
                    </w:rPr>
                    <w:t>。</w:t>
                  </w:r>
                </w:p>
              </w:tc>
              <w:tc>
                <w:tcPr>
                  <w:tcW w:w="2972" w:type="dxa"/>
                  <w:noWrap w:val="0"/>
                  <w:vAlign w:val="center"/>
                </w:tcPr>
                <w:p>
                  <w:pPr>
                    <w:keepNext w:val="0"/>
                    <w:keepLines w:val="0"/>
                    <w:widowControl/>
                    <w:suppressLineNumbers w:val="0"/>
                    <w:ind w:firstLine="420" w:firstLineChars="200"/>
                    <w:jc w:val="left"/>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本</w:t>
                  </w:r>
                  <w:r>
                    <w:rPr>
                      <w:rFonts w:hint="eastAsia" w:ascii="Times New Roman" w:hAnsi="Times New Roman" w:eastAsia="宋体" w:cs="Times New Roman"/>
                      <w:b w:val="0"/>
                      <w:bCs w:val="0"/>
                      <w:color w:val="auto"/>
                      <w:kern w:val="0"/>
                      <w:sz w:val="21"/>
                      <w:szCs w:val="21"/>
                      <w:lang w:val="en-US" w:eastAsia="zh-CN" w:bidi="ar-SA"/>
                    </w:rPr>
                    <w:t>项目属于</w:t>
                  </w:r>
                  <w:r>
                    <w:rPr>
                      <w:rFonts w:hint="default" w:ascii="Times New Roman" w:hAnsi="Times New Roman" w:eastAsia="宋体" w:cs="Times New Roman"/>
                      <w:b w:val="0"/>
                      <w:bCs w:val="0"/>
                      <w:color w:val="auto"/>
                      <w:kern w:val="0"/>
                      <w:sz w:val="21"/>
                      <w:szCs w:val="21"/>
                      <w:lang w:val="en-US" w:eastAsia="zh-CN" w:bidi="ar-SA"/>
                    </w:rPr>
                    <w:t>塑料板、管、型材制造</w:t>
                  </w:r>
                  <w:r>
                    <w:rPr>
                      <w:rFonts w:hint="eastAsia"/>
                      <w:color w:val="auto"/>
                      <w:lang w:eastAsia="zh-CN"/>
                    </w:rPr>
                    <w:t>，同属于橡胶板、管、带制造</w:t>
                  </w:r>
                  <w:r>
                    <w:rPr>
                      <w:rFonts w:hint="eastAsia" w:ascii="Times New Roman" w:hAnsi="Times New Roman" w:eastAsia="宋体" w:cs="Times New Roman"/>
                      <w:b w:val="0"/>
                      <w:bCs w:val="0"/>
                      <w:color w:val="auto"/>
                      <w:kern w:val="0"/>
                      <w:sz w:val="21"/>
                      <w:szCs w:val="21"/>
                      <w:lang w:val="en-US" w:eastAsia="zh-CN" w:bidi="ar-SA"/>
                    </w:rPr>
                    <w:t>，</w:t>
                  </w:r>
                  <w:r>
                    <w:rPr>
                      <w:rFonts w:hint="default" w:ascii="Times New Roman" w:hAnsi="Times New Roman" w:eastAsia="宋体" w:cs="Times New Roman"/>
                      <w:b w:val="0"/>
                      <w:bCs w:val="0"/>
                      <w:color w:val="auto"/>
                      <w:kern w:val="0"/>
                      <w:sz w:val="21"/>
                      <w:szCs w:val="21"/>
                      <w:lang w:val="en-US" w:eastAsia="zh-CN" w:bidi="ar-SA"/>
                    </w:rPr>
                    <w:t>不属于园区的主导产业，但</w:t>
                  </w:r>
                  <w:r>
                    <w:rPr>
                      <w:rFonts w:hint="eastAsia" w:ascii="Times New Roman" w:hAnsi="Times New Roman" w:eastAsia="宋体" w:cs="Times New Roman"/>
                      <w:b w:val="0"/>
                      <w:bCs w:val="0"/>
                      <w:color w:val="auto"/>
                      <w:kern w:val="0"/>
                      <w:sz w:val="21"/>
                      <w:szCs w:val="21"/>
                      <w:lang w:val="en-US" w:eastAsia="zh-CN" w:bidi="ar-SA"/>
                    </w:rPr>
                    <w:t>也</w:t>
                  </w:r>
                  <w:r>
                    <w:rPr>
                      <w:rFonts w:hint="default" w:ascii="Times New Roman" w:hAnsi="Times New Roman" w:eastAsia="宋体" w:cs="Times New Roman"/>
                      <w:b w:val="0"/>
                      <w:bCs w:val="0"/>
                      <w:color w:val="auto"/>
                      <w:kern w:val="0"/>
                      <w:sz w:val="21"/>
                      <w:szCs w:val="21"/>
                      <w:lang w:val="en-US" w:eastAsia="zh-CN" w:bidi="ar-SA"/>
                    </w:rPr>
                    <w:t>不属于园区</w:t>
                  </w:r>
                  <w:r>
                    <w:rPr>
                      <w:rFonts w:hint="eastAsia" w:ascii="Times New Roman" w:hAnsi="Times New Roman" w:eastAsia="宋体" w:cs="Times New Roman"/>
                      <w:b w:val="0"/>
                      <w:bCs w:val="0"/>
                      <w:color w:val="auto"/>
                      <w:kern w:val="0"/>
                      <w:sz w:val="21"/>
                      <w:szCs w:val="21"/>
                      <w:lang w:val="en-US" w:eastAsia="zh-CN" w:bidi="ar-SA"/>
                    </w:rPr>
                    <w:t>禁止及</w:t>
                  </w:r>
                  <w:r>
                    <w:rPr>
                      <w:rFonts w:hint="default" w:ascii="Times New Roman" w:hAnsi="Times New Roman" w:eastAsia="宋体" w:cs="Times New Roman"/>
                      <w:b w:val="0"/>
                      <w:bCs w:val="0"/>
                      <w:color w:val="auto"/>
                      <w:kern w:val="0"/>
                      <w:sz w:val="21"/>
                      <w:szCs w:val="21"/>
                      <w:lang w:val="en-US" w:eastAsia="zh-CN" w:bidi="ar-SA"/>
                    </w:rPr>
                    <w:t>限制</w:t>
                  </w:r>
                  <w:r>
                    <w:rPr>
                      <w:rFonts w:hint="eastAsia" w:ascii="Times New Roman" w:hAnsi="Times New Roman" w:eastAsia="宋体" w:cs="Times New Roman"/>
                      <w:b w:val="0"/>
                      <w:bCs w:val="0"/>
                      <w:color w:val="auto"/>
                      <w:kern w:val="0"/>
                      <w:sz w:val="21"/>
                      <w:szCs w:val="21"/>
                      <w:lang w:val="en-US" w:eastAsia="zh-CN" w:bidi="ar-SA"/>
                    </w:rPr>
                    <w:t>类的产业</w:t>
                  </w:r>
                  <w:r>
                    <w:rPr>
                      <w:rFonts w:hint="default" w:ascii="Times New Roman" w:hAnsi="Times New Roman" w:eastAsia="宋体" w:cs="Times New Roman"/>
                      <w:b w:val="0"/>
                      <w:bCs w:val="0"/>
                      <w:color w:val="auto"/>
                      <w:kern w:val="0"/>
                      <w:sz w:val="21"/>
                      <w:szCs w:val="21"/>
                      <w:lang w:val="en-US" w:eastAsia="zh-CN" w:bidi="ar-SA"/>
                    </w:rPr>
                    <w:t>，</w:t>
                  </w:r>
                  <w:r>
                    <w:rPr>
                      <w:rFonts w:hint="eastAsia" w:ascii="Times New Roman" w:hAnsi="Times New Roman" w:eastAsia="宋体" w:cs="Times New Roman"/>
                      <w:b w:val="0"/>
                      <w:bCs w:val="0"/>
                      <w:color w:val="auto"/>
                      <w:kern w:val="0"/>
                      <w:sz w:val="21"/>
                      <w:szCs w:val="21"/>
                      <w:lang w:val="en-US" w:eastAsia="zh-CN" w:bidi="ar-SA"/>
                    </w:rPr>
                    <w:t>可视为允许类</w:t>
                  </w:r>
                  <w:r>
                    <w:rPr>
                      <w:rFonts w:hint="eastAsia" w:cs="Times New Roman"/>
                      <w:b w:val="0"/>
                      <w:bCs w:val="0"/>
                      <w:color w:val="auto"/>
                      <w:kern w:val="0"/>
                      <w:sz w:val="21"/>
                      <w:szCs w:val="21"/>
                      <w:lang w:val="en-US" w:eastAsia="zh-CN" w:bidi="ar-SA"/>
                    </w:rPr>
                    <w:t>。</w:t>
                  </w:r>
                  <w:r>
                    <w:rPr>
                      <w:rFonts w:hint="eastAsia" w:ascii="Times New Roman" w:hAnsi="Times New Roman" w:eastAsia="宋体" w:cs="Times New Roman"/>
                      <w:b w:val="0"/>
                      <w:bCs w:val="0"/>
                      <w:color w:val="auto"/>
                      <w:kern w:val="0"/>
                      <w:sz w:val="21"/>
                      <w:szCs w:val="21"/>
                      <w:lang w:val="en-US" w:eastAsia="zh-CN" w:bidi="ar-SA"/>
                    </w:rPr>
                    <w:t>项目</w:t>
                  </w:r>
                  <w:r>
                    <w:rPr>
                      <w:rFonts w:hint="eastAsia" w:cs="Times New Roman"/>
                      <w:b w:val="0"/>
                      <w:bCs w:val="0"/>
                      <w:color w:val="auto"/>
                      <w:kern w:val="0"/>
                      <w:sz w:val="21"/>
                      <w:szCs w:val="21"/>
                      <w:lang w:val="en-US" w:eastAsia="zh-CN" w:bidi="ar-SA"/>
                    </w:rPr>
                    <w:t>不属于高耗能、高水耗、污染严重的产业。</w:t>
                  </w:r>
                </w:p>
              </w:tc>
              <w:tc>
                <w:tcPr>
                  <w:tcW w:w="826" w:type="dxa"/>
                  <w:noWrap w:val="0"/>
                  <w:vAlign w:val="center"/>
                </w:tcPr>
                <w:p>
                  <w:pPr>
                    <w:pStyle w:val="105"/>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3540" w:type="dxa"/>
                  <w:noWrap w:val="0"/>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开发区实施集中供热；入园项目不得新建燃煤锅炉。</w:t>
                  </w:r>
                </w:p>
              </w:tc>
              <w:tc>
                <w:tcPr>
                  <w:tcW w:w="2972" w:type="dxa"/>
                  <w:noWrap w:val="0"/>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本项目不新建燃煤锅炉。</w:t>
                  </w:r>
                  <w:r>
                    <w:rPr>
                      <w:rFonts w:hint="eastAsia" w:cs="Times New Roman"/>
                      <w:b w:val="0"/>
                      <w:bCs w:val="0"/>
                      <w:color w:val="auto"/>
                      <w:kern w:val="0"/>
                      <w:sz w:val="21"/>
                      <w:szCs w:val="21"/>
                      <w:lang w:val="en-US" w:eastAsia="zh-CN" w:bidi="ar-SA"/>
                    </w:rPr>
                    <w:t>生产所需蒸汽由淮北旺能环保能源有限公司集中供给</w:t>
                  </w:r>
                </w:p>
              </w:tc>
              <w:tc>
                <w:tcPr>
                  <w:tcW w:w="826" w:type="dxa"/>
                  <w:noWrap w:val="0"/>
                  <w:vAlign w:val="center"/>
                </w:tcPr>
                <w:p>
                  <w:pPr>
                    <w:pStyle w:val="105"/>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4" w:hRule="atLeast"/>
                <w:jc w:val="center"/>
              </w:trPr>
              <w:tc>
                <w:tcPr>
                  <w:tcW w:w="3540" w:type="dxa"/>
                  <w:noWrap w:val="0"/>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 xml:space="preserve">       </w:t>
                  </w:r>
                  <w:r>
                    <w:rPr>
                      <w:rFonts w:hint="default" w:ascii="Times New Roman" w:hAnsi="Times New Roman" w:eastAsia="宋体" w:cs="Times New Roman"/>
                      <w:b w:val="0"/>
                      <w:bCs w:val="0"/>
                      <w:color w:val="auto"/>
                      <w:kern w:val="0"/>
                      <w:sz w:val="21"/>
                      <w:szCs w:val="21"/>
                      <w:lang w:val="en-US" w:eastAsia="zh-CN" w:bidi="ar-SA"/>
                    </w:rPr>
                    <w:t>开发区内危险废物的收集、贮存应符合《危险废物贮存污染控制标准》的规定要求。按要求处置生活垃圾及工业固废，防止造成二次污染。声环境执行相应功能区标准，施工期噪声执行《建筑施工场界噪声限值》</w:t>
                  </w:r>
                  <w:r>
                    <w:rPr>
                      <w:rFonts w:hint="eastAsia" w:ascii="Times New Roman" w:hAnsi="Times New Roman" w:eastAsia="宋体" w:cs="Times New Roman"/>
                      <w:b w:val="0"/>
                      <w:bCs w:val="0"/>
                      <w:color w:val="auto"/>
                      <w:kern w:val="0"/>
                      <w:sz w:val="21"/>
                      <w:szCs w:val="21"/>
                      <w:lang w:val="en-US" w:eastAsia="zh-CN" w:bidi="ar-SA"/>
                    </w:rPr>
                    <w:t>（</w:t>
                  </w:r>
                  <w:r>
                    <w:rPr>
                      <w:rFonts w:hint="default" w:ascii="Times New Roman" w:hAnsi="Times New Roman" w:eastAsia="宋体" w:cs="Times New Roman"/>
                      <w:b w:val="0"/>
                      <w:bCs w:val="0"/>
                      <w:color w:val="auto"/>
                      <w:kern w:val="0"/>
                      <w:sz w:val="21"/>
                      <w:szCs w:val="21"/>
                      <w:lang w:val="en-US" w:eastAsia="zh-CN" w:bidi="ar-SA"/>
                    </w:rPr>
                    <w:t>GB 12523-90</w:t>
                  </w:r>
                  <w:r>
                    <w:rPr>
                      <w:rFonts w:hint="eastAsia" w:ascii="Times New Roman" w:hAnsi="Times New Roman" w:eastAsia="宋体" w:cs="Times New Roman"/>
                      <w:b w:val="0"/>
                      <w:bCs w:val="0"/>
                      <w:color w:val="auto"/>
                      <w:kern w:val="0"/>
                      <w:sz w:val="21"/>
                      <w:szCs w:val="21"/>
                      <w:lang w:val="en-US" w:eastAsia="zh-CN" w:bidi="ar-SA"/>
                    </w:rPr>
                    <w:t>）</w:t>
                  </w:r>
                  <w:r>
                    <w:rPr>
                      <w:rFonts w:hint="default" w:ascii="Times New Roman" w:hAnsi="Times New Roman" w:eastAsia="宋体" w:cs="Times New Roman"/>
                      <w:b w:val="0"/>
                      <w:bCs w:val="0"/>
                      <w:color w:val="auto"/>
                      <w:kern w:val="0"/>
                      <w:sz w:val="21"/>
                      <w:szCs w:val="21"/>
                      <w:lang w:val="en-US" w:eastAsia="zh-CN" w:bidi="ar-SA"/>
                    </w:rPr>
                    <w:t>中有关规定。</w:t>
                  </w:r>
                </w:p>
              </w:tc>
              <w:tc>
                <w:tcPr>
                  <w:tcW w:w="2972" w:type="dxa"/>
                  <w:noWrap w:val="0"/>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项目产生的各类危险废物的收集、贮存符合《危险废物贮存污染控制标准》（GB18597-20</w:t>
                  </w:r>
                  <w:r>
                    <w:rPr>
                      <w:rFonts w:hint="eastAsia" w:ascii="Times New Roman" w:hAnsi="Times New Roman" w:eastAsia="宋体" w:cs="Times New Roman"/>
                      <w:b w:val="0"/>
                      <w:bCs w:val="0"/>
                      <w:color w:val="auto"/>
                      <w:kern w:val="0"/>
                      <w:sz w:val="21"/>
                      <w:szCs w:val="21"/>
                      <w:lang w:val="en-US" w:eastAsia="zh-CN" w:bidi="ar-SA"/>
                    </w:rPr>
                    <w:t>23</w:t>
                  </w:r>
                  <w:r>
                    <w:rPr>
                      <w:rFonts w:hint="default" w:ascii="Times New Roman" w:hAnsi="Times New Roman" w:eastAsia="宋体" w:cs="Times New Roman"/>
                      <w:b w:val="0"/>
                      <w:bCs w:val="0"/>
                      <w:color w:val="auto"/>
                      <w:kern w:val="0"/>
                      <w:sz w:val="21"/>
                      <w:szCs w:val="21"/>
                      <w:lang w:val="en-US" w:eastAsia="zh-CN" w:bidi="ar-SA"/>
                    </w:rPr>
                    <w:t>）的规定要求；按要求处置生活垃圾及工业固废，防止造成二次污染。运营期声环境满足《工业企业厂界环境噪声排放标准》（GB12348-2008）中3类标准要求。</w:t>
                  </w:r>
                </w:p>
              </w:tc>
              <w:tc>
                <w:tcPr>
                  <w:tcW w:w="826" w:type="dxa"/>
                  <w:noWrap w:val="0"/>
                  <w:vAlign w:val="center"/>
                </w:tcPr>
                <w:p>
                  <w:pPr>
                    <w:pStyle w:val="105"/>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3540" w:type="dxa"/>
                  <w:noWrap w:val="0"/>
                  <w:vAlign w:val="center"/>
                </w:tcPr>
                <w:p>
                  <w:pPr>
                    <w:pStyle w:val="10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制定切实可行的环境风险防范措施，防止突发性环境污染事故。</w:t>
                  </w:r>
                </w:p>
              </w:tc>
              <w:tc>
                <w:tcPr>
                  <w:tcW w:w="2972" w:type="dxa"/>
                  <w:noWrap w:val="0"/>
                  <w:vAlign w:val="center"/>
                </w:tcPr>
                <w:p>
                  <w:pPr>
                    <w:pStyle w:val="105"/>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建设单位将制定切实可行的环境风险防范措施，防止突发性环境污染事故，并与园区建立联动。</w:t>
                  </w:r>
                </w:p>
              </w:tc>
              <w:tc>
                <w:tcPr>
                  <w:tcW w:w="826" w:type="dxa"/>
                  <w:noWrap w:val="0"/>
                  <w:vAlign w:val="center"/>
                </w:tcPr>
                <w:p>
                  <w:pPr>
                    <w:pStyle w:val="105"/>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jc w:val="center"/>
              </w:trPr>
              <w:tc>
                <w:tcPr>
                  <w:tcW w:w="3540" w:type="dxa"/>
                  <w:noWrap w:val="0"/>
                  <w:vAlign w:val="center"/>
                </w:tcPr>
                <w:p>
                  <w:pPr>
                    <w:pStyle w:val="105"/>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加强环境监督管理，开发区内所有建设项目，要认真履行有关环境保护法律法规，严格执</w:t>
                  </w:r>
                  <w:r>
                    <w:rPr>
                      <w:rFonts w:hint="eastAsia" w:ascii="Times New Roman" w:hAnsi="Times New Roman" w:eastAsia="宋体" w:cs="Times New Roman"/>
                      <w:color w:val="auto"/>
                      <w:sz w:val="21"/>
                      <w:szCs w:val="21"/>
                      <w:lang w:val="en-US" w:eastAsia="zh-CN"/>
                    </w:rPr>
                    <w:t>行建设项目环境影响评价制度和环境保护“三同时”制度。</w:t>
                  </w:r>
                </w:p>
              </w:tc>
              <w:tc>
                <w:tcPr>
                  <w:tcW w:w="2972" w:type="dxa"/>
                  <w:noWrap w:val="0"/>
                  <w:vAlign w:val="center"/>
                </w:tcPr>
                <w:p>
                  <w:pPr>
                    <w:pStyle w:val="105"/>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项目认真履行有关环境保护法律法规，严格执行建设项目环境影响评价制度和环境</w:t>
                  </w:r>
                  <w:r>
                    <w:rPr>
                      <w:rFonts w:hint="eastAsia" w:ascii="Times New Roman" w:hAnsi="Times New Roman" w:eastAsia="宋体" w:cs="Times New Roman"/>
                      <w:color w:val="auto"/>
                      <w:sz w:val="21"/>
                      <w:szCs w:val="21"/>
                      <w:lang w:val="en-US" w:eastAsia="zh-CN"/>
                    </w:rPr>
                    <w:t>保护“三同时”制度</w:t>
                  </w:r>
                  <w:r>
                    <w:rPr>
                      <w:rFonts w:hint="default" w:ascii="Times New Roman" w:hAnsi="Times New Roman" w:eastAsia="宋体" w:cs="Times New Roman"/>
                      <w:color w:val="auto"/>
                      <w:sz w:val="21"/>
                      <w:szCs w:val="21"/>
                      <w:lang w:val="en-US" w:eastAsia="zh-CN"/>
                    </w:rPr>
                    <w:t>。</w:t>
                  </w:r>
                </w:p>
              </w:tc>
              <w:tc>
                <w:tcPr>
                  <w:tcW w:w="826" w:type="dxa"/>
                  <w:noWrap w:val="0"/>
                  <w:vAlign w:val="center"/>
                </w:tcPr>
                <w:p>
                  <w:pPr>
                    <w:pStyle w:val="105"/>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3540" w:type="dxa"/>
                  <w:noWrap w:val="0"/>
                  <w:vAlign w:val="center"/>
                </w:tcPr>
                <w:p>
                  <w:pPr>
                    <w:pStyle w:val="105"/>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规划实施中新增污染物排放总量应按有关污染物排放总量控制的要求，在淮北市的污染物排放总量削减计划中予以落实。</w:t>
                  </w:r>
                </w:p>
              </w:tc>
              <w:tc>
                <w:tcPr>
                  <w:tcW w:w="2972" w:type="dxa"/>
                  <w:noWrap w:val="0"/>
                  <w:vAlign w:val="center"/>
                </w:tcPr>
                <w:p>
                  <w:pPr>
                    <w:pStyle w:val="105"/>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项目废水污染物排放总量控制指标纳入园区统一管理，有关污染物排放总量控制指标予以落实。</w:t>
                  </w:r>
                </w:p>
              </w:tc>
              <w:tc>
                <w:tcPr>
                  <w:tcW w:w="826" w:type="dxa"/>
                  <w:noWrap w:val="0"/>
                  <w:vAlign w:val="center"/>
                </w:tcPr>
                <w:p>
                  <w:pPr>
                    <w:pStyle w:val="105"/>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adjustRightInd w:val="0"/>
              <w:snapToGrid w:val="0"/>
              <w:spacing w:line="360" w:lineRule="auto"/>
              <w:ind w:firstLine="480" w:firstLineChars="200"/>
              <w:jc w:val="left"/>
              <w:rPr>
                <w:rFonts w:ascii="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63" w:hRule="atLeast"/>
          <w:jc w:val="center"/>
        </w:trPr>
        <w:tc>
          <w:tcPr>
            <w:tcW w:w="1705" w:type="dxa"/>
            <w:tcBorders>
              <w:bottom w:val="single" w:color="auto" w:sz="8" w:space="0"/>
            </w:tcBorders>
            <w:vAlign w:val="center"/>
          </w:tcPr>
          <w:p>
            <w:pPr>
              <w:adjustRightInd w:val="0"/>
              <w:snapToGrid w:val="0"/>
              <w:jc w:val="center"/>
              <w:rPr>
                <w:rFonts w:ascii="宋体"/>
                <w:color w:val="auto"/>
                <w:sz w:val="24"/>
                <w:szCs w:val="24"/>
              </w:rPr>
            </w:pPr>
            <w:r>
              <w:rPr>
                <w:rFonts w:hint="eastAsia" w:ascii="宋体" w:hAnsi="宋体" w:cs="宋体"/>
                <w:color w:val="auto"/>
                <w:sz w:val="24"/>
                <w:szCs w:val="24"/>
              </w:rPr>
              <w:t>其他符合性分析</w:t>
            </w:r>
          </w:p>
        </w:tc>
        <w:tc>
          <w:tcPr>
            <w:tcW w:w="7834" w:type="dxa"/>
            <w:gridSpan w:val="3"/>
            <w:tcBorders>
              <w:bottom w:val="single" w:color="auto" w:sz="8" w:space="0"/>
            </w:tcBorders>
            <w:vAlign w:val="center"/>
          </w:tcPr>
          <w:p>
            <w:pPr>
              <w:adjustRightInd w:val="0"/>
              <w:snapToGrid w:val="0"/>
              <w:spacing w:beforeLines="100" w:line="360" w:lineRule="auto"/>
              <w:ind w:firstLine="480" w:firstLineChars="200"/>
              <w:jc w:val="left"/>
              <w:rPr>
                <w:rFonts w:ascii="宋体"/>
                <w:color w:val="auto"/>
                <w:sz w:val="24"/>
                <w:szCs w:val="24"/>
              </w:rPr>
            </w:pPr>
            <w:r>
              <w:rPr>
                <w:rFonts w:ascii="宋体" w:hAnsi="宋体" w:cs="宋体"/>
                <w:color w:val="auto"/>
                <w:sz w:val="24"/>
                <w:szCs w:val="24"/>
              </w:rPr>
              <w:t>1</w:t>
            </w:r>
            <w:r>
              <w:rPr>
                <w:rFonts w:hint="eastAsia" w:ascii="宋体" w:hAnsi="宋体" w:cs="宋体"/>
                <w:color w:val="auto"/>
                <w:sz w:val="24"/>
                <w:szCs w:val="24"/>
              </w:rPr>
              <w:t>、与《产业结构调整指导目录（</w:t>
            </w:r>
            <w:r>
              <w:rPr>
                <w:rFonts w:ascii="宋体" w:hAnsi="宋体" w:cs="宋体"/>
                <w:color w:val="auto"/>
                <w:sz w:val="24"/>
                <w:szCs w:val="24"/>
              </w:rPr>
              <w:t>20</w:t>
            </w:r>
            <w:r>
              <w:rPr>
                <w:rFonts w:hint="eastAsia" w:ascii="宋体" w:hAnsi="宋体" w:cs="宋体"/>
                <w:color w:val="auto"/>
                <w:sz w:val="24"/>
                <w:szCs w:val="24"/>
                <w:lang w:val="en-US" w:eastAsia="zh-CN"/>
              </w:rPr>
              <w:t>24</w:t>
            </w:r>
            <w:r>
              <w:rPr>
                <w:rFonts w:hint="eastAsia" w:ascii="宋体" w:hAnsi="宋体" w:cs="宋体"/>
                <w:color w:val="auto"/>
                <w:sz w:val="24"/>
                <w:szCs w:val="24"/>
              </w:rPr>
              <w:t>年本）》相符性分析</w:t>
            </w:r>
          </w:p>
          <w:p>
            <w:pPr>
              <w:adjustRightInd w:val="0"/>
              <w:snapToGrid w:val="0"/>
              <w:spacing w:line="360" w:lineRule="auto"/>
              <w:ind w:firstLine="480" w:firstLineChars="200"/>
              <w:jc w:val="left"/>
              <w:rPr>
                <w:rFonts w:ascii="宋体"/>
                <w:color w:val="auto"/>
                <w:sz w:val="24"/>
                <w:szCs w:val="24"/>
              </w:rPr>
            </w:pPr>
            <w:r>
              <w:rPr>
                <w:rFonts w:hint="eastAsia" w:ascii="宋体" w:hAnsi="宋体" w:cs="宋体"/>
                <w:color w:val="auto"/>
                <w:sz w:val="24"/>
                <w:szCs w:val="24"/>
              </w:rPr>
              <w:t>根据国家发展和改革委员会发布的《产业结构调整指导目录（</w:t>
            </w:r>
            <w:r>
              <w:rPr>
                <w:rFonts w:ascii="宋体" w:hAnsi="宋体" w:cs="宋体"/>
                <w:color w:val="auto"/>
                <w:sz w:val="24"/>
                <w:szCs w:val="24"/>
              </w:rPr>
              <w:t>20</w:t>
            </w:r>
            <w:r>
              <w:rPr>
                <w:rFonts w:hint="eastAsia" w:ascii="宋体" w:hAnsi="宋体" w:cs="宋体"/>
                <w:color w:val="auto"/>
                <w:sz w:val="24"/>
                <w:szCs w:val="24"/>
                <w:lang w:val="en-US" w:eastAsia="zh-CN"/>
              </w:rPr>
              <w:t>24</w:t>
            </w:r>
            <w:r>
              <w:rPr>
                <w:rFonts w:hint="eastAsia" w:ascii="宋体" w:hAnsi="宋体" w:cs="宋体"/>
                <w:color w:val="auto"/>
                <w:sz w:val="24"/>
                <w:szCs w:val="24"/>
              </w:rPr>
              <w:t>年本），本项目不属于鼓励类、限制类和淘汰类项目，不属于两高项目，为允许类项目。</w:t>
            </w:r>
          </w:p>
          <w:p>
            <w:pPr>
              <w:adjustRightInd w:val="0"/>
              <w:snapToGrid w:val="0"/>
              <w:spacing w:line="360" w:lineRule="auto"/>
              <w:ind w:firstLine="480" w:firstLineChars="200"/>
              <w:jc w:val="left"/>
              <w:rPr>
                <w:rFonts w:ascii="宋体"/>
                <w:color w:val="auto"/>
                <w:sz w:val="24"/>
                <w:szCs w:val="24"/>
              </w:rPr>
            </w:pPr>
            <w:r>
              <w:rPr>
                <w:rFonts w:ascii="宋体" w:hAnsi="宋体" w:cs="宋体"/>
                <w:color w:val="auto"/>
                <w:sz w:val="24"/>
                <w:szCs w:val="24"/>
              </w:rPr>
              <w:t>2</w:t>
            </w:r>
            <w:r>
              <w:rPr>
                <w:rFonts w:hint="eastAsia" w:ascii="宋体" w:hAnsi="宋体" w:cs="宋体"/>
                <w:color w:val="auto"/>
                <w:sz w:val="24"/>
                <w:szCs w:val="24"/>
              </w:rPr>
              <w:t>、与《市场准入负面清单（</w:t>
            </w:r>
            <w:r>
              <w:rPr>
                <w:rFonts w:ascii="宋体" w:hAnsi="宋体" w:cs="宋体"/>
                <w:color w:val="auto"/>
                <w:sz w:val="24"/>
                <w:szCs w:val="24"/>
              </w:rPr>
              <w:t>202</w:t>
            </w:r>
            <w:r>
              <w:rPr>
                <w:rFonts w:hint="eastAsia" w:ascii="宋体" w:hAnsi="宋体" w:cs="宋体"/>
                <w:color w:val="auto"/>
                <w:sz w:val="24"/>
                <w:szCs w:val="24"/>
                <w:lang w:val="en-US" w:eastAsia="zh-CN"/>
              </w:rPr>
              <w:t>2</w:t>
            </w:r>
            <w:r>
              <w:rPr>
                <w:rFonts w:hint="eastAsia" w:ascii="宋体" w:hAnsi="宋体" w:cs="宋体"/>
                <w:color w:val="auto"/>
                <w:sz w:val="24"/>
                <w:szCs w:val="24"/>
              </w:rPr>
              <w:t>年版）》相符性分析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rPr>
              <w:t>对照《市场准入负面清单（</w:t>
            </w:r>
            <w:r>
              <w:rPr>
                <w:rFonts w:ascii="宋体" w:hAnsi="宋体" w:cs="宋体"/>
                <w:color w:val="auto"/>
                <w:sz w:val="24"/>
                <w:szCs w:val="24"/>
              </w:rPr>
              <w:t>202</w:t>
            </w:r>
            <w:r>
              <w:rPr>
                <w:rFonts w:hint="eastAsia" w:ascii="宋体" w:hAnsi="宋体" w:cs="宋体"/>
                <w:color w:val="auto"/>
                <w:sz w:val="24"/>
                <w:szCs w:val="24"/>
                <w:lang w:val="en-US" w:eastAsia="zh-CN"/>
              </w:rPr>
              <w:t>2</w:t>
            </w:r>
            <w:r>
              <w:rPr>
                <w:rFonts w:hint="eastAsia" w:ascii="宋体" w:hAnsi="宋体" w:cs="宋体"/>
                <w:color w:val="auto"/>
                <w:sz w:val="24"/>
                <w:szCs w:val="24"/>
              </w:rPr>
              <w:t>年版）》对比，本项目不在其禁止或许可准入项目中。</w:t>
            </w:r>
            <w:r>
              <w:rPr>
                <w:rFonts w:hint="eastAsia" w:ascii="宋体" w:hAnsi="宋体" w:cs="宋体"/>
                <w:color w:val="auto"/>
                <w:sz w:val="24"/>
                <w:szCs w:val="24"/>
              </w:rPr>
              <w:br w:type="textWrapping"/>
            </w:r>
            <w:r>
              <w:rPr>
                <w:rFonts w:hint="eastAsia" w:ascii="宋体" w:hAnsi="宋体" w:cs="宋体"/>
                <w:color w:val="auto"/>
                <w:sz w:val="24"/>
                <w:szCs w:val="24"/>
                <w:lang w:val="en-US" w:eastAsia="zh-CN"/>
              </w:rPr>
              <w:t xml:space="preserve">   </w:t>
            </w:r>
            <w:r>
              <w:rPr>
                <w:rFonts w:hint="eastAsia" w:ascii="宋体" w:hAnsi="宋体" w:cs="宋体"/>
                <w:color w:val="auto"/>
                <w:sz w:val="24"/>
                <w:szCs w:val="24"/>
                <w:highlight w:val="none"/>
                <w:lang w:val="en-US" w:eastAsia="zh-CN"/>
              </w:rPr>
              <w:t xml:space="preserve"> 3、项目选址符合性分析</w:t>
            </w:r>
          </w:p>
          <w:p>
            <w:pPr>
              <w:numPr>
                <w:ilvl w:val="0"/>
                <w:numId w:val="3"/>
              </w:numPr>
              <w:adjustRightInd w:val="0"/>
              <w:snapToGrid w:val="0"/>
              <w:spacing w:line="360" w:lineRule="auto"/>
              <w:ind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用地符合性</w:t>
            </w:r>
          </w:p>
          <w:p>
            <w:pPr>
              <w:numPr>
                <w:ilvl w:val="0"/>
                <w:numId w:val="0"/>
              </w:numPr>
              <w:adjustRightInd w:val="0"/>
              <w:snapToGrid w:val="0"/>
              <w:spacing w:line="360" w:lineRule="auto"/>
              <w:ind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本项目位于</w:t>
            </w:r>
            <w:r>
              <w:rPr>
                <w:rFonts w:hint="eastAsia"/>
                <w:b w:val="0"/>
                <w:bCs w:val="0"/>
                <w:color w:val="auto"/>
                <w:sz w:val="24"/>
                <w:szCs w:val="24"/>
                <w:highlight w:val="none"/>
                <w:lang w:val="en-US" w:eastAsia="zh-CN"/>
              </w:rPr>
              <w:t>于淮北市烈山区经开区南区智能制造产业园二区4号厂房，</w:t>
            </w:r>
            <w:r>
              <w:rPr>
                <w:rFonts w:hint="eastAsia" w:ascii="宋体" w:hAnsi="宋体" w:cs="宋体"/>
                <w:color w:val="auto"/>
                <w:sz w:val="24"/>
                <w:szCs w:val="24"/>
                <w:highlight w:val="none"/>
                <w:lang w:eastAsia="zh-CN"/>
              </w:rPr>
              <w:t>对照</w:t>
            </w:r>
            <w:r>
              <w:rPr>
                <w:rFonts w:hint="eastAsia"/>
                <w:b w:val="0"/>
                <w:bCs w:val="0"/>
                <w:color w:val="auto"/>
                <w:sz w:val="24"/>
                <w:szCs w:val="24"/>
              </w:rPr>
              <w:t>根据《淮北经济开发区扩区总体规划》</w:t>
            </w:r>
            <w:r>
              <w:rPr>
                <w:rFonts w:hint="eastAsia"/>
                <w:b w:val="0"/>
                <w:bCs w:val="0"/>
                <w:color w:val="auto"/>
                <w:sz w:val="24"/>
                <w:szCs w:val="24"/>
                <w:lang w:eastAsia="zh-CN"/>
              </w:rPr>
              <w:t>“</w:t>
            </w:r>
            <w:r>
              <w:rPr>
                <w:rFonts w:hint="eastAsia"/>
                <w:b w:val="0"/>
                <w:bCs w:val="0"/>
                <w:color w:val="auto"/>
                <w:sz w:val="24"/>
                <w:szCs w:val="24"/>
              </w:rPr>
              <w:t>土</w:t>
            </w:r>
            <w:r>
              <w:rPr>
                <w:rFonts w:hint="eastAsia"/>
                <w:color w:val="auto"/>
                <w:sz w:val="24"/>
                <w:szCs w:val="24"/>
              </w:rPr>
              <w:t>地利用规划图</w:t>
            </w:r>
            <w:r>
              <w:rPr>
                <w:rFonts w:hint="eastAsia"/>
                <w:b w:val="0"/>
                <w:bCs w:val="0"/>
                <w:color w:val="auto"/>
                <w:sz w:val="24"/>
                <w:szCs w:val="24"/>
                <w:lang w:eastAsia="zh-CN"/>
              </w:rPr>
              <w:t>”</w:t>
            </w:r>
            <w:r>
              <w:rPr>
                <w:rFonts w:hint="eastAsia"/>
                <w:color w:val="auto"/>
                <w:sz w:val="24"/>
                <w:szCs w:val="24"/>
              </w:rPr>
              <w:t>，本项目所在地为工业用地，</w:t>
            </w:r>
            <w:r>
              <w:rPr>
                <w:rFonts w:hint="eastAsia"/>
                <w:color w:val="auto"/>
                <w:sz w:val="24"/>
                <w:szCs w:val="24"/>
                <w:lang w:val="en-US" w:eastAsia="zh-CN"/>
              </w:rPr>
              <w:t>因此</w:t>
            </w:r>
            <w:r>
              <w:rPr>
                <w:rFonts w:hint="eastAsia"/>
                <w:color w:val="auto"/>
                <w:sz w:val="24"/>
                <w:szCs w:val="24"/>
              </w:rPr>
              <w:t>本项目的建设符合用地规划。</w:t>
            </w:r>
            <w:r>
              <w:rPr>
                <w:rFonts w:hint="eastAsia" w:ascii="宋体" w:hAnsi="宋体" w:cs="宋体"/>
                <w:color w:val="auto"/>
                <w:sz w:val="24"/>
                <w:szCs w:val="24"/>
                <w:highlight w:val="none"/>
                <w:lang w:val="en-US" w:eastAsia="zh-CN"/>
              </w:rPr>
              <w:t>厂区布局合理，交通方便，水电等供应可靠，因此项目选址合理。</w:t>
            </w:r>
          </w:p>
          <w:p>
            <w:pPr>
              <w:numPr>
                <w:ilvl w:val="0"/>
                <w:numId w:val="3"/>
              </w:numPr>
              <w:adjustRightInd w:val="0"/>
              <w:snapToGrid w:val="0"/>
              <w:spacing w:line="360" w:lineRule="auto"/>
              <w:ind w:left="0" w:leftChars="0"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环境承载能力</w:t>
            </w:r>
          </w:p>
          <w:p>
            <w:pPr>
              <w:numPr>
                <w:ilvl w:val="0"/>
                <w:numId w:val="0"/>
              </w:numPr>
              <w:adjustRightInd w:val="0"/>
              <w:snapToGrid w:val="0"/>
              <w:spacing w:line="360" w:lineRule="auto"/>
              <w:ind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本项目周边500m范围内无自然保护区、风景旅游景点和文物古迹等需要特殊保护的环境敏感对象；项目所在地交通方便，水电供应可靠；本项目在做好废气治理和废水处理措施的前提下，对环境质量的影响较小，建成后不会造成环境质量下降。因此，项目在环境承载能力内。</w:t>
            </w:r>
          </w:p>
          <w:p>
            <w:pPr>
              <w:numPr>
                <w:ilvl w:val="0"/>
                <w:numId w:val="3"/>
              </w:numPr>
              <w:adjustRightInd w:val="0"/>
              <w:snapToGrid w:val="0"/>
              <w:spacing w:line="360" w:lineRule="auto"/>
              <w:ind w:left="0" w:leftChars="0"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选址环境相容性</w:t>
            </w:r>
          </w:p>
          <w:p>
            <w:pPr>
              <w:adjustRightInd w:val="0"/>
              <w:snapToGrid w:val="0"/>
              <w:spacing w:line="360" w:lineRule="auto"/>
              <w:ind w:firstLine="480" w:firstLineChars="200"/>
              <w:jc w:val="left"/>
              <w:rPr>
                <w:rFonts w:ascii="宋体"/>
                <w:color w:val="auto"/>
                <w:sz w:val="24"/>
                <w:szCs w:val="24"/>
                <w:highlight w:val="none"/>
              </w:rPr>
            </w:pPr>
            <w:r>
              <w:rPr>
                <w:rFonts w:hint="eastAsia" w:ascii="宋体" w:hAnsi="宋体" w:cs="宋体"/>
                <w:color w:val="auto"/>
                <w:sz w:val="24"/>
                <w:szCs w:val="24"/>
                <w:highlight w:val="none"/>
                <w:lang w:val="en-US" w:eastAsia="zh-CN"/>
              </w:rPr>
              <w:t>本项目租赁现有厂房，项目厂区</w:t>
            </w:r>
            <w:r>
              <w:rPr>
                <w:rFonts w:hint="default" w:ascii="宋体" w:hAnsi="宋体" w:eastAsia="宋体" w:cs="宋体"/>
                <w:color w:val="auto"/>
                <w:sz w:val="24"/>
                <w:szCs w:val="24"/>
                <w:highlight w:val="none"/>
                <w:lang w:val="en-US" w:eastAsia="zh-CN"/>
              </w:rPr>
              <w:t>东</w:t>
            </w:r>
            <w:r>
              <w:rPr>
                <w:rFonts w:hint="eastAsia" w:ascii="宋体" w:hAnsi="宋体" w:eastAsia="宋体" w:cs="宋体"/>
                <w:color w:val="auto"/>
                <w:sz w:val="24"/>
                <w:szCs w:val="24"/>
                <w:highlight w:val="none"/>
                <w:lang w:val="en-US" w:eastAsia="zh-CN"/>
              </w:rPr>
              <w:t>侧为安徽强兴精锻有限公司、西侧</w:t>
            </w:r>
            <w:r>
              <w:rPr>
                <w:rFonts w:hint="default"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安徽浙铝科技有限公司，北侧为道路</w:t>
            </w:r>
            <w:r>
              <w:rPr>
                <w:rFonts w:hint="default" w:ascii="Times New Roman" w:hAnsi="Times New Roman" w:eastAsia="宋体" w:cs="Times New Roman"/>
                <w:color w:val="auto"/>
                <w:sz w:val="24"/>
                <w:highlight w:val="none"/>
                <w:u w:val="none"/>
                <w:lang w:val="en-US" w:eastAsia="zh-CN"/>
              </w:rPr>
              <w:t>，</w:t>
            </w:r>
            <w:r>
              <w:rPr>
                <w:rFonts w:hint="eastAsia" w:ascii="Times New Roman" w:hAnsi="Times New Roman" w:eastAsia="宋体" w:cs="Times New Roman"/>
                <w:color w:val="auto"/>
                <w:sz w:val="24"/>
                <w:highlight w:val="none"/>
                <w:u w:val="none"/>
                <w:lang w:val="en-US" w:eastAsia="zh-CN"/>
              </w:rPr>
              <w:t>南侧为</w:t>
            </w:r>
            <w:r>
              <w:rPr>
                <w:rFonts w:hint="eastAsia" w:cs="Times New Roman"/>
                <w:color w:val="auto"/>
                <w:sz w:val="24"/>
                <w:highlight w:val="none"/>
                <w:u w:val="none"/>
                <w:lang w:val="en-US" w:eastAsia="zh-CN"/>
              </w:rPr>
              <w:t>安徽纬科材料科技有限公司</w:t>
            </w:r>
            <w:r>
              <w:rPr>
                <w:rFonts w:hint="eastAsia" w:ascii="宋体" w:hAnsi="宋体" w:cs="宋体"/>
                <w:color w:val="auto"/>
                <w:sz w:val="24"/>
                <w:szCs w:val="24"/>
                <w:highlight w:val="none"/>
                <w:lang w:val="en-US" w:eastAsia="zh-CN"/>
              </w:rPr>
              <w:t>。本项目周边 500m范围内无自然保护区、风景旅游景点和文物古迹等需要特殊保护的环境敏感对象；项目所在地交通方便，水电供应可靠；本项目各项污染物在各项处理措施建设实施后，能够达标排放。因此，项目与周边环境相容。</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ascii="宋体"/>
                <w:color w:val="auto"/>
                <w:sz w:val="24"/>
                <w:szCs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、与《安徽省生态环境厅关于印发加强高耗能、高排放项目生态环境源头防控的实施意见的通知》符合性分析</w:t>
            </w:r>
          </w:p>
          <w:p>
            <w:pPr>
              <w:adjustRightInd w:val="0"/>
              <w:snapToGrid w:val="0"/>
              <w:spacing w:line="360" w:lineRule="auto"/>
              <w:jc w:val="center"/>
              <w:rPr>
                <w:rFonts w:ascii="宋体"/>
                <w:color w:val="auto"/>
                <w:sz w:val="22"/>
                <w:szCs w:val="22"/>
              </w:rPr>
            </w:pPr>
            <w:r>
              <w:rPr>
                <w:rFonts w:hint="eastAsia" w:ascii="宋体" w:hAnsi="宋体" w:cs="宋体"/>
                <w:color w:val="auto"/>
                <w:sz w:val="22"/>
                <w:szCs w:val="22"/>
              </w:rPr>
              <w:t>表</w:t>
            </w:r>
            <w:r>
              <w:rPr>
                <w:rFonts w:ascii="宋体" w:hAnsi="宋体" w:cs="宋体"/>
                <w:color w:val="auto"/>
                <w:sz w:val="22"/>
                <w:szCs w:val="22"/>
              </w:rPr>
              <w:t>1-</w:t>
            </w:r>
            <w:r>
              <w:rPr>
                <w:rFonts w:hint="eastAsia" w:ascii="宋体" w:hAnsi="宋体" w:cs="宋体"/>
                <w:color w:val="auto"/>
                <w:sz w:val="22"/>
                <w:szCs w:val="22"/>
                <w:lang w:val="en-US" w:eastAsia="zh-CN"/>
              </w:rPr>
              <w:t>2</w:t>
            </w:r>
            <w:r>
              <w:rPr>
                <w:rFonts w:ascii="宋体" w:hAnsi="宋体" w:cs="宋体"/>
                <w:color w:val="auto"/>
                <w:sz w:val="22"/>
                <w:szCs w:val="22"/>
              </w:rPr>
              <w:t xml:space="preserve">  </w:t>
            </w:r>
            <w:r>
              <w:rPr>
                <w:rFonts w:hint="eastAsia" w:ascii="宋体" w:hAnsi="宋体" w:cs="宋体"/>
                <w:color w:val="auto"/>
                <w:sz w:val="22"/>
                <w:szCs w:val="22"/>
              </w:rPr>
              <w:t>与《安徽省生态环境厅关于印发加强高耗能、高排放项目生态环境源头防控的实施意见的通知》相符性分析</w:t>
            </w:r>
          </w:p>
          <w:tbl>
            <w:tblPr>
              <w:tblStyle w:val="36"/>
              <w:tblW w:w="7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3163"/>
              <w:gridCol w:w="3069"/>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blHeader/>
                <w:jc w:val="center"/>
              </w:trPr>
              <w:tc>
                <w:tcPr>
                  <w:tcW w:w="3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序号</w:t>
                  </w:r>
                </w:p>
              </w:tc>
              <w:tc>
                <w:tcPr>
                  <w:tcW w:w="220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《安徽省生态环境厅关于印发加强高耗能、高排放项目生态环境源头防控的实施意见的通知》（皖环发</w:t>
                  </w:r>
                  <w:r>
                    <w:rPr>
                      <w:rFonts w:ascii="宋体" w:hAnsi="宋体" w:cs="宋体"/>
                      <w:color w:val="auto"/>
                      <w:sz w:val="22"/>
                      <w:szCs w:val="22"/>
                    </w:rPr>
                    <w:t>[2021]28</w:t>
                  </w:r>
                  <w:r>
                    <w:rPr>
                      <w:rFonts w:hint="eastAsia" w:ascii="宋体" w:hAnsi="宋体" w:cs="宋体"/>
                      <w:color w:val="auto"/>
                      <w:sz w:val="22"/>
                      <w:szCs w:val="22"/>
                    </w:rPr>
                    <w:t>号）内容</w:t>
                  </w:r>
                </w:p>
              </w:tc>
              <w:tc>
                <w:tcPr>
                  <w:tcW w:w="21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本项目内容</w:t>
                  </w:r>
                </w:p>
              </w:tc>
              <w:tc>
                <w:tcPr>
                  <w:tcW w:w="34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30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color w:val="auto"/>
                      <w:sz w:val="22"/>
                      <w:szCs w:val="22"/>
                    </w:rPr>
                  </w:pPr>
                  <w:r>
                    <w:rPr>
                      <w:rFonts w:ascii="宋体" w:hAnsi="宋体" w:cs="宋体"/>
                      <w:color w:val="auto"/>
                      <w:sz w:val="22"/>
                      <w:szCs w:val="22"/>
                    </w:rPr>
                    <w:t>1</w:t>
                  </w:r>
                </w:p>
              </w:tc>
              <w:tc>
                <w:tcPr>
                  <w:tcW w:w="220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严格环境准入。</w:t>
                  </w:r>
                </w:p>
                <w:p>
                  <w:pPr>
                    <w:adjustRightInd w:val="0"/>
                    <w:snapToGrid w:val="0"/>
                    <w:jc w:val="center"/>
                    <w:rPr>
                      <w:rFonts w:ascii="宋体"/>
                      <w:color w:val="auto"/>
                      <w:sz w:val="22"/>
                      <w:szCs w:val="22"/>
                    </w:rPr>
                  </w:pPr>
                  <w:r>
                    <w:rPr>
                      <w:rFonts w:hint="eastAsia" w:ascii="宋体" w:hAnsi="宋体" w:cs="宋体"/>
                      <w:color w:val="auto"/>
                      <w:sz w:val="22"/>
                      <w:szCs w:val="22"/>
                    </w:rPr>
                    <w:t>各地不得受理钢铁、水泥、电解铝、平板玻璃、铸造等产能严重过剩行业新增产能项目的环评文件；</w:t>
                  </w:r>
                </w:p>
              </w:tc>
              <w:tc>
                <w:tcPr>
                  <w:tcW w:w="21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color w:val="auto"/>
                      <w:sz w:val="22"/>
                      <w:szCs w:val="22"/>
                    </w:rPr>
                  </w:pPr>
                  <w:r>
                    <w:rPr>
                      <w:rFonts w:hint="eastAsia" w:ascii="宋体" w:hAnsi="宋体" w:cs="宋体"/>
                      <w:color w:val="auto"/>
                      <w:sz w:val="22"/>
                      <w:szCs w:val="22"/>
                      <w:lang w:val="en-US" w:eastAsia="zh-CN"/>
                    </w:rPr>
                    <w:t xml:space="preserve">  </w:t>
                  </w:r>
                  <w:r>
                    <w:rPr>
                      <w:rFonts w:hint="eastAsia" w:ascii="宋体" w:hAnsi="宋体" w:cs="宋体"/>
                      <w:color w:val="auto"/>
                      <w:sz w:val="22"/>
                      <w:szCs w:val="22"/>
                    </w:rPr>
                    <w:t>本项目为新建项目，</w:t>
                  </w:r>
                  <w:r>
                    <w:rPr>
                      <w:rFonts w:hint="eastAsia" w:ascii="宋体" w:hAnsi="宋体" w:cs="宋体"/>
                      <w:color w:val="auto"/>
                      <w:sz w:val="22"/>
                      <w:szCs w:val="22"/>
                      <w:lang w:eastAsia="zh-CN"/>
                    </w:rPr>
                    <w:t>属于</w:t>
                  </w:r>
                  <w:r>
                    <w:rPr>
                      <w:rFonts w:hint="eastAsia" w:ascii="宋体" w:hAnsi="宋体" w:eastAsia="宋体" w:cs="宋体"/>
                      <w:color w:val="auto"/>
                      <w:sz w:val="22"/>
                      <w:szCs w:val="22"/>
                      <w:lang w:val="en-US" w:eastAsia="zh-CN"/>
                    </w:rPr>
                    <w:t>塑料制品业</w:t>
                  </w:r>
                  <w:r>
                    <w:rPr>
                      <w:rFonts w:hint="eastAsia"/>
                      <w:color w:val="auto"/>
                      <w:lang w:eastAsia="zh-CN"/>
                    </w:rPr>
                    <w:t>，同属于橡胶板、管、带制造</w:t>
                  </w:r>
                  <w:r>
                    <w:rPr>
                      <w:rFonts w:hint="eastAsia" w:ascii="Times New Roman" w:hAnsi="Times New Roman" w:eastAsia="宋体" w:cs="Times New Roman"/>
                      <w:b w:val="0"/>
                      <w:bCs w:val="0"/>
                      <w:color w:val="auto"/>
                      <w:kern w:val="0"/>
                      <w:sz w:val="21"/>
                      <w:szCs w:val="21"/>
                      <w:lang w:val="en-US" w:eastAsia="zh-CN" w:bidi="ar-SA"/>
                    </w:rPr>
                    <w:t>，</w:t>
                  </w:r>
                  <w:r>
                    <w:rPr>
                      <w:rFonts w:hint="eastAsia" w:ascii="宋体" w:hAnsi="宋体" w:eastAsia="宋体" w:cs="宋体"/>
                      <w:color w:val="auto"/>
                      <w:sz w:val="22"/>
                      <w:szCs w:val="22"/>
                    </w:rPr>
                    <w:t>不属</w:t>
                  </w:r>
                  <w:r>
                    <w:rPr>
                      <w:rFonts w:hint="eastAsia" w:ascii="宋体" w:hAnsi="宋体" w:cs="宋体"/>
                      <w:color w:val="auto"/>
                      <w:sz w:val="22"/>
                      <w:szCs w:val="22"/>
                    </w:rPr>
                    <w:t>于钢铁、水泥、电解铝、平板玻璃、铸造等大类。</w:t>
                  </w:r>
                </w:p>
              </w:tc>
              <w:tc>
                <w:tcPr>
                  <w:tcW w:w="3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color w:val="auto"/>
                      <w:sz w:val="22"/>
                      <w:szCs w:val="22"/>
                    </w:rPr>
                  </w:pPr>
                  <w:r>
                    <w:rPr>
                      <w:rFonts w:hint="eastAsia" w:ascii="宋体" w:hAnsi="宋体" w:cs="宋体"/>
                      <w:color w:val="auto"/>
                      <w:sz w:val="22"/>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jc w:val="center"/>
              </w:trPr>
              <w:tc>
                <w:tcPr>
                  <w:tcW w:w="30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color w:val="auto"/>
                      <w:sz w:val="22"/>
                      <w:szCs w:val="22"/>
                    </w:rPr>
                  </w:pPr>
                  <w:r>
                    <w:rPr>
                      <w:rFonts w:ascii="宋体" w:hAnsi="宋体" w:cs="宋体"/>
                      <w:color w:val="auto"/>
                      <w:sz w:val="22"/>
                      <w:szCs w:val="22"/>
                    </w:rPr>
                    <w:t>2</w:t>
                  </w:r>
                </w:p>
              </w:tc>
              <w:tc>
                <w:tcPr>
                  <w:tcW w:w="220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对国家明令淘汰、禁止建设、不符合国家产业政策的项目环评文件，一律不批；</w:t>
                  </w:r>
                </w:p>
              </w:tc>
              <w:tc>
                <w:tcPr>
                  <w:tcW w:w="2137"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440" w:firstLineChars="200"/>
                    <w:jc w:val="left"/>
                    <w:rPr>
                      <w:rFonts w:ascii="宋体"/>
                      <w:color w:val="auto"/>
                      <w:sz w:val="22"/>
                      <w:szCs w:val="22"/>
                    </w:rPr>
                  </w:pPr>
                  <w:r>
                    <w:rPr>
                      <w:rFonts w:hint="eastAsia" w:ascii="宋体" w:hAnsi="宋体" w:cs="宋体"/>
                      <w:color w:val="auto"/>
                      <w:sz w:val="22"/>
                      <w:szCs w:val="22"/>
                    </w:rPr>
                    <w:t>对照《产业结构调整指导目录（</w:t>
                  </w:r>
                  <w:r>
                    <w:rPr>
                      <w:rFonts w:ascii="宋体" w:hAnsi="宋体" w:cs="宋体"/>
                      <w:color w:val="auto"/>
                      <w:sz w:val="22"/>
                      <w:szCs w:val="22"/>
                    </w:rPr>
                    <w:t>20</w:t>
                  </w:r>
                  <w:r>
                    <w:rPr>
                      <w:rFonts w:hint="eastAsia" w:ascii="宋体" w:hAnsi="宋体" w:cs="宋体"/>
                      <w:color w:val="auto"/>
                      <w:sz w:val="22"/>
                      <w:szCs w:val="22"/>
                      <w:lang w:val="en-US" w:eastAsia="zh-CN"/>
                    </w:rPr>
                    <w:t>24</w:t>
                  </w:r>
                  <w:r>
                    <w:rPr>
                      <w:rFonts w:hint="eastAsia" w:ascii="宋体" w:hAnsi="宋体" w:cs="宋体"/>
                      <w:color w:val="auto"/>
                      <w:sz w:val="22"/>
                      <w:szCs w:val="22"/>
                    </w:rPr>
                    <w:t>年本）》、《市场准入负面清单》（</w:t>
                  </w:r>
                  <w:r>
                    <w:rPr>
                      <w:rFonts w:ascii="宋体" w:hAnsi="宋体" w:cs="宋体"/>
                      <w:color w:val="auto"/>
                      <w:sz w:val="22"/>
                      <w:szCs w:val="22"/>
                    </w:rPr>
                    <w:t>202</w:t>
                  </w:r>
                  <w:r>
                    <w:rPr>
                      <w:rFonts w:hint="eastAsia" w:ascii="宋体" w:hAnsi="宋体" w:cs="宋体"/>
                      <w:color w:val="auto"/>
                      <w:sz w:val="22"/>
                      <w:szCs w:val="22"/>
                      <w:lang w:val="en-US" w:eastAsia="zh-CN"/>
                    </w:rPr>
                    <w:t>2</w:t>
                  </w:r>
                  <w:r>
                    <w:rPr>
                      <w:rFonts w:hint="eastAsia" w:ascii="宋体" w:hAnsi="宋体" w:cs="宋体"/>
                      <w:color w:val="auto"/>
                      <w:sz w:val="22"/>
                      <w:szCs w:val="22"/>
                    </w:rPr>
                    <w:t>年版），项目不属于其中限制、淘汰类之列，且已取得备案，因此符合国家和地方产业政策要求。</w:t>
                  </w:r>
                </w:p>
              </w:tc>
              <w:tc>
                <w:tcPr>
                  <w:tcW w:w="3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color w:val="auto"/>
                      <w:sz w:val="22"/>
                      <w:szCs w:val="22"/>
                    </w:rPr>
                  </w:pPr>
                  <w:r>
                    <w:rPr>
                      <w:rFonts w:hint="eastAsia" w:ascii="宋体" w:hAnsi="宋体" w:cs="宋体"/>
                      <w:color w:val="auto"/>
                      <w:sz w:val="22"/>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30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color w:val="auto"/>
                      <w:sz w:val="22"/>
                      <w:szCs w:val="22"/>
                    </w:rPr>
                  </w:pPr>
                  <w:r>
                    <w:rPr>
                      <w:rFonts w:ascii="宋体" w:hAnsi="宋体" w:cs="宋体"/>
                      <w:color w:val="auto"/>
                      <w:sz w:val="22"/>
                      <w:szCs w:val="22"/>
                    </w:rPr>
                    <w:t>3</w:t>
                  </w:r>
                </w:p>
              </w:tc>
              <w:tc>
                <w:tcPr>
                  <w:tcW w:w="220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沿江各市应按国家推长办《长江经济带发展负面清单指南（试行）》及我省实施细则要求，对合规园区外新建、扩建钢铁、石化、化工、焦化、建材、有色等“两高”项目的环评文件一律不批。</w:t>
                  </w:r>
                </w:p>
              </w:tc>
              <w:tc>
                <w:tcPr>
                  <w:tcW w:w="2137"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440" w:firstLineChars="200"/>
                    <w:jc w:val="left"/>
                    <w:rPr>
                      <w:rFonts w:ascii="宋体"/>
                      <w:color w:val="auto"/>
                      <w:sz w:val="22"/>
                      <w:szCs w:val="22"/>
                    </w:rPr>
                  </w:pPr>
                  <w:r>
                    <w:rPr>
                      <w:rFonts w:hint="eastAsia" w:ascii="宋体" w:hAnsi="宋体" w:cs="宋体"/>
                      <w:color w:val="auto"/>
                      <w:sz w:val="22"/>
                      <w:szCs w:val="22"/>
                    </w:rPr>
                    <w:t>淮北市不属于沿江各市。本项目为新建项目，选址位于</w:t>
                  </w:r>
                  <w:r>
                    <w:rPr>
                      <w:rFonts w:hint="eastAsia" w:ascii="宋体" w:hAnsi="宋体" w:cs="宋体"/>
                      <w:color w:val="auto"/>
                      <w:sz w:val="22"/>
                      <w:szCs w:val="22"/>
                      <w:lang w:eastAsia="zh-CN"/>
                    </w:rPr>
                    <w:t>安徽淮北烈山经济开发区南区唐山路智能制造产业园</w:t>
                  </w:r>
                  <w:r>
                    <w:rPr>
                      <w:rFonts w:hint="eastAsia" w:ascii="宋体" w:hAnsi="宋体" w:cs="宋体"/>
                      <w:color w:val="auto"/>
                      <w:sz w:val="22"/>
                      <w:szCs w:val="22"/>
                    </w:rPr>
                    <w:t>。</w:t>
                  </w:r>
                </w:p>
              </w:tc>
              <w:tc>
                <w:tcPr>
                  <w:tcW w:w="3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color w:val="auto"/>
                      <w:sz w:val="22"/>
                      <w:szCs w:val="22"/>
                    </w:rPr>
                  </w:pPr>
                  <w:r>
                    <w:rPr>
                      <w:rFonts w:hint="eastAsia" w:ascii="宋体" w:hAnsi="宋体" w:cs="宋体"/>
                      <w:color w:val="auto"/>
                      <w:sz w:val="22"/>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2" w:hRule="atLeast"/>
                <w:jc w:val="center"/>
              </w:trPr>
              <w:tc>
                <w:tcPr>
                  <w:tcW w:w="30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color w:val="auto"/>
                      <w:sz w:val="22"/>
                      <w:szCs w:val="22"/>
                    </w:rPr>
                  </w:pPr>
                  <w:r>
                    <w:rPr>
                      <w:rFonts w:ascii="宋体" w:hAnsi="宋体" w:cs="宋体"/>
                      <w:color w:val="auto"/>
                      <w:sz w:val="22"/>
                      <w:szCs w:val="22"/>
                    </w:rPr>
                    <w:t>4</w:t>
                  </w:r>
                </w:p>
              </w:tc>
              <w:tc>
                <w:tcPr>
                  <w:tcW w:w="220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新增主要污染物排放量的“两高”项目应按照生态环境部办公厅《关于加强重点行业建设项目区域削减措施监督管理的通知》（环办环评〔</w:t>
                  </w:r>
                  <w:r>
                    <w:rPr>
                      <w:rFonts w:ascii="宋体" w:hAnsi="宋体" w:cs="宋体"/>
                      <w:color w:val="auto"/>
                      <w:sz w:val="22"/>
                      <w:szCs w:val="22"/>
                    </w:rPr>
                    <w:t>2020</w:t>
                  </w:r>
                  <w:r>
                    <w:rPr>
                      <w:rFonts w:hint="eastAsia" w:ascii="宋体" w:hAnsi="宋体" w:cs="宋体"/>
                      <w:color w:val="auto"/>
                      <w:sz w:val="22"/>
                      <w:szCs w:val="22"/>
                    </w:rPr>
                    <w:t>〕</w:t>
                  </w:r>
                  <w:r>
                    <w:rPr>
                      <w:rFonts w:ascii="宋体" w:hAnsi="宋体" w:cs="宋体"/>
                      <w:color w:val="auto"/>
                      <w:sz w:val="22"/>
                      <w:szCs w:val="22"/>
                    </w:rPr>
                    <w:t>36</w:t>
                  </w:r>
                  <w:r>
                    <w:rPr>
                      <w:rFonts w:hint="eastAsia" w:ascii="宋体" w:hAnsi="宋体" w:cs="宋体"/>
                      <w:color w:val="auto"/>
                      <w:sz w:val="22"/>
                      <w:szCs w:val="22"/>
                    </w:rPr>
                    <w:t>号）要求，依据区域环境质量改善目标，制定配套区域污染物削减方案，采取有效的污染物区域削减措施，相应的减排措施应在项目投产前完成。</w:t>
                  </w:r>
                </w:p>
              </w:tc>
              <w:tc>
                <w:tcPr>
                  <w:tcW w:w="21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根据《关于加强重点行业建设项目区域削减措施监督管理的通知》（环办环评〔</w:t>
                  </w:r>
                  <w:r>
                    <w:rPr>
                      <w:rFonts w:ascii="宋体" w:hAnsi="宋体" w:cs="宋体"/>
                      <w:color w:val="auto"/>
                      <w:sz w:val="22"/>
                      <w:szCs w:val="22"/>
                    </w:rPr>
                    <w:t>2020</w:t>
                  </w:r>
                  <w:r>
                    <w:rPr>
                      <w:rFonts w:hint="eastAsia" w:ascii="宋体" w:hAnsi="宋体" w:cs="宋体"/>
                      <w:color w:val="auto"/>
                      <w:sz w:val="22"/>
                      <w:szCs w:val="22"/>
                    </w:rPr>
                    <w:t>〕</w:t>
                  </w:r>
                  <w:r>
                    <w:rPr>
                      <w:rFonts w:ascii="宋体" w:hAnsi="宋体" w:cs="宋体"/>
                      <w:color w:val="auto"/>
                      <w:sz w:val="22"/>
                      <w:szCs w:val="22"/>
                    </w:rPr>
                    <w:t>36</w:t>
                  </w:r>
                  <w:r>
                    <w:rPr>
                      <w:rFonts w:hint="eastAsia" w:ascii="宋体" w:hAnsi="宋体" w:cs="宋体"/>
                      <w:color w:val="auto"/>
                      <w:sz w:val="22"/>
                      <w:szCs w:val="22"/>
                    </w:rPr>
                    <w:t>号）要求，由于淮</w:t>
                  </w:r>
                  <w:r>
                    <w:rPr>
                      <w:rFonts w:hint="eastAsia" w:ascii="宋体" w:hAnsi="宋体" w:cs="宋体"/>
                      <w:color w:val="auto"/>
                      <w:sz w:val="22"/>
                      <w:szCs w:val="22"/>
                      <w:highlight w:val="none"/>
                    </w:rPr>
                    <w:t>北市为环境空气质量不达标区。针对本项目所产生的废气，对各产污设备</w:t>
                  </w:r>
                  <w:r>
                    <w:rPr>
                      <w:rFonts w:hint="eastAsia" w:ascii="宋体" w:hAnsi="宋体" w:cs="宋体"/>
                      <w:color w:val="auto"/>
                      <w:sz w:val="22"/>
                      <w:szCs w:val="22"/>
                      <w:highlight w:val="none"/>
                      <w:lang w:eastAsia="zh-CN"/>
                    </w:rPr>
                    <w:t>产生的废气</w:t>
                  </w:r>
                  <w:r>
                    <w:rPr>
                      <w:rFonts w:hint="eastAsia" w:ascii="宋体" w:hAnsi="宋体" w:cs="宋体"/>
                      <w:color w:val="auto"/>
                      <w:sz w:val="22"/>
                      <w:szCs w:val="22"/>
                      <w:highlight w:val="none"/>
                    </w:rPr>
                    <w:t>进行收集</w:t>
                  </w:r>
                  <w:r>
                    <w:rPr>
                      <w:rFonts w:hint="eastAsia" w:ascii="宋体" w:hAnsi="宋体" w:cs="宋体"/>
                      <w:color w:val="auto"/>
                      <w:sz w:val="22"/>
                      <w:szCs w:val="22"/>
                      <w:highlight w:val="none"/>
                      <w:lang w:eastAsia="zh-CN"/>
                    </w:rPr>
                    <w:t>后由活性炭吸附/脱附催化燃烧装置处理</w:t>
                  </w:r>
                  <w:r>
                    <w:rPr>
                      <w:rFonts w:hint="eastAsia" w:ascii="宋体" w:hAnsi="宋体" w:cs="宋体"/>
                      <w:color w:val="auto"/>
                      <w:sz w:val="22"/>
                      <w:szCs w:val="22"/>
                      <w:highlight w:val="none"/>
                    </w:rPr>
                    <w:t>，处理达标后</w:t>
                  </w:r>
                  <w:r>
                    <w:rPr>
                      <w:rFonts w:hint="eastAsia" w:ascii="宋体" w:hAnsi="宋体" w:cs="宋体"/>
                      <w:color w:val="auto"/>
                      <w:sz w:val="22"/>
                      <w:szCs w:val="22"/>
                      <w:highlight w:val="none"/>
                      <w:lang w:eastAsia="zh-CN"/>
                    </w:rPr>
                    <w:t>分别</w:t>
                  </w:r>
                  <w:r>
                    <w:rPr>
                      <w:rFonts w:hint="eastAsia" w:ascii="宋体" w:hAnsi="宋体" w:cs="宋体"/>
                      <w:color w:val="auto"/>
                      <w:sz w:val="22"/>
                      <w:szCs w:val="22"/>
                      <w:highlight w:val="none"/>
                    </w:rPr>
                    <w:t>由</w:t>
                  </w:r>
                  <w:r>
                    <w:rPr>
                      <w:rFonts w:ascii="宋体" w:hAnsi="宋体" w:cs="宋体"/>
                      <w:color w:val="auto"/>
                      <w:sz w:val="22"/>
                      <w:szCs w:val="22"/>
                      <w:highlight w:val="none"/>
                    </w:rPr>
                    <w:t>1</w:t>
                  </w:r>
                  <w:r>
                    <w:rPr>
                      <w:rFonts w:hint="eastAsia" w:ascii="宋体" w:hAnsi="宋体" w:cs="宋体"/>
                      <w:color w:val="auto"/>
                      <w:sz w:val="22"/>
                      <w:szCs w:val="22"/>
                      <w:highlight w:val="none"/>
                    </w:rPr>
                    <w:t>根</w:t>
                  </w:r>
                  <w:r>
                    <w:rPr>
                      <w:rFonts w:ascii="宋体" w:hAnsi="宋体" w:cs="宋体"/>
                      <w:color w:val="auto"/>
                      <w:sz w:val="22"/>
                      <w:szCs w:val="22"/>
                      <w:highlight w:val="none"/>
                    </w:rPr>
                    <w:t>15m</w:t>
                  </w:r>
                  <w:r>
                    <w:rPr>
                      <w:rFonts w:hint="eastAsia" w:ascii="宋体" w:hAnsi="宋体" w:cs="宋体"/>
                      <w:color w:val="auto"/>
                      <w:sz w:val="22"/>
                      <w:szCs w:val="22"/>
                      <w:highlight w:val="none"/>
                    </w:rPr>
                    <w:t>高的排气筒高空排放，未</w:t>
                  </w:r>
                  <w:r>
                    <w:rPr>
                      <w:rFonts w:hint="eastAsia" w:ascii="宋体" w:hAnsi="宋体" w:cs="宋体"/>
                      <w:color w:val="auto"/>
                      <w:sz w:val="22"/>
                      <w:szCs w:val="22"/>
                    </w:rPr>
                    <w:t>被收集的有机废气以无组织的形式排放，不会对环境空气造成严重污染。</w:t>
                  </w:r>
                </w:p>
              </w:tc>
              <w:tc>
                <w:tcPr>
                  <w:tcW w:w="3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color w:val="auto"/>
                      <w:sz w:val="22"/>
                      <w:szCs w:val="22"/>
                    </w:rPr>
                  </w:pPr>
                  <w:r>
                    <w:rPr>
                      <w:rFonts w:hint="eastAsia" w:ascii="宋体" w:hAnsi="宋体" w:cs="宋体"/>
                      <w:color w:val="auto"/>
                      <w:sz w:val="22"/>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30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color w:val="auto"/>
                      <w:sz w:val="22"/>
                      <w:szCs w:val="22"/>
                    </w:rPr>
                  </w:pPr>
                  <w:r>
                    <w:rPr>
                      <w:rFonts w:ascii="宋体" w:hAnsi="宋体" w:cs="宋体"/>
                      <w:color w:val="auto"/>
                      <w:sz w:val="22"/>
                      <w:szCs w:val="22"/>
                    </w:rPr>
                    <w:t>5</w:t>
                  </w:r>
                </w:p>
              </w:tc>
              <w:tc>
                <w:tcPr>
                  <w:tcW w:w="220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各类建设项目原则上不新建燃煤自备锅炉。原则上不再新建高炉</w:t>
                  </w:r>
                  <w:r>
                    <w:rPr>
                      <w:rFonts w:ascii="宋体" w:cs="宋体"/>
                      <w:color w:val="auto"/>
                      <w:sz w:val="22"/>
                      <w:szCs w:val="22"/>
                    </w:rPr>
                    <w:t>-</w:t>
                  </w:r>
                  <w:r>
                    <w:rPr>
                      <w:rFonts w:hint="eastAsia" w:ascii="宋体" w:hAnsi="宋体" w:cs="宋体"/>
                      <w:color w:val="auto"/>
                      <w:sz w:val="22"/>
                      <w:szCs w:val="22"/>
                    </w:rPr>
                    <w:t>转炉长流程钢铁项目，转型为电炉短流程。</w:t>
                  </w:r>
                </w:p>
              </w:tc>
              <w:tc>
                <w:tcPr>
                  <w:tcW w:w="21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本项目不新建燃煤锅炉</w:t>
                  </w:r>
                </w:p>
              </w:tc>
              <w:tc>
                <w:tcPr>
                  <w:tcW w:w="3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color w:val="auto"/>
                      <w:sz w:val="22"/>
                      <w:szCs w:val="22"/>
                    </w:rPr>
                  </w:pPr>
                  <w:r>
                    <w:rPr>
                      <w:rFonts w:hint="eastAsia" w:ascii="宋体" w:hAnsi="宋体" w:cs="宋体"/>
                      <w:color w:val="auto"/>
                      <w:sz w:val="22"/>
                      <w:szCs w:val="22"/>
                    </w:rPr>
                    <w:t>符合</w:t>
                  </w:r>
                </w:p>
              </w:tc>
            </w:tr>
          </w:tbl>
          <w:p>
            <w:pPr>
              <w:adjustRightInd w:val="0"/>
              <w:snapToGrid w:val="0"/>
              <w:spacing w:beforeLines="100" w:line="360" w:lineRule="auto"/>
              <w:ind w:firstLine="480" w:firstLineChars="200"/>
              <w:jc w:val="left"/>
              <w:rPr>
                <w:rFonts w:ascii="宋体"/>
                <w:color w:val="auto"/>
                <w:sz w:val="24"/>
                <w:szCs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、“三线一单”相符性分析</w:t>
            </w:r>
          </w:p>
          <w:p>
            <w:pPr>
              <w:adjustRightInd w:val="0"/>
              <w:snapToGrid w:val="0"/>
              <w:spacing w:line="360" w:lineRule="auto"/>
              <w:ind w:firstLine="480" w:firstLineChars="200"/>
              <w:jc w:val="left"/>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1</w:t>
            </w:r>
            <w:r>
              <w:rPr>
                <w:rFonts w:hint="eastAsia" w:ascii="宋体" w:hAnsi="宋体" w:cs="宋体"/>
                <w:color w:val="auto"/>
                <w:sz w:val="24"/>
                <w:szCs w:val="24"/>
              </w:rPr>
              <w:t>）与生态保护红线相符性分析</w:t>
            </w:r>
          </w:p>
          <w:p>
            <w:pPr>
              <w:adjustRightInd w:val="0"/>
              <w:snapToGrid w:val="0"/>
              <w:spacing w:line="360" w:lineRule="auto"/>
              <w:ind w:firstLine="480" w:firstLineChars="200"/>
              <w:jc w:val="left"/>
              <w:rPr>
                <w:rFonts w:ascii="宋体"/>
                <w:color w:val="auto"/>
                <w:sz w:val="24"/>
                <w:szCs w:val="24"/>
                <w:highlight w:val="none"/>
              </w:rPr>
            </w:pPr>
            <w:r>
              <w:rPr>
                <w:rFonts w:hint="eastAsia" w:ascii="宋体" w:hAnsi="宋体" w:cs="宋体"/>
                <w:color w:val="auto"/>
                <w:sz w:val="24"/>
                <w:szCs w:val="24"/>
                <w:highlight w:val="none"/>
              </w:rPr>
              <w:t>安徽省人民政府于</w:t>
            </w:r>
            <w:r>
              <w:rPr>
                <w:rFonts w:ascii="宋体" w:hAnsi="宋体" w:cs="宋体"/>
                <w:color w:val="auto"/>
                <w:sz w:val="24"/>
                <w:szCs w:val="24"/>
                <w:highlight w:val="none"/>
              </w:rPr>
              <w:t>2018</w:t>
            </w:r>
            <w:r>
              <w:rPr>
                <w:rFonts w:hint="eastAsia" w:ascii="宋体" w:hAnsi="宋体" w:cs="宋体"/>
                <w:color w:val="auto"/>
                <w:sz w:val="24"/>
                <w:szCs w:val="24"/>
                <w:highlight w:val="none"/>
              </w:rPr>
              <w:t>年</w:t>
            </w:r>
            <w:r>
              <w:rPr>
                <w:rFonts w:ascii="宋体" w:hAnsi="宋体" w:cs="宋体"/>
                <w:color w:val="auto"/>
                <w:sz w:val="24"/>
                <w:szCs w:val="24"/>
                <w:highlight w:val="none"/>
              </w:rPr>
              <w:t>6</w:t>
            </w:r>
            <w:r>
              <w:rPr>
                <w:rFonts w:hint="eastAsia" w:ascii="宋体" w:hAnsi="宋体" w:cs="宋体"/>
                <w:color w:val="auto"/>
                <w:sz w:val="24"/>
                <w:szCs w:val="24"/>
                <w:highlight w:val="none"/>
              </w:rPr>
              <w:t>月发布《安徽省生态保护红线》（皖政秘</w:t>
            </w:r>
            <w:r>
              <w:rPr>
                <w:rFonts w:ascii="宋体" w:hAnsi="宋体" w:cs="宋体"/>
                <w:color w:val="auto"/>
                <w:sz w:val="24"/>
                <w:szCs w:val="24"/>
                <w:highlight w:val="none"/>
              </w:rPr>
              <w:t>[2018]120</w:t>
            </w:r>
            <w:r>
              <w:rPr>
                <w:rFonts w:hint="eastAsia" w:ascii="宋体" w:hAnsi="宋体" w:cs="宋体"/>
                <w:color w:val="auto"/>
                <w:sz w:val="24"/>
                <w:szCs w:val="24"/>
                <w:highlight w:val="none"/>
              </w:rPr>
              <w:t>号），根据《安徽省生态保护红线》，全省生态保护红线总面积为</w:t>
            </w:r>
            <w:r>
              <w:rPr>
                <w:rFonts w:ascii="宋体" w:hAnsi="宋体" w:cs="宋体"/>
                <w:color w:val="auto"/>
                <w:sz w:val="24"/>
                <w:szCs w:val="24"/>
                <w:highlight w:val="none"/>
              </w:rPr>
              <w:t>21233.32km</w:t>
            </w:r>
            <w:r>
              <w:rPr>
                <w:rFonts w:ascii="宋体" w:hAnsi="宋体" w:cs="宋体"/>
                <w:color w:val="auto"/>
                <w:sz w:val="24"/>
                <w:szCs w:val="24"/>
                <w:highlight w:val="none"/>
                <w:vertAlign w:val="superscript"/>
              </w:rPr>
              <w:t>2</w:t>
            </w:r>
            <w:r>
              <w:rPr>
                <w:rFonts w:hint="eastAsia" w:ascii="宋体" w:hAnsi="宋体" w:cs="宋体"/>
                <w:color w:val="auto"/>
                <w:sz w:val="24"/>
                <w:szCs w:val="24"/>
                <w:highlight w:val="none"/>
              </w:rPr>
              <w:t>，占全省国土总面积的</w:t>
            </w:r>
            <w:r>
              <w:rPr>
                <w:rFonts w:ascii="宋体" w:hAnsi="宋体" w:cs="宋体"/>
                <w:color w:val="auto"/>
                <w:sz w:val="24"/>
                <w:szCs w:val="24"/>
                <w:highlight w:val="none"/>
              </w:rPr>
              <w:t>15.15%</w:t>
            </w:r>
            <w:r>
              <w:rPr>
                <w:rFonts w:hint="eastAsia" w:ascii="宋体" w:hAnsi="宋体" w:cs="宋体"/>
                <w:color w:val="auto"/>
                <w:sz w:val="24"/>
                <w:szCs w:val="24"/>
                <w:highlight w:val="none"/>
              </w:rPr>
              <w:t>。安徽省生态保护红线基本空间格局为“两屏两轴”：“两屏”为皖西山地生态屏障和皖南山地丘陵生态屏障，主要生态功能为水源涵养、水土保持与生物多样性维护；“两轴”为长江干流及沿江湿地生态廊道、淮河干流及沿淮湿地生态廊道，主要生态功能为湿地生物多样性维护。</w:t>
            </w:r>
          </w:p>
          <w:p>
            <w:pPr>
              <w:adjustRightInd w:val="0"/>
              <w:snapToGrid w:val="0"/>
              <w:spacing w:line="360" w:lineRule="auto"/>
              <w:ind w:firstLine="480" w:firstLineChars="200"/>
              <w:jc w:val="left"/>
              <w:rPr>
                <w:rFonts w:ascii="宋体"/>
                <w:color w:val="auto"/>
                <w:sz w:val="24"/>
                <w:szCs w:val="24"/>
                <w:highlight w:val="none"/>
              </w:rPr>
            </w:pPr>
            <w:r>
              <w:rPr>
                <w:rFonts w:hint="eastAsia" w:ascii="宋体" w:hAnsi="宋体" w:cs="宋体"/>
                <w:color w:val="auto"/>
                <w:sz w:val="24"/>
                <w:szCs w:val="24"/>
                <w:highlight w:val="none"/>
              </w:rPr>
              <w:t>本项目位于</w:t>
            </w:r>
            <w:r>
              <w:rPr>
                <w:rFonts w:hint="eastAsia" w:ascii="宋体" w:hAnsi="宋体" w:cs="宋体"/>
                <w:color w:val="auto"/>
                <w:sz w:val="24"/>
                <w:szCs w:val="24"/>
                <w:highlight w:val="none"/>
                <w:lang w:eastAsia="zh-CN"/>
              </w:rPr>
              <w:t>安徽淮北烈山经济开发区南区唐山路智能制造产业园</w:t>
            </w:r>
            <w:r>
              <w:rPr>
                <w:rFonts w:hint="eastAsia" w:ascii="宋体" w:hAnsi="宋体" w:cs="宋体"/>
                <w:color w:val="auto"/>
                <w:sz w:val="24"/>
                <w:szCs w:val="24"/>
                <w:highlight w:val="none"/>
              </w:rPr>
              <w:t>，对照《淮北市生态保护红线区域分布图》可知，不涉及生态保护红线。</w:t>
            </w:r>
          </w:p>
          <w:p>
            <w:pPr>
              <w:adjustRightInd w:val="0"/>
              <w:snapToGrid w:val="0"/>
              <w:spacing w:line="360" w:lineRule="auto"/>
              <w:ind w:firstLine="480" w:firstLineChars="200"/>
              <w:jc w:val="left"/>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2</w:t>
            </w:r>
            <w:r>
              <w:rPr>
                <w:rFonts w:hint="eastAsia" w:ascii="宋体" w:hAnsi="宋体" w:cs="宋体"/>
                <w:color w:val="auto"/>
                <w:sz w:val="24"/>
                <w:szCs w:val="24"/>
              </w:rPr>
              <w:t>）与环境质量底线相符性分析</w:t>
            </w:r>
          </w:p>
          <w:p>
            <w:pPr>
              <w:adjustRightInd w:val="0"/>
              <w:snapToGri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项目评价区域六项污染中PM</w:t>
            </w:r>
            <w:r>
              <w:rPr>
                <w:rFonts w:hint="eastAsia" w:ascii="宋体" w:hAnsi="宋体" w:cs="宋体"/>
                <w:color w:val="auto"/>
                <w:sz w:val="24"/>
                <w:szCs w:val="24"/>
                <w:vertAlign w:val="subscript"/>
              </w:rPr>
              <w:t>2.5</w:t>
            </w:r>
            <w:r>
              <w:rPr>
                <w:rFonts w:hint="eastAsia" w:ascii="宋体" w:hAnsi="宋体" w:cs="宋体"/>
                <w:color w:val="auto"/>
                <w:sz w:val="24"/>
                <w:szCs w:val="24"/>
              </w:rPr>
              <w:t>和O</w:t>
            </w:r>
            <w:r>
              <w:rPr>
                <w:rFonts w:hint="eastAsia" w:ascii="宋体" w:hAnsi="宋体" w:cs="宋体"/>
                <w:color w:val="auto"/>
                <w:sz w:val="24"/>
                <w:szCs w:val="24"/>
                <w:vertAlign w:val="subscript"/>
              </w:rPr>
              <w:t>3</w:t>
            </w:r>
            <w:r>
              <w:rPr>
                <w:rFonts w:hint="eastAsia" w:ascii="宋体" w:hAnsi="宋体" w:cs="宋体"/>
                <w:color w:val="auto"/>
                <w:sz w:val="24"/>
                <w:szCs w:val="24"/>
              </w:rPr>
              <w:t>不满足《环境空气质量标准》（GB3095-2012）中二级标准及修改单；其中</w:t>
            </w:r>
            <w:r>
              <w:rPr>
                <w:rFonts w:hint="eastAsia" w:ascii="宋体" w:hAnsi="宋体" w:cs="宋体"/>
                <w:color w:val="auto"/>
                <w:sz w:val="24"/>
                <w:szCs w:val="24"/>
                <w:highlight w:val="none"/>
                <w:lang w:eastAsia="zh-CN"/>
              </w:rPr>
              <w:t>萧濉新河</w:t>
            </w:r>
            <w:r>
              <w:rPr>
                <w:rFonts w:hint="eastAsia" w:ascii="宋体" w:hAnsi="宋体" w:cs="宋体"/>
                <w:color w:val="auto"/>
                <w:sz w:val="24"/>
                <w:szCs w:val="24"/>
                <w:highlight w:val="none"/>
              </w:rPr>
              <w:t>地表水满足《地表水环境质量标准》（GB3838-2002）中Ⅳ类标准要求</w:t>
            </w:r>
            <w:r>
              <w:rPr>
                <w:rFonts w:hint="eastAsia" w:ascii="宋体" w:hAnsi="宋体" w:cs="宋体"/>
                <w:color w:val="auto"/>
                <w:sz w:val="24"/>
                <w:szCs w:val="24"/>
                <w:highlight w:val="none"/>
                <w:lang w:eastAsia="zh-CN"/>
              </w:rPr>
              <w:t>；</w:t>
            </w:r>
            <w:r>
              <w:rPr>
                <w:rFonts w:hint="eastAsia" w:ascii="宋体" w:hAnsi="宋体" w:cs="宋体"/>
                <w:color w:val="auto"/>
                <w:sz w:val="24"/>
                <w:szCs w:val="24"/>
              </w:rPr>
              <w:t>声环境达到《声环境质量标准》（GB3096-2008）3类区标准；淮北市城市集中饮用水源地（地下水）监测指标均达到《地下水质量标准》GB/T14848-2017中Ⅲ类标准。本项目废水、废气、固废均得到合理处置，噪声对周边影响较小，不会突破项目所在地的环境质量底线。因此，项目的建设符合环境质量底线标准。</w:t>
            </w:r>
          </w:p>
          <w:p>
            <w:pPr>
              <w:adjustRightInd w:val="0"/>
              <w:snapToGrid w:val="0"/>
              <w:spacing w:line="360" w:lineRule="auto"/>
              <w:ind w:firstLine="480" w:firstLineChars="200"/>
              <w:jc w:val="left"/>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3</w:t>
            </w:r>
            <w:r>
              <w:rPr>
                <w:rFonts w:hint="eastAsia" w:ascii="宋体" w:hAnsi="宋体" w:cs="宋体"/>
                <w:color w:val="auto"/>
                <w:sz w:val="24"/>
                <w:szCs w:val="24"/>
              </w:rPr>
              <w:t>）与资源利用上线相符性分析</w:t>
            </w:r>
          </w:p>
          <w:p>
            <w:pPr>
              <w:adjustRightInd w:val="0"/>
              <w:snapToGrid w:val="0"/>
              <w:spacing w:line="360" w:lineRule="auto"/>
              <w:ind w:firstLine="480" w:firstLineChars="200"/>
              <w:jc w:val="left"/>
              <w:rPr>
                <w:rFonts w:ascii="宋体"/>
                <w:color w:val="auto"/>
                <w:sz w:val="24"/>
                <w:szCs w:val="24"/>
              </w:rPr>
            </w:pPr>
            <w:r>
              <w:rPr>
                <w:rFonts w:hint="eastAsia" w:ascii="宋体" w:hAnsi="宋体" w:cs="宋体"/>
                <w:color w:val="auto"/>
                <w:sz w:val="24"/>
                <w:szCs w:val="24"/>
              </w:rPr>
              <w:t>本项目用水来自市政供水管网，用水量较小；用电由市政电网所供给。用地为工业用地，符合当地土地规划要求。项目对当地资源利用的影响较小。因此，本项目资源利用均在区域可承受范围内。</w:t>
            </w:r>
          </w:p>
          <w:p>
            <w:pPr>
              <w:adjustRightInd w:val="0"/>
              <w:snapToGrid w:val="0"/>
              <w:spacing w:line="360" w:lineRule="auto"/>
              <w:ind w:firstLine="480" w:firstLineChars="200"/>
              <w:jc w:val="left"/>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4</w:t>
            </w:r>
            <w:r>
              <w:rPr>
                <w:rFonts w:hint="eastAsia" w:ascii="宋体" w:hAnsi="宋体" w:cs="宋体"/>
                <w:color w:val="auto"/>
                <w:sz w:val="24"/>
                <w:szCs w:val="24"/>
              </w:rPr>
              <w:t>）与环境准入清单相符性分析</w:t>
            </w:r>
          </w:p>
          <w:p>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eastAsia" w:ascii="宋体" w:hAnsi="宋体" w:eastAsia="宋体" w:cs="宋体"/>
                <w:color w:val="auto"/>
                <w:sz w:val="24"/>
                <w:szCs w:val="24"/>
              </w:rPr>
              <w:t>对照</w:t>
            </w:r>
            <w:r>
              <w:rPr>
                <w:rFonts w:hint="eastAsia" w:ascii="宋体" w:hAnsi="宋体" w:eastAsia="宋体" w:cs="宋体"/>
                <w:color w:val="auto"/>
                <w:sz w:val="24"/>
                <w:szCs w:val="24"/>
                <w:lang w:eastAsia="zh-CN"/>
              </w:rPr>
              <w:t>《淮北市“三线一单”生态环境准入清单》（淮北市生态</w:t>
            </w:r>
            <w:r>
              <w:rPr>
                <w:rFonts w:hint="default" w:ascii="Times New Roman" w:hAnsi="Times New Roman" w:eastAsia="宋体" w:cs="Times New Roman"/>
                <w:color w:val="auto"/>
                <w:sz w:val="24"/>
                <w:szCs w:val="24"/>
                <w:lang w:eastAsia="zh-CN"/>
              </w:rPr>
              <w:t>环境局，</w:t>
            </w:r>
            <w:r>
              <w:rPr>
                <w:rFonts w:hint="default" w:ascii="Times New Roman" w:hAnsi="Times New Roman" w:eastAsia="宋体" w:cs="Times New Roman"/>
                <w:color w:val="auto"/>
                <w:sz w:val="24"/>
                <w:szCs w:val="24"/>
                <w:lang w:val="en-US" w:eastAsia="zh-CN"/>
              </w:rPr>
              <w:t>2020年12月</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sz w:val="24"/>
                <w:szCs w:val="24"/>
                <w:lang w:eastAsia="zh-CN"/>
              </w:rPr>
              <w:t>附件</w:t>
            </w:r>
            <w:r>
              <w:rPr>
                <w:rFonts w:hint="default" w:ascii="Times New Roman" w:hAnsi="Times New Roman" w:eastAsia="宋体" w:cs="Times New Roman"/>
                <w:color w:val="auto"/>
                <w:sz w:val="24"/>
                <w:szCs w:val="24"/>
                <w:lang w:val="en-US" w:eastAsia="zh-CN"/>
              </w:rPr>
              <w:t>4</w:t>
            </w:r>
            <w:r>
              <w:rPr>
                <w:rFonts w:hint="eastAsia" w:ascii="宋体" w:hAnsi="宋体" w:cs="宋体"/>
                <w:color w:val="auto"/>
                <w:sz w:val="24"/>
                <w:szCs w:val="24"/>
                <w:lang w:val="en-US" w:eastAsia="zh-CN"/>
              </w:rPr>
              <w:t>-</w:t>
            </w:r>
            <w:r>
              <w:rPr>
                <w:rFonts w:hint="eastAsia" w:ascii="宋体" w:hAnsi="宋体" w:cs="宋体"/>
                <w:color w:val="auto"/>
                <w:sz w:val="24"/>
                <w:szCs w:val="24"/>
                <w:lang w:eastAsia="zh-CN"/>
              </w:rPr>
              <w:t>开发区重点管</w:t>
            </w:r>
            <w:r>
              <w:rPr>
                <w:rFonts w:hint="eastAsia" w:ascii="宋体" w:hAnsi="宋体" w:cs="宋体"/>
                <w:b w:val="0"/>
                <w:bCs w:val="0"/>
                <w:color w:val="auto"/>
                <w:sz w:val="24"/>
                <w:szCs w:val="24"/>
                <w:lang w:eastAsia="zh-CN"/>
              </w:rPr>
              <w:t>控要求</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w:t>
            </w:r>
            <w:r>
              <w:rPr>
                <w:rFonts w:ascii="Times New Roman" w:hAnsi="Times New Roman" w:eastAsia="宋体"/>
                <w:b w:val="0"/>
                <w:bCs w:val="0"/>
                <w:color w:val="auto"/>
                <w:kern w:val="0"/>
                <w:sz w:val="24"/>
                <w:szCs w:val="24"/>
                <w:lang w:bidi="ar"/>
              </w:rPr>
              <w:t>鼓励入园项目：</w:t>
            </w:r>
            <w:r>
              <w:rPr>
                <w:rStyle w:val="127"/>
                <w:rFonts w:hint="default" w:ascii="Times New Roman" w:hAnsi="Times New Roman" w:cs="Times New Roman"/>
                <w:b w:val="0"/>
                <w:bCs w:val="0"/>
                <w:color w:val="auto"/>
                <w:sz w:val="24"/>
                <w:szCs w:val="24"/>
                <w:lang w:bidi="ar"/>
              </w:rPr>
              <w:t>2、新区（1）纺织服装：优先发展纺织服装、鞋、帽制造业、麻纺织、丝绢纺织及精加工、纺织制成品制造、针织品、编织品及其制品制造， 棉、化纤纺织及印染精加工、毛纺织和染整精加工等涉及印染工序的产业水污染严重，控制其发展，主要接纳淮北市退城入园的项目及为开发区企业配套项目。（2）装备制造业：优先发展</w:t>
            </w:r>
            <w:r>
              <w:rPr>
                <w:rStyle w:val="127"/>
                <w:rFonts w:hint="default" w:ascii="Times New Roman" w:hAnsi="Times New Roman" w:cs="Times New Roman"/>
                <w:b w:val="0"/>
                <w:bCs w:val="0"/>
                <w:color w:val="auto"/>
                <w:sz w:val="24"/>
                <w:szCs w:val="24"/>
                <w:u w:val="none"/>
                <w:lang w:bidi="ar"/>
              </w:rPr>
              <w:t>金属制品业</w:t>
            </w:r>
            <w:r>
              <w:rPr>
                <w:rStyle w:val="127"/>
                <w:rFonts w:hint="default" w:ascii="Times New Roman" w:hAnsi="Times New Roman" w:cs="Times New Roman"/>
                <w:b w:val="0"/>
                <w:bCs w:val="0"/>
                <w:color w:val="auto"/>
                <w:sz w:val="24"/>
                <w:szCs w:val="24"/>
                <w:lang w:bidi="ar"/>
              </w:rPr>
              <w:t>、通用、专用设备制造业、电气机械及器材制造业。（3）综合性新兴产业：优先发展生物工程、新医药产业、</w:t>
            </w:r>
            <w:r>
              <w:rPr>
                <w:rStyle w:val="127"/>
                <w:rFonts w:hint="default" w:ascii="Times New Roman" w:hAnsi="Times New Roman" w:cs="Times New Roman"/>
                <w:b w:val="0"/>
                <w:bCs w:val="0"/>
                <w:color w:val="auto"/>
                <w:sz w:val="24"/>
                <w:szCs w:val="24"/>
                <w:u w:val="none"/>
                <w:lang w:bidi="ar"/>
              </w:rPr>
              <w:t>电子信息</w:t>
            </w:r>
            <w:r>
              <w:rPr>
                <w:rStyle w:val="127"/>
                <w:rFonts w:hint="default" w:ascii="Times New Roman" w:hAnsi="Times New Roman" w:cs="Times New Roman"/>
                <w:b w:val="0"/>
                <w:bCs w:val="0"/>
                <w:color w:val="auto"/>
                <w:sz w:val="24"/>
                <w:szCs w:val="24"/>
                <w:lang w:bidi="ar"/>
              </w:rPr>
              <w:t>及软件工程。此外对于废弃资源和废旧材料回收加工业、电力、热力的生产和供应业、燃气生产和供应业、水的生产和供应业等位园区配套的产业优先发展。</w:t>
            </w:r>
            <w:r>
              <w:rPr>
                <w:rFonts w:ascii="Times New Roman" w:hAnsi="Times New Roman" w:eastAsia="宋体"/>
                <w:b w:val="0"/>
                <w:bCs w:val="0"/>
                <w:color w:val="auto"/>
                <w:kern w:val="0"/>
                <w:sz w:val="24"/>
                <w:szCs w:val="24"/>
                <w:lang w:bidi="ar"/>
              </w:rPr>
              <w:t>限制发展项目：</w:t>
            </w:r>
            <w:r>
              <w:rPr>
                <w:rStyle w:val="127"/>
                <w:rFonts w:hint="eastAsia" w:ascii="Times New Roman" w:hAnsi="Times New Roman" w:eastAsia="宋体" w:cs="Times New Roman"/>
                <w:b w:val="0"/>
                <w:bCs w:val="0"/>
                <w:color w:val="auto"/>
                <w:sz w:val="24"/>
                <w:szCs w:val="24"/>
                <w:lang w:eastAsia="zh-CN" w:bidi="ar"/>
              </w:rPr>
              <w:t>（</w:t>
            </w:r>
            <w:r>
              <w:rPr>
                <w:rStyle w:val="127"/>
                <w:rFonts w:hint="eastAsia" w:ascii="Times New Roman" w:hAnsi="Times New Roman" w:eastAsia="宋体" w:cs="Times New Roman"/>
                <w:b w:val="0"/>
                <w:bCs w:val="0"/>
                <w:color w:val="auto"/>
                <w:sz w:val="24"/>
                <w:szCs w:val="24"/>
                <w:lang w:val="en-US" w:eastAsia="zh-CN" w:bidi="ar"/>
              </w:rPr>
              <w:t>1</w:t>
            </w:r>
            <w:r>
              <w:rPr>
                <w:rStyle w:val="127"/>
                <w:rFonts w:hint="eastAsia" w:ascii="Times New Roman" w:hAnsi="Times New Roman" w:eastAsia="宋体" w:cs="Times New Roman"/>
                <w:b w:val="0"/>
                <w:bCs w:val="0"/>
                <w:color w:val="auto"/>
                <w:sz w:val="24"/>
                <w:szCs w:val="24"/>
                <w:lang w:eastAsia="zh-CN" w:bidi="ar"/>
              </w:rPr>
              <w:t>）</w:t>
            </w:r>
            <w:r>
              <w:rPr>
                <w:rStyle w:val="127"/>
                <w:rFonts w:hint="default" w:ascii="Times New Roman" w:hAnsi="Times New Roman" w:cs="Times New Roman"/>
                <w:b w:val="0"/>
                <w:bCs w:val="0"/>
                <w:color w:val="auto"/>
                <w:sz w:val="24"/>
                <w:szCs w:val="24"/>
                <w:lang w:bidi="ar"/>
              </w:rPr>
              <w:t>与规划区主导产业和优先进入行业不符合，低污染、低能耗、低水耗、对周边企业影响、环境质量影响不大的建设项目控制进入。</w:t>
            </w:r>
            <w:r>
              <w:rPr>
                <w:rStyle w:val="127"/>
                <w:rFonts w:hint="eastAsia" w:ascii="Times New Roman" w:hAnsi="Times New Roman" w:eastAsia="宋体" w:cs="Times New Roman"/>
                <w:b w:val="0"/>
                <w:bCs w:val="0"/>
                <w:color w:val="auto"/>
                <w:sz w:val="24"/>
                <w:szCs w:val="24"/>
                <w:lang w:eastAsia="zh-CN" w:bidi="ar"/>
              </w:rPr>
              <w:t>（</w:t>
            </w:r>
            <w:r>
              <w:rPr>
                <w:rStyle w:val="127"/>
                <w:rFonts w:hint="eastAsia" w:ascii="Times New Roman" w:hAnsi="Times New Roman" w:eastAsia="宋体" w:cs="Times New Roman"/>
                <w:b w:val="0"/>
                <w:bCs w:val="0"/>
                <w:color w:val="auto"/>
                <w:sz w:val="24"/>
                <w:szCs w:val="24"/>
                <w:lang w:val="en-US" w:eastAsia="zh-CN" w:bidi="ar"/>
              </w:rPr>
              <w:t>2</w:t>
            </w:r>
            <w:r>
              <w:rPr>
                <w:rStyle w:val="127"/>
                <w:rFonts w:hint="eastAsia" w:ascii="Times New Roman" w:hAnsi="Times New Roman" w:eastAsia="宋体" w:cs="Times New Roman"/>
                <w:b w:val="0"/>
                <w:bCs w:val="0"/>
                <w:color w:val="auto"/>
                <w:sz w:val="24"/>
                <w:szCs w:val="24"/>
                <w:lang w:eastAsia="zh-CN" w:bidi="ar"/>
              </w:rPr>
              <w:t>）</w:t>
            </w:r>
            <w:r>
              <w:rPr>
                <w:rStyle w:val="127"/>
                <w:rFonts w:hint="default" w:ascii="Times New Roman" w:hAnsi="Times New Roman" w:cs="Times New Roman"/>
                <w:b w:val="0"/>
                <w:bCs w:val="0"/>
                <w:color w:val="auto"/>
                <w:sz w:val="24"/>
                <w:szCs w:val="24"/>
                <w:lang w:bidi="ar"/>
              </w:rPr>
              <w:t>与规划区主导产业和优先进入行业相配套，但高污染、高能耗、高水耗、对环境影响较大的建设项目控制进入。</w:t>
            </w:r>
            <w:r>
              <w:rPr>
                <w:rFonts w:ascii="Times New Roman" w:hAnsi="Times New Roman" w:eastAsia="宋体"/>
                <w:b w:val="0"/>
                <w:bCs w:val="0"/>
                <w:color w:val="auto"/>
                <w:kern w:val="0"/>
                <w:sz w:val="24"/>
                <w:szCs w:val="24"/>
                <w:lang w:bidi="ar"/>
              </w:rPr>
              <w:t>禁止发展项目：</w:t>
            </w:r>
            <w:r>
              <w:rPr>
                <w:rFonts w:ascii="Times New Roman" w:hAnsi="Times New Roman" w:eastAsia="宋体"/>
                <w:b w:val="0"/>
                <w:bCs w:val="0"/>
                <w:color w:val="auto"/>
                <w:sz w:val="24"/>
                <w:szCs w:val="24"/>
                <w:lang w:bidi="ar"/>
              </w:rPr>
              <w:t>2、新区（1）食品：高水耗食品生产以及屠宰、养殖等；（2）医药：高水耗、高能耗、高污染的原料药</w:t>
            </w:r>
            <w:r>
              <w:rPr>
                <w:rFonts w:ascii="Times New Roman" w:hAnsi="Times New Roman" w:eastAsia="宋体"/>
                <w:color w:val="auto"/>
                <w:sz w:val="24"/>
                <w:szCs w:val="24"/>
                <w:lang w:bidi="ar"/>
              </w:rPr>
              <w:t>生产企业；（3）机械：电镀、大规模喷涂行业；（4）制鞋：制革企业；（5）禁止引入不符合园区规划的其它行业项目。</w:t>
            </w:r>
            <w:r>
              <w:rPr>
                <w:rFonts w:hint="eastAsia" w:ascii="宋体" w:hAnsi="宋体" w:eastAsia="宋体" w:cs="宋体"/>
                <w:color w:val="auto"/>
                <w:sz w:val="24"/>
                <w:szCs w:val="24"/>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eastAsia" w:ascii="宋体" w:hAnsi="宋体" w:cs="宋体"/>
                <w:color w:val="auto"/>
                <w:sz w:val="24"/>
                <w:szCs w:val="24"/>
              </w:rPr>
            </w:pPr>
          </w:p>
          <w:p>
            <w:pPr>
              <w:adjustRightInd w:val="0"/>
              <w:snapToGrid w:val="0"/>
              <w:spacing w:line="360" w:lineRule="auto"/>
              <w:jc w:val="center"/>
              <w:rPr>
                <w:rFonts w:hint="eastAsia" w:ascii="宋体" w:hAnsi="宋体" w:cs="宋体"/>
                <w:color w:val="auto"/>
                <w:sz w:val="22"/>
                <w:szCs w:val="22"/>
                <w:highlight w:val="red"/>
                <w:vertAlign w:val="baseline"/>
              </w:rPr>
            </w:pPr>
            <w:r>
              <w:rPr>
                <w:rFonts w:hint="eastAsia" w:ascii="宋体" w:hAnsi="宋体" w:cs="宋体"/>
                <w:color w:val="auto"/>
                <w:sz w:val="22"/>
                <w:szCs w:val="22"/>
                <w:highlight w:val="none"/>
              </w:rPr>
              <w:t>表</w:t>
            </w:r>
            <w:r>
              <w:rPr>
                <w:rFonts w:ascii="宋体" w:hAnsi="宋体" w:cs="宋体"/>
                <w:color w:val="auto"/>
                <w:sz w:val="22"/>
                <w:szCs w:val="22"/>
                <w:highlight w:val="none"/>
              </w:rPr>
              <w:t>1-</w:t>
            </w:r>
            <w:r>
              <w:rPr>
                <w:rFonts w:hint="eastAsia" w:ascii="宋体" w:hAnsi="宋体" w:cs="宋体"/>
                <w:color w:val="auto"/>
                <w:sz w:val="22"/>
                <w:szCs w:val="22"/>
                <w:highlight w:val="none"/>
                <w:lang w:val="en-US" w:eastAsia="zh-CN"/>
              </w:rPr>
              <w:t>4</w:t>
            </w:r>
            <w:r>
              <w:rPr>
                <w:rFonts w:ascii="宋体" w:hAnsi="宋体" w:cs="宋体"/>
                <w:color w:val="auto"/>
                <w:sz w:val="22"/>
                <w:szCs w:val="22"/>
                <w:highlight w:val="none"/>
              </w:rPr>
              <w:t xml:space="preserve">  </w:t>
            </w:r>
            <w:r>
              <w:rPr>
                <w:rFonts w:hint="eastAsia" w:cs="Times New Roman"/>
                <w:color w:val="auto"/>
                <w:highlight w:val="none"/>
                <w:lang w:eastAsia="zh-CN"/>
              </w:rPr>
              <w:t>淮北市</w:t>
            </w:r>
            <w:r>
              <w:rPr>
                <w:rFonts w:cs="Times New Roman"/>
                <w:color w:val="auto"/>
                <w:highlight w:val="none"/>
              </w:rPr>
              <w:t>生态环境准入清单</w:t>
            </w:r>
          </w:p>
          <w:tbl>
            <w:tblPr>
              <w:tblStyle w:val="37"/>
              <w:tblW w:w="7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960"/>
              <w:gridCol w:w="3144"/>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2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管控类别</w:t>
                  </w:r>
                </w:p>
              </w:tc>
              <w:tc>
                <w:tcPr>
                  <w:tcW w:w="4104"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管控要求</w:t>
                  </w:r>
                </w:p>
              </w:tc>
              <w:tc>
                <w:tcPr>
                  <w:tcW w:w="18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121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空间布局</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约束</w:t>
                  </w:r>
                </w:p>
              </w:tc>
              <w:tc>
                <w:tcPr>
                  <w:tcW w:w="4104"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    严格落实《中华人民共和国自然保护区条例（2017 年修订）》《水产种质资源保护区管理暂行办法（2016 年修正本）》《饮用水水源保护区污染防治管理规定》《安徽省城镇饮用水水源保护条例》《国家湿地公园管理办法》《湿地保护管理规程》《中华人民共和国草原法》《安徽省湿地保护条例》《关于特别是作为水禽栖息地的国际重要湿地公约》要求</w:t>
                  </w:r>
                </w:p>
              </w:tc>
              <w:tc>
                <w:tcPr>
                  <w:tcW w:w="1879"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本项目位于安徽淮北烈山经济开发区南区唐山路智能制造产业园内，所在区域不涉及自然保护区、水源保护区、种植资源保护区和湿地，且不涉及禁止和限制区域。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21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4104"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    水土保持功能区禁止在二十度以上陡坡地开垦种质农作物。禁止在崩塌、滑坡危险区和泥石流易发区从事取土、挖砂、采石等可能造成水土流失的活动。防风固沙极重要和重要区禁止开垦、开发植物保护带；禁止在水土流失重点19预防区和重点治理区铲草皮、挖树等。</w:t>
                  </w:r>
                </w:p>
              </w:tc>
              <w:tc>
                <w:tcPr>
                  <w:tcW w:w="187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21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4104"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    禁止生物多样性维护生态功能区的大规模水电开发和林纸一体化产业发展。禁止各种损害栖息地的经济社会活动和生产方式，如无序采矿、毁林开荒、湿地和草地开垦等。禁止滥捕、乱采，乱猎等行为，加强外来入侵物种管理。</w:t>
                  </w:r>
                </w:p>
              </w:tc>
              <w:tc>
                <w:tcPr>
                  <w:tcW w:w="187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121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4104"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    禁止砍伐、樵采、开垦、放牧、采药、狩猎、勘探、开矿和滥用水资源等一切破坏植被的活动。</w:t>
                  </w:r>
                </w:p>
              </w:tc>
              <w:tc>
                <w:tcPr>
                  <w:tcW w:w="18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left"/>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本项目不涉及砍伐、樵采、开垦、放牧、采药、狩猎、勘探、开矿和滥用水资源等破坏植被的活动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21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污染物排放管控</w:t>
                  </w:r>
                </w:p>
              </w:tc>
              <w:tc>
                <w:tcPr>
                  <w:tcW w:w="960"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环境质 量目标</w:t>
                  </w:r>
                </w:p>
              </w:tc>
              <w:tc>
                <w:tcPr>
                  <w:tcW w:w="314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大气环境质量持续改善。</w:t>
                  </w:r>
                </w:p>
              </w:tc>
              <w:tc>
                <w:tcPr>
                  <w:tcW w:w="18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根据淮北市生态环境局网站公开的“2022 年度淮北市生态环境状况公报”，2022 年淮北市环境环境空气质量属于不达标区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21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960"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314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水环境质量持续改善。</w:t>
                  </w:r>
                </w:p>
              </w:tc>
              <w:tc>
                <w:tcPr>
                  <w:tcW w:w="18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本项目采取雨污分流制。本项目无生产废水产生，生活污水经化粪池预处理后接管市政污水管网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21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960"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314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污染地块安全利用率达到省下达指标</w:t>
                  </w:r>
                </w:p>
              </w:tc>
              <w:tc>
                <w:tcPr>
                  <w:tcW w:w="18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本项目不占用耕地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21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污染物排放管控</w:t>
                  </w:r>
                </w:p>
              </w:tc>
              <w:tc>
                <w:tcPr>
                  <w:tcW w:w="960"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污染物控制要求</w:t>
                  </w:r>
                </w:p>
              </w:tc>
              <w:tc>
                <w:tcPr>
                  <w:tcW w:w="314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加快城镇污水处理设施建设与改造，现有城镇污水处理设施，要因地制宜进行改造。</w:t>
                  </w:r>
                </w:p>
              </w:tc>
              <w:tc>
                <w:tcPr>
                  <w:tcW w:w="18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21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960"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314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因地制宜基本建成生活垃圾分类和处理系统，支持建制镇加快补齐生活垃圾收集、转运和无害化处理设施短板。</w:t>
                  </w:r>
                </w:p>
              </w:tc>
              <w:tc>
                <w:tcPr>
                  <w:tcW w:w="18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2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环境风险防控</w:t>
                  </w:r>
                </w:p>
              </w:tc>
              <w:tc>
                <w:tcPr>
                  <w:tcW w:w="4104"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有效应对突发环境事件，强化“一废一品一库” 管理，完善突发环境事件应急预案体系以及环境风险三级防控体系。</w:t>
                  </w:r>
                </w:p>
              </w:tc>
              <w:tc>
                <w:tcPr>
                  <w:tcW w:w="18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本项目无环境风险物质，企业拟编制突发环境风险事件应急预案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21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资源利用要求</w:t>
                  </w: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水资源</w:t>
                  </w:r>
                </w:p>
              </w:tc>
              <w:tc>
                <w:tcPr>
                  <w:tcW w:w="314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达到省下达指标</w:t>
                  </w:r>
                </w:p>
              </w:tc>
              <w:tc>
                <w:tcPr>
                  <w:tcW w:w="18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本项目用水主要为生活用水，由园区供水管线供给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21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土地资源</w:t>
                  </w:r>
                </w:p>
              </w:tc>
              <w:tc>
                <w:tcPr>
                  <w:tcW w:w="314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达到省下达指标</w:t>
                  </w:r>
                </w:p>
              </w:tc>
              <w:tc>
                <w:tcPr>
                  <w:tcW w:w="18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本项目不占耕地和基本农田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21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9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能源</w:t>
                  </w:r>
                </w:p>
              </w:tc>
              <w:tc>
                <w:tcPr>
                  <w:tcW w:w="314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达到省下达指标</w:t>
                  </w:r>
                </w:p>
              </w:tc>
              <w:tc>
                <w:tcPr>
                  <w:tcW w:w="18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本项目使用能源为电能，且用量较小</w:t>
                  </w:r>
                </w:p>
              </w:tc>
            </w:tr>
          </w:tbl>
          <w:p>
            <w:pPr>
              <w:adjustRightInd w:val="0"/>
              <w:snapToGrid w:val="0"/>
              <w:spacing w:line="360" w:lineRule="auto"/>
              <w:jc w:val="center"/>
              <w:rPr>
                <w:rFonts w:hint="eastAsia" w:ascii="宋体" w:hAnsi="宋体" w:cs="宋体"/>
                <w:color w:val="auto"/>
                <w:sz w:val="22"/>
                <w:szCs w:val="22"/>
                <w:highlight w:val="red"/>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cs="宋体"/>
                <w:color w:val="auto"/>
                <w:sz w:val="24"/>
                <w:szCs w:val="24"/>
              </w:rPr>
            </w:pPr>
            <w:r>
              <w:rPr>
                <w:rFonts w:hint="eastAsia" w:ascii="宋体" w:hAnsi="宋体" w:cs="宋体"/>
                <w:color w:val="auto"/>
                <w:sz w:val="24"/>
                <w:szCs w:val="24"/>
              </w:rPr>
              <w:t>本项目</w:t>
            </w:r>
            <w:r>
              <w:rPr>
                <w:rFonts w:hint="eastAsia" w:ascii="宋体" w:hAnsi="宋体" w:cs="宋体"/>
                <w:color w:val="auto"/>
                <w:sz w:val="24"/>
                <w:szCs w:val="24"/>
                <w:lang w:eastAsia="zh-CN"/>
              </w:rPr>
              <w:t>属于二十六</w:t>
            </w:r>
            <w:r>
              <w:rPr>
                <w:rFonts w:hint="eastAsia" w:ascii="宋体" w:hAnsi="宋体" w:cs="宋体"/>
                <w:color w:val="auto"/>
                <w:sz w:val="24"/>
                <w:szCs w:val="24"/>
              </w:rPr>
              <w:t>、</w:t>
            </w:r>
            <w:r>
              <w:rPr>
                <w:rFonts w:hint="eastAsia" w:ascii="宋体" w:hAnsi="宋体" w:cs="宋体"/>
                <w:color w:val="auto"/>
                <w:sz w:val="24"/>
                <w:szCs w:val="24"/>
                <w:lang w:eastAsia="zh-CN"/>
              </w:rPr>
              <w:t>橡胶和塑料制品业</w:t>
            </w:r>
            <w:r>
              <w:rPr>
                <w:rFonts w:hint="eastAsia" w:ascii="宋体" w:hAnsi="宋体" w:cs="宋体"/>
                <w:color w:val="auto"/>
                <w:sz w:val="24"/>
                <w:szCs w:val="24"/>
                <w:lang w:val="en-US" w:eastAsia="zh-CN"/>
              </w:rPr>
              <w:t xml:space="preserve">  29 53.塑料制品业 292</w:t>
            </w:r>
            <w:r>
              <w:rPr>
                <w:rFonts w:hint="eastAsia" w:ascii="宋体" w:hAnsi="宋体" w:cs="宋体"/>
                <w:color w:val="auto"/>
                <w:sz w:val="24"/>
                <w:szCs w:val="24"/>
                <w:lang w:eastAsia="zh-CN"/>
              </w:rPr>
              <w:t>，同属于二十六、橡胶和塑料制品业  29</w:t>
            </w:r>
            <w:r>
              <w:rPr>
                <w:rFonts w:hint="eastAsia" w:ascii="宋体" w:hAnsi="宋体" w:cs="宋体"/>
                <w:color w:val="auto"/>
                <w:sz w:val="24"/>
                <w:szCs w:val="24"/>
                <w:lang w:val="en-US" w:eastAsia="zh-CN"/>
              </w:rPr>
              <w:t xml:space="preserve"> </w:t>
            </w:r>
            <w:r>
              <w:rPr>
                <w:rFonts w:hint="eastAsia" w:ascii="宋体" w:hAnsi="宋体" w:cs="宋体"/>
                <w:color w:val="auto"/>
                <w:sz w:val="24"/>
                <w:szCs w:val="24"/>
                <w:lang w:eastAsia="zh-CN"/>
              </w:rPr>
              <w:t>52.橡胶制品业291</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不属于《产业结构调整指导目录（</w:t>
            </w:r>
            <w:r>
              <w:rPr>
                <w:rFonts w:ascii="宋体" w:hAnsi="宋体" w:cs="宋体"/>
                <w:color w:val="auto"/>
                <w:sz w:val="24"/>
                <w:szCs w:val="24"/>
              </w:rPr>
              <w:t>20</w:t>
            </w:r>
            <w:r>
              <w:rPr>
                <w:rFonts w:hint="eastAsia" w:ascii="宋体" w:hAnsi="宋体" w:cs="宋体"/>
                <w:color w:val="auto"/>
                <w:sz w:val="24"/>
                <w:szCs w:val="24"/>
                <w:lang w:val="en-US" w:eastAsia="zh-CN"/>
              </w:rPr>
              <w:t>24</w:t>
            </w:r>
            <w:r>
              <w:rPr>
                <w:rFonts w:hint="eastAsia" w:ascii="宋体" w:hAnsi="宋体" w:cs="宋体"/>
                <w:color w:val="auto"/>
                <w:sz w:val="24"/>
                <w:szCs w:val="24"/>
              </w:rPr>
              <w:t>年本）》“限制类”和“淘汰类”项目。本项目不属于“新建化学制浆造纸企业和印染、制革、化工、电镀、酿造等污染严重的小型企业”项目，不在园区禁止进入类企业行列之内，</w:t>
            </w:r>
            <w:r>
              <w:rPr>
                <w:rFonts w:hint="eastAsia" w:ascii="宋体" w:hAnsi="宋体" w:cs="宋体"/>
                <w:color w:val="auto"/>
                <w:sz w:val="24"/>
                <w:szCs w:val="24"/>
                <w:lang w:eastAsia="zh-CN"/>
              </w:rPr>
              <w:t>也不属于淮北市“三线一单”的限制发展和禁止发展的项目范围内，</w:t>
            </w:r>
            <w:r>
              <w:rPr>
                <w:rFonts w:hint="eastAsia" w:ascii="宋体" w:hAnsi="宋体" w:cs="宋体"/>
                <w:color w:val="auto"/>
                <w:sz w:val="24"/>
                <w:szCs w:val="24"/>
              </w:rPr>
              <w:t>符合环境准入要求。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cs="宋体"/>
                <w:color w:val="auto"/>
                <w:sz w:val="24"/>
                <w:szCs w:val="24"/>
                <w:lang w:eastAsia="zh-CN"/>
              </w:rPr>
            </w:pPr>
            <w:r>
              <w:rPr>
                <w:rFonts w:hint="eastAsia" w:ascii="宋体" w:hAnsi="宋体" w:cs="宋体"/>
                <w:color w:val="auto"/>
                <w:sz w:val="24"/>
                <w:szCs w:val="24"/>
                <w:lang w:eastAsia="zh-CN"/>
              </w:rPr>
              <w:t>本项目位于</w:t>
            </w:r>
            <w:r>
              <w:rPr>
                <w:rFonts w:hint="eastAsia" w:cs="Times New Roman"/>
                <w:color w:val="auto"/>
                <w:sz w:val="24"/>
                <w:lang w:eastAsia="zh-CN"/>
              </w:rPr>
              <w:t>安徽淮北烈山经济开发区南区唐山路智能制造产业园</w:t>
            </w:r>
            <w:r>
              <w:rPr>
                <w:rFonts w:hint="eastAsia" w:ascii="宋体" w:hAnsi="宋体" w:cs="宋体"/>
                <w:color w:val="auto"/>
                <w:sz w:val="24"/>
                <w:szCs w:val="24"/>
                <w:lang w:eastAsia="zh-CN"/>
              </w:rPr>
              <w:t>,对照《淮北市“三线一单”生态环境准入清单》淮北市环境准入清单，本项目不在风景名胜区、集中式饮用水水源保护区、自然保护区、湿地公园、森林公园、地质公园、水产种质资源保护区。不属于禁止开发建设活动及不符合空间布局要求活动的重点管控单元内，因此符合淮北市生态环境准入清单要求。</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79" w:leftChars="228" w:firstLine="0" w:firstLineChars="0"/>
              <w:jc w:val="left"/>
              <w:textAlignment w:val="auto"/>
              <w:rPr>
                <w:rFonts w:hint="eastAsia" w:ascii="宋体" w:hAnsi="宋体" w:eastAsia="宋体" w:cs="宋体"/>
                <w:color w:val="auto"/>
                <w:sz w:val="24"/>
                <w:lang w:eastAsia="zh-CN"/>
              </w:rPr>
            </w:pPr>
            <w:r>
              <w:rPr>
                <w:rFonts w:hint="eastAsia" w:ascii="Times New Roman" w:hAnsi="Times New Roman" w:eastAsia="宋体" w:cs="Times New Roman"/>
                <w:color w:val="auto"/>
                <w:sz w:val="24"/>
                <w:lang w:eastAsia="zh-CN"/>
              </w:rPr>
              <w:t>与“三线一单”生态环境分区管控相符性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28"/>
              <w:jc w:val="left"/>
              <w:textAlignment w:val="auto"/>
              <w:rPr>
                <w:rFonts w:hint="eastAsia" w:ascii="宋体" w:hAnsi="宋体" w:eastAsia="宋体" w:cs="宋体"/>
                <w:color w:val="auto"/>
                <w:sz w:val="24"/>
                <w:lang w:eastAsia="zh-CN"/>
              </w:rPr>
            </w:pPr>
            <w:r>
              <w:rPr>
                <w:rFonts w:hint="eastAsia" w:ascii="Times New Roman" w:hAnsi="Times New Roman" w:eastAsia="宋体" w:cs="Times New Roman"/>
                <w:color w:val="auto"/>
                <w:sz w:val="24"/>
                <w:lang w:val="en-US" w:eastAsia="zh-CN"/>
              </w:rPr>
              <w:t xml:space="preserve"> </w:t>
            </w:r>
            <w:r>
              <w:rPr>
                <w:rFonts w:hint="eastAsia" w:ascii="宋体" w:hAnsi="宋体" w:eastAsia="宋体" w:cs="宋体"/>
                <w:color w:val="auto"/>
                <w:sz w:val="24"/>
                <w:lang w:eastAsia="zh-CN"/>
              </w:rPr>
              <w:t>①大气环境分区管控要求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根据《淮北市“三线一单”文本》，本项目所在区域属于大气环境重点管控区，详见下表</w:t>
            </w:r>
            <w:r>
              <w:rPr>
                <w:rFonts w:hint="eastAsia" w:ascii="宋体" w:hAnsi="宋体" w:cs="宋体"/>
                <w:color w:val="auto"/>
                <w:sz w:val="24"/>
                <w:lang w:eastAsia="zh-CN"/>
              </w:rPr>
              <w:t>及附图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center"/>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表 1-</w:t>
            </w:r>
            <w:r>
              <w:rPr>
                <w:rFonts w:hint="eastAsia" w:ascii="宋体" w:hAnsi="宋体" w:eastAsia="宋体" w:cs="宋体"/>
                <w:color w:val="auto"/>
                <w:sz w:val="24"/>
                <w:lang w:val="en-US" w:eastAsia="zh-CN"/>
              </w:rPr>
              <w:t>2</w:t>
            </w:r>
            <w:r>
              <w:rPr>
                <w:rFonts w:hint="eastAsia" w:ascii="宋体" w:hAnsi="宋体" w:eastAsia="宋体" w:cs="宋体"/>
                <w:color w:val="auto"/>
                <w:sz w:val="24"/>
                <w:lang w:eastAsia="zh-CN"/>
              </w:rPr>
              <w:t xml:space="preserve"> 与大气环境分区管控要求的符合性分析</w:t>
            </w:r>
          </w:p>
          <w:tbl>
            <w:tblPr>
              <w:tblStyle w:val="37"/>
              <w:tblW w:w="7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3314"/>
              <w:gridCol w:w="1584"/>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35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管控单元分类</w:t>
                  </w:r>
                </w:p>
              </w:tc>
              <w:tc>
                <w:tcPr>
                  <w:tcW w:w="33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环境管控要求</w:t>
                  </w:r>
                </w:p>
              </w:tc>
              <w:tc>
                <w:tcPr>
                  <w:tcW w:w="158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本项目情况</w:t>
                  </w:r>
                </w:p>
              </w:tc>
              <w:tc>
                <w:tcPr>
                  <w:tcW w:w="9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7" w:hRule="atLeast"/>
              </w:trPr>
              <w:tc>
                <w:tcPr>
                  <w:tcW w:w="135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重点管控区</w:t>
                  </w:r>
                </w:p>
              </w:tc>
              <w:tc>
                <w:tcPr>
                  <w:tcW w:w="33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落实《安徽省大气污染防治条例》《“十三五”生态环境保护规划》《安徽省“十三五”环境保护规划》《打赢蓝天保卫战三年行动计划》《安徽省打赢蓝天保卫战三年行动计划实施方案》《重点行业挥发性有机物综合治理方案》等要求，严格目标实施计划，加强环境监管，促进生态环境质量好转。上年度PM2.5不达标城市新建、改建和扩建项目大气污染物实施“倍量替代”，执行特别排放标准的行业实施提标升级改造。</w:t>
                  </w:r>
                </w:p>
              </w:tc>
              <w:tc>
                <w:tcPr>
                  <w:tcW w:w="158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本项目运营期产生的少量无组织颗粒物，经加强通风后，无组织废气影响较小，产生的挥发性有机物经</w:t>
                  </w:r>
                  <w:r>
                    <w:rPr>
                      <w:rFonts w:hint="eastAsia" w:cs="Times New Roman"/>
                      <w:i w:val="0"/>
                      <w:iCs w:val="0"/>
                      <w:color w:val="auto"/>
                      <w:kern w:val="0"/>
                      <w:sz w:val="18"/>
                      <w:szCs w:val="18"/>
                      <w:u w:val="none"/>
                      <w:lang w:val="en-US" w:eastAsia="zh-CN" w:bidi="ar"/>
                    </w:rPr>
                    <w:t>活性炭吸附/脱附催化燃烧装置处</w:t>
                  </w:r>
                  <w:r>
                    <w:rPr>
                      <w:rFonts w:hint="eastAsia" w:ascii="Times New Roman" w:hAnsi="Times New Roman" w:eastAsia="宋体" w:cs="Times New Roman"/>
                      <w:i w:val="0"/>
                      <w:iCs w:val="0"/>
                      <w:color w:val="auto"/>
                      <w:kern w:val="0"/>
                      <w:sz w:val="18"/>
                      <w:szCs w:val="18"/>
                      <w:u w:val="none"/>
                      <w:lang w:val="en-US" w:eastAsia="zh-CN" w:bidi="ar"/>
                    </w:rPr>
                    <w:t>理后由1根15米高的排气筒排放。</w:t>
                  </w:r>
                </w:p>
              </w:tc>
              <w:tc>
                <w:tcPr>
                  <w:tcW w:w="9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②水环境管控分区管控要求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根据《淮北市“三线一单”文本》，本项目所在区域属于水环境重点管控区，详见下表</w:t>
            </w:r>
            <w:r>
              <w:rPr>
                <w:rFonts w:hint="eastAsia" w:ascii="宋体" w:hAnsi="宋体" w:cs="宋体"/>
                <w:color w:val="auto"/>
                <w:sz w:val="24"/>
                <w:lang w:eastAsia="zh-CN"/>
              </w:rPr>
              <w:t>及附图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center"/>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表 1-3 与水环境分区管控要求的符合性分析</w:t>
            </w:r>
          </w:p>
          <w:tbl>
            <w:tblPr>
              <w:tblStyle w:val="37"/>
              <w:tblW w:w="7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3120"/>
              <w:gridCol w:w="1374"/>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3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管控单元分类</w:t>
                  </w:r>
                </w:p>
              </w:tc>
              <w:tc>
                <w:tcPr>
                  <w:tcW w:w="31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环境管控要求</w:t>
                  </w:r>
                </w:p>
              </w:tc>
              <w:tc>
                <w:tcPr>
                  <w:tcW w:w="137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本项目情况</w:t>
                  </w:r>
                </w:p>
              </w:tc>
              <w:tc>
                <w:tcPr>
                  <w:tcW w:w="137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0" w:hRule="atLeast"/>
              </w:trPr>
              <w:tc>
                <w:tcPr>
                  <w:tcW w:w="13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重点管控区</w:t>
                  </w:r>
                </w:p>
              </w:tc>
              <w:tc>
                <w:tcPr>
                  <w:tcW w:w="31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依据《中华人民共和国水污染防治法》《水污染防治行动计划》《安徽省水污染防治工作方案》及各市水污染防治工作方案对项目实行雨污分流制，雨水进入园区雨水管7重点管控区实施管控；依据《安徽省淮河流域水污染防治条例》对淮河流域实施管控；依据开发区规划、规划环评及审查意见相关要求对开发区实施管控；落实《“十三五”生态环境保护规划》《安徽省“十三五”环境保护规划》《安徽省“十三五”节能减排实施方案》等要求，新建、改建和扩建项目水污染物实施“等量替代”。</w:t>
                  </w:r>
                </w:p>
              </w:tc>
              <w:tc>
                <w:tcPr>
                  <w:tcW w:w="137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本项目运营期产生的废水经化粪池处理后经园区污水管网排入</w:t>
                  </w:r>
                  <w:r>
                    <w:rPr>
                      <w:rFonts w:hint="eastAsia" w:cs="Times New Roman"/>
                      <w:i w:val="0"/>
                      <w:iCs w:val="0"/>
                      <w:color w:val="auto"/>
                      <w:kern w:val="0"/>
                      <w:sz w:val="18"/>
                      <w:szCs w:val="18"/>
                      <w:u w:val="none"/>
                      <w:lang w:val="en-US" w:eastAsia="zh-CN" w:bidi="ar"/>
                    </w:rPr>
                    <w:t>淮北蓝海水处理有限公司</w:t>
                  </w:r>
                  <w:r>
                    <w:rPr>
                      <w:rFonts w:hint="eastAsia" w:ascii="Times New Roman" w:hAnsi="Times New Roman" w:eastAsia="宋体" w:cs="Times New Roman"/>
                      <w:i w:val="0"/>
                      <w:iCs w:val="0"/>
                      <w:color w:val="auto"/>
                      <w:kern w:val="0"/>
                      <w:sz w:val="18"/>
                      <w:szCs w:val="18"/>
                      <w:u w:val="none"/>
                      <w:lang w:val="en-US" w:eastAsia="zh-CN" w:bidi="ar"/>
                    </w:rPr>
                    <w:t>。</w:t>
                  </w:r>
                </w:p>
              </w:tc>
              <w:tc>
                <w:tcPr>
                  <w:tcW w:w="137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center"/>
              <w:textAlignment w:val="auto"/>
              <w:rPr>
                <w:rFonts w:hint="eastAsia" w:ascii="宋体" w:hAnsi="宋体" w:eastAsia="宋体" w:cs="宋体"/>
                <w:color w:val="auto"/>
                <w:sz w:val="24"/>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③土壤环境分区管控要求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lang w:eastAsia="zh-CN"/>
              </w:rPr>
            </w:pPr>
            <w:r>
              <w:rPr>
                <w:rFonts w:hint="eastAsia" w:ascii="宋体" w:hAnsi="宋体" w:eastAsia="宋体" w:cs="宋体"/>
                <w:color w:val="auto"/>
                <w:sz w:val="24"/>
                <w:lang w:eastAsia="zh-CN"/>
              </w:rPr>
              <w:t>根据《淮北市“三线一单”文本》，本项目属于土壤环境重点管控区，详见下表</w:t>
            </w:r>
            <w:r>
              <w:rPr>
                <w:rFonts w:hint="eastAsia" w:ascii="宋体" w:hAnsi="宋体" w:cs="宋体"/>
                <w:color w:val="auto"/>
                <w:sz w:val="24"/>
                <w:lang w:eastAsia="zh-CN"/>
              </w:rPr>
              <w:t>及附图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center"/>
              <w:textAlignment w:val="auto"/>
              <w:rPr>
                <w:rFonts w:hint="eastAsia"/>
                <w:color w:val="auto"/>
                <w:lang w:eastAsia="zh-CN"/>
              </w:rPr>
            </w:pPr>
            <w:r>
              <w:rPr>
                <w:rFonts w:hint="eastAsia" w:ascii="宋体" w:hAnsi="宋体" w:eastAsia="宋体" w:cs="宋体"/>
                <w:color w:val="auto"/>
                <w:sz w:val="24"/>
                <w:lang w:eastAsia="zh-CN"/>
              </w:rPr>
              <w:t>表 1-3 与土壤环境分区管控要求的符合性分析</w:t>
            </w:r>
          </w:p>
          <w:tbl>
            <w:tblPr>
              <w:tblStyle w:val="37"/>
              <w:tblW w:w="7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933"/>
              <w:gridCol w:w="1794"/>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3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管控单元分类</w:t>
                  </w:r>
                </w:p>
              </w:tc>
              <w:tc>
                <w:tcPr>
                  <w:tcW w:w="29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环境管控要求</w:t>
                  </w:r>
                </w:p>
              </w:tc>
              <w:tc>
                <w:tcPr>
                  <w:tcW w:w="17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本项目情况</w:t>
                  </w:r>
                </w:p>
              </w:tc>
              <w:tc>
                <w:tcPr>
                  <w:tcW w:w="11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trPr>
              <w:tc>
                <w:tcPr>
                  <w:tcW w:w="136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一般管控区</w:t>
                  </w:r>
                </w:p>
              </w:tc>
              <w:tc>
                <w:tcPr>
                  <w:tcW w:w="29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依据《中华人民共和国土壤污染防治法》《土壤污染防治行动计划》《安徽省土壤污染防治工作方案》《安徽省“十三五”环境保护规划》等要求及各市土壤污染防治工作方案对一般管控区实施管控。</w:t>
                  </w:r>
                </w:p>
              </w:tc>
              <w:tc>
                <w:tcPr>
                  <w:tcW w:w="17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360" w:firstLineChars="20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本项目运营期</w:t>
                  </w:r>
                  <w:r>
                    <w:rPr>
                      <w:rFonts w:hint="eastAsia" w:cs="Times New Roman"/>
                      <w:i w:val="0"/>
                      <w:iCs w:val="0"/>
                      <w:color w:val="auto"/>
                      <w:kern w:val="0"/>
                      <w:sz w:val="18"/>
                      <w:szCs w:val="18"/>
                      <w:u w:val="none"/>
                      <w:lang w:val="en-US" w:eastAsia="zh-CN" w:bidi="ar"/>
                    </w:rPr>
                    <w:t>产生的</w:t>
                  </w:r>
                  <w:r>
                    <w:rPr>
                      <w:rFonts w:hint="eastAsia" w:ascii="Times New Roman" w:hAnsi="Times New Roman" w:eastAsia="宋体" w:cs="Times New Roman"/>
                      <w:i w:val="0"/>
                      <w:iCs w:val="0"/>
                      <w:color w:val="auto"/>
                      <w:kern w:val="0"/>
                      <w:sz w:val="18"/>
                      <w:szCs w:val="18"/>
                      <w:u w:val="none"/>
                      <w:lang w:val="en-US" w:eastAsia="zh-CN" w:bidi="ar"/>
                    </w:rPr>
                    <w:t>固废按有关规定进行暂存和安全处置，土壤污染风险总体可控，运行过程中将加强对土壤的跟踪管理和监控</w:t>
                  </w:r>
                </w:p>
              </w:tc>
              <w:tc>
                <w:tcPr>
                  <w:tcW w:w="11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符合</w:t>
                  </w:r>
                </w:p>
              </w:tc>
            </w:tr>
          </w:tbl>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p>
          <w:p>
            <w:pP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Times New Roman" w:hAnsi="Times New Roman" w:eastAsia="宋体" w:cs="Times New Roman"/>
                <w:color w:val="auto"/>
                <w:sz w:val="24"/>
                <w:lang w:val="en-US" w:eastAsia="zh-CN"/>
              </w:rPr>
              <w:t xml:space="preserve">    </w:t>
            </w:r>
            <w:r>
              <w:rPr>
                <w:rFonts w:hint="eastAsia" w:ascii="宋体" w:hAnsi="宋体" w:cs="宋体"/>
                <w:color w:val="auto"/>
                <w:sz w:val="24"/>
                <w:szCs w:val="24"/>
                <w:highlight w:val="none"/>
              </w:rPr>
              <w:t>综上所述，项目建设符合“三线一单”要求。</w:t>
            </w:r>
          </w:p>
          <w:p>
            <w:pPr>
              <w:autoSpaceDE w:val="0"/>
              <w:autoSpaceDN w:val="0"/>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color w:val="auto"/>
                <w:highlight w:val="none"/>
                <w:lang w:val="en-US" w:eastAsia="zh-CN"/>
              </w:rPr>
              <w:t>、</w:t>
            </w:r>
            <w:r>
              <w:rPr>
                <w:rFonts w:hint="eastAsia" w:ascii="宋体" w:hAnsi="宋体" w:cs="宋体"/>
                <w:color w:val="auto"/>
                <w:sz w:val="24"/>
                <w:szCs w:val="24"/>
                <w:highlight w:val="none"/>
                <w:lang w:val="en-US" w:eastAsia="zh-CN"/>
              </w:rPr>
              <w:t>与《重点行业挥发性有机物综合治理方案》（环大气【2019】53号）的符合性分析</w:t>
            </w:r>
          </w:p>
          <w:p>
            <w:pPr>
              <w:autoSpaceDE w:val="0"/>
              <w:autoSpaceDN w:val="0"/>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项目与《重点行业挥发性有机物综合治理方案》（环大气【2019】53号）的符合性分析见表1-5。</w:t>
            </w:r>
          </w:p>
          <w:p>
            <w:pPr>
              <w:autoSpaceDE w:val="0"/>
              <w:autoSpaceDN w:val="0"/>
              <w:adjustRightInd w:val="0"/>
              <w:snapToGrid w:val="0"/>
              <w:spacing w:line="360" w:lineRule="auto"/>
              <w:jc w:val="center"/>
              <w:rPr>
                <w:rFonts w:hint="eastAsia"/>
                <w:color w:val="auto"/>
                <w:highlight w:val="none"/>
                <w:vertAlign w:val="baseline"/>
                <w:lang w:val="en-US" w:eastAsia="zh-CN"/>
              </w:rPr>
            </w:pPr>
            <w:r>
              <w:rPr>
                <w:rFonts w:hint="eastAsia"/>
                <w:color w:val="auto"/>
                <w:highlight w:val="none"/>
                <w:lang w:val="en-US" w:eastAsia="zh-CN"/>
              </w:rPr>
              <w:t>表1-5 与《重点行业挥发性有机物综合治理方案》的符合性分析</w:t>
            </w:r>
          </w:p>
          <w:tbl>
            <w:tblPr>
              <w:tblStyle w:val="37"/>
              <w:tblW w:w="7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3"/>
              <w:gridCol w:w="1902"/>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4793" w:type="dxa"/>
                  <w:vAlign w:val="center"/>
                </w:tcPr>
                <w:p>
                  <w:pPr>
                    <w:autoSpaceDE w:val="0"/>
                    <w:autoSpaceDN w:val="0"/>
                    <w:adjustRightInd w:val="0"/>
                    <w:snapToGrid w:val="0"/>
                    <w:spacing w:line="240" w:lineRule="auto"/>
                    <w:jc w:val="center"/>
                    <w:rPr>
                      <w:rFonts w:hint="eastAsia"/>
                      <w:color w:val="auto"/>
                      <w:highlight w:val="none"/>
                      <w:vertAlign w:val="baseline"/>
                      <w:lang w:val="en-US" w:eastAsia="zh-CN"/>
                    </w:rPr>
                  </w:pPr>
                  <w:r>
                    <w:rPr>
                      <w:rFonts w:hint="eastAsia"/>
                      <w:color w:val="auto"/>
                      <w:highlight w:val="none"/>
                      <w:vertAlign w:val="baseline"/>
                      <w:lang w:val="en-US" w:eastAsia="zh-CN"/>
                    </w:rPr>
                    <w:t>文件内容</w:t>
                  </w:r>
                </w:p>
              </w:tc>
              <w:tc>
                <w:tcPr>
                  <w:tcW w:w="1902" w:type="dxa"/>
                  <w:vAlign w:val="center"/>
                </w:tcPr>
                <w:p>
                  <w:pPr>
                    <w:autoSpaceDE w:val="0"/>
                    <w:autoSpaceDN w:val="0"/>
                    <w:adjustRightInd w:val="0"/>
                    <w:snapToGrid w:val="0"/>
                    <w:spacing w:line="240" w:lineRule="auto"/>
                    <w:jc w:val="center"/>
                    <w:rPr>
                      <w:rFonts w:hint="eastAsia"/>
                      <w:color w:val="auto"/>
                      <w:highlight w:val="none"/>
                      <w:vertAlign w:val="baseline"/>
                      <w:lang w:val="en-US" w:eastAsia="zh-CN"/>
                    </w:rPr>
                  </w:pPr>
                  <w:r>
                    <w:rPr>
                      <w:rFonts w:hint="eastAsia"/>
                      <w:color w:val="auto"/>
                      <w:highlight w:val="none"/>
                      <w:vertAlign w:val="baseline"/>
                      <w:lang w:val="en-US" w:eastAsia="zh-CN"/>
                    </w:rPr>
                    <w:t>本项目</w:t>
                  </w:r>
                </w:p>
              </w:tc>
              <w:tc>
                <w:tcPr>
                  <w:tcW w:w="964" w:type="dxa"/>
                  <w:vAlign w:val="center"/>
                </w:tcPr>
                <w:p>
                  <w:pPr>
                    <w:autoSpaceDE w:val="0"/>
                    <w:autoSpaceDN w:val="0"/>
                    <w:adjustRightInd w:val="0"/>
                    <w:snapToGrid w:val="0"/>
                    <w:spacing w:line="240" w:lineRule="auto"/>
                    <w:jc w:val="center"/>
                    <w:rPr>
                      <w:rFonts w:hint="eastAsia"/>
                      <w:color w:val="auto"/>
                      <w:highlight w:val="none"/>
                      <w:vertAlign w:val="baseline"/>
                      <w:lang w:val="en-US" w:eastAsia="zh-CN"/>
                    </w:rPr>
                  </w:pPr>
                  <w:r>
                    <w:rPr>
                      <w:rFonts w:hint="eastAsia"/>
                      <w:color w:val="auto"/>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5" w:hRule="atLeast"/>
              </w:trPr>
              <w:tc>
                <w:tcPr>
                  <w:tcW w:w="4793" w:type="dxa"/>
                  <w:vAlign w:val="center"/>
                </w:tcPr>
                <w:p>
                  <w:pPr>
                    <w:autoSpaceDE w:val="0"/>
                    <w:autoSpaceDN w:val="0"/>
                    <w:adjustRightInd w:val="0"/>
                    <w:snapToGrid w:val="0"/>
                    <w:spacing w:line="240" w:lineRule="auto"/>
                    <w:jc w:val="center"/>
                    <w:rPr>
                      <w:rFonts w:hint="eastAsia"/>
                      <w:color w:val="auto"/>
                      <w:highlight w:val="none"/>
                      <w:vertAlign w:val="baseline"/>
                      <w:lang w:val="en-US" w:eastAsia="zh-CN"/>
                    </w:rPr>
                  </w:pPr>
                  <w:r>
                    <w:rPr>
                      <w:rFonts w:hint="eastAsia" w:ascii="Times New Roman" w:hAnsi="Times New Roman" w:eastAsia="宋体" w:cs="Times New Roman"/>
                      <w:b w:val="0"/>
                      <w:bCs w:val="0"/>
                      <w:color w:val="auto"/>
                      <w:kern w:val="2"/>
                      <w:sz w:val="21"/>
                      <w:szCs w:val="24"/>
                      <w:highlight w:val="none"/>
                      <w:lang w:val="en-US" w:eastAsia="zh-CN" w:bidi="ar-SA"/>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902" w:type="dxa"/>
                  <w:vAlign w:val="center"/>
                </w:tcPr>
                <w:p>
                  <w:pPr>
                    <w:autoSpaceDE w:val="0"/>
                    <w:autoSpaceDN w:val="0"/>
                    <w:adjustRightInd w:val="0"/>
                    <w:snapToGrid w:val="0"/>
                    <w:spacing w:line="240" w:lineRule="auto"/>
                    <w:jc w:val="center"/>
                    <w:rPr>
                      <w:rFonts w:hint="default"/>
                      <w:color w:val="auto"/>
                      <w:highlight w:val="red"/>
                      <w:vertAlign w:val="baseline"/>
                      <w:lang w:val="en-US" w:eastAsia="zh-CN"/>
                    </w:rPr>
                  </w:pPr>
                  <w:r>
                    <w:rPr>
                      <w:rFonts w:hint="eastAsia" w:cs="Times New Roman"/>
                      <w:b w:val="0"/>
                      <w:bCs w:val="0"/>
                      <w:color w:val="auto"/>
                      <w:kern w:val="2"/>
                      <w:sz w:val="21"/>
                      <w:szCs w:val="24"/>
                      <w:highlight w:val="none"/>
                      <w:lang w:val="en-US" w:eastAsia="zh-CN" w:bidi="ar-SA"/>
                    </w:rPr>
                    <w:t>针对本项目产生的VOCs废气，本项目使用活性炭吸附/脱附催化燃烧装置处理，处理后经由1根15米高的排气筒排放。</w:t>
                  </w:r>
                </w:p>
              </w:tc>
              <w:tc>
                <w:tcPr>
                  <w:tcW w:w="964" w:type="dxa"/>
                  <w:vAlign w:val="center"/>
                </w:tcPr>
                <w:p>
                  <w:pPr>
                    <w:autoSpaceDE w:val="0"/>
                    <w:autoSpaceDN w:val="0"/>
                    <w:adjustRightInd w:val="0"/>
                    <w:snapToGrid w:val="0"/>
                    <w:spacing w:line="240" w:lineRule="auto"/>
                    <w:jc w:val="center"/>
                    <w:rPr>
                      <w:rFonts w:hint="eastAsia"/>
                      <w:color w:val="auto"/>
                      <w:highlight w:val="none"/>
                      <w:vertAlign w:val="baseline"/>
                      <w:lang w:val="en-US" w:eastAsia="zh-CN"/>
                    </w:rPr>
                  </w:pPr>
                  <w:r>
                    <w:rPr>
                      <w:rFonts w:hint="eastAsia"/>
                      <w:color w:val="auto"/>
                      <w:highlight w:val="none"/>
                      <w:vertAlign w:val="baseline"/>
                      <w:lang w:val="en-US" w:eastAsia="zh-CN"/>
                    </w:rPr>
                    <w:t>相符</w:t>
                  </w:r>
                </w:p>
              </w:tc>
            </w:tr>
          </w:tbl>
          <w:p>
            <w:pPr>
              <w:pStyle w:val="117"/>
              <w:keepNext w:val="0"/>
              <w:keepLines w:val="0"/>
              <w:pageBreakBefore w:val="0"/>
              <w:widowControl w:val="0"/>
              <w:kinsoku/>
              <w:wordWrap/>
              <w:overflowPunct/>
              <w:topLinePunct w:val="0"/>
              <w:autoSpaceDE/>
              <w:autoSpaceDN/>
              <w:bidi w:val="0"/>
              <w:adjustRightInd/>
              <w:snapToGrid/>
              <w:spacing w:before="313" w:beforeLines="100"/>
              <w:ind w:left="479" w:leftChars="228" w:firstLine="0" w:firstLineChars="0"/>
              <w:textAlignment w:val="auto"/>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7、</w:t>
            </w:r>
            <w:r>
              <w:rPr>
                <w:rFonts w:hint="eastAsia" w:ascii="宋体" w:hAnsi="宋体" w:eastAsia="宋体" w:cs="宋体"/>
                <w:color w:val="auto"/>
                <w:kern w:val="2"/>
                <w:sz w:val="24"/>
                <w:szCs w:val="24"/>
                <w:lang w:val="en-US" w:eastAsia="zh-CN" w:bidi="ar-SA"/>
              </w:rPr>
              <w:t>与淮北市《VOCs环境整治专项行动方案》的相符性分析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rPr>
            </w:pPr>
            <w:r>
              <w:rPr>
                <w:rFonts w:hint="eastAsia" w:ascii="宋体" w:hAnsi="宋体" w:cs="宋体"/>
                <w:color w:val="auto"/>
                <w:sz w:val="24"/>
                <w:szCs w:val="24"/>
              </w:rPr>
              <w:t>2019年2月，淮北市环境保护局发布了《VOCs环境整治专项行动方案》，本项目与之相符性对照情况如下表所示：</w:t>
            </w:r>
          </w:p>
          <w:p>
            <w:pPr>
              <w:adjustRightInd w:val="0"/>
              <w:snapToGrid w:val="0"/>
              <w:spacing w:line="360" w:lineRule="auto"/>
              <w:jc w:val="center"/>
              <w:rPr>
                <w:rFonts w:hint="eastAsia" w:ascii="宋体" w:hAnsi="宋体" w:cs="宋体"/>
                <w:color w:val="auto"/>
                <w:sz w:val="22"/>
                <w:szCs w:val="22"/>
              </w:rPr>
            </w:pPr>
            <w:r>
              <w:rPr>
                <w:rFonts w:hint="eastAsia" w:ascii="宋体" w:hAnsi="宋体" w:cs="宋体"/>
                <w:color w:val="auto"/>
                <w:sz w:val="22"/>
                <w:szCs w:val="22"/>
              </w:rPr>
              <w:t>表1-</w:t>
            </w:r>
            <w:r>
              <w:rPr>
                <w:rFonts w:hint="eastAsia" w:ascii="宋体" w:hAnsi="宋体" w:cs="宋体"/>
                <w:color w:val="auto"/>
                <w:sz w:val="22"/>
                <w:szCs w:val="22"/>
                <w:lang w:val="en-US" w:eastAsia="zh-CN"/>
              </w:rPr>
              <w:t>10</w:t>
            </w:r>
            <w:r>
              <w:rPr>
                <w:rFonts w:hint="eastAsia" w:ascii="宋体" w:hAnsi="宋体" w:cs="宋体"/>
                <w:color w:val="auto"/>
                <w:sz w:val="22"/>
                <w:szCs w:val="22"/>
              </w:rPr>
              <w:t xml:space="preserve"> 与《VOCs环境整治专项行动方案》相符性一览表</w:t>
            </w:r>
          </w:p>
          <w:tbl>
            <w:tblPr>
              <w:tblStyle w:val="36"/>
              <w:tblW w:w="765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630"/>
              <w:gridCol w:w="2051"/>
              <w:gridCol w:w="97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7" w:hRule="atLeast"/>
                <w:jc w:val="center"/>
              </w:trPr>
              <w:tc>
                <w:tcPr>
                  <w:tcW w:w="4630" w:type="dxa"/>
                  <w:tcBorders>
                    <w:bottom w:val="single" w:color="auto" w:sz="4" w:space="0"/>
                    <w:right w:val="single" w:color="auto" w:sz="4" w:space="0"/>
                  </w:tcBorders>
                  <w:noWrap w:val="0"/>
                  <w:vAlign w:val="center"/>
                </w:tcPr>
                <w:p>
                  <w:pPr>
                    <w:adjustRightInd w:val="0"/>
                    <w:snapToGrid w:val="0"/>
                    <w:jc w:val="center"/>
                    <w:rPr>
                      <w:rFonts w:hint="eastAsia" w:ascii="宋体" w:hAnsi="宋体" w:cs="宋体"/>
                      <w:color w:val="auto"/>
                      <w:sz w:val="22"/>
                      <w:szCs w:val="22"/>
                    </w:rPr>
                  </w:pPr>
                  <w:r>
                    <w:rPr>
                      <w:rFonts w:hint="eastAsia" w:ascii="宋体" w:hAnsi="宋体" w:cs="宋体"/>
                      <w:color w:val="auto"/>
                      <w:sz w:val="22"/>
                      <w:szCs w:val="22"/>
                    </w:rPr>
                    <w:t>行动方案要求</w:t>
                  </w:r>
                </w:p>
              </w:tc>
              <w:tc>
                <w:tcPr>
                  <w:tcW w:w="2051" w:type="dxa"/>
                  <w:tcBorders>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s="宋体"/>
                      <w:color w:val="auto"/>
                      <w:sz w:val="22"/>
                      <w:szCs w:val="22"/>
                    </w:rPr>
                  </w:pPr>
                  <w:r>
                    <w:rPr>
                      <w:rFonts w:hint="eastAsia" w:ascii="宋体" w:hAnsi="宋体" w:cs="宋体"/>
                      <w:color w:val="auto"/>
                      <w:sz w:val="22"/>
                      <w:szCs w:val="22"/>
                    </w:rPr>
                    <w:t>本项目情况</w:t>
                  </w:r>
                </w:p>
              </w:tc>
              <w:tc>
                <w:tcPr>
                  <w:tcW w:w="978" w:type="dxa"/>
                  <w:tcBorders>
                    <w:left w:val="single" w:color="auto" w:sz="4" w:space="0"/>
                    <w:bottom w:val="single" w:color="auto" w:sz="4" w:space="0"/>
                  </w:tcBorders>
                  <w:noWrap w:val="0"/>
                  <w:vAlign w:val="center"/>
                </w:tcPr>
                <w:p>
                  <w:pPr>
                    <w:adjustRightInd w:val="0"/>
                    <w:snapToGrid w:val="0"/>
                    <w:jc w:val="center"/>
                    <w:rPr>
                      <w:rFonts w:hint="eastAsia" w:ascii="宋体" w:hAnsi="宋体" w:cs="宋体"/>
                      <w:color w:val="auto"/>
                      <w:sz w:val="22"/>
                      <w:szCs w:val="22"/>
                    </w:rPr>
                  </w:pPr>
                  <w:r>
                    <w:rPr>
                      <w:rFonts w:hint="eastAsia" w:ascii="宋体" w:hAnsi="宋体" w:cs="宋体"/>
                      <w:color w:val="auto"/>
                      <w:sz w:val="22"/>
                      <w:szCs w:val="22"/>
                    </w:rPr>
                    <w:t>相符性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43" w:hRule="atLeast"/>
                <w:jc w:val="center"/>
              </w:trPr>
              <w:tc>
                <w:tcPr>
                  <w:tcW w:w="4630" w:type="dxa"/>
                  <w:tcBorders>
                    <w:top w:val="single" w:color="auto" w:sz="4" w:space="0"/>
                    <w:bottom w:val="single" w:color="auto" w:sz="4" w:space="0"/>
                    <w:right w:val="single" w:color="auto" w:sz="4" w:space="0"/>
                  </w:tcBorders>
                  <w:noWrap w:val="0"/>
                  <w:vAlign w:val="center"/>
                </w:tcPr>
                <w:p>
                  <w:pPr>
                    <w:rPr>
                      <w:rFonts w:hint="default" w:ascii="宋体" w:hAnsi="宋体" w:eastAsia="宋体" w:cs="宋体"/>
                      <w:color w:val="auto"/>
                      <w:kern w:val="24"/>
                      <w:szCs w:val="21"/>
                      <w:lang w:val="en-US" w:eastAsia="zh-CN"/>
                    </w:rPr>
                  </w:pPr>
                  <w:r>
                    <w:rPr>
                      <w:rFonts w:hint="eastAsia" w:ascii="宋体" w:hAnsi="宋体" w:eastAsia="宋体" w:cs="宋体"/>
                      <w:color w:val="auto"/>
                      <w:kern w:val="24"/>
                      <w:szCs w:val="21"/>
                    </w:rPr>
                    <w:t>鼓励企业采用多种适用技术组合工艺，提高VOCs治理效率；低温等离子体技术、光催化技术仅适用于处理低浓度有机废气或臭气;采用活性炭吸附技术应配备脱附工艺或定期更换活性炭</w:t>
                  </w:r>
                  <w:r>
                    <w:rPr>
                      <w:rFonts w:hint="eastAsia" w:ascii="宋体" w:hAnsi="宋体" w:cs="宋体"/>
                      <w:color w:val="auto"/>
                      <w:kern w:val="24"/>
                      <w:szCs w:val="21"/>
                      <w:lang w:val="en-US" w:eastAsia="zh-CN"/>
                    </w:rPr>
                    <w:t xml:space="preserve">     </w:t>
                  </w:r>
                </w:p>
              </w:tc>
              <w:tc>
                <w:tcPr>
                  <w:tcW w:w="20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4"/>
                      <w:szCs w:val="21"/>
                      <w:highlight w:val="none"/>
                      <w:lang w:eastAsia="zh-CN"/>
                    </w:rPr>
                  </w:pPr>
                  <w:r>
                    <w:rPr>
                      <w:rFonts w:hint="eastAsia" w:ascii="宋体" w:hAnsi="宋体" w:eastAsia="宋体" w:cs="宋体"/>
                      <w:color w:val="auto"/>
                      <w:kern w:val="24"/>
                      <w:szCs w:val="21"/>
                      <w:highlight w:val="none"/>
                    </w:rPr>
                    <w:t>本项目有机废气采用</w:t>
                  </w:r>
                  <w:r>
                    <w:rPr>
                      <w:rFonts w:hint="eastAsia" w:ascii="宋体" w:hAnsi="宋体" w:cs="宋体"/>
                      <w:color w:val="auto"/>
                      <w:kern w:val="24"/>
                      <w:szCs w:val="21"/>
                      <w:highlight w:val="none"/>
                      <w:lang w:eastAsia="zh-CN"/>
                    </w:rPr>
                    <w:t>活性炭吸附/脱附催化燃烧装置处理</w:t>
                  </w:r>
                </w:p>
              </w:tc>
              <w:tc>
                <w:tcPr>
                  <w:tcW w:w="978" w:type="dxa"/>
                  <w:tcBorders>
                    <w:top w:val="single" w:color="auto" w:sz="4" w:space="0"/>
                    <w:left w:val="single" w:color="auto" w:sz="4" w:space="0"/>
                    <w:bottom w:val="single" w:color="auto" w:sz="4" w:space="0"/>
                  </w:tcBorders>
                  <w:noWrap w:val="0"/>
                  <w:vAlign w:val="center"/>
                </w:tcPr>
                <w:p>
                  <w:pPr>
                    <w:jc w:val="center"/>
                    <w:rPr>
                      <w:rFonts w:hint="eastAsia" w:ascii="宋体" w:hAnsi="宋体" w:eastAsia="宋体" w:cs="宋体"/>
                      <w:color w:val="auto"/>
                      <w:kern w:val="24"/>
                      <w:szCs w:val="21"/>
                    </w:rPr>
                  </w:pPr>
                  <w:r>
                    <w:rPr>
                      <w:rFonts w:hint="eastAsia" w:ascii="宋体" w:hAnsi="宋体" w:eastAsia="宋体" w:cs="宋体"/>
                      <w:color w:val="auto"/>
                      <w:kern w:val="24"/>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4630" w:type="dxa"/>
                  <w:tcBorders>
                    <w:top w:val="single" w:color="auto" w:sz="4" w:space="0"/>
                    <w:bottom w:val="single" w:color="auto" w:sz="4" w:space="0"/>
                    <w:right w:val="single" w:color="auto" w:sz="4" w:space="0"/>
                  </w:tcBorders>
                  <w:noWrap w:val="0"/>
                  <w:vAlign w:val="center"/>
                </w:tcPr>
                <w:p>
                  <w:pPr>
                    <w:rPr>
                      <w:rFonts w:hint="eastAsia" w:ascii="宋体" w:hAnsi="宋体" w:eastAsia="宋体" w:cs="宋体"/>
                      <w:color w:val="auto"/>
                      <w:kern w:val="24"/>
                      <w:szCs w:val="21"/>
                    </w:rPr>
                  </w:pPr>
                  <w:r>
                    <w:rPr>
                      <w:rFonts w:hint="eastAsia" w:ascii="宋体" w:hAnsi="宋体" w:eastAsia="宋体" w:cs="宋体"/>
                      <w:color w:val="auto"/>
                      <w:kern w:val="24"/>
                      <w:szCs w:val="21"/>
                    </w:rPr>
                    <w:t>禁止（改、扩）建涉高VOCs含量溶剂型涂料、油墨、胶黏剂等生产和使用的项目</w:t>
                  </w:r>
                </w:p>
              </w:tc>
              <w:tc>
                <w:tcPr>
                  <w:tcW w:w="20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4"/>
                      <w:szCs w:val="21"/>
                      <w:highlight w:val="none"/>
                      <w:lang w:eastAsia="zh-CN"/>
                    </w:rPr>
                  </w:pPr>
                  <w:r>
                    <w:rPr>
                      <w:rFonts w:hint="eastAsia" w:ascii="宋体" w:hAnsi="宋体" w:eastAsia="宋体" w:cs="宋体"/>
                      <w:color w:val="auto"/>
                      <w:kern w:val="24"/>
                      <w:szCs w:val="21"/>
                      <w:highlight w:val="none"/>
                    </w:rPr>
                    <w:t>本项目</w:t>
                  </w:r>
                  <w:r>
                    <w:rPr>
                      <w:rFonts w:hint="eastAsia" w:ascii="宋体" w:hAnsi="宋体" w:cs="宋体"/>
                      <w:color w:val="auto"/>
                      <w:kern w:val="24"/>
                      <w:szCs w:val="21"/>
                      <w:highlight w:val="none"/>
                      <w:lang w:val="en-US" w:eastAsia="zh-CN"/>
                    </w:rPr>
                    <w:t>不涉及</w:t>
                  </w:r>
                </w:p>
              </w:tc>
              <w:tc>
                <w:tcPr>
                  <w:tcW w:w="978" w:type="dxa"/>
                  <w:tcBorders>
                    <w:top w:val="single" w:color="auto" w:sz="4" w:space="0"/>
                    <w:left w:val="single" w:color="auto" w:sz="4" w:space="0"/>
                    <w:bottom w:val="single" w:color="auto" w:sz="4" w:space="0"/>
                  </w:tcBorders>
                  <w:noWrap w:val="0"/>
                  <w:vAlign w:val="center"/>
                </w:tcPr>
                <w:p>
                  <w:pPr>
                    <w:jc w:val="center"/>
                    <w:rPr>
                      <w:rFonts w:hint="eastAsia" w:ascii="宋体" w:hAnsi="宋体" w:eastAsia="宋体" w:cs="宋体"/>
                      <w:color w:val="auto"/>
                      <w:kern w:val="24"/>
                      <w:szCs w:val="21"/>
                    </w:rPr>
                  </w:pPr>
                  <w:r>
                    <w:rPr>
                      <w:rFonts w:hint="eastAsia" w:ascii="宋体" w:hAnsi="宋体" w:eastAsia="宋体" w:cs="宋体"/>
                      <w:color w:val="auto"/>
                      <w:kern w:val="24"/>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22" w:hRule="atLeast"/>
                <w:jc w:val="center"/>
              </w:trPr>
              <w:tc>
                <w:tcPr>
                  <w:tcW w:w="4630" w:type="dxa"/>
                  <w:tcBorders>
                    <w:top w:val="single" w:color="auto" w:sz="4" w:space="0"/>
                    <w:right w:val="single" w:color="auto" w:sz="4" w:space="0"/>
                  </w:tcBorders>
                  <w:noWrap w:val="0"/>
                  <w:vAlign w:val="center"/>
                </w:tcPr>
                <w:p>
                  <w:pPr>
                    <w:rPr>
                      <w:rFonts w:hint="eastAsia" w:ascii="宋体" w:hAnsi="宋体" w:eastAsia="宋体" w:cs="宋体"/>
                      <w:color w:val="auto"/>
                      <w:kern w:val="24"/>
                      <w:szCs w:val="21"/>
                    </w:rPr>
                  </w:pPr>
                  <w:r>
                    <w:rPr>
                      <w:rFonts w:hint="eastAsia" w:ascii="宋体" w:hAnsi="宋体" w:eastAsia="宋体" w:cs="宋体"/>
                      <w:color w:val="auto"/>
                      <w:kern w:val="24"/>
                      <w:szCs w:val="21"/>
                    </w:rPr>
                    <w:t>积极推进工业、建筑、汽修等行业使用低（无）VOCs含量原辅材料和产品。汽车原厂涂料、木器涂料、工程机械涂料、工业防腐涂料即用状态下的VOCs含量限值分别不高于580、600、550、550克/升；汽车修补漆全部使用即用状态下VOCs含量不高于540克/升的涂料，其中，底色漆和面漆不高于420克/升</w:t>
                  </w:r>
                </w:p>
              </w:tc>
              <w:tc>
                <w:tcPr>
                  <w:tcW w:w="2051" w:type="dxa"/>
                  <w:tcBorders>
                    <w:top w:val="single" w:color="auto" w:sz="4" w:space="0"/>
                    <w:left w:val="single" w:color="auto" w:sz="4" w:space="0"/>
                    <w:right w:val="single" w:color="auto" w:sz="4" w:space="0"/>
                  </w:tcBorders>
                  <w:noWrap w:val="0"/>
                  <w:vAlign w:val="center"/>
                </w:tcPr>
                <w:p>
                  <w:pPr>
                    <w:jc w:val="center"/>
                    <w:rPr>
                      <w:rFonts w:hint="eastAsia" w:ascii="宋体" w:hAnsi="宋体" w:eastAsia="宋体" w:cs="宋体"/>
                      <w:color w:val="auto"/>
                      <w:kern w:val="24"/>
                      <w:szCs w:val="21"/>
                      <w:highlight w:val="none"/>
                    </w:rPr>
                  </w:pPr>
                  <w:r>
                    <w:rPr>
                      <w:rFonts w:hint="eastAsia" w:ascii="宋体" w:hAnsi="宋体" w:eastAsia="宋体" w:cs="宋体"/>
                      <w:color w:val="auto"/>
                      <w:kern w:val="24"/>
                      <w:szCs w:val="21"/>
                      <w:highlight w:val="none"/>
                    </w:rPr>
                    <w:t>本项目</w:t>
                  </w:r>
                  <w:r>
                    <w:rPr>
                      <w:rFonts w:hint="eastAsia" w:ascii="宋体" w:hAnsi="宋体" w:cs="宋体"/>
                      <w:color w:val="auto"/>
                      <w:kern w:val="24"/>
                      <w:szCs w:val="21"/>
                      <w:highlight w:val="none"/>
                      <w:lang w:val="en-US" w:eastAsia="zh-CN"/>
                    </w:rPr>
                    <w:t>不涉及</w:t>
                  </w:r>
                </w:p>
              </w:tc>
              <w:tc>
                <w:tcPr>
                  <w:tcW w:w="978" w:type="dxa"/>
                  <w:tcBorders>
                    <w:top w:val="single" w:color="auto" w:sz="4" w:space="0"/>
                    <w:left w:val="single" w:color="auto" w:sz="4" w:space="0"/>
                  </w:tcBorders>
                  <w:noWrap w:val="0"/>
                  <w:vAlign w:val="center"/>
                </w:tcPr>
                <w:p>
                  <w:pPr>
                    <w:jc w:val="center"/>
                    <w:rPr>
                      <w:rFonts w:hint="eastAsia" w:ascii="宋体" w:hAnsi="宋体" w:eastAsia="宋体" w:cs="宋体"/>
                      <w:color w:val="auto"/>
                      <w:kern w:val="24"/>
                      <w:szCs w:val="21"/>
                    </w:rPr>
                  </w:pPr>
                  <w:r>
                    <w:rPr>
                      <w:rFonts w:hint="eastAsia" w:ascii="宋体" w:hAnsi="宋体" w:eastAsia="宋体" w:cs="宋体"/>
                      <w:color w:val="auto"/>
                      <w:kern w:val="24"/>
                      <w:szCs w:val="21"/>
                    </w:rPr>
                    <w:t>符合</w:t>
                  </w:r>
                </w:p>
              </w:tc>
            </w:tr>
          </w:tbl>
          <w:p>
            <w:pPr>
              <w:pStyle w:val="44"/>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313" w:beforeLines="100" w:beforeAutospacing="0" w:after="0" w:afterAutospacing="0" w:line="360" w:lineRule="auto"/>
              <w:ind w:left="0" w:leftChars="0" w:right="0" w:rightChars="0" w:firstLine="480" w:firstLineChars="200"/>
              <w:textAlignment w:val="auto"/>
              <w:rPr>
                <w:rFonts w:hint="default" w:ascii="Times New Roman" w:hAnsi="Times New Roman" w:cs="Times New Roman"/>
                <w:b w:val="0"/>
                <w:bCs/>
                <w:color w:val="auto"/>
                <w:kern w:val="44"/>
                <w:lang w:val="en-US" w:eastAsia="zh-CN"/>
              </w:rPr>
            </w:pPr>
            <w:r>
              <w:rPr>
                <w:rFonts w:hint="eastAsia" w:ascii="宋体" w:hAnsi="宋体" w:cs="宋体"/>
                <w:b w:val="0"/>
                <w:bCs/>
                <w:color w:val="auto"/>
                <w:sz w:val="24"/>
                <w:szCs w:val="24"/>
                <w:lang w:val="en-US" w:eastAsia="zh-CN"/>
              </w:rPr>
              <w:t>8</w:t>
            </w:r>
            <w:r>
              <w:rPr>
                <w:rFonts w:hint="eastAsia" w:ascii="宋体" w:hAnsi="宋体" w:cs="宋体"/>
                <w:b w:val="0"/>
                <w:bCs/>
                <w:color w:val="auto"/>
                <w:sz w:val="24"/>
                <w:szCs w:val="24"/>
              </w:rPr>
              <w:t>、</w:t>
            </w:r>
            <w:r>
              <w:rPr>
                <w:rFonts w:hint="default" w:ascii="Times New Roman" w:hAnsi="Times New Roman" w:cs="Times New Roman"/>
                <w:b w:val="0"/>
                <w:bCs/>
                <w:color w:val="auto"/>
                <w:kern w:val="44"/>
                <w:lang w:val="en-US" w:eastAsia="zh-CN"/>
              </w:rPr>
              <w:t>与《淮北市生态环境保护“十四五”规划》（2022年1月）相符性分析</w:t>
            </w:r>
          </w:p>
          <w:p>
            <w:pPr>
              <w:adjustRightInd w:val="0"/>
              <w:snapToGrid w:val="0"/>
              <w:spacing w:line="360" w:lineRule="auto"/>
              <w:jc w:val="center"/>
              <w:rPr>
                <w:rFonts w:hint="eastAsia" w:ascii="宋体" w:hAnsi="宋体" w:cs="宋体"/>
                <w:color w:val="auto"/>
                <w:sz w:val="22"/>
                <w:szCs w:val="22"/>
                <w:lang w:val="en-US" w:eastAsia="zh-CN"/>
              </w:rPr>
            </w:pPr>
            <w:r>
              <w:rPr>
                <w:rFonts w:hint="default" w:ascii="宋体" w:hAnsi="宋体" w:cs="宋体"/>
                <w:color w:val="auto"/>
                <w:sz w:val="22"/>
                <w:szCs w:val="22"/>
              </w:rPr>
              <w:t>表1-</w:t>
            </w:r>
            <w:r>
              <w:rPr>
                <w:rFonts w:hint="eastAsia" w:ascii="宋体" w:hAnsi="宋体" w:cs="宋体"/>
                <w:color w:val="auto"/>
                <w:sz w:val="22"/>
                <w:szCs w:val="22"/>
                <w:lang w:val="en-US" w:eastAsia="zh-CN"/>
              </w:rPr>
              <w:t>11</w:t>
            </w:r>
            <w:r>
              <w:rPr>
                <w:rFonts w:hint="default" w:ascii="宋体" w:hAnsi="宋体" w:cs="宋体"/>
                <w:color w:val="auto"/>
                <w:sz w:val="22"/>
                <w:szCs w:val="22"/>
              </w:rPr>
              <w:t xml:space="preserve">  </w:t>
            </w:r>
            <w:r>
              <w:rPr>
                <w:rFonts w:hint="eastAsia" w:ascii="宋体" w:hAnsi="宋体" w:cs="宋体"/>
                <w:color w:val="auto"/>
                <w:sz w:val="22"/>
                <w:szCs w:val="22"/>
                <w:lang w:val="en-US" w:eastAsia="zh-CN"/>
              </w:rPr>
              <w:t>与</w:t>
            </w:r>
            <w:r>
              <w:rPr>
                <w:rFonts w:hint="eastAsia" w:ascii="宋体" w:hAnsi="宋体" w:cs="宋体"/>
                <w:color w:val="auto"/>
                <w:sz w:val="22"/>
                <w:szCs w:val="22"/>
              </w:rPr>
              <w:t>《</w:t>
            </w:r>
            <w:r>
              <w:rPr>
                <w:rFonts w:hint="eastAsia" w:ascii="宋体" w:hAnsi="宋体" w:cs="宋体"/>
                <w:color w:val="auto"/>
                <w:sz w:val="22"/>
                <w:szCs w:val="22"/>
                <w:lang w:val="en-US" w:eastAsia="zh-CN"/>
              </w:rPr>
              <w:t>淮北市生态环境保护“十四五”规划</w:t>
            </w:r>
            <w:r>
              <w:rPr>
                <w:rFonts w:hint="eastAsia" w:ascii="宋体" w:hAnsi="宋体" w:cs="宋体"/>
                <w:color w:val="auto"/>
                <w:sz w:val="22"/>
                <w:szCs w:val="22"/>
              </w:rPr>
              <w:t>》</w:t>
            </w:r>
            <w:r>
              <w:rPr>
                <w:rFonts w:hint="eastAsia" w:ascii="宋体" w:hAnsi="宋体" w:cs="宋体"/>
                <w:color w:val="auto"/>
                <w:sz w:val="22"/>
                <w:szCs w:val="22"/>
                <w:lang w:eastAsia="zh-CN"/>
              </w:rPr>
              <w:t>相符性分析</w:t>
            </w:r>
          </w:p>
          <w:tbl>
            <w:tblPr>
              <w:tblStyle w:val="37"/>
              <w:tblW w:w="7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249"/>
              <w:gridCol w:w="2008"/>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676" w:type="dxa"/>
                  <w:noWrap w:val="0"/>
                  <w:vAlign w:val="center"/>
                </w:tcPr>
                <w:p>
                  <w:pPr>
                    <w:jc w:val="center"/>
                    <w:rPr>
                      <w:rFonts w:hint="default" w:ascii="宋体" w:hAnsi="宋体" w:eastAsia="宋体" w:cs="宋体"/>
                      <w:color w:val="auto"/>
                      <w:kern w:val="24"/>
                      <w:szCs w:val="21"/>
                    </w:rPr>
                  </w:pPr>
                  <w:r>
                    <w:rPr>
                      <w:rFonts w:hint="eastAsia" w:ascii="宋体" w:hAnsi="宋体" w:eastAsia="宋体" w:cs="宋体"/>
                      <w:color w:val="auto"/>
                      <w:kern w:val="24"/>
                      <w:szCs w:val="21"/>
                    </w:rPr>
                    <w:t>序号</w:t>
                  </w:r>
                </w:p>
              </w:tc>
              <w:tc>
                <w:tcPr>
                  <w:tcW w:w="4249" w:type="dxa"/>
                  <w:noWrap w:val="0"/>
                  <w:vAlign w:val="center"/>
                </w:tcPr>
                <w:p>
                  <w:pPr>
                    <w:jc w:val="center"/>
                    <w:rPr>
                      <w:rFonts w:hint="default" w:ascii="宋体" w:hAnsi="宋体" w:eastAsia="宋体" w:cs="宋体"/>
                      <w:color w:val="auto"/>
                      <w:kern w:val="24"/>
                      <w:szCs w:val="21"/>
                      <w:lang w:val="en-US" w:eastAsia="zh-CN"/>
                    </w:rPr>
                  </w:pPr>
                  <w:r>
                    <w:rPr>
                      <w:rFonts w:hint="eastAsia" w:ascii="宋体" w:hAnsi="宋体" w:eastAsia="宋体" w:cs="宋体"/>
                      <w:color w:val="auto"/>
                      <w:kern w:val="24"/>
                      <w:szCs w:val="21"/>
                      <w:lang w:val="en-US" w:eastAsia="zh-CN"/>
                    </w:rPr>
                    <w:t>规划要求</w:t>
                  </w:r>
                </w:p>
              </w:tc>
              <w:tc>
                <w:tcPr>
                  <w:tcW w:w="2008" w:type="dxa"/>
                  <w:noWrap w:val="0"/>
                  <w:vAlign w:val="center"/>
                </w:tcPr>
                <w:p>
                  <w:pPr>
                    <w:jc w:val="center"/>
                    <w:rPr>
                      <w:rFonts w:hint="default" w:ascii="宋体" w:hAnsi="宋体" w:eastAsia="宋体" w:cs="宋体"/>
                      <w:color w:val="auto"/>
                      <w:kern w:val="24"/>
                      <w:szCs w:val="21"/>
                      <w:lang w:val="en-US" w:eastAsia="zh-CN"/>
                    </w:rPr>
                  </w:pPr>
                  <w:r>
                    <w:rPr>
                      <w:rFonts w:hint="eastAsia" w:ascii="宋体" w:hAnsi="宋体" w:eastAsia="宋体" w:cs="宋体"/>
                      <w:color w:val="auto"/>
                      <w:kern w:val="24"/>
                      <w:szCs w:val="21"/>
                      <w:lang w:val="en-US" w:eastAsia="zh-CN"/>
                    </w:rPr>
                    <w:t>本项目情况</w:t>
                  </w:r>
                </w:p>
              </w:tc>
              <w:tc>
                <w:tcPr>
                  <w:tcW w:w="725" w:type="dxa"/>
                  <w:noWrap w:val="0"/>
                  <w:vAlign w:val="center"/>
                </w:tcPr>
                <w:p>
                  <w:pPr>
                    <w:jc w:val="center"/>
                    <w:rPr>
                      <w:rFonts w:hint="eastAsia" w:ascii="宋体" w:hAnsi="宋体" w:eastAsia="宋体" w:cs="宋体"/>
                      <w:color w:val="auto"/>
                      <w:kern w:val="24"/>
                      <w:szCs w:val="21"/>
                      <w:lang w:eastAsia="zh-CN"/>
                    </w:rPr>
                  </w:pPr>
                  <w:r>
                    <w:rPr>
                      <w:rFonts w:hint="eastAsia" w:ascii="宋体" w:hAnsi="宋体" w:cs="宋体"/>
                      <w:color w:val="auto"/>
                      <w:sz w:val="22"/>
                      <w:szCs w:val="22"/>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658" w:type="dxa"/>
                  <w:gridSpan w:val="4"/>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2.完善环境风险防控管理体系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1" w:hRule="atLeast"/>
              </w:trPr>
              <w:tc>
                <w:tcPr>
                  <w:tcW w:w="676" w:type="dxa"/>
                  <w:noWrap w:val="0"/>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color w:val="auto"/>
                      <w:kern w:val="24"/>
                      <w:sz w:val="21"/>
                      <w:szCs w:val="21"/>
                      <w:lang w:val="en-US" w:eastAsia="zh-CN" w:bidi="ar-SA"/>
                    </w:rPr>
                  </w:pPr>
                  <w:r>
                    <w:rPr>
                      <w:rFonts w:hint="default" w:ascii="宋体" w:hAnsi="宋体" w:eastAsia="宋体" w:cs="宋体"/>
                      <w:color w:val="auto"/>
                      <w:kern w:val="24"/>
                      <w:sz w:val="21"/>
                      <w:szCs w:val="21"/>
                      <w:lang w:val="en-US" w:eastAsia="zh-CN" w:bidi="ar-SA"/>
                    </w:rPr>
                    <w:t>1</w:t>
                  </w:r>
                </w:p>
              </w:tc>
              <w:tc>
                <w:tcPr>
                  <w:tcW w:w="4249" w:type="dxa"/>
                  <w:noWrap w:val="0"/>
                  <w:vAlign w:val="center"/>
                </w:tcPr>
                <w:p>
                  <w:pPr>
                    <w:pStyle w:val="10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firstLine="0" w:firstLineChars="0"/>
                    <w:jc w:val="left"/>
                    <w:textAlignment w:val="auto"/>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推进风险全过程监管。强化企业环境风险主体责任，督促企业开展环境风险隐患排查并建立档案。抓好重点行业企业和重点区域的环境风险评估工作，实施环境风险分级管理，持续推进企业、</w:t>
                  </w:r>
                </w:p>
                <w:p>
                  <w:pPr>
                    <w:pStyle w:val="10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firstLine="0" w:firstLineChars="0"/>
                    <w:jc w:val="left"/>
                    <w:textAlignment w:val="auto"/>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园区、行政区域的三级防控体系。建立企业突发环境事件报告与应急处理制度、特征污染物监测报告等制度，探索建立建设项目验收与企业环境应急预案备案的联动机制，推广“标杆式”、 “卡片式”预案管理模式。严格源头防控、深化过程监管，严厉打击污染治理设施不规范、不运行、偷排、漏排等行为，强化责任追究，将环境风险防范纳入到日常环境管理。</w:t>
                  </w:r>
                </w:p>
              </w:tc>
              <w:tc>
                <w:tcPr>
                  <w:tcW w:w="20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color w:val="auto"/>
                      <w:kern w:val="24"/>
                      <w:sz w:val="21"/>
                      <w:szCs w:val="21"/>
                      <w:lang w:val="en-US" w:eastAsia="zh-CN" w:bidi="ar-SA"/>
                    </w:rPr>
                  </w:pPr>
                  <w:r>
                    <w:rPr>
                      <w:rFonts w:hint="default" w:ascii="宋体" w:hAnsi="宋体" w:eastAsia="宋体" w:cs="宋体"/>
                      <w:color w:val="auto"/>
                      <w:kern w:val="24"/>
                      <w:sz w:val="21"/>
                      <w:szCs w:val="21"/>
                      <w:lang w:val="en-US" w:eastAsia="zh-CN" w:bidi="ar-SA"/>
                    </w:rPr>
                    <w:t>本项目将加强厂区内的环境风险防范措施</w:t>
                  </w:r>
                  <w:r>
                    <w:rPr>
                      <w:rFonts w:hint="eastAsia" w:ascii="宋体" w:hAnsi="宋体" w:eastAsia="宋体" w:cs="宋体"/>
                      <w:color w:val="auto"/>
                      <w:kern w:val="24"/>
                      <w:sz w:val="21"/>
                      <w:szCs w:val="21"/>
                      <w:lang w:val="en-US" w:eastAsia="zh-CN" w:bidi="ar-SA"/>
                    </w:rPr>
                    <w:t>，</w:t>
                  </w:r>
                  <w:r>
                    <w:rPr>
                      <w:rFonts w:hint="default" w:ascii="宋体" w:hAnsi="宋体" w:eastAsia="宋体" w:cs="宋体"/>
                      <w:color w:val="auto"/>
                      <w:kern w:val="24"/>
                      <w:sz w:val="21"/>
                      <w:szCs w:val="21"/>
                      <w:lang w:val="en-US" w:eastAsia="zh-CN" w:bidi="ar-SA"/>
                    </w:rPr>
                    <w:t>并与园区内的突发环境风险应急预案联动</w:t>
                  </w:r>
                  <w:r>
                    <w:rPr>
                      <w:rFonts w:hint="eastAsia" w:ascii="宋体" w:hAnsi="宋体" w:eastAsia="宋体" w:cs="宋体"/>
                      <w:color w:val="auto"/>
                      <w:kern w:val="24"/>
                      <w:sz w:val="21"/>
                      <w:szCs w:val="21"/>
                      <w:lang w:val="en-US" w:eastAsia="zh-CN" w:bidi="ar-SA"/>
                    </w:rPr>
                    <w:t>。</w:t>
                  </w:r>
                </w:p>
              </w:tc>
              <w:tc>
                <w:tcPr>
                  <w:tcW w:w="725" w:type="dxa"/>
                  <w:noWrap w:val="0"/>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4" w:hRule="atLeast"/>
              </w:trPr>
              <w:tc>
                <w:tcPr>
                  <w:tcW w:w="676" w:type="dxa"/>
                  <w:noWrap w:val="0"/>
                  <w:vAlign w:val="center"/>
                </w:tcPr>
                <w:p>
                  <w:pPr>
                    <w:rPr>
                      <w:rFonts w:hint="default" w:ascii="宋体" w:hAnsi="宋体" w:eastAsia="宋体" w:cs="宋体"/>
                      <w:color w:val="auto"/>
                      <w:kern w:val="24"/>
                      <w:sz w:val="21"/>
                      <w:szCs w:val="21"/>
                      <w:lang w:val="en-US" w:eastAsia="zh-CN" w:bidi="ar-SA"/>
                    </w:rPr>
                  </w:pPr>
                  <w:r>
                    <w:rPr>
                      <w:rFonts w:hint="default" w:ascii="宋体" w:hAnsi="宋体" w:eastAsia="宋体" w:cs="宋体"/>
                      <w:color w:val="auto"/>
                      <w:kern w:val="24"/>
                      <w:sz w:val="21"/>
                      <w:szCs w:val="21"/>
                      <w:lang w:val="en-US" w:eastAsia="zh-CN" w:bidi="ar-SA"/>
                    </w:rPr>
                    <w:t>2</w:t>
                  </w:r>
                </w:p>
              </w:tc>
              <w:tc>
                <w:tcPr>
                  <w:tcW w:w="4249" w:type="dxa"/>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强化应急防范处置能力。加强环境风险信息化管理，完善环境风险源、环境敏感目标、环境应急能力及环境应急预案等数据库，健全应急指挥决策支持系统，提升环境应急信息化水平。加强环境应急预案管理，强化应急演练，推进环境应急管理规范化。加强部门应急联动机制建设，完善环境应急监测设备，提高应急监测水平。提升环境应急保障能力，建立市、县(区)突发环境事件应急综合救援队伍，加强环境应急专家队伍管理，优化相关咨询机制和决策支持。加强突发环境事件环境污染损害评估、事件调查、信息发布等。</w:t>
                  </w:r>
                </w:p>
              </w:tc>
              <w:tc>
                <w:tcPr>
                  <w:tcW w:w="2008" w:type="dxa"/>
                  <w:noWrap w:val="0"/>
                  <w:vAlign w:val="center"/>
                </w:tcPr>
                <w:p>
                  <w:pPr>
                    <w:rPr>
                      <w:rFonts w:hint="default" w:ascii="宋体" w:hAnsi="宋体" w:eastAsia="宋体" w:cs="宋体"/>
                      <w:color w:val="auto"/>
                      <w:kern w:val="24"/>
                      <w:sz w:val="21"/>
                      <w:szCs w:val="21"/>
                      <w:lang w:val="en-US" w:eastAsia="zh-CN" w:bidi="ar-SA"/>
                    </w:rPr>
                  </w:pPr>
                  <w:r>
                    <w:rPr>
                      <w:rFonts w:hint="default" w:ascii="宋体" w:hAnsi="宋体" w:eastAsia="宋体" w:cs="宋体"/>
                      <w:color w:val="auto"/>
                      <w:kern w:val="24"/>
                      <w:sz w:val="21"/>
                      <w:szCs w:val="21"/>
                      <w:lang w:val="en-US" w:eastAsia="zh-CN" w:bidi="ar-SA"/>
                    </w:rPr>
                    <w:t>本项目完善环境风险源、环境敏感目标、环境应急能力及环境应急预案等数据库，</w:t>
                  </w:r>
                  <w:r>
                    <w:rPr>
                      <w:rFonts w:hint="eastAsia" w:ascii="宋体" w:hAnsi="宋体" w:eastAsia="宋体" w:cs="宋体"/>
                      <w:color w:val="auto"/>
                      <w:kern w:val="24"/>
                      <w:sz w:val="21"/>
                      <w:szCs w:val="21"/>
                      <w:lang w:val="en-US" w:eastAsia="zh-CN" w:bidi="ar-SA"/>
                    </w:rPr>
                    <w:t>且</w:t>
                  </w:r>
                  <w:r>
                    <w:rPr>
                      <w:rFonts w:hint="default" w:ascii="宋体" w:hAnsi="宋体" w:eastAsia="宋体" w:cs="宋体"/>
                      <w:color w:val="auto"/>
                      <w:kern w:val="24"/>
                      <w:sz w:val="21"/>
                      <w:szCs w:val="21"/>
                      <w:lang w:val="en-US" w:eastAsia="zh-CN" w:bidi="ar-SA"/>
                    </w:rPr>
                    <w:t>加强厂区内的环境风险防范措施</w:t>
                  </w:r>
                  <w:r>
                    <w:rPr>
                      <w:rFonts w:hint="eastAsia" w:ascii="宋体" w:hAnsi="宋体" w:eastAsia="宋体" w:cs="宋体"/>
                      <w:color w:val="auto"/>
                      <w:kern w:val="24"/>
                      <w:sz w:val="21"/>
                      <w:szCs w:val="21"/>
                      <w:lang w:val="en-US" w:eastAsia="zh-CN" w:bidi="ar-SA"/>
                    </w:rPr>
                    <w:t>，</w:t>
                  </w:r>
                  <w:r>
                    <w:rPr>
                      <w:rFonts w:hint="default" w:ascii="宋体" w:hAnsi="宋体" w:eastAsia="宋体" w:cs="宋体"/>
                      <w:color w:val="auto"/>
                      <w:kern w:val="24"/>
                      <w:sz w:val="21"/>
                      <w:szCs w:val="21"/>
                      <w:lang w:val="en-US" w:eastAsia="zh-CN" w:bidi="ar-SA"/>
                    </w:rPr>
                    <w:t>并与园区内的突发环境风险应急预案联动</w:t>
                  </w:r>
                  <w:r>
                    <w:rPr>
                      <w:rFonts w:hint="eastAsia" w:ascii="宋体" w:hAnsi="宋体" w:eastAsia="宋体" w:cs="宋体"/>
                      <w:color w:val="auto"/>
                      <w:kern w:val="24"/>
                      <w:sz w:val="21"/>
                      <w:szCs w:val="21"/>
                      <w:lang w:val="en-US" w:eastAsia="zh-CN" w:bidi="ar-SA"/>
                    </w:rPr>
                    <w:t>。</w:t>
                  </w:r>
                </w:p>
              </w:tc>
              <w:tc>
                <w:tcPr>
                  <w:tcW w:w="725" w:type="dxa"/>
                  <w:noWrap w:val="0"/>
                  <w:vAlign w:val="center"/>
                </w:tcPr>
                <w:p>
                  <w:pPr>
                    <w:rPr>
                      <w:rFonts w:hint="default"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658" w:type="dxa"/>
                  <w:gridSpan w:val="4"/>
                  <w:noWrap w:val="0"/>
                  <w:vAlign w:val="center"/>
                </w:tcPr>
                <w:p>
                  <w:pPr>
                    <w:pStyle w:val="10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firstLine="0" w:firstLineChars="0"/>
                    <w:jc w:val="left"/>
                    <w:textAlignment w:val="auto"/>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3.加强风险源管理和重点行业风险防控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676" w:type="dxa"/>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1</w:t>
                  </w:r>
                </w:p>
              </w:tc>
              <w:tc>
                <w:tcPr>
                  <w:tcW w:w="4249" w:type="dxa"/>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加强环境风险源管理。加强环境风险源分类管控，重点加强危险化学品、危险废物、含重金属、放射源等环境风险源监控。加强突出类别危险废物的安全处置，开展危险废物产生和经营单位规</w:t>
                  </w:r>
                </w:p>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范化整治。强化涉重金属风险源管理。加大日常监管力度，防范有毒有害危险品企业违法排污，降低环境风险。</w:t>
                  </w:r>
                </w:p>
              </w:tc>
              <w:tc>
                <w:tcPr>
                  <w:tcW w:w="2008" w:type="dxa"/>
                  <w:noWrap w:val="0"/>
                  <w:vAlign w:val="center"/>
                </w:tcPr>
                <w:p>
                  <w:pPr>
                    <w:jc w:val="left"/>
                    <w:rPr>
                      <w:rFonts w:hint="default"/>
                      <w:color w:val="auto"/>
                      <w:lang w:val="en-US" w:eastAsia="zh-CN"/>
                    </w:rPr>
                  </w:pPr>
                  <w:r>
                    <w:rPr>
                      <w:rFonts w:hint="eastAsia" w:ascii="宋体" w:hAnsi="宋体" w:eastAsia="宋体" w:cs="宋体"/>
                      <w:color w:val="auto"/>
                      <w:kern w:val="24"/>
                      <w:sz w:val="21"/>
                      <w:szCs w:val="21"/>
                      <w:highlight w:val="none"/>
                      <w:lang w:val="en-US" w:eastAsia="zh-CN" w:bidi="ar-SA"/>
                    </w:rPr>
                    <w:t>本项目产生的废活性炭、废催化剂、废机油、废油桶及废含油抹布集中收集后暂存于危废间，定期交由有资质单位进行处理；</w:t>
                  </w:r>
                </w:p>
              </w:tc>
              <w:tc>
                <w:tcPr>
                  <w:tcW w:w="725" w:type="dxa"/>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trPr>
              <w:tc>
                <w:tcPr>
                  <w:tcW w:w="676" w:type="dxa"/>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2</w:t>
                  </w:r>
                </w:p>
              </w:tc>
              <w:tc>
                <w:tcPr>
                  <w:tcW w:w="4249" w:type="dxa"/>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防控重点行业环境风险。加强石化、化工行业环境风险防控，全面排查危险化学品生产、运输、使用及存储全过程风险隐患，健全环境监管及风险防范制度，严厉查处环境违法行为。加强对涉重行业环境风险防控，提高金属表面处理等行业环境准入门槛和环境安全水平。加强对危废处置企业环境风险管控，强化贮存、运输、处置的环境监管。</w:t>
                  </w:r>
                </w:p>
              </w:tc>
              <w:tc>
                <w:tcPr>
                  <w:tcW w:w="2008" w:type="dxa"/>
                  <w:noWrap w:val="0"/>
                  <w:vAlign w:val="center"/>
                </w:tcPr>
                <w:p>
                  <w:pPr>
                    <w:rPr>
                      <w:rFonts w:hint="default"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本项目不属石油、化工、金属表面处理等防控重点行业。</w:t>
                  </w:r>
                </w:p>
              </w:tc>
              <w:tc>
                <w:tcPr>
                  <w:tcW w:w="725" w:type="dxa"/>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658" w:type="dxa"/>
                  <w:gridSpan w:val="4"/>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4.强化固体废物安全处理处置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6" w:hRule="atLeast"/>
              </w:trPr>
              <w:tc>
                <w:tcPr>
                  <w:tcW w:w="676" w:type="dxa"/>
                  <w:noWrap w:val="0"/>
                  <w:vAlign w:val="center"/>
                </w:tcPr>
                <w:p>
                  <w:pPr>
                    <w:rPr>
                      <w:rFonts w:hint="default"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1</w:t>
                  </w:r>
                </w:p>
              </w:tc>
              <w:tc>
                <w:tcPr>
                  <w:tcW w:w="4249" w:type="dxa"/>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推进工业固废资源化利用。开展工业园区循环化改造示范工程，推进安徽(淮北)新型煤化工合成材料基地、淮北高新技术产业开发区、濉溪经济开发区等循环经济园区示范建设，加快实施相山经济开发区、杜集经济开发区循环化改造，争创省级园区循环化改造试点。大力推进重点工业企业清洁生产，通过技术改造、降低能耗和原材料消耗，从生产工艺、装备、资源和能源使用角度提出清洁生产方案，实现工业固体废物的减量化。进一步提升主要固体废物资源化程度，从产业结构及区域层面推进工业固体废物资源化利用。</w:t>
                  </w:r>
                </w:p>
              </w:tc>
              <w:tc>
                <w:tcPr>
                  <w:tcW w:w="2008" w:type="dxa"/>
                  <w:noWrap w:val="0"/>
                  <w:vAlign w:val="center"/>
                </w:tcPr>
                <w:p>
                  <w:pPr>
                    <w:rPr>
                      <w:rFonts w:hint="default"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本项目位于</w:t>
                  </w:r>
                  <w:r>
                    <w:rPr>
                      <w:rFonts w:hint="eastAsia" w:ascii="宋体" w:hAnsi="宋体" w:cs="宋体"/>
                      <w:color w:val="auto"/>
                      <w:kern w:val="24"/>
                      <w:sz w:val="21"/>
                      <w:szCs w:val="21"/>
                      <w:lang w:val="en-US" w:eastAsia="zh-CN" w:bidi="ar-SA"/>
                    </w:rPr>
                    <w:t>安徽淮北烈山经济开发区南区唐山路智能制造产业园</w:t>
                  </w:r>
                  <w:r>
                    <w:rPr>
                      <w:rFonts w:hint="eastAsia" w:ascii="宋体" w:hAnsi="宋体" w:eastAsia="宋体" w:cs="宋体"/>
                      <w:color w:val="auto"/>
                      <w:kern w:val="24"/>
                      <w:sz w:val="21"/>
                      <w:szCs w:val="21"/>
                      <w:lang w:val="en-US" w:eastAsia="zh-CN" w:bidi="ar-SA"/>
                    </w:rPr>
                    <w:t>，采用先进的生产工艺、装备减少固体废物的产生量。</w:t>
                  </w:r>
                </w:p>
              </w:tc>
              <w:tc>
                <w:tcPr>
                  <w:tcW w:w="725" w:type="dxa"/>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5" w:hRule="atLeast"/>
              </w:trPr>
              <w:tc>
                <w:tcPr>
                  <w:tcW w:w="676" w:type="dxa"/>
                  <w:noWrap w:val="0"/>
                  <w:vAlign w:val="center"/>
                </w:tcPr>
                <w:p>
                  <w:pPr>
                    <w:rPr>
                      <w:rFonts w:hint="default"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2</w:t>
                  </w:r>
                </w:p>
              </w:tc>
              <w:tc>
                <w:tcPr>
                  <w:tcW w:w="4249" w:type="dxa"/>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加强危险废物安全处置。加快实施危险废物处置工程，提升危险废物安全处置能力。严格落实申报登记和经营许可管理，规范危险废物处理处置市场，严禁无证经营和超范围经营，确保各类危</w:t>
                  </w:r>
                </w:p>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险废物的安全处理处置。实施危险废物转移联单管理，采取密封、防水等措施防止收集运输过程造成环境污染。继续强化医疗废物管理工作，开展危险废物和危险化学品污染事故应急能力建设,防范环境污染风险。以提高危险废物资源化利用水平为重点，完善危险废物运输、转运和处理机制，杜绝危险废物混入一般工业固体废物或生活垃圾进行处理处置的现象，培育技术先进、综合利用水平高、环境治理设施完善的危险废物持证经营单位，加强危险废物资源化利用，确保危险废物安全处置利用率达到100%。完善危险废物管理台帐、转移联单等管理制度，提高危险废物收集、运输、处理处置的全过程信息化管理水平。</w:t>
                  </w:r>
                </w:p>
              </w:tc>
              <w:tc>
                <w:tcPr>
                  <w:tcW w:w="2008" w:type="dxa"/>
                  <w:noWrap w:val="0"/>
                  <w:vAlign w:val="center"/>
                </w:tcPr>
                <w:p>
                  <w:pPr>
                    <w:jc w:val="cente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本</w:t>
                  </w:r>
                  <w:r>
                    <w:rPr>
                      <w:rFonts w:hint="eastAsia" w:ascii="宋体" w:hAnsi="宋体" w:eastAsia="宋体" w:cs="宋体"/>
                      <w:color w:val="auto"/>
                      <w:kern w:val="24"/>
                      <w:sz w:val="21"/>
                      <w:szCs w:val="21"/>
                      <w:highlight w:val="none"/>
                      <w:lang w:val="en-US" w:eastAsia="zh-CN" w:bidi="ar-SA"/>
                    </w:rPr>
                    <w:t>项目</w:t>
                  </w:r>
                  <w:r>
                    <w:rPr>
                      <w:rFonts w:hint="eastAsia" w:ascii="宋体" w:hAnsi="宋体" w:cs="宋体"/>
                      <w:color w:val="auto"/>
                      <w:kern w:val="24"/>
                      <w:sz w:val="21"/>
                      <w:szCs w:val="21"/>
                      <w:highlight w:val="none"/>
                      <w:lang w:val="en-US" w:eastAsia="zh-CN" w:bidi="ar-SA"/>
                    </w:rPr>
                    <w:t>产生的废活性炭、废催化剂、废机油、废油桶及废含油抹布集中收集后暂存于危废间，定期交由有资质单位进行处理；</w:t>
                  </w:r>
                </w:p>
              </w:tc>
              <w:tc>
                <w:tcPr>
                  <w:tcW w:w="725" w:type="dxa"/>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2" w:hRule="atLeast"/>
              </w:trPr>
              <w:tc>
                <w:tcPr>
                  <w:tcW w:w="676" w:type="dxa"/>
                  <w:noWrap w:val="0"/>
                  <w:vAlign w:val="center"/>
                </w:tcPr>
                <w:p>
                  <w:pPr>
                    <w:rPr>
                      <w:rFonts w:hint="default"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3</w:t>
                  </w:r>
                </w:p>
              </w:tc>
              <w:tc>
                <w:tcPr>
                  <w:tcW w:w="4249" w:type="dxa"/>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加强生活垃圾综合处理。深入实施城市生活垃圾分类，提高垃圾处理减量化、资源化和无害化水平，积极创建“无废城市”。完善区域生活垃圾无害化处理系统，加强生活垃圾无害化处理设施建设和运营信息统计，重点推进对焚烧厂、卫生填埋场主要设施运营状况等实施实时监控，加强对焚烧设施烟气排放和卫生填埋场渗滤液和填埋气体的监测，防范污染，提高垃圾处理厂监管能力。</w:t>
                  </w:r>
                </w:p>
              </w:tc>
              <w:tc>
                <w:tcPr>
                  <w:tcW w:w="2008" w:type="dxa"/>
                  <w:noWrap w:val="0"/>
                  <w:vAlign w:val="center"/>
                </w:tcPr>
                <w:p>
                  <w:pPr>
                    <w:jc w:val="center"/>
                    <w:rPr>
                      <w:rFonts w:hint="default"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本项目生活垃圾经</w:t>
                  </w:r>
                  <w:r>
                    <w:rPr>
                      <w:rFonts w:hint="default" w:ascii="宋体" w:hAnsi="宋体" w:eastAsia="宋体" w:cs="宋体"/>
                      <w:color w:val="auto"/>
                      <w:kern w:val="24"/>
                      <w:sz w:val="21"/>
                      <w:szCs w:val="21"/>
                      <w:lang w:val="en-US" w:eastAsia="zh-CN" w:bidi="ar-SA"/>
                    </w:rPr>
                    <w:t>生活垃圾</w:t>
                  </w:r>
                  <w:r>
                    <w:rPr>
                      <w:rFonts w:hint="eastAsia" w:ascii="宋体" w:hAnsi="宋体" w:eastAsia="宋体" w:cs="宋体"/>
                      <w:color w:val="auto"/>
                      <w:kern w:val="24"/>
                      <w:sz w:val="21"/>
                      <w:szCs w:val="21"/>
                      <w:lang w:val="en-US" w:eastAsia="zh-CN" w:bidi="ar-SA"/>
                    </w:rPr>
                    <w:t>桶</w:t>
                  </w:r>
                  <w:r>
                    <w:rPr>
                      <w:rFonts w:hint="default" w:ascii="宋体" w:hAnsi="宋体" w:eastAsia="宋体" w:cs="宋体"/>
                      <w:color w:val="auto"/>
                      <w:kern w:val="24"/>
                      <w:sz w:val="21"/>
                      <w:szCs w:val="21"/>
                      <w:lang w:val="en-US" w:eastAsia="zh-CN" w:bidi="ar-SA"/>
                    </w:rPr>
                    <w:t>收集后由环卫部门统一清运处理</w:t>
                  </w:r>
                  <w:r>
                    <w:rPr>
                      <w:rFonts w:hint="eastAsia" w:ascii="宋体" w:hAnsi="宋体" w:eastAsia="宋体" w:cs="宋体"/>
                      <w:color w:val="auto"/>
                      <w:kern w:val="24"/>
                      <w:sz w:val="21"/>
                      <w:szCs w:val="21"/>
                      <w:lang w:val="en-US" w:eastAsia="zh-CN" w:bidi="ar-SA"/>
                    </w:rPr>
                    <w:t>，只在厂内暂存。</w:t>
                  </w:r>
                </w:p>
              </w:tc>
              <w:tc>
                <w:tcPr>
                  <w:tcW w:w="725" w:type="dxa"/>
                  <w:noWrap w:val="0"/>
                  <w:vAlign w:val="center"/>
                </w:tcPr>
                <w:p>
                  <w:pPr>
                    <w:rPr>
                      <w:rFonts w:hint="eastAsia" w:ascii="宋体" w:hAnsi="宋体" w:eastAsia="宋体" w:cs="宋体"/>
                      <w:color w:val="auto"/>
                      <w:kern w:val="24"/>
                      <w:sz w:val="21"/>
                      <w:szCs w:val="21"/>
                      <w:lang w:val="en-US" w:eastAsia="zh-CN" w:bidi="ar-SA"/>
                    </w:rPr>
                  </w:pPr>
                  <w:r>
                    <w:rPr>
                      <w:rFonts w:hint="eastAsia" w:ascii="宋体" w:hAnsi="宋体" w:eastAsia="宋体" w:cs="宋体"/>
                      <w:color w:val="auto"/>
                      <w:kern w:val="24"/>
                      <w:sz w:val="21"/>
                      <w:szCs w:val="21"/>
                      <w:lang w:val="en-US" w:eastAsia="zh-CN" w:bidi="ar-SA"/>
                    </w:rPr>
                    <w:t>符合</w:t>
                  </w:r>
                </w:p>
              </w:tc>
            </w:tr>
          </w:tbl>
          <w:p>
            <w:pPr>
              <w:adjustRightInd w:val="0"/>
              <w:snapToGrid w:val="0"/>
              <w:jc w:val="left"/>
              <w:rPr>
                <w:rFonts w:ascii="宋体"/>
                <w:color w:val="auto"/>
                <w:sz w:val="24"/>
                <w:szCs w:val="24"/>
              </w:rPr>
            </w:pPr>
          </w:p>
          <w:p>
            <w:pPr>
              <w:pStyle w:val="44"/>
              <w:rPr>
                <w:rFonts w:ascii="宋体"/>
                <w:b w:val="0"/>
                <w:bCs/>
                <w:color w:val="auto"/>
                <w:sz w:val="24"/>
                <w:szCs w:val="24"/>
              </w:rPr>
            </w:pPr>
          </w:p>
          <w:p>
            <w:pPr>
              <w:keepNext w:val="0"/>
              <w:keepLines w:val="0"/>
              <w:widowControl/>
              <w:suppressLineNumbers w:val="0"/>
              <w:spacing w:line="360" w:lineRule="auto"/>
              <w:jc w:val="left"/>
              <w:rPr>
                <w:b w:val="0"/>
                <w:bCs/>
                <w:color w:val="auto"/>
              </w:rPr>
            </w:pPr>
            <w:r>
              <w:rPr>
                <w:rFonts w:hint="eastAsia" w:cs="Times New Roman"/>
                <w:b w:val="0"/>
                <w:bCs/>
                <w:color w:val="auto"/>
                <w:kern w:val="0"/>
                <w:sz w:val="24"/>
                <w:szCs w:val="24"/>
                <w:lang w:val="en-US" w:eastAsia="zh-CN" w:bidi="ar"/>
              </w:rPr>
              <w:t>9</w:t>
            </w:r>
            <w:r>
              <w:rPr>
                <w:rFonts w:hint="eastAsia" w:ascii="宋体" w:hAnsi="宋体" w:eastAsia="宋体" w:cs="宋体"/>
                <w:b w:val="0"/>
                <w:bCs/>
                <w:color w:val="auto"/>
                <w:kern w:val="0"/>
                <w:sz w:val="24"/>
                <w:szCs w:val="24"/>
                <w:lang w:val="en-US" w:eastAsia="zh-CN" w:bidi="ar"/>
              </w:rPr>
              <w:t>、与《关于进一步加强塑料污染治理的意见》（发改环资〔</w:t>
            </w:r>
            <w:r>
              <w:rPr>
                <w:rFonts w:hint="default" w:ascii="Times New Roman" w:hAnsi="Times New Roman" w:eastAsia="宋体" w:cs="Times New Roman"/>
                <w:b w:val="0"/>
                <w:bCs/>
                <w:color w:val="auto"/>
                <w:kern w:val="0"/>
                <w:sz w:val="24"/>
                <w:szCs w:val="24"/>
                <w:lang w:val="en-US" w:eastAsia="zh-CN" w:bidi="ar"/>
              </w:rPr>
              <w:t>2020</w:t>
            </w:r>
            <w:r>
              <w:rPr>
                <w:rFonts w:hint="eastAsia" w:ascii="宋体" w:hAnsi="宋体" w:eastAsia="宋体" w:cs="宋体"/>
                <w:b w:val="0"/>
                <w:bCs/>
                <w:color w:val="auto"/>
                <w:kern w:val="0"/>
                <w:sz w:val="24"/>
                <w:szCs w:val="24"/>
                <w:lang w:val="en-US" w:eastAsia="zh-CN" w:bidi="ar"/>
              </w:rPr>
              <w:t xml:space="preserve">〕 </w:t>
            </w:r>
          </w:p>
          <w:p>
            <w:pPr>
              <w:keepNext w:val="0"/>
              <w:keepLines w:val="0"/>
              <w:widowControl/>
              <w:suppressLineNumbers w:val="0"/>
              <w:spacing w:line="360" w:lineRule="auto"/>
              <w:jc w:val="left"/>
              <w:rPr>
                <w:b w:val="0"/>
                <w:bCs/>
                <w:color w:val="auto"/>
              </w:rPr>
            </w:pPr>
            <w:r>
              <w:rPr>
                <w:rFonts w:hint="default" w:ascii="Times New Roman" w:hAnsi="Times New Roman" w:eastAsia="宋体" w:cs="Times New Roman"/>
                <w:b w:val="0"/>
                <w:bCs/>
                <w:color w:val="auto"/>
                <w:kern w:val="0"/>
                <w:sz w:val="24"/>
                <w:szCs w:val="24"/>
                <w:lang w:val="en-US" w:eastAsia="zh-CN" w:bidi="ar"/>
              </w:rPr>
              <w:t xml:space="preserve">80 </w:t>
            </w:r>
            <w:r>
              <w:rPr>
                <w:rFonts w:hint="eastAsia" w:ascii="宋体" w:hAnsi="宋体" w:eastAsia="宋体" w:cs="宋体"/>
                <w:b w:val="0"/>
                <w:bCs/>
                <w:color w:val="auto"/>
                <w:kern w:val="0"/>
                <w:sz w:val="24"/>
                <w:szCs w:val="24"/>
                <w:lang w:val="en-US" w:eastAsia="zh-CN" w:bidi="ar"/>
              </w:rPr>
              <w:t>号）相符性分析</w:t>
            </w:r>
          </w:p>
          <w:p>
            <w:pPr>
              <w:keepNext w:val="0"/>
              <w:keepLines w:val="0"/>
              <w:widowControl/>
              <w:suppressLineNumbers w:val="0"/>
              <w:jc w:val="center"/>
              <w:rPr>
                <w:b w:val="0"/>
                <w:bCs/>
                <w:color w:val="auto"/>
                <w:vertAlign w:val="baseline"/>
              </w:rPr>
            </w:pPr>
            <w:r>
              <w:rPr>
                <w:rFonts w:hint="eastAsia" w:ascii="宋体" w:hAnsi="宋体" w:eastAsia="宋体" w:cs="宋体"/>
                <w:b w:val="0"/>
                <w:bCs/>
                <w:color w:val="auto"/>
                <w:kern w:val="0"/>
                <w:sz w:val="20"/>
                <w:szCs w:val="20"/>
                <w:lang w:val="en-US" w:eastAsia="zh-CN" w:bidi="ar"/>
              </w:rPr>
              <w:t xml:space="preserve">表 </w:t>
            </w:r>
            <w:r>
              <w:rPr>
                <w:rFonts w:hint="default" w:ascii="Times New Roman" w:hAnsi="Times New Roman" w:eastAsia="宋体" w:cs="Times New Roman"/>
                <w:b w:val="0"/>
                <w:bCs/>
                <w:color w:val="auto"/>
                <w:kern w:val="0"/>
                <w:sz w:val="20"/>
                <w:szCs w:val="20"/>
                <w:lang w:val="en-US" w:eastAsia="zh-CN" w:bidi="ar"/>
              </w:rPr>
              <w:t xml:space="preserve">1-10 </w:t>
            </w:r>
            <w:r>
              <w:rPr>
                <w:rFonts w:hint="eastAsia" w:ascii="宋体" w:hAnsi="宋体" w:eastAsia="宋体" w:cs="宋体"/>
                <w:b w:val="0"/>
                <w:bCs/>
                <w:color w:val="auto"/>
                <w:kern w:val="0"/>
                <w:sz w:val="20"/>
                <w:szCs w:val="20"/>
                <w:lang w:val="en-US" w:eastAsia="zh-CN" w:bidi="ar"/>
              </w:rPr>
              <w:t>与《关于进一步加强塑料污染治理的意见》相符性分析</w:t>
            </w:r>
            <w:r>
              <w:rPr>
                <w:rFonts w:hint="eastAsia" w:ascii="宋体" w:hAnsi="宋体" w:eastAsia="宋体" w:cs="宋体"/>
                <w:b w:val="0"/>
                <w:bCs/>
                <w:color w:val="auto"/>
                <w:kern w:val="0"/>
                <w:sz w:val="20"/>
                <w:szCs w:val="20"/>
                <w:lang w:val="en-US" w:eastAsia="zh-CN" w:bidi="ar"/>
              </w:rPr>
              <w:br w:type="textWrapping"/>
            </w:r>
          </w:p>
          <w:tbl>
            <w:tblPr>
              <w:tblStyle w:val="37"/>
              <w:tblW w:w="7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4260"/>
              <w:gridCol w:w="1146"/>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567" w:type="dxa"/>
                  <w:gridSpan w:val="2"/>
                  <w:vAlign w:val="center"/>
                </w:tcPr>
                <w:p>
                  <w:pPr>
                    <w:keepNext w:val="0"/>
                    <w:keepLines w:val="0"/>
                    <w:widowControl/>
                    <w:suppressLineNumbers w:val="0"/>
                    <w:jc w:val="center"/>
                    <w:rPr>
                      <w:rFonts w:hint="eastAsia" w:eastAsia="宋体"/>
                      <w:color w:val="auto"/>
                      <w:vertAlign w:val="baseline"/>
                      <w:lang w:eastAsia="zh-CN"/>
                    </w:rPr>
                  </w:pPr>
                  <w:r>
                    <w:rPr>
                      <w:rFonts w:hint="eastAsia"/>
                      <w:color w:val="auto"/>
                      <w:vertAlign w:val="baseline"/>
                      <w:lang w:eastAsia="zh-CN"/>
                    </w:rPr>
                    <w:t>文件内容</w:t>
                  </w:r>
                </w:p>
              </w:tc>
              <w:tc>
                <w:tcPr>
                  <w:tcW w:w="1146" w:type="dxa"/>
                </w:tcPr>
                <w:p>
                  <w:pPr>
                    <w:keepNext w:val="0"/>
                    <w:keepLines w:val="0"/>
                    <w:widowControl/>
                    <w:suppressLineNumbers w:val="0"/>
                    <w:jc w:val="center"/>
                    <w:rPr>
                      <w:color w:val="auto"/>
                      <w:vertAlign w:val="baseline"/>
                    </w:rPr>
                  </w:pPr>
                  <w:r>
                    <w:rPr>
                      <w:rFonts w:hint="eastAsia" w:ascii="宋体" w:hAnsi="宋体" w:eastAsia="宋体" w:cs="宋体"/>
                      <w:color w:val="auto"/>
                      <w:kern w:val="0"/>
                      <w:sz w:val="20"/>
                      <w:szCs w:val="20"/>
                      <w:lang w:val="en-US" w:eastAsia="zh-CN" w:bidi="ar"/>
                    </w:rPr>
                    <w:t>本项目情况</w:t>
                  </w:r>
                </w:p>
              </w:tc>
              <w:tc>
                <w:tcPr>
                  <w:tcW w:w="725" w:type="dxa"/>
                </w:tcPr>
                <w:p>
                  <w:pPr>
                    <w:keepNext w:val="0"/>
                    <w:keepLines w:val="0"/>
                    <w:widowControl/>
                    <w:suppressLineNumbers w:val="0"/>
                    <w:jc w:val="center"/>
                    <w:rPr>
                      <w:color w:val="auto"/>
                      <w:vertAlign w:val="baseline"/>
                    </w:rPr>
                  </w:pPr>
                  <w:r>
                    <w:rPr>
                      <w:rFonts w:hint="eastAsia" w:ascii="宋体" w:hAnsi="宋体" w:cs="宋体"/>
                      <w:color w:val="auto"/>
                      <w:sz w:val="22"/>
                      <w:szCs w:val="22"/>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trPr>
              <w:tc>
                <w:tcPr>
                  <w:tcW w:w="5567" w:type="dxa"/>
                  <w:gridSpan w:val="2"/>
                  <w:vAlign w:val="center"/>
                </w:tcPr>
                <w:p>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 xml:space="preserve">禁止生产、销售的塑料制品。禁止生产和销售厚度小于 </w:t>
                  </w:r>
                  <w:r>
                    <w:rPr>
                      <w:rFonts w:hint="default" w:ascii="Times New Roman" w:hAnsi="Times New Roman" w:eastAsia="宋体" w:cs="Times New Roman"/>
                      <w:color w:val="auto"/>
                      <w:kern w:val="0"/>
                      <w:sz w:val="20"/>
                      <w:szCs w:val="20"/>
                      <w:lang w:val="en-US" w:eastAsia="zh-CN" w:bidi="ar"/>
                    </w:rPr>
                    <w:t>0.025</w:t>
                  </w:r>
                </w:p>
                <w:p>
                  <w:pPr>
                    <w:keepNext w:val="0"/>
                    <w:keepLines w:val="0"/>
                    <w:widowControl/>
                    <w:suppressLineNumbers w:val="0"/>
                    <w:jc w:val="left"/>
                    <w:rPr>
                      <w:color w:val="auto"/>
                      <w:vertAlign w:val="baseline"/>
                    </w:rPr>
                  </w:pPr>
                  <w:r>
                    <w:rPr>
                      <w:rFonts w:hint="eastAsia" w:ascii="宋体" w:hAnsi="宋体" w:eastAsia="宋体" w:cs="宋体"/>
                      <w:color w:val="auto"/>
                      <w:kern w:val="0"/>
                      <w:sz w:val="20"/>
                      <w:szCs w:val="20"/>
                      <w:lang w:val="en-US" w:eastAsia="zh-CN" w:bidi="ar"/>
                    </w:rPr>
                    <w:t xml:space="preserve">毫米的超薄塑料购物袋、厚度小于 </w:t>
                  </w:r>
                  <w:r>
                    <w:rPr>
                      <w:rFonts w:hint="default" w:ascii="Times New Roman" w:hAnsi="Times New Roman" w:eastAsia="宋体" w:cs="Times New Roman"/>
                      <w:color w:val="auto"/>
                      <w:kern w:val="0"/>
                      <w:sz w:val="20"/>
                      <w:szCs w:val="20"/>
                      <w:lang w:val="en-US" w:eastAsia="zh-CN" w:bidi="ar"/>
                    </w:rPr>
                    <w:t xml:space="preserve">0.01 </w:t>
                  </w:r>
                  <w:r>
                    <w:rPr>
                      <w:rFonts w:hint="eastAsia" w:ascii="宋体" w:hAnsi="宋体" w:eastAsia="宋体" w:cs="宋体"/>
                      <w:color w:val="auto"/>
                      <w:kern w:val="0"/>
                      <w:sz w:val="20"/>
                      <w:szCs w:val="20"/>
                      <w:lang w:val="en-US" w:eastAsia="zh-CN" w:bidi="ar"/>
                    </w:rPr>
                    <w:t xml:space="preserve">毫米的聚乙烯农用地膜。禁止以医疗废物为原料制造塑料制品。全面禁止废塑料进口。到 </w:t>
                  </w:r>
                  <w:r>
                    <w:rPr>
                      <w:rFonts w:hint="default" w:ascii="Times New Roman" w:hAnsi="Times New Roman" w:eastAsia="宋体" w:cs="Times New Roman"/>
                      <w:color w:val="auto"/>
                      <w:kern w:val="0"/>
                      <w:sz w:val="20"/>
                      <w:szCs w:val="20"/>
                      <w:lang w:val="en-US" w:eastAsia="zh-CN" w:bidi="ar"/>
                    </w:rPr>
                    <w:t xml:space="preserve">2020 </w:t>
                  </w:r>
                  <w:r>
                    <w:rPr>
                      <w:rFonts w:hint="eastAsia" w:ascii="宋体" w:hAnsi="宋体" w:eastAsia="宋体" w:cs="宋体"/>
                      <w:color w:val="auto"/>
                      <w:kern w:val="0"/>
                      <w:sz w:val="20"/>
                      <w:szCs w:val="20"/>
                      <w:lang w:val="en-US" w:eastAsia="zh-CN" w:bidi="ar"/>
                    </w:rPr>
                    <w:t xml:space="preserve">年底，禁止生产和销售一次性发泡塑料餐具、一次性塑料棉签；禁止生产含塑料微珠的日化产品。到 </w:t>
                  </w:r>
                  <w:r>
                    <w:rPr>
                      <w:rFonts w:hint="default" w:ascii="Times New Roman" w:hAnsi="Times New Roman" w:eastAsia="宋体" w:cs="Times New Roman"/>
                      <w:color w:val="auto"/>
                      <w:kern w:val="0"/>
                      <w:sz w:val="20"/>
                      <w:szCs w:val="20"/>
                      <w:lang w:val="en-US" w:eastAsia="zh-CN" w:bidi="ar"/>
                    </w:rPr>
                    <w:t xml:space="preserve">2022 </w:t>
                  </w:r>
                  <w:r>
                    <w:rPr>
                      <w:rFonts w:hint="eastAsia" w:ascii="宋体" w:hAnsi="宋体" w:eastAsia="宋体" w:cs="宋体"/>
                      <w:color w:val="auto"/>
                      <w:kern w:val="0"/>
                      <w:sz w:val="20"/>
                      <w:szCs w:val="20"/>
                      <w:lang w:val="en-US" w:eastAsia="zh-CN" w:bidi="ar"/>
                    </w:rPr>
                    <w:t>年底，禁止销售含塑料微珠的日化产品</w:t>
                  </w:r>
                </w:p>
              </w:tc>
              <w:tc>
                <w:tcPr>
                  <w:tcW w:w="1146" w:type="dxa"/>
                  <w:vMerge w:val="restart"/>
                  <w:vAlign w:val="center"/>
                </w:tcPr>
                <w:p>
                  <w:pPr>
                    <w:keepNext w:val="0"/>
                    <w:keepLines w:val="0"/>
                    <w:widowControl/>
                    <w:suppressLineNumbers w:val="0"/>
                    <w:jc w:val="center"/>
                    <w:rPr>
                      <w:rFonts w:hint="eastAsia" w:ascii="宋体" w:hAnsi="宋体" w:eastAsia="宋体" w:cs="宋体"/>
                      <w:color w:val="auto"/>
                      <w:kern w:val="0"/>
                      <w:sz w:val="20"/>
                      <w:szCs w:val="20"/>
                      <w:lang w:val="en-US" w:eastAsia="zh-CN" w:bidi="ar"/>
                    </w:rPr>
                  </w:pPr>
                </w:p>
                <w:p>
                  <w:pPr>
                    <w:keepNext w:val="0"/>
                    <w:keepLines w:val="0"/>
                    <w:widowControl/>
                    <w:suppressLineNumbers w:val="0"/>
                    <w:jc w:val="center"/>
                    <w:rPr>
                      <w:rFonts w:hint="eastAsia" w:ascii="宋体" w:hAnsi="宋体" w:eastAsia="宋体" w:cs="宋体"/>
                      <w:color w:val="auto"/>
                      <w:kern w:val="0"/>
                      <w:sz w:val="20"/>
                      <w:szCs w:val="20"/>
                      <w:lang w:val="en-US" w:eastAsia="zh-CN" w:bidi="ar"/>
                    </w:rPr>
                  </w:pPr>
                </w:p>
                <w:p>
                  <w:pPr>
                    <w:keepNext w:val="0"/>
                    <w:keepLines w:val="0"/>
                    <w:widowControl/>
                    <w:suppressLineNumbers w:val="0"/>
                    <w:jc w:val="center"/>
                    <w:rPr>
                      <w:rFonts w:hint="eastAsia" w:ascii="宋体" w:hAnsi="宋体" w:eastAsia="宋体" w:cs="宋体"/>
                      <w:color w:val="auto"/>
                      <w:kern w:val="0"/>
                      <w:sz w:val="20"/>
                      <w:szCs w:val="20"/>
                      <w:lang w:val="en-US" w:eastAsia="zh-CN" w:bidi="ar"/>
                    </w:rPr>
                  </w:pPr>
                </w:p>
                <w:p>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本项目原</w:t>
                  </w:r>
                </w:p>
                <w:p>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料为外购</w:t>
                  </w:r>
                </w:p>
                <w:p>
                  <w:pPr>
                    <w:keepNext w:val="0"/>
                    <w:keepLines w:val="0"/>
                    <w:widowControl/>
                    <w:suppressLineNumbers w:val="0"/>
                    <w:jc w:val="center"/>
                    <w:rPr>
                      <w:color w:val="auto"/>
                      <w:vertAlign w:val="baseline"/>
                    </w:rPr>
                  </w:pPr>
                  <w:r>
                    <w:rPr>
                      <w:rFonts w:hint="eastAsia" w:ascii="宋体" w:hAnsi="宋体" w:eastAsia="宋体" w:cs="宋体"/>
                      <w:color w:val="auto"/>
                      <w:kern w:val="0"/>
                      <w:sz w:val="20"/>
                      <w:szCs w:val="20"/>
                      <w:lang w:val="en-US" w:eastAsia="zh-CN" w:bidi="ar"/>
                    </w:rPr>
                    <w:t>的新料，不含废旧塑料制品及橡胶制品等；产品为各类塑料橡胶产品，不生产禁止生产、销售的塑料制品</w:t>
                  </w:r>
                </w:p>
              </w:tc>
              <w:tc>
                <w:tcPr>
                  <w:tcW w:w="725" w:type="dxa"/>
                  <w:vMerge w:val="restart"/>
                </w:tcPr>
                <w:p>
                  <w:pPr>
                    <w:keepNext w:val="0"/>
                    <w:keepLines w:val="0"/>
                    <w:widowControl/>
                    <w:suppressLineNumbers w:val="0"/>
                    <w:jc w:val="center"/>
                    <w:rPr>
                      <w:color w:val="auto"/>
                      <w:vertAlign w:val="baseline"/>
                    </w:rPr>
                  </w:pPr>
                  <w:r>
                    <w:rPr>
                      <w:rFonts w:hint="eastAsia" w:ascii="宋体" w:hAnsi="宋体" w:eastAsia="宋体" w:cs="宋体"/>
                      <w:color w:val="auto"/>
                      <w:kern w:val="24"/>
                      <w:sz w:val="21"/>
                      <w:szCs w:val="21"/>
                      <w:lang w:val="en-US" w:eastAsia="zh-CN" w:bidi="ar-SA"/>
                    </w:rPr>
                    <w:br w:type="textWrapping"/>
                  </w:r>
                  <w:r>
                    <w:rPr>
                      <w:rFonts w:hint="eastAsia" w:ascii="宋体" w:hAnsi="宋体" w:eastAsia="宋体" w:cs="宋体"/>
                      <w:color w:val="auto"/>
                      <w:kern w:val="24"/>
                      <w:sz w:val="21"/>
                      <w:szCs w:val="21"/>
                      <w:lang w:val="en-US" w:eastAsia="zh-CN" w:bidi="ar-SA"/>
                    </w:rPr>
                    <w:br w:type="textWrapping"/>
                  </w:r>
                  <w:r>
                    <w:rPr>
                      <w:rFonts w:hint="eastAsia" w:ascii="宋体" w:hAnsi="宋体" w:eastAsia="宋体" w:cs="宋体"/>
                      <w:color w:val="auto"/>
                      <w:kern w:val="24"/>
                      <w:sz w:val="21"/>
                      <w:szCs w:val="21"/>
                      <w:lang w:val="en-US" w:eastAsia="zh-CN" w:bidi="ar-SA"/>
                    </w:rPr>
                    <w:br w:type="textWrapping"/>
                  </w:r>
                  <w:r>
                    <w:rPr>
                      <w:rFonts w:hint="eastAsia" w:ascii="宋体" w:hAnsi="宋体" w:eastAsia="宋体" w:cs="宋体"/>
                      <w:color w:val="auto"/>
                      <w:kern w:val="24"/>
                      <w:sz w:val="21"/>
                      <w:szCs w:val="21"/>
                      <w:lang w:val="en-US" w:eastAsia="zh-CN" w:bidi="ar-SA"/>
                    </w:rPr>
                    <w:br w:type="textWrapping"/>
                  </w:r>
                  <w:r>
                    <w:rPr>
                      <w:rFonts w:hint="eastAsia" w:ascii="宋体" w:hAnsi="宋体" w:eastAsia="宋体" w:cs="宋体"/>
                      <w:color w:val="auto"/>
                      <w:kern w:val="24"/>
                      <w:sz w:val="21"/>
                      <w:szCs w:val="21"/>
                      <w:lang w:val="en-US" w:eastAsia="zh-CN" w:bidi="ar-SA"/>
                    </w:rPr>
                    <w:br w:type="textWrapping"/>
                  </w:r>
                  <w:r>
                    <w:rPr>
                      <w:rFonts w:hint="eastAsia" w:ascii="宋体" w:hAnsi="宋体" w:eastAsia="宋体" w:cs="宋体"/>
                      <w:color w:val="auto"/>
                      <w:kern w:val="24"/>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3" w:hRule="atLeast"/>
              </w:trPr>
              <w:tc>
                <w:tcPr>
                  <w:tcW w:w="1307" w:type="dxa"/>
                  <w:vMerge w:val="restart"/>
                  <w:vAlign w:val="center"/>
                </w:tcPr>
                <w:p>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禁止限</w:t>
                  </w:r>
                </w:p>
                <w:p>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制使用</w:t>
                  </w:r>
                </w:p>
                <w:p>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的塑料</w:t>
                  </w:r>
                </w:p>
                <w:p>
                  <w:pPr>
                    <w:keepNext w:val="0"/>
                    <w:keepLines w:val="0"/>
                    <w:widowControl/>
                    <w:suppressLineNumbers w:val="0"/>
                    <w:jc w:val="center"/>
                    <w:rPr>
                      <w:color w:val="auto"/>
                      <w:vertAlign w:val="baseline"/>
                    </w:rPr>
                  </w:pPr>
                  <w:r>
                    <w:rPr>
                      <w:rFonts w:hint="eastAsia" w:ascii="宋体" w:hAnsi="宋体" w:eastAsia="宋体" w:cs="宋体"/>
                      <w:color w:val="auto"/>
                      <w:kern w:val="0"/>
                      <w:sz w:val="20"/>
                      <w:szCs w:val="20"/>
                      <w:lang w:val="en-US" w:eastAsia="zh-CN" w:bidi="ar"/>
                    </w:rPr>
                    <w:t>制品。</w:t>
                  </w:r>
                </w:p>
              </w:tc>
              <w:tc>
                <w:tcPr>
                  <w:tcW w:w="4260" w:type="dxa"/>
                  <w:vAlign w:val="center"/>
                </w:tcPr>
                <w:p>
                  <w:pPr>
                    <w:keepNext w:val="0"/>
                    <w:keepLines w:val="0"/>
                    <w:widowControl/>
                    <w:suppressLineNumbers w:val="0"/>
                    <w:jc w:val="left"/>
                    <w:rPr>
                      <w:rFonts w:hint="eastAsia" w:ascii="宋体" w:hAnsi="宋体" w:eastAsia="宋体" w:cs="宋体"/>
                      <w:color w:val="auto"/>
                      <w:kern w:val="0"/>
                      <w:sz w:val="20"/>
                      <w:szCs w:val="20"/>
                      <w:lang w:val="en-US" w:eastAsia="zh-CN" w:bidi="ar"/>
                    </w:rPr>
                  </w:pPr>
                  <w:r>
                    <w:rPr>
                      <w:rFonts w:hint="default" w:ascii="Times New Roman" w:hAnsi="Times New Roman" w:eastAsia="宋体" w:cs="Times New Roman"/>
                      <w:color w:val="auto"/>
                      <w:kern w:val="0"/>
                      <w:sz w:val="19"/>
                      <w:szCs w:val="19"/>
                      <w:lang w:val="en-US" w:eastAsia="zh-CN" w:bidi="ar"/>
                    </w:rPr>
                    <w:t>1</w:t>
                  </w:r>
                  <w:r>
                    <w:rPr>
                      <w:rFonts w:hint="default" w:ascii="Times New Roman" w:hAnsi="Times New Roman" w:eastAsia="宋体" w:cs="Times New Roman"/>
                      <w:color w:val="auto"/>
                      <w:kern w:val="0"/>
                      <w:sz w:val="20"/>
                      <w:szCs w:val="20"/>
                      <w:lang w:val="en-US" w:eastAsia="zh-CN" w:bidi="ar"/>
                    </w:rPr>
                    <w:t>.</w:t>
                  </w:r>
                  <w:r>
                    <w:rPr>
                      <w:rFonts w:hint="eastAsia" w:ascii="宋体" w:hAnsi="宋体" w:eastAsia="宋体" w:cs="宋体"/>
                      <w:color w:val="auto"/>
                      <w:kern w:val="0"/>
                      <w:sz w:val="20"/>
                      <w:szCs w:val="20"/>
                      <w:lang w:val="en-US" w:eastAsia="zh-CN" w:bidi="ar"/>
                    </w:rPr>
                    <w:t xml:space="preserve">不可降解塑料袋。到 </w:t>
                  </w:r>
                  <w:r>
                    <w:rPr>
                      <w:rFonts w:hint="default" w:ascii="Times New Roman" w:hAnsi="Times New Roman" w:eastAsia="宋体" w:cs="Times New Roman"/>
                      <w:color w:val="auto"/>
                      <w:kern w:val="0"/>
                      <w:sz w:val="20"/>
                      <w:szCs w:val="20"/>
                      <w:lang w:val="en-US" w:eastAsia="zh-CN" w:bidi="ar"/>
                    </w:rPr>
                    <w:t xml:space="preserve">2020 </w:t>
                  </w:r>
                  <w:r>
                    <w:rPr>
                      <w:rFonts w:hint="eastAsia" w:ascii="宋体" w:hAnsi="宋体" w:eastAsia="宋体" w:cs="宋体"/>
                      <w:color w:val="auto"/>
                      <w:kern w:val="0"/>
                      <w:sz w:val="20"/>
                      <w:szCs w:val="20"/>
                      <w:lang w:val="en-US" w:eastAsia="zh-CN" w:bidi="ar"/>
                    </w:rPr>
                    <w:t xml:space="preserve">年底，直辖市、省会城市、计划单列市城市建成区的商场、超市、药店、书店等场所以及餐饮打包外卖服务和各类展会活动，禁止使用不可降解塑料袋，集贸市场规范和限制使用不可降解塑料袋；到 </w:t>
                  </w:r>
                  <w:r>
                    <w:rPr>
                      <w:rFonts w:hint="default" w:ascii="Times New Roman" w:hAnsi="Times New Roman" w:eastAsia="宋体" w:cs="Times New Roman"/>
                      <w:color w:val="auto"/>
                      <w:kern w:val="0"/>
                      <w:sz w:val="20"/>
                      <w:szCs w:val="20"/>
                      <w:lang w:val="en-US" w:eastAsia="zh-CN" w:bidi="ar"/>
                    </w:rPr>
                    <w:t xml:space="preserve">2022 </w:t>
                  </w:r>
                  <w:r>
                    <w:rPr>
                      <w:rFonts w:hint="eastAsia" w:ascii="宋体" w:hAnsi="宋体" w:eastAsia="宋体" w:cs="宋体"/>
                      <w:color w:val="auto"/>
                      <w:kern w:val="0"/>
                      <w:sz w:val="20"/>
                      <w:szCs w:val="20"/>
                      <w:lang w:val="en-US" w:eastAsia="zh-CN" w:bidi="ar"/>
                    </w:rPr>
                    <w:t xml:space="preserve">年底，实施范围扩大至全部地级以上城市建成区和沿海地区县城建成区。到 </w:t>
                  </w:r>
                  <w:r>
                    <w:rPr>
                      <w:rFonts w:hint="default" w:ascii="Times New Roman" w:hAnsi="Times New Roman" w:eastAsia="宋体" w:cs="Times New Roman"/>
                      <w:color w:val="auto"/>
                      <w:kern w:val="0"/>
                      <w:sz w:val="20"/>
                      <w:szCs w:val="20"/>
                      <w:lang w:val="en-US" w:eastAsia="zh-CN" w:bidi="ar"/>
                    </w:rPr>
                    <w:t xml:space="preserve">2025 </w:t>
                  </w:r>
                  <w:r>
                    <w:rPr>
                      <w:rFonts w:hint="eastAsia" w:ascii="宋体" w:hAnsi="宋体" w:eastAsia="宋体" w:cs="宋体"/>
                      <w:color w:val="auto"/>
                      <w:kern w:val="0"/>
                      <w:sz w:val="20"/>
                      <w:szCs w:val="20"/>
                      <w:lang w:val="en-US" w:eastAsia="zh-CN" w:bidi="ar"/>
                    </w:rPr>
                    <w:t>年底，上述区域的集贸市场禁止使用不可降解塑料袋。鼓励有条件的地方，在城乡结合部、乡镇和农村地区集市等场所停止使用不可降解塑料袋。</w:t>
                  </w:r>
                </w:p>
              </w:tc>
              <w:tc>
                <w:tcPr>
                  <w:tcW w:w="1146" w:type="dxa"/>
                  <w:vMerge w:val="continue"/>
                </w:tcPr>
                <w:p>
                  <w:pPr>
                    <w:keepNext w:val="0"/>
                    <w:keepLines w:val="0"/>
                    <w:widowControl/>
                    <w:suppressLineNumbers w:val="0"/>
                    <w:jc w:val="left"/>
                    <w:rPr>
                      <w:color w:val="auto"/>
                      <w:vertAlign w:val="baseline"/>
                    </w:rPr>
                  </w:pPr>
                </w:p>
              </w:tc>
              <w:tc>
                <w:tcPr>
                  <w:tcW w:w="725" w:type="dxa"/>
                  <w:vMerge w:val="continue"/>
                </w:tcPr>
                <w:p>
                  <w:pPr>
                    <w:keepNext w:val="0"/>
                    <w:keepLines w:val="0"/>
                    <w:widowControl/>
                    <w:suppressLineNumbers w:val="0"/>
                    <w:jc w:val="left"/>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6" w:hRule="atLeast"/>
              </w:trPr>
              <w:tc>
                <w:tcPr>
                  <w:tcW w:w="1307" w:type="dxa"/>
                  <w:vMerge w:val="continue"/>
                  <w:vAlign w:val="center"/>
                </w:tcPr>
                <w:p>
                  <w:pPr>
                    <w:keepNext w:val="0"/>
                    <w:keepLines w:val="0"/>
                    <w:widowControl/>
                    <w:suppressLineNumbers w:val="0"/>
                    <w:jc w:val="center"/>
                    <w:rPr>
                      <w:color w:val="auto"/>
                    </w:rPr>
                  </w:pPr>
                </w:p>
              </w:tc>
              <w:tc>
                <w:tcPr>
                  <w:tcW w:w="4260" w:type="dxa"/>
                  <w:vAlign w:val="center"/>
                </w:tcPr>
                <w:p>
                  <w:pPr>
                    <w:keepNext w:val="0"/>
                    <w:keepLines w:val="0"/>
                    <w:widowControl/>
                    <w:suppressLineNumbers w:val="0"/>
                    <w:jc w:val="center"/>
                    <w:rPr>
                      <w:color w:val="auto"/>
                    </w:rPr>
                  </w:pPr>
                  <w:r>
                    <w:rPr>
                      <w:rFonts w:hint="default" w:ascii="Times New Roman" w:hAnsi="Times New Roman" w:eastAsia="宋体" w:cs="Times New Roman"/>
                      <w:color w:val="auto"/>
                      <w:kern w:val="0"/>
                      <w:sz w:val="20"/>
                      <w:szCs w:val="20"/>
                      <w:lang w:val="en-US" w:eastAsia="zh-CN" w:bidi="ar"/>
                    </w:rPr>
                    <w:t>2.</w:t>
                  </w:r>
                  <w:r>
                    <w:rPr>
                      <w:rFonts w:hint="eastAsia" w:ascii="宋体" w:hAnsi="宋体" w:eastAsia="宋体" w:cs="宋体"/>
                      <w:color w:val="auto"/>
                      <w:kern w:val="0"/>
                      <w:sz w:val="20"/>
                      <w:szCs w:val="20"/>
                      <w:lang w:val="en-US" w:eastAsia="zh-CN" w:bidi="ar"/>
                    </w:rPr>
                    <w:t xml:space="preserve">一次性塑料餐具。到 </w:t>
                  </w:r>
                  <w:r>
                    <w:rPr>
                      <w:rFonts w:hint="default" w:ascii="Times New Roman" w:hAnsi="Times New Roman" w:eastAsia="宋体" w:cs="Times New Roman"/>
                      <w:color w:val="auto"/>
                      <w:kern w:val="0"/>
                      <w:sz w:val="20"/>
                      <w:szCs w:val="20"/>
                      <w:lang w:val="en-US" w:eastAsia="zh-CN" w:bidi="ar"/>
                    </w:rPr>
                    <w:t xml:space="preserve">2020 </w:t>
                  </w:r>
                  <w:r>
                    <w:rPr>
                      <w:rFonts w:hint="eastAsia" w:ascii="宋体" w:hAnsi="宋体" w:eastAsia="宋体" w:cs="宋体"/>
                      <w:color w:val="auto"/>
                      <w:kern w:val="0"/>
                      <w:sz w:val="20"/>
                      <w:szCs w:val="20"/>
                      <w:lang w:val="en-US" w:eastAsia="zh-CN" w:bidi="ar"/>
                    </w:rPr>
                    <w:t xml:space="preserve">年底，全国范围餐饮行业禁止使用不可降解一次性塑料吸管；地级以上城市建成区、景区景点的餐饮堂食服务，禁止使用不可降解一次性塑料餐具。到 </w:t>
                  </w:r>
                  <w:r>
                    <w:rPr>
                      <w:rFonts w:hint="default" w:ascii="Times New Roman" w:hAnsi="Times New Roman" w:eastAsia="宋体" w:cs="Times New Roman"/>
                      <w:color w:val="auto"/>
                      <w:kern w:val="0"/>
                      <w:sz w:val="20"/>
                      <w:szCs w:val="20"/>
                      <w:lang w:val="en-US" w:eastAsia="zh-CN" w:bidi="ar"/>
                    </w:rPr>
                    <w:t xml:space="preserve">2022 </w:t>
                  </w:r>
                  <w:r>
                    <w:rPr>
                      <w:rFonts w:hint="eastAsia" w:ascii="宋体" w:hAnsi="宋体" w:eastAsia="宋体" w:cs="宋体"/>
                      <w:color w:val="auto"/>
                      <w:kern w:val="0"/>
                      <w:sz w:val="20"/>
                      <w:szCs w:val="20"/>
                      <w:lang w:val="en-US" w:eastAsia="zh-CN" w:bidi="ar"/>
                    </w:rPr>
                    <w:t>年底，县城建成区、景区景点餐饮堂食服务，禁止使用不可降解一次性塑料餐具。</w:t>
                  </w:r>
                </w:p>
                <w:p>
                  <w:pPr>
                    <w:keepNext w:val="0"/>
                    <w:keepLines w:val="0"/>
                    <w:widowControl/>
                    <w:suppressLineNumbers w:val="0"/>
                    <w:jc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 xml:space="preserve">到 </w:t>
                  </w:r>
                  <w:r>
                    <w:rPr>
                      <w:rFonts w:hint="default" w:ascii="Times New Roman" w:hAnsi="Times New Roman" w:eastAsia="宋体" w:cs="Times New Roman"/>
                      <w:color w:val="auto"/>
                      <w:kern w:val="0"/>
                      <w:sz w:val="20"/>
                      <w:szCs w:val="20"/>
                      <w:lang w:val="en-US" w:eastAsia="zh-CN" w:bidi="ar"/>
                    </w:rPr>
                    <w:t xml:space="preserve">2025 </w:t>
                  </w:r>
                  <w:r>
                    <w:rPr>
                      <w:rFonts w:hint="eastAsia" w:ascii="宋体" w:hAnsi="宋体" w:eastAsia="宋体" w:cs="宋体"/>
                      <w:color w:val="auto"/>
                      <w:kern w:val="0"/>
                      <w:sz w:val="20"/>
                      <w:szCs w:val="20"/>
                      <w:lang w:val="en-US" w:eastAsia="zh-CN" w:bidi="ar"/>
                    </w:rPr>
                    <w:t xml:space="preserve">年，地级以上城市餐饮外卖领域不可降解一次性塑料餐具消耗强度下降 </w:t>
                  </w:r>
                  <w:r>
                    <w:rPr>
                      <w:rFonts w:hint="default" w:ascii="Times New Roman" w:hAnsi="Times New Roman" w:eastAsia="宋体" w:cs="Times New Roman"/>
                      <w:color w:val="auto"/>
                      <w:kern w:val="0"/>
                      <w:sz w:val="20"/>
                      <w:szCs w:val="20"/>
                      <w:lang w:val="en-US" w:eastAsia="zh-CN" w:bidi="ar"/>
                    </w:rPr>
                    <w:t>30%</w:t>
                  </w:r>
                  <w:r>
                    <w:rPr>
                      <w:rFonts w:hint="eastAsia" w:ascii="宋体" w:hAnsi="宋体" w:eastAsia="宋体" w:cs="宋体"/>
                      <w:color w:val="auto"/>
                      <w:kern w:val="0"/>
                      <w:sz w:val="20"/>
                      <w:szCs w:val="20"/>
                      <w:lang w:val="en-US" w:eastAsia="zh-CN" w:bidi="ar"/>
                    </w:rPr>
                    <w:t>。</w:t>
                  </w:r>
                </w:p>
              </w:tc>
              <w:tc>
                <w:tcPr>
                  <w:tcW w:w="1146" w:type="dxa"/>
                  <w:vMerge w:val="continue"/>
                </w:tcPr>
                <w:p>
                  <w:pPr>
                    <w:keepNext w:val="0"/>
                    <w:keepLines w:val="0"/>
                    <w:widowControl/>
                    <w:suppressLineNumbers w:val="0"/>
                    <w:jc w:val="left"/>
                    <w:rPr>
                      <w:rFonts w:hint="eastAsia" w:ascii="宋体" w:hAnsi="宋体" w:eastAsia="宋体" w:cs="宋体"/>
                      <w:color w:val="auto"/>
                      <w:kern w:val="0"/>
                      <w:sz w:val="20"/>
                      <w:szCs w:val="20"/>
                      <w:lang w:val="en-US" w:eastAsia="zh-CN" w:bidi="ar"/>
                    </w:rPr>
                  </w:pPr>
                </w:p>
              </w:tc>
              <w:tc>
                <w:tcPr>
                  <w:tcW w:w="725" w:type="dxa"/>
                  <w:vMerge w:val="continue"/>
                </w:tcPr>
                <w:p>
                  <w:pPr>
                    <w:keepNext w:val="0"/>
                    <w:keepLines w:val="0"/>
                    <w:widowControl/>
                    <w:suppressLineNumbers w:val="0"/>
                    <w:jc w:val="left"/>
                    <w:rPr>
                      <w:rFonts w:hint="eastAsia" w:ascii="宋体" w:hAnsi="宋体" w:eastAsia="宋体" w:cs="宋体"/>
                      <w:color w:val="auto"/>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1307" w:type="dxa"/>
                  <w:vMerge w:val="continue"/>
                  <w:vAlign w:val="center"/>
                </w:tcPr>
                <w:p>
                  <w:pPr>
                    <w:keepNext w:val="0"/>
                    <w:keepLines w:val="0"/>
                    <w:widowControl/>
                    <w:suppressLineNumbers w:val="0"/>
                    <w:jc w:val="center"/>
                    <w:rPr>
                      <w:rFonts w:hint="eastAsia" w:ascii="宋体" w:hAnsi="宋体" w:eastAsia="宋体" w:cs="宋体"/>
                      <w:color w:val="auto"/>
                      <w:kern w:val="0"/>
                      <w:sz w:val="20"/>
                      <w:szCs w:val="20"/>
                      <w:lang w:val="en-US" w:eastAsia="zh-CN" w:bidi="ar"/>
                    </w:rPr>
                  </w:pPr>
                </w:p>
              </w:tc>
              <w:tc>
                <w:tcPr>
                  <w:tcW w:w="4260" w:type="dxa"/>
                  <w:vAlign w:val="center"/>
                </w:tcPr>
                <w:p>
                  <w:pPr>
                    <w:keepNext w:val="0"/>
                    <w:keepLines w:val="0"/>
                    <w:widowControl/>
                    <w:suppressLineNumbers w:val="0"/>
                    <w:jc w:val="center"/>
                    <w:rPr>
                      <w:rFonts w:hint="eastAsia" w:ascii="宋体" w:hAnsi="宋体" w:eastAsia="宋体" w:cs="宋体"/>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3.</w:t>
                  </w:r>
                  <w:r>
                    <w:rPr>
                      <w:rFonts w:hint="eastAsia" w:ascii="宋体" w:hAnsi="宋体" w:eastAsia="宋体" w:cs="宋体"/>
                      <w:color w:val="auto"/>
                      <w:kern w:val="0"/>
                      <w:sz w:val="20"/>
                      <w:szCs w:val="20"/>
                      <w:lang w:val="en-US" w:eastAsia="zh-CN" w:bidi="ar"/>
                    </w:rPr>
                    <w:t xml:space="preserve">宾馆、酒店一次性塑料用品。到 </w:t>
                  </w:r>
                  <w:r>
                    <w:rPr>
                      <w:rFonts w:hint="default" w:ascii="Times New Roman" w:hAnsi="Times New Roman" w:eastAsia="宋体" w:cs="Times New Roman"/>
                      <w:color w:val="auto"/>
                      <w:kern w:val="0"/>
                      <w:sz w:val="20"/>
                      <w:szCs w:val="20"/>
                      <w:lang w:val="en-US" w:eastAsia="zh-CN" w:bidi="ar"/>
                    </w:rPr>
                    <w:t xml:space="preserve">2022 </w:t>
                  </w:r>
                  <w:r>
                    <w:rPr>
                      <w:rFonts w:hint="eastAsia" w:ascii="宋体" w:hAnsi="宋体" w:eastAsia="宋体" w:cs="宋体"/>
                      <w:color w:val="auto"/>
                      <w:kern w:val="0"/>
                      <w:sz w:val="20"/>
                      <w:szCs w:val="20"/>
                      <w:lang w:val="en-US" w:eastAsia="zh-CN" w:bidi="ar"/>
                    </w:rPr>
                    <w:t>年底，全国范围星级宾馆、酒店等场所不再主动提供一次性塑料用品，可通过设置自助购买机、提供续充型洗洁剂等方式提供相关服务；到</w:t>
                  </w:r>
                  <w:r>
                    <w:rPr>
                      <w:rFonts w:hint="default" w:ascii="Times New Roman" w:hAnsi="Times New Roman" w:eastAsia="宋体" w:cs="Times New Roman"/>
                      <w:color w:val="auto"/>
                      <w:kern w:val="0"/>
                      <w:sz w:val="20"/>
                      <w:szCs w:val="20"/>
                      <w:lang w:val="en-US" w:eastAsia="zh-CN" w:bidi="ar"/>
                    </w:rPr>
                    <w:t xml:space="preserve">2025 </w:t>
                  </w:r>
                  <w:r>
                    <w:rPr>
                      <w:rFonts w:hint="eastAsia" w:ascii="宋体" w:hAnsi="宋体" w:eastAsia="宋体" w:cs="宋体"/>
                      <w:color w:val="auto"/>
                      <w:kern w:val="0"/>
                      <w:sz w:val="20"/>
                      <w:szCs w:val="20"/>
                      <w:lang w:val="en-US" w:eastAsia="zh-CN" w:bidi="ar"/>
                    </w:rPr>
                    <w:t>年底，实施范围扩大至所有宾馆、酒店、民宿。</w:t>
                  </w:r>
                </w:p>
              </w:tc>
              <w:tc>
                <w:tcPr>
                  <w:tcW w:w="1146" w:type="dxa"/>
                  <w:vMerge w:val="continue"/>
                </w:tcPr>
                <w:p>
                  <w:pPr>
                    <w:keepNext w:val="0"/>
                    <w:keepLines w:val="0"/>
                    <w:widowControl/>
                    <w:suppressLineNumbers w:val="0"/>
                    <w:jc w:val="left"/>
                    <w:rPr>
                      <w:rFonts w:hint="eastAsia" w:ascii="宋体" w:hAnsi="宋体" w:eastAsia="宋体" w:cs="宋体"/>
                      <w:color w:val="auto"/>
                      <w:kern w:val="0"/>
                      <w:sz w:val="20"/>
                      <w:szCs w:val="20"/>
                      <w:lang w:val="en-US" w:eastAsia="zh-CN" w:bidi="ar"/>
                    </w:rPr>
                  </w:pPr>
                </w:p>
              </w:tc>
              <w:tc>
                <w:tcPr>
                  <w:tcW w:w="725" w:type="dxa"/>
                  <w:vMerge w:val="continue"/>
                </w:tcPr>
                <w:p>
                  <w:pPr>
                    <w:keepNext w:val="0"/>
                    <w:keepLines w:val="0"/>
                    <w:widowControl/>
                    <w:suppressLineNumbers w:val="0"/>
                    <w:jc w:val="left"/>
                    <w:rPr>
                      <w:rFonts w:hint="eastAsia" w:ascii="宋体" w:hAnsi="宋体" w:eastAsia="宋体" w:cs="宋体"/>
                      <w:color w:val="auto"/>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trPr>
              <w:tc>
                <w:tcPr>
                  <w:tcW w:w="1307" w:type="dxa"/>
                  <w:vMerge w:val="continue"/>
                  <w:vAlign w:val="center"/>
                </w:tcPr>
                <w:p>
                  <w:pPr>
                    <w:keepNext w:val="0"/>
                    <w:keepLines w:val="0"/>
                    <w:widowControl/>
                    <w:suppressLineNumbers w:val="0"/>
                    <w:jc w:val="center"/>
                    <w:rPr>
                      <w:color w:val="auto"/>
                    </w:rPr>
                  </w:pPr>
                </w:p>
              </w:tc>
              <w:tc>
                <w:tcPr>
                  <w:tcW w:w="4260" w:type="dxa"/>
                  <w:vAlign w:val="center"/>
                </w:tcPr>
                <w:p>
                  <w:pPr>
                    <w:keepNext w:val="0"/>
                    <w:keepLines w:val="0"/>
                    <w:widowControl/>
                    <w:suppressLineNumbers w:val="0"/>
                    <w:jc w:val="center"/>
                    <w:rPr>
                      <w:rFonts w:hint="eastAsia" w:ascii="宋体" w:hAnsi="宋体" w:eastAsia="宋体" w:cs="宋体"/>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4.</w:t>
                  </w:r>
                  <w:r>
                    <w:rPr>
                      <w:rFonts w:hint="eastAsia" w:ascii="宋体" w:hAnsi="宋体" w:eastAsia="宋体" w:cs="宋体"/>
                      <w:color w:val="auto"/>
                      <w:kern w:val="0"/>
                      <w:sz w:val="20"/>
                      <w:szCs w:val="20"/>
                      <w:lang w:val="en-US" w:eastAsia="zh-CN" w:bidi="ar"/>
                    </w:rPr>
                    <w:t xml:space="preserve">快递塑料包装。到 </w:t>
                  </w:r>
                  <w:r>
                    <w:rPr>
                      <w:rFonts w:hint="default" w:ascii="Times New Roman" w:hAnsi="Times New Roman" w:eastAsia="宋体" w:cs="Times New Roman"/>
                      <w:color w:val="auto"/>
                      <w:kern w:val="0"/>
                      <w:sz w:val="20"/>
                      <w:szCs w:val="20"/>
                      <w:lang w:val="en-US" w:eastAsia="zh-CN" w:bidi="ar"/>
                    </w:rPr>
                    <w:t xml:space="preserve">2022 </w:t>
                  </w:r>
                  <w:r>
                    <w:rPr>
                      <w:rFonts w:hint="eastAsia" w:ascii="宋体" w:hAnsi="宋体" w:eastAsia="宋体" w:cs="宋体"/>
                      <w:color w:val="auto"/>
                      <w:kern w:val="0"/>
                      <w:sz w:val="20"/>
                      <w:szCs w:val="20"/>
                      <w:lang w:val="en-US" w:eastAsia="zh-CN" w:bidi="ar"/>
                    </w:rPr>
                    <w:t xml:space="preserve">年底，北京、上海、江苏、浙江、福建、广东等省市的邮政快递网点，先行禁止使用不可降解的塑料包装袋、一次性塑料编织袋等，降低不可降解的塑料胶带使用量。到 </w:t>
                  </w:r>
                  <w:r>
                    <w:rPr>
                      <w:rFonts w:hint="default" w:ascii="Times New Roman" w:hAnsi="Times New Roman" w:eastAsia="宋体" w:cs="Times New Roman"/>
                      <w:color w:val="auto"/>
                      <w:kern w:val="0"/>
                      <w:sz w:val="20"/>
                      <w:szCs w:val="20"/>
                      <w:lang w:val="en-US" w:eastAsia="zh-CN" w:bidi="ar"/>
                    </w:rPr>
                    <w:t xml:space="preserve">2025 </w:t>
                  </w:r>
                  <w:r>
                    <w:rPr>
                      <w:rFonts w:hint="eastAsia" w:ascii="宋体" w:hAnsi="宋体" w:eastAsia="宋体" w:cs="宋体"/>
                      <w:color w:val="auto"/>
                      <w:kern w:val="0"/>
                      <w:sz w:val="20"/>
                      <w:szCs w:val="20"/>
                      <w:lang w:val="en-US" w:eastAsia="zh-CN" w:bidi="ar"/>
                    </w:rPr>
                    <w:t>年底，全国范围邮政快递网点禁止使用不可降解的塑料包装袋、塑料胶一次性塑料编织袋等。</w:t>
                  </w:r>
                </w:p>
              </w:tc>
              <w:tc>
                <w:tcPr>
                  <w:tcW w:w="1146" w:type="dxa"/>
                  <w:vMerge w:val="continue"/>
                </w:tcPr>
                <w:p>
                  <w:pPr>
                    <w:keepNext w:val="0"/>
                    <w:keepLines w:val="0"/>
                    <w:widowControl/>
                    <w:suppressLineNumbers w:val="0"/>
                    <w:jc w:val="left"/>
                    <w:rPr>
                      <w:rFonts w:hint="eastAsia" w:ascii="宋体" w:hAnsi="宋体" w:eastAsia="宋体" w:cs="宋体"/>
                      <w:color w:val="auto"/>
                      <w:kern w:val="0"/>
                      <w:sz w:val="20"/>
                      <w:szCs w:val="20"/>
                      <w:lang w:val="en-US" w:eastAsia="zh-CN" w:bidi="ar"/>
                    </w:rPr>
                  </w:pPr>
                </w:p>
              </w:tc>
              <w:tc>
                <w:tcPr>
                  <w:tcW w:w="725" w:type="dxa"/>
                  <w:vMerge w:val="continue"/>
                </w:tcPr>
                <w:p>
                  <w:pPr>
                    <w:keepNext w:val="0"/>
                    <w:keepLines w:val="0"/>
                    <w:widowControl/>
                    <w:suppressLineNumbers w:val="0"/>
                    <w:jc w:val="left"/>
                    <w:rPr>
                      <w:rFonts w:hint="eastAsia" w:ascii="宋体" w:hAnsi="宋体" w:eastAsia="宋体" w:cs="宋体"/>
                      <w:color w:val="auto"/>
                      <w:kern w:val="0"/>
                      <w:sz w:val="20"/>
                      <w:szCs w:val="20"/>
                      <w:lang w:val="en-US" w:eastAsia="zh-CN" w:bidi="ar"/>
                    </w:rPr>
                  </w:pPr>
                </w:p>
              </w:tc>
            </w:tr>
          </w:tbl>
          <w:p>
            <w:pPr>
              <w:keepNext w:val="0"/>
              <w:keepLines w:val="0"/>
              <w:widowControl/>
              <w:suppressLineNumbers w:val="0"/>
              <w:jc w:val="left"/>
              <w:rPr>
                <w:color w:val="auto"/>
              </w:rPr>
            </w:pPr>
          </w:p>
          <w:p>
            <w:pPr>
              <w:keepNext w:val="0"/>
              <w:keepLines w:val="0"/>
              <w:widowControl/>
              <w:suppressLineNumbers w:val="0"/>
              <w:spacing w:line="360" w:lineRule="auto"/>
              <w:jc w:val="left"/>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w:t>
            </w:r>
            <w:r>
              <w:rPr>
                <w:rFonts w:hint="eastAsia" w:ascii="宋体" w:hAnsi="宋体" w:cs="宋体"/>
                <w:b w:val="0"/>
                <w:bCs w:val="0"/>
                <w:color w:val="auto"/>
                <w:kern w:val="0"/>
                <w:sz w:val="24"/>
                <w:szCs w:val="24"/>
                <w:lang w:val="en-US" w:eastAsia="zh-CN" w:bidi="ar"/>
              </w:rPr>
              <w:t>0</w:t>
            </w:r>
            <w:r>
              <w:rPr>
                <w:rFonts w:hint="eastAsia" w:ascii="宋体" w:hAnsi="宋体" w:eastAsia="宋体" w:cs="宋体"/>
                <w:b w:val="0"/>
                <w:bCs w:val="0"/>
                <w:color w:val="auto"/>
                <w:kern w:val="0"/>
                <w:sz w:val="24"/>
                <w:szCs w:val="24"/>
                <w:lang w:val="en-US" w:eastAsia="zh-CN" w:bidi="ar"/>
              </w:rPr>
              <w:t xml:space="preserve">、与《重点行业挥发性有机物治理环境管理技术规范》第 </w:t>
            </w:r>
            <w:r>
              <w:rPr>
                <w:rFonts w:hint="default" w:ascii="宋体" w:hAnsi="宋体" w:eastAsia="宋体" w:cs="宋体"/>
                <w:b w:val="0"/>
                <w:bCs w:val="0"/>
                <w:color w:val="auto"/>
                <w:kern w:val="0"/>
                <w:sz w:val="24"/>
                <w:szCs w:val="24"/>
                <w:lang w:val="en-US" w:eastAsia="zh-CN" w:bidi="ar"/>
              </w:rPr>
              <w:t xml:space="preserve">9 </w:t>
            </w:r>
            <w:r>
              <w:rPr>
                <w:rFonts w:hint="eastAsia" w:ascii="宋体" w:hAnsi="宋体" w:eastAsia="宋体" w:cs="宋体"/>
                <w:b w:val="0"/>
                <w:bCs w:val="0"/>
                <w:color w:val="auto"/>
                <w:kern w:val="0"/>
                <w:sz w:val="24"/>
                <w:szCs w:val="24"/>
                <w:lang w:val="en-US" w:eastAsia="zh-CN" w:bidi="ar"/>
              </w:rPr>
              <w:t xml:space="preserve">部分： </w:t>
            </w:r>
          </w:p>
          <w:p>
            <w:pPr>
              <w:keepNext w:val="0"/>
              <w:keepLines w:val="0"/>
              <w:widowControl/>
              <w:suppressLineNumbers w:val="0"/>
              <w:spacing w:line="360" w:lineRule="auto"/>
              <w:jc w:val="left"/>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塑料制品业（</w:t>
            </w:r>
            <w:r>
              <w:rPr>
                <w:rFonts w:hint="default" w:ascii="宋体" w:hAnsi="宋体" w:eastAsia="宋体" w:cs="宋体"/>
                <w:b w:val="0"/>
                <w:bCs w:val="0"/>
                <w:color w:val="auto"/>
                <w:kern w:val="0"/>
                <w:sz w:val="24"/>
                <w:szCs w:val="24"/>
                <w:lang w:val="en-US" w:eastAsia="zh-CN" w:bidi="ar"/>
              </w:rPr>
              <w:t>DB34/T4230.9-2022</w:t>
            </w:r>
            <w:r>
              <w:rPr>
                <w:rFonts w:hint="eastAsia" w:ascii="宋体" w:hAnsi="宋体" w:eastAsia="宋体" w:cs="宋体"/>
                <w:b w:val="0"/>
                <w:bCs w:val="0"/>
                <w:color w:val="auto"/>
                <w:kern w:val="0"/>
                <w:sz w:val="24"/>
                <w:szCs w:val="24"/>
                <w:lang w:val="en-US" w:eastAsia="zh-CN" w:bidi="ar"/>
              </w:rPr>
              <w:t>）的相符性分析</w:t>
            </w:r>
          </w:p>
          <w:p>
            <w:pPr>
              <w:keepNext w:val="0"/>
              <w:keepLines w:val="0"/>
              <w:widowControl/>
              <w:suppressLineNumbers w:val="0"/>
              <w:spacing w:line="360" w:lineRule="auto"/>
              <w:jc w:val="center"/>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表</w:t>
            </w:r>
            <w:r>
              <w:rPr>
                <w:rFonts w:hint="default" w:ascii="宋体" w:hAnsi="宋体" w:eastAsia="宋体" w:cs="宋体"/>
                <w:b w:val="0"/>
                <w:bCs w:val="0"/>
                <w:color w:val="auto"/>
                <w:kern w:val="0"/>
                <w:sz w:val="24"/>
                <w:szCs w:val="24"/>
                <w:lang w:val="en-US" w:eastAsia="zh-CN" w:bidi="ar"/>
              </w:rPr>
              <w:t xml:space="preserve">1-11 </w:t>
            </w:r>
            <w:r>
              <w:rPr>
                <w:rFonts w:hint="eastAsia" w:ascii="宋体" w:hAnsi="宋体" w:eastAsia="宋体" w:cs="宋体"/>
                <w:b w:val="0"/>
                <w:bCs w:val="0"/>
                <w:color w:val="auto"/>
                <w:kern w:val="0"/>
                <w:sz w:val="24"/>
                <w:szCs w:val="24"/>
                <w:lang w:val="en-US" w:eastAsia="zh-CN" w:bidi="ar"/>
              </w:rPr>
              <w:t>项目与（</w:t>
            </w:r>
            <w:r>
              <w:rPr>
                <w:rFonts w:hint="default" w:ascii="宋体" w:hAnsi="宋体" w:eastAsia="宋体" w:cs="宋体"/>
                <w:b w:val="0"/>
                <w:bCs w:val="0"/>
                <w:color w:val="auto"/>
                <w:kern w:val="0"/>
                <w:sz w:val="24"/>
                <w:szCs w:val="24"/>
                <w:lang w:val="en-US" w:eastAsia="zh-CN" w:bidi="ar"/>
              </w:rPr>
              <w:t>DB34/T4230.9-2022</w:t>
            </w:r>
            <w:r>
              <w:rPr>
                <w:rFonts w:hint="eastAsia" w:ascii="宋体" w:hAnsi="宋体" w:eastAsia="宋体" w:cs="宋体"/>
                <w:b w:val="0"/>
                <w:bCs w:val="0"/>
                <w:color w:val="auto"/>
                <w:kern w:val="0"/>
                <w:sz w:val="24"/>
                <w:szCs w:val="24"/>
                <w:lang w:val="en-US" w:eastAsia="zh-CN" w:bidi="ar"/>
              </w:rPr>
              <w:t>）文件相符性分析一览表</w:t>
            </w:r>
          </w:p>
          <w:tbl>
            <w:tblPr>
              <w:tblStyle w:val="37"/>
              <w:tblW w:w="7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4219"/>
              <w:gridCol w:w="1808"/>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4853" w:type="dxa"/>
                  <w:gridSpan w:val="2"/>
                  <w:vAlign w:val="center"/>
                </w:tcPr>
                <w:p>
                  <w:pPr>
                    <w:keepNext w:val="0"/>
                    <w:keepLines w:val="0"/>
                    <w:widowControl/>
                    <w:suppressLineNumbers w:val="0"/>
                    <w:jc w:val="center"/>
                    <w:rPr>
                      <w:rFonts w:hint="eastAsia" w:eastAsia="宋体"/>
                      <w:color w:val="auto"/>
                      <w:vertAlign w:val="baseline"/>
                      <w:lang w:eastAsia="zh-CN"/>
                    </w:rPr>
                  </w:pPr>
                  <w:r>
                    <w:rPr>
                      <w:rFonts w:hint="eastAsia"/>
                      <w:color w:val="auto"/>
                      <w:vertAlign w:val="baseline"/>
                      <w:lang w:eastAsia="zh-CN"/>
                    </w:rPr>
                    <w:t>文件内容</w:t>
                  </w:r>
                </w:p>
              </w:tc>
              <w:tc>
                <w:tcPr>
                  <w:tcW w:w="1808" w:type="dxa"/>
                  <w:vAlign w:val="center"/>
                </w:tcPr>
                <w:p>
                  <w:pPr>
                    <w:keepNext w:val="0"/>
                    <w:keepLines w:val="0"/>
                    <w:widowControl/>
                    <w:suppressLineNumbers w:val="0"/>
                    <w:jc w:val="center"/>
                    <w:rPr>
                      <w:color w:val="auto"/>
                      <w:vertAlign w:val="baseline"/>
                    </w:rPr>
                  </w:pPr>
                  <w:r>
                    <w:rPr>
                      <w:rFonts w:hint="eastAsia" w:ascii="宋体" w:hAnsi="宋体" w:eastAsia="宋体" w:cs="宋体"/>
                      <w:color w:val="auto"/>
                      <w:kern w:val="0"/>
                      <w:sz w:val="20"/>
                      <w:szCs w:val="20"/>
                      <w:lang w:val="en-US" w:eastAsia="zh-CN" w:bidi="ar"/>
                    </w:rPr>
                    <w:t>本项目情况</w:t>
                  </w:r>
                </w:p>
              </w:tc>
              <w:tc>
                <w:tcPr>
                  <w:tcW w:w="718" w:type="dxa"/>
                </w:tcPr>
                <w:p>
                  <w:pPr>
                    <w:keepNext w:val="0"/>
                    <w:keepLines w:val="0"/>
                    <w:widowControl/>
                    <w:suppressLineNumbers w:val="0"/>
                    <w:jc w:val="center"/>
                    <w:rPr>
                      <w:color w:val="auto"/>
                      <w:vertAlign w:val="baseline"/>
                    </w:rPr>
                  </w:pPr>
                  <w:r>
                    <w:rPr>
                      <w:rFonts w:hint="eastAsia" w:ascii="宋体" w:hAnsi="宋体" w:cs="宋体"/>
                      <w:color w:val="auto"/>
                      <w:sz w:val="22"/>
                      <w:szCs w:val="22"/>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trPr>
              <w:tc>
                <w:tcPr>
                  <w:tcW w:w="634" w:type="dxa"/>
                  <w:vAlign w:val="center"/>
                </w:tcPr>
                <w:p>
                  <w:pPr>
                    <w:keepNext w:val="0"/>
                    <w:keepLines w:val="0"/>
                    <w:widowControl/>
                    <w:suppressLineNumbers w:val="0"/>
                    <w:jc w:val="left"/>
                    <w:rPr>
                      <w:color w:val="auto"/>
                      <w:vertAlign w:val="baseline"/>
                    </w:rPr>
                  </w:pPr>
                  <w:r>
                    <w:rPr>
                      <w:rFonts w:hint="eastAsia" w:ascii="宋体" w:hAnsi="宋体" w:eastAsia="宋体" w:cs="宋体"/>
                      <w:color w:val="auto"/>
                      <w:kern w:val="0"/>
                      <w:sz w:val="20"/>
                      <w:szCs w:val="20"/>
                      <w:lang w:val="en-US" w:eastAsia="zh-CN" w:bidi="ar"/>
                    </w:rPr>
                    <w:t>源头削减</w:t>
                  </w:r>
                </w:p>
              </w:tc>
              <w:tc>
                <w:tcPr>
                  <w:tcW w:w="4219" w:type="dxa"/>
                  <w:vAlign w:val="center"/>
                </w:tcPr>
                <w:p>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1</w:t>
                  </w:r>
                  <w:r>
                    <w:rPr>
                      <w:rFonts w:hint="eastAsia" w:ascii="宋体" w:hAnsi="宋体" w:eastAsia="宋体" w:cs="宋体"/>
                      <w:color w:val="auto"/>
                      <w:kern w:val="0"/>
                      <w:sz w:val="20"/>
                      <w:szCs w:val="20"/>
                      <w:lang w:val="en-US" w:eastAsia="zh-CN" w:bidi="ar"/>
                    </w:rPr>
                    <w:t xml:space="preserve">、塑料制品拆料、配料和投料过程宜采用自动化管道化密闭技术。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2</w:t>
                  </w:r>
                  <w:r>
                    <w:rPr>
                      <w:rFonts w:hint="eastAsia" w:ascii="宋体" w:hAnsi="宋体" w:eastAsia="宋体" w:cs="宋体"/>
                      <w:color w:val="auto"/>
                      <w:kern w:val="0"/>
                      <w:sz w:val="20"/>
                      <w:szCs w:val="20"/>
                      <w:lang w:val="en-US" w:eastAsia="zh-CN" w:bidi="ar"/>
                    </w:rPr>
                    <w:t xml:space="preserve">、废塑料造粒产品冷却工艺宜采用水冷替代技术。 </w:t>
                  </w:r>
                </w:p>
                <w:p>
                  <w:pPr>
                    <w:keepNext w:val="0"/>
                    <w:keepLines w:val="0"/>
                    <w:widowControl/>
                    <w:suppressLineNumbers w:val="0"/>
                    <w:jc w:val="left"/>
                    <w:rPr>
                      <w:color w:val="auto"/>
                      <w:vertAlign w:val="baseline"/>
                    </w:rPr>
                  </w:pPr>
                  <w:r>
                    <w:rPr>
                      <w:rFonts w:hint="default" w:ascii="Times New Roman" w:hAnsi="Times New Roman" w:eastAsia="宋体" w:cs="Times New Roman"/>
                      <w:color w:val="auto"/>
                      <w:kern w:val="0"/>
                      <w:sz w:val="20"/>
                      <w:szCs w:val="20"/>
                      <w:lang w:val="en-US" w:eastAsia="zh-CN" w:bidi="ar"/>
                    </w:rPr>
                    <w:t>3</w:t>
                  </w:r>
                  <w:r>
                    <w:rPr>
                      <w:rFonts w:hint="eastAsia" w:ascii="宋体" w:hAnsi="宋体" w:eastAsia="宋体" w:cs="宋体"/>
                      <w:color w:val="auto"/>
                      <w:kern w:val="0"/>
                      <w:sz w:val="20"/>
                      <w:szCs w:val="20"/>
                      <w:lang w:val="en-US" w:eastAsia="zh-CN" w:bidi="ar"/>
                    </w:rPr>
                    <w:t>、挥发及半挥发性助剂应按照化工行业储存标准密闭储存，涉及大宗有机物料使用的应采用储罐存储，优先考虑管道输送。</w:t>
                  </w:r>
                </w:p>
              </w:tc>
              <w:tc>
                <w:tcPr>
                  <w:tcW w:w="1808" w:type="dxa"/>
                  <w:vAlign w:val="center"/>
                </w:tcPr>
                <w:p>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项目</w:t>
                  </w:r>
                  <w:r>
                    <w:rPr>
                      <w:rFonts w:hint="eastAsia" w:ascii="宋体" w:hAnsi="宋体" w:cs="宋体"/>
                      <w:color w:val="auto"/>
                      <w:kern w:val="0"/>
                      <w:sz w:val="20"/>
                      <w:szCs w:val="20"/>
                      <w:lang w:val="en-US" w:eastAsia="zh-CN" w:bidi="ar"/>
                    </w:rPr>
                    <w:t>塑料制品生产</w:t>
                  </w:r>
                  <w:r>
                    <w:rPr>
                      <w:rFonts w:hint="eastAsia" w:ascii="宋体" w:hAnsi="宋体" w:eastAsia="宋体" w:cs="宋体"/>
                      <w:color w:val="auto"/>
                      <w:kern w:val="0"/>
                      <w:sz w:val="20"/>
                      <w:szCs w:val="20"/>
                      <w:lang w:val="en-US" w:eastAsia="zh-CN" w:bidi="ar"/>
                    </w:rPr>
                    <w:t>不使用粉状料，生产过程使用循环水冷却工艺；</w:t>
                  </w:r>
                </w:p>
                <w:p>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项目不使用油墨、</w:t>
                  </w:r>
                </w:p>
                <w:p>
                  <w:pPr>
                    <w:keepNext w:val="0"/>
                    <w:keepLines w:val="0"/>
                    <w:widowControl/>
                    <w:suppressLineNumbers w:val="0"/>
                    <w:jc w:val="center"/>
                    <w:rPr>
                      <w:color w:val="auto"/>
                      <w:vertAlign w:val="baseline"/>
                    </w:rPr>
                  </w:pPr>
                  <w:r>
                    <w:rPr>
                      <w:rFonts w:hint="eastAsia" w:ascii="宋体" w:hAnsi="宋体" w:eastAsia="宋体" w:cs="宋体"/>
                      <w:color w:val="auto"/>
                      <w:kern w:val="0"/>
                      <w:sz w:val="20"/>
                      <w:szCs w:val="20"/>
                      <w:lang w:val="en-US" w:eastAsia="zh-CN" w:bidi="ar"/>
                    </w:rPr>
                    <w:t>胶黏剂等化学品。</w:t>
                  </w:r>
                </w:p>
              </w:tc>
              <w:tc>
                <w:tcPr>
                  <w:tcW w:w="718" w:type="dxa"/>
                  <w:vAlign w:val="center"/>
                </w:tcPr>
                <w:p>
                  <w:pPr>
                    <w:keepNext w:val="0"/>
                    <w:keepLines w:val="0"/>
                    <w:widowControl/>
                    <w:suppressLineNumbers w:val="0"/>
                    <w:jc w:val="center"/>
                    <w:rPr>
                      <w:color w:val="auto"/>
                      <w:vertAlign w:val="baseline"/>
                    </w:rPr>
                  </w:pPr>
                  <w:r>
                    <w:rPr>
                      <w:rFonts w:hint="eastAsia" w:ascii="宋体" w:hAnsi="宋体" w:eastAsia="宋体" w:cs="宋体"/>
                      <w:color w:val="auto"/>
                      <w:kern w:val="24"/>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8" w:hRule="atLeast"/>
              </w:trPr>
              <w:tc>
                <w:tcPr>
                  <w:tcW w:w="634" w:type="dxa"/>
                  <w:vAlign w:val="center"/>
                </w:tcPr>
                <w:p>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过程控制</w:t>
                  </w:r>
                </w:p>
                <w:p>
                  <w:pPr>
                    <w:keepNext w:val="0"/>
                    <w:keepLines w:val="0"/>
                    <w:widowControl/>
                    <w:suppressLineNumbers w:val="0"/>
                    <w:jc w:val="center"/>
                    <w:rPr>
                      <w:rFonts w:hint="eastAsia" w:ascii="宋体" w:hAnsi="宋体" w:eastAsia="宋体" w:cs="宋体"/>
                      <w:color w:val="auto"/>
                      <w:kern w:val="0"/>
                      <w:sz w:val="20"/>
                      <w:szCs w:val="20"/>
                      <w:lang w:val="en-US" w:eastAsia="zh-CN" w:bidi="ar"/>
                    </w:rPr>
                  </w:pPr>
                </w:p>
              </w:tc>
              <w:tc>
                <w:tcPr>
                  <w:tcW w:w="4219" w:type="dxa"/>
                  <w:vAlign w:val="center"/>
                </w:tcPr>
                <w:p>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1</w:t>
                  </w:r>
                  <w:r>
                    <w:rPr>
                      <w:rFonts w:hint="eastAsia" w:ascii="宋体" w:hAnsi="宋体" w:eastAsia="宋体" w:cs="宋体"/>
                      <w:color w:val="auto"/>
                      <w:kern w:val="0"/>
                      <w:sz w:val="20"/>
                      <w:szCs w:val="20"/>
                      <w:lang w:val="en-US" w:eastAsia="zh-CN" w:bidi="ar"/>
                    </w:rPr>
                    <w:t xml:space="preserve">、废气收集系统应与生产设备同步运行，当发生故障维修时，应同步停止生产设备的运行。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2</w:t>
                  </w:r>
                  <w:r>
                    <w:rPr>
                      <w:rFonts w:hint="eastAsia" w:ascii="宋体" w:hAnsi="宋体" w:eastAsia="宋体" w:cs="宋体"/>
                      <w:color w:val="auto"/>
                      <w:kern w:val="0"/>
                      <w:sz w:val="20"/>
                      <w:szCs w:val="20"/>
                      <w:lang w:val="en-US" w:eastAsia="zh-CN" w:bidi="ar"/>
                    </w:rPr>
                    <w:t>、尽可能采用</w:t>
                  </w:r>
                  <w:r>
                    <w:rPr>
                      <w:rFonts w:hint="default" w:ascii="Times New Roman" w:hAnsi="Times New Roman" w:eastAsia="宋体" w:cs="Times New Roman"/>
                      <w:color w:val="auto"/>
                      <w:kern w:val="0"/>
                      <w:sz w:val="20"/>
                      <w:szCs w:val="20"/>
                      <w:lang w:val="en-US" w:eastAsia="zh-CN" w:bidi="ar"/>
                    </w:rPr>
                    <w:t>“</w:t>
                  </w:r>
                  <w:r>
                    <w:rPr>
                      <w:rFonts w:hint="eastAsia" w:ascii="宋体" w:hAnsi="宋体" w:eastAsia="宋体" w:cs="宋体"/>
                      <w:color w:val="auto"/>
                      <w:kern w:val="0"/>
                      <w:sz w:val="20"/>
                      <w:szCs w:val="20"/>
                      <w:lang w:val="en-US" w:eastAsia="zh-CN" w:bidi="ar"/>
                    </w:rPr>
                    <w:t>减风增浓、密闭操作</w:t>
                  </w:r>
                  <w:r>
                    <w:rPr>
                      <w:rFonts w:hint="default" w:ascii="Times New Roman" w:hAnsi="Times New Roman" w:eastAsia="宋体" w:cs="Times New Roman"/>
                      <w:color w:val="auto"/>
                      <w:kern w:val="0"/>
                      <w:sz w:val="20"/>
                      <w:szCs w:val="20"/>
                      <w:lang w:val="en-US" w:eastAsia="zh-CN" w:bidi="ar"/>
                    </w:rPr>
                    <w:t>”</w:t>
                  </w:r>
                  <w:r>
                    <w:rPr>
                      <w:rFonts w:hint="eastAsia" w:ascii="宋体" w:hAnsi="宋体" w:eastAsia="宋体" w:cs="宋体"/>
                      <w:color w:val="auto"/>
                      <w:kern w:val="0"/>
                      <w:sz w:val="20"/>
                      <w:szCs w:val="20"/>
                      <w:lang w:val="en-US" w:eastAsia="zh-CN" w:bidi="ar"/>
                    </w:rPr>
                    <w:t xml:space="preserve">，提高设备的密闭性。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3</w:t>
                  </w:r>
                  <w:r>
                    <w:rPr>
                      <w:rFonts w:hint="eastAsia" w:ascii="宋体" w:hAnsi="宋体" w:eastAsia="宋体" w:cs="宋体"/>
                      <w:color w:val="auto"/>
                      <w:kern w:val="0"/>
                      <w:sz w:val="20"/>
                      <w:szCs w:val="20"/>
                      <w:lang w:val="en-US" w:eastAsia="zh-CN" w:bidi="ar"/>
                    </w:rPr>
                    <w:t xml:space="preserve">、采用车间整体密闭换风的，换风次数原则上不少于 </w:t>
                  </w:r>
                  <w:r>
                    <w:rPr>
                      <w:rFonts w:hint="default" w:ascii="Times New Roman" w:hAnsi="Times New Roman" w:eastAsia="宋体" w:cs="Times New Roman"/>
                      <w:color w:val="auto"/>
                      <w:kern w:val="0"/>
                      <w:sz w:val="20"/>
                      <w:szCs w:val="20"/>
                      <w:lang w:val="en-US" w:eastAsia="zh-CN" w:bidi="ar"/>
                    </w:rPr>
                    <w:t xml:space="preserve">8 </w:t>
                  </w:r>
                  <w:r>
                    <w:rPr>
                      <w:rFonts w:hint="eastAsia" w:ascii="宋体" w:hAnsi="宋体" w:eastAsia="宋体" w:cs="宋体"/>
                      <w:color w:val="auto"/>
                      <w:kern w:val="0"/>
                      <w:sz w:val="20"/>
                      <w:szCs w:val="20"/>
                      <w:lang w:val="en-US" w:eastAsia="zh-CN" w:bidi="ar"/>
                    </w:rPr>
                    <w:t>次</w:t>
                  </w:r>
                  <w:r>
                    <w:rPr>
                      <w:rFonts w:hint="default" w:ascii="Times New Roman" w:hAnsi="Times New Roman" w:eastAsia="宋体" w:cs="Times New Roman"/>
                      <w:color w:val="auto"/>
                      <w:kern w:val="0"/>
                      <w:sz w:val="20"/>
                      <w:szCs w:val="20"/>
                      <w:lang w:val="en-US" w:eastAsia="zh-CN" w:bidi="ar"/>
                    </w:rPr>
                    <w:t>/h</w:t>
                  </w:r>
                  <w:r>
                    <w:rPr>
                      <w:rFonts w:hint="eastAsia" w:ascii="宋体" w:hAnsi="宋体" w:eastAsia="宋体" w:cs="宋体"/>
                      <w:color w:val="auto"/>
                      <w:kern w:val="0"/>
                      <w:sz w:val="20"/>
                      <w:szCs w:val="20"/>
                      <w:lang w:val="en-US" w:eastAsia="zh-CN" w:bidi="ar"/>
                    </w:rPr>
                    <w:t xml:space="preserve">；采用上吸罩收集废气的，排风罩设计应满足 </w:t>
                  </w:r>
                  <w:r>
                    <w:rPr>
                      <w:rFonts w:hint="default" w:ascii="Times New Roman" w:hAnsi="Times New Roman" w:eastAsia="宋体" w:cs="Times New Roman"/>
                      <w:color w:val="auto"/>
                      <w:kern w:val="0"/>
                      <w:sz w:val="20"/>
                      <w:szCs w:val="20"/>
                      <w:lang w:val="en-US" w:eastAsia="zh-CN" w:bidi="ar"/>
                    </w:rPr>
                    <w:t xml:space="preserve">GB/T16758 </w:t>
                  </w:r>
                  <w:r>
                    <w:rPr>
                      <w:rFonts w:hint="eastAsia" w:ascii="宋体" w:hAnsi="宋体" w:eastAsia="宋体" w:cs="宋体"/>
                      <w:color w:val="auto"/>
                      <w:kern w:val="0"/>
                      <w:sz w:val="20"/>
                      <w:szCs w:val="20"/>
                      <w:lang w:val="en-US" w:eastAsia="zh-CN" w:bidi="ar"/>
                    </w:rPr>
                    <w:t>的要求</w:t>
                  </w:r>
                  <w:r>
                    <w:rPr>
                      <w:rFonts w:hint="default" w:ascii="Times New Roman" w:hAnsi="Times New Roman" w:eastAsia="宋体" w:cs="Times New Roman"/>
                      <w:color w:val="auto"/>
                      <w:kern w:val="0"/>
                      <w:sz w:val="20"/>
                      <w:szCs w:val="20"/>
                      <w:lang w:val="en-US" w:eastAsia="zh-CN" w:bidi="ar"/>
                    </w:rPr>
                    <w:t>;</w:t>
                  </w:r>
                  <w:r>
                    <w:rPr>
                      <w:rFonts w:hint="eastAsia" w:ascii="宋体" w:hAnsi="宋体" w:eastAsia="宋体" w:cs="宋体"/>
                      <w:color w:val="auto"/>
                      <w:kern w:val="0"/>
                      <w:sz w:val="20"/>
                      <w:szCs w:val="20"/>
                      <w:lang w:val="en-US" w:eastAsia="zh-CN" w:bidi="ar"/>
                    </w:rPr>
                    <w:t xml:space="preserve">采用外部排风罩的，应按 </w:t>
                  </w:r>
                  <w:r>
                    <w:rPr>
                      <w:rFonts w:hint="default" w:ascii="Times New Roman" w:hAnsi="Times New Roman" w:eastAsia="宋体" w:cs="Times New Roman"/>
                      <w:color w:val="auto"/>
                      <w:kern w:val="0"/>
                      <w:sz w:val="20"/>
                      <w:szCs w:val="20"/>
                      <w:lang w:val="en-US" w:eastAsia="zh-CN" w:bidi="ar"/>
                    </w:rPr>
                    <w:t>GB/T16758</w:t>
                  </w:r>
                  <w:r>
                    <w:rPr>
                      <w:rFonts w:hint="eastAsia" w:ascii="宋体" w:hAnsi="宋体" w:eastAsia="宋体" w:cs="宋体"/>
                      <w:color w:val="auto"/>
                      <w:kern w:val="0"/>
                      <w:sz w:val="20"/>
                      <w:szCs w:val="20"/>
                      <w:lang w:val="en-US" w:eastAsia="zh-CN" w:bidi="ar"/>
                    </w:rPr>
                    <w:t>、</w:t>
                  </w:r>
                  <w:r>
                    <w:rPr>
                      <w:rFonts w:hint="default" w:ascii="Times New Roman" w:hAnsi="Times New Roman" w:eastAsia="宋体" w:cs="Times New Roman"/>
                      <w:color w:val="auto"/>
                      <w:kern w:val="0"/>
                      <w:sz w:val="20"/>
                      <w:szCs w:val="20"/>
                      <w:lang w:val="en-US" w:eastAsia="zh-CN" w:bidi="ar"/>
                    </w:rPr>
                    <w:t xml:space="preserve">AQ/T4274 </w:t>
                  </w:r>
                  <w:r>
                    <w:rPr>
                      <w:rFonts w:hint="eastAsia" w:ascii="宋体" w:hAnsi="宋体" w:eastAsia="宋体" w:cs="宋体"/>
                      <w:color w:val="auto"/>
                      <w:kern w:val="0"/>
                      <w:sz w:val="20"/>
                      <w:szCs w:val="20"/>
                      <w:lang w:val="en-US" w:eastAsia="zh-CN" w:bidi="ar"/>
                    </w:rPr>
                    <w:t xml:space="preserve">规定的方法测量控制风速。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4</w:t>
                  </w:r>
                  <w:r>
                    <w:rPr>
                      <w:rFonts w:hint="eastAsia" w:ascii="宋体" w:hAnsi="宋体" w:eastAsia="宋体" w:cs="宋体"/>
                      <w:color w:val="auto"/>
                      <w:kern w:val="0"/>
                      <w:sz w:val="20"/>
                      <w:szCs w:val="20"/>
                      <w:lang w:val="en-US" w:eastAsia="zh-CN" w:bidi="ar"/>
                    </w:rPr>
                    <w:t xml:space="preserve">、废气收集系统宜在负压下运行，若处于正压状态，应对输送管道组件的密封点进行泄漏检测，泄漏检测值不应超过 </w:t>
                  </w:r>
                  <w:r>
                    <w:rPr>
                      <w:rFonts w:hint="default" w:ascii="Times New Roman" w:hAnsi="Times New Roman" w:eastAsia="宋体" w:cs="Times New Roman"/>
                      <w:color w:val="auto"/>
                      <w:kern w:val="0"/>
                      <w:sz w:val="20"/>
                      <w:szCs w:val="20"/>
                      <w:lang w:val="en-US" w:eastAsia="zh-CN" w:bidi="ar"/>
                    </w:rPr>
                    <w:t>500 umol/mol</w:t>
                  </w:r>
                  <w:r>
                    <w:rPr>
                      <w:rFonts w:hint="eastAsia" w:ascii="宋体" w:hAnsi="宋体" w:eastAsia="宋体" w:cs="宋体"/>
                      <w:color w:val="auto"/>
                      <w:kern w:val="0"/>
                      <w:sz w:val="20"/>
                      <w:szCs w:val="20"/>
                      <w:lang w:val="en-US" w:eastAsia="zh-CN" w:bidi="ar"/>
                    </w:rPr>
                    <w:t xml:space="preserve">。废气收集的管路系统宜设置用于调节风量平衡的调 </w:t>
                  </w:r>
                </w:p>
                <w:p>
                  <w:pPr>
                    <w:keepNext w:val="0"/>
                    <w:keepLines w:val="0"/>
                    <w:widowControl/>
                    <w:suppressLineNumbers w:val="0"/>
                    <w:jc w:val="left"/>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节阀门。</w:t>
                  </w:r>
                </w:p>
              </w:tc>
              <w:tc>
                <w:tcPr>
                  <w:tcW w:w="1808" w:type="dxa"/>
                  <w:vAlign w:val="center"/>
                </w:tcPr>
                <w:p>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项目生产过程要</w:t>
                  </w:r>
                </w:p>
                <w:p>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废气收集系统与</w:t>
                  </w:r>
                </w:p>
                <w:p>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产设备同步运行，</w:t>
                  </w:r>
                </w:p>
                <w:p>
                  <w:pPr>
                    <w:keepNext w:val="0"/>
                    <w:keepLines w:val="0"/>
                    <w:widowControl/>
                    <w:suppressLineNumbers w:val="0"/>
                    <w:jc w:val="center"/>
                    <w:rPr>
                      <w:color w:val="auto"/>
                      <w:vertAlign w:val="baseline"/>
                    </w:rPr>
                  </w:pPr>
                  <w:r>
                    <w:rPr>
                      <w:rFonts w:hint="eastAsia" w:ascii="宋体" w:hAnsi="宋体" w:eastAsia="宋体" w:cs="宋体"/>
                      <w:color w:val="auto"/>
                      <w:kern w:val="0"/>
                      <w:sz w:val="20"/>
                      <w:szCs w:val="20"/>
                      <w:lang w:val="en-US" w:eastAsia="zh-CN" w:bidi="ar"/>
                    </w:rPr>
                    <w:t>发生故障维修时，同步停止生产设备的运行；项目生产废气收集均采用集气罩收集</w:t>
                  </w:r>
                </w:p>
              </w:tc>
              <w:tc>
                <w:tcPr>
                  <w:tcW w:w="718" w:type="dxa"/>
                  <w:vAlign w:val="center"/>
                </w:tcPr>
                <w:p>
                  <w:pPr>
                    <w:keepNext w:val="0"/>
                    <w:keepLines w:val="0"/>
                    <w:widowControl/>
                    <w:suppressLineNumbers w:val="0"/>
                    <w:jc w:val="center"/>
                    <w:rPr>
                      <w:color w:val="auto"/>
                      <w:vertAlign w:val="baseline"/>
                    </w:rPr>
                  </w:pPr>
                  <w:r>
                    <w:rPr>
                      <w:rFonts w:hint="eastAsia" w:ascii="宋体" w:hAnsi="宋体" w:eastAsia="宋体" w:cs="宋体"/>
                      <w:color w:val="auto"/>
                      <w:kern w:val="24"/>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634" w:type="dxa"/>
                  <w:vAlign w:val="center"/>
                </w:tcPr>
                <w:p>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末端治理</w:t>
                  </w:r>
                </w:p>
                <w:p>
                  <w:pPr>
                    <w:keepNext w:val="0"/>
                    <w:keepLines w:val="0"/>
                    <w:widowControl/>
                    <w:suppressLineNumbers w:val="0"/>
                    <w:jc w:val="center"/>
                    <w:rPr>
                      <w:rFonts w:hint="eastAsia" w:ascii="宋体" w:hAnsi="宋体" w:eastAsia="宋体" w:cs="宋体"/>
                      <w:color w:val="auto"/>
                      <w:kern w:val="0"/>
                      <w:sz w:val="20"/>
                      <w:szCs w:val="20"/>
                      <w:lang w:val="en-US" w:eastAsia="zh-CN" w:bidi="ar"/>
                    </w:rPr>
                  </w:pPr>
                </w:p>
              </w:tc>
              <w:tc>
                <w:tcPr>
                  <w:tcW w:w="4219" w:type="dxa"/>
                  <w:vAlign w:val="center"/>
                </w:tcPr>
                <w:p>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1</w:t>
                  </w:r>
                  <w:r>
                    <w:rPr>
                      <w:rFonts w:hint="eastAsia" w:ascii="宋体" w:hAnsi="宋体" w:eastAsia="宋体" w:cs="宋体"/>
                      <w:color w:val="auto"/>
                      <w:kern w:val="0"/>
                      <w:sz w:val="20"/>
                      <w:szCs w:val="20"/>
                      <w:lang w:val="en-US" w:eastAsia="zh-CN" w:bidi="ar"/>
                    </w:rPr>
                    <w:t>、工艺过程废气应收集后排入废气处理系统处理。</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2</w:t>
                  </w:r>
                  <w:r>
                    <w:rPr>
                      <w:rFonts w:hint="eastAsia" w:ascii="宋体" w:hAnsi="宋体" w:eastAsia="宋体" w:cs="宋体"/>
                      <w:color w:val="auto"/>
                      <w:kern w:val="0"/>
                      <w:sz w:val="20"/>
                      <w:szCs w:val="20"/>
                      <w:lang w:val="en-US" w:eastAsia="zh-CN" w:bidi="ar"/>
                    </w:rPr>
                    <w:t>、宜采用吸附、燃烧、喷淋吸收、生物、臭氧</w:t>
                  </w:r>
                </w:p>
                <w:p>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氧化、光氧化、等离子等技术</w:t>
                  </w:r>
                  <w:r>
                    <w:rPr>
                      <w:rFonts w:hint="default" w:ascii="Times New Roman" w:hAnsi="Times New Roman" w:eastAsia="宋体" w:cs="Times New Roman"/>
                      <w:color w:val="auto"/>
                      <w:kern w:val="0"/>
                      <w:sz w:val="20"/>
                      <w:szCs w:val="20"/>
                      <w:lang w:val="en-US" w:eastAsia="zh-CN" w:bidi="ar"/>
                    </w:rPr>
                    <w:t>;</w:t>
                  </w:r>
                  <w:r>
                    <w:rPr>
                      <w:rFonts w:hint="eastAsia" w:ascii="宋体" w:hAnsi="宋体" w:eastAsia="宋体" w:cs="宋体"/>
                      <w:color w:val="auto"/>
                      <w:kern w:val="0"/>
                      <w:sz w:val="20"/>
                      <w:szCs w:val="20"/>
                      <w:lang w:val="en-US" w:eastAsia="zh-CN" w:bidi="ar"/>
                    </w:rPr>
                    <w:t>中、低浓度有机</w:t>
                  </w:r>
                </w:p>
                <w:p>
                  <w:pPr>
                    <w:keepNext w:val="0"/>
                    <w:keepLines w:val="0"/>
                    <w:widowControl/>
                    <w:suppressLineNumbers w:val="0"/>
                    <w:jc w:val="left"/>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废气宜采用吸附浓缩</w:t>
                  </w:r>
                  <w:r>
                    <w:rPr>
                      <w:rFonts w:hint="default" w:ascii="Times New Roman" w:hAnsi="Times New Roman" w:eastAsia="宋体" w:cs="Times New Roman"/>
                      <w:color w:val="auto"/>
                      <w:kern w:val="0"/>
                      <w:sz w:val="20"/>
                      <w:szCs w:val="20"/>
                      <w:lang w:val="en-US" w:eastAsia="zh-CN" w:bidi="ar"/>
                    </w:rPr>
                    <w:t>―</w:t>
                  </w:r>
                  <w:r>
                    <w:rPr>
                      <w:rFonts w:hint="eastAsia" w:ascii="宋体" w:hAnsi="宋体" w:eastAsia="宋体" w:cs="宋体"/>
                      <w:color w:val="auto"/>
                      <w:kern w:val="0"/>
                      <w:sz w:val="20"/>
                      <w:szCs w:val="20"/>
                      <w:lang w:val="en-US" w:eastAsia="zh-CN" w:bidi="ar"/>
                    </w:rPr>
                    <w:t>燃烧技术处理。</w:t>
                  </w:r>
                </w:p>
              </w:tc>
              <w:tc>
                <w:tcPr>
                  <w:tcW w:w="1808" w:type="dxa"/>
                  <w:vAlign w:val="center"/>
                </w:tcPr>
                <w:p>
                  <w:pPr>
                    <w:keepNext w:val="0"/>
                    <w:keepLines w:val="0"/>
                    <w:widowControl/>
                    <w:suppressLineNumbers w:val="0"/>
                    <w:jc w:val="center"/>
                    <w:rPr>
                      <w:rFonts w:hint="default" w:eastAsia="宋体"/>
                      <w:color w:val="auto"/>
                      <w:vertAlign w:val="baseline"/>
                      <w:lang w:val="en-US" w:eastAsia="zh-CN"/>
                    </w:rPr>
                  </w:pPr>
                  <w:r>
                    <w:rPr>
                      <w:rFonts w:hint="eastAsia"/>
                      <w:color w:val="auto"/>
                      <w:vertAlign w:val="baseline"/>
                      <w:lang w:eastAsia="zh-CN"/>
                    </w:rPr>
                    <w:t>项目废气处理均由集气设施收集后由活性炭吸附</w:t>
                  </w:r>
                  <w:r>
                    <w:rPr>
                      <w:rFonts w:hint="eastAsia"/>
                      <w:color w:val="auto"/>
                      <w:vertAlign w:val="baseline"/>
                      <w:lang w:val="en-US" w:eastAsia="zh-CN"/>
                    </w:rPr>
                    <w:t>/脱附催化燃烧装置处理</w:t>
                  </w:r>
                </w:p>
              </w:tc>
              <w:tc>
                <w:tcPr>
                  <w:tcW w:w="718" w:type="dxa"/>
                  <w:vAlign w:val="center"/>
                </w:tcPr>
                <w:p>
                  <w:pPr>
                    <w:keepNext w:val="0"/>
                    <w:keepLines w:val="0"/>
                    <w:widowControl/>
                    <w:suppressLineNumbers w:val="0"/>
                    <w:jc w:val="center"/>
                    <w:rPr>
                      <w:color w:val="auto"/>
                      <w:vertAlign w:val="baseline"/>
                    </w:rPr>
                  </w:pPr>
                  <w:r>
                    <w:rPr>
                      <w:rFonts w:hint="eastAsia" w:ascii="宋体" w:hAnsi="宋体" w:eastAsia="宋体" w:cs="宋体"/>
                      <w:color w:val="auto"/>
                      <w:kern w:val="24"/>
                      <w:sz w:val="21"/>
                      <w:szCs w:val="21"/>
                      <w:lang w:val="en-US" w:eastAsia="zh-CN" w:bidi="ar-SA"/>
                    </w:rPr>
                    <w:t>符合</w:t>
                  </w:r>
                </w:p>
              </w:tc>
            </w:tr>
          </w:tbl>
          <w:p>
            <w:pPr>
              <w:pStyle w:val="44"/>
              <w:rPr>
                <w:rFonts w:ascii="宋体"/>
                <w:color w:val="auto"/>
                <w:sz w:val="24"/>
                <w:szCs w:val="24"/>
              </w:rPr>
            </w:pPr>
          </w:p>
        </w:tc>
      </w:tr>
    </w:tbl>
    <w:p>
      <w:pPr>
        <w:spacing w:line="360" w:lineRule="auto"/>
        <w:outlineLvl w:val="0"/>
        <w:rPr>
          <w:rFonts w:eastAsia="黑体"/>
          <w:color w:val="auto"/>
          <w:sz w:val="30"/>
          <w:szCs w:val="30"/>
        </w:rPr>
        <w:sectPr>
          <w:footerReference r:id="rId4" w:type="default"/>
          <w:pgSz w:w="11906" w:h="16838"/>
          <w:pgMar w:top="1701" w:right="1531" w:bottom="1276"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3"/>
        <w:jc w:val="center"/>
        <w:outlineLvl w:val="0"/>
        <w:rPr>
          <w:rFonts w:ascii="黑体" w:hAnsi="黑体" w:eastAsia="黑体" w:cs="黑体"/>
          <w:snapToGrid w:val="0"/>
          <w:color w:val="auto"/>
          <w:sz w:val="30"/>
          <w:szCs w:val="30"/>
        </w:rPr>
      </w:pPr>
      <w:r>
        <w:rPr>
          <w:rFonts w:hint="eastAsia" w:ascii="黑体" w:hAnsi="黑体" w:eastAsia="黑体" w:cs="黑体"/>
          <w:snapToGrid w:val="0"/>
          <w:color w:val="auto"/>
          <w:sz w:val="30"/>
          <w:szCs w:val="30"/>
        </w:rPr>
        <w:t>二、建设项目工程分析</w:t>
      </w:r>
      <w:r>
        <w:rPr>
          <w:rFonts w:ascii="黑体" w:hAnsi="黑体" w:eastAsia="黑体" w:cs="黑体"/>
          <w:snapToGrid w:val="0"/>
          <w:color w:val="auto"/>
          <w:sz w:val="30"/>
          <w:szCs w:val="30"/>
        </w:rPr>
        <w:t xml:space="preserve"> </w:t>
      </w:r>
    </w:p>
    <w:tbl>
      <w:tblPr>
        <w:tblStyle w:val="36"/>
        <w:tblW w:w="91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5" w:hRule="atLeast"/>
          <w:jc w:val="center"/>
        </w:trPr>
        <w:tc>
          <w:tcPr>
            <w:tcW w:w="600" w:type="dxa"/>
            <w:tcBorders>
              <w:top w:val="single" w:color="auto" w:sz="8" w:space="0"/>
            </w:tcBorders>
            <w:vAlign w:val="center"/>
          </w:tcPr>
          <w:p>
            <w:pPr>
              <w:pStyle w:val="33"/>
              <w:adjustRightInd w:val="0"/>
              <w:snapToGrid w:val="0"/>
              <w:spacing w:before="0" w:beforeAutospacing="0" w:after="0" w:afterAutospacing="0"/>
              <w:jc w:val="center"/>
              <w:rPr>
                <w:rFonts w:cs="Times New Roman"/>
                <w:color w:val="auto"/>
                <w:sz w:val="21"/>
                <w:szCs w:val="21"/>
              </w:rPr>
            </w:pPr>
            <w:r>
              <w:rPr>
                <w:rFonts w:hint="eastAsia"/>
                <w:color w:val="auto"/>
                <w:kern w:val="2"/>
              </w:rPr>
              <w:t>建设内容</w:t>
            </w:r>
          </w:p>
        </w:tc>
        <w:tc>
          <w:tcPr>
            <w:tcW w:w="8552" w:type="dxa"/>
            <w:tcBorders>
              <w:top w:val="single" w:color="auto" w:sz="8" w:space="0"/>
            </w:tcBorders>
          </w:tcPr>
          <w:p>
            <w:pPr>
              <w:adjustRightInd w:val="0"/>
              <w:snapToGrid w:val="0"/>
              <w:spacing w:beforeLines="100" w:line="360" w:lineRule="auto"/>
              <w:ind w:left="479" w:leftChars="228" w:firstLine="0" w:firstLineChars="0"/>
              <w:jc w:val="left"/>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1、项目由来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highlight w:val="none"/>
                <w:vertAlign w:val="baseline"/>
                <w:lang w:val="en-US" w:eastAsia="zh-CN"/>
              </w:rPr>
            </w:pPr>
            <w:r>
              <w:rPr>
                <w:rFonts w:hint="eastAsia" w:cs="Times New Roman"/>
                <w:color w:val="auto"/>
                <w:sz w:val="24"/>
                <w:lang w:eastAsia="zh-CN"/>
              </w:rPr>
              <w:t>淮北科美特环保科技有限公司</w:t>
            </w:r>
            <w:r>
              <w:rPr>
                <w:rFonts w:hint="eastAsia"/>
                <w:color w:val="auto"/>
                <w:kern w:val="0"/>
                <w:sz w:val="24"/>
                <w:highlight w:val="none"/>
                <w:lang w:eastAsia="zh-CN"/>
              </w:rPr>
              <w:t>位于</w:t>
            </w:r>
            <w:r>
              <w:rPr>
                <w:rFonts w:hint="eastAsia" w:ascii="宋体" w:hAnsi="宋体" w:cs="宋体"/>
                <w:color w:val="auto"/>
                <w:sz w:val="24"/>
                <w:highlight w:val="none"/>
              </w:rPr>
              <w:t>安徽省淮北市烈山区烈山经济开发区南区唐山路智能制造产业园二区4号厂房</w:t>
            </w:r>
            <w:r>
              <w:rPr>
                <w:rFonts w:hint="eastAsia"/>
                <w:color w:val="auto"/>
                <w:sz w:val="24"/>
                <w:highlight w:val="none"/>
                <w:lang w:eastAsia="zh-CN"/>
              </w:rPr>
              <w:t>。项目租赁</w:t>
            </w:r>
            <w:r>
              <w:rPr>
                <w:rFonts w:hint="eastAsia" w:cs="Times New Roman"/>
                <w:color w:val="auto"/>
                <w:sz w:val="24"/>
                <w:lang w:val="en-US" w:eastAsia="zh-CN"/>
              </w:rPr>
              <w:t>安徽省淮北市烈山区烈山经济开发区南区唐山路智能制造产业园二区4号厂房</w:t>
            </w:r>
            <w:r>
              <w:rPr>
                <w:rFonts w:hint="eastAsia"/>
                <w:color w:val="auto"/>
                <w:sz w:val="24"/>
                <w:highlight w:val="none"/>
                <w:lang w:eastAsia="zh-CN"/>
              </w:rPr>
              <w:t>作为生产经营场所，占地面积</w:t>
            </w:r>
            <w:r>
              <w:rPr>
                <w:rFonts w:hint="eastAsia"/>
                <w:color w:val="auto"/>
                <w:sz w:val="24"/>
                <w:highlight w:val="none"/>
                <w:lang w:val="en-US" w:eastAsia="zh-CN"/>
              </w:rPr>
              <w:t>5000m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，内设生产区、原料仓库、成品仓库等。现项目已建设完成，属未批先建，根据相关法律法规已接受相应的环保处罚，并完成相关的环保处罚手续。</w:t>
            </w:r>
            <w:r>
              <w:rPr>
                <w:rFonts w:hint="eastAsia" w:ascii="Times New Roman" w:hAnsi="Times New Roman" w:eastAsia="宋体" w:cs="Times New Roman"/>
                <w:color w:val="auto"/>
                <w:sz w:val="24"/>
                <w:highlight w:val="none"/>
                <w:vertAlign w:val="baseline"/>
                <w:lang w:val="en-US" w:eastAsia="zh-CN"/>
              </w:rPr>
              <w:t>根据《中华人民共和国环境影响评价法》等法规文件，</w:t>
            </w:r>
            <w:r>
              <w:rPr>
                <w:rFonts w:hint="eastAsia"/>
                <w:color w:val="auto"/>
                <w:kern w:val="0"/>
                <w:sz w:val="24"/>
                <w:highlight w:val="none"/>
                <w:lang w:eastAsia="zh-CN"/>
              </w:rPr>
              <w:t>淮北科美特环保科技有限公司</w:t>
            </w:r>
            <w:r>
              <w:rPr>
                <w:rFonts w:hint="eastAsia" w:ascii="Times New Roman" w:hAnsi="Times New Roman" w:eastAsia="宋体" w:cs="Times New Roman"/>
                <w:color w:val="auto"/>
                <w:sz w:val="24"/>
                <w:highlight w:val="none"/>
                <w:vertAlign w:val="baseline"/>
                <w:lang w:val="en-US" w:eastAsia="zh-CN"/>
              </w:rPr>
              <w:t>委托我单位对该项目进行环境影响评价工作，接受委托后我司即刻组织有关技术人员进行现场踏勘、收集资料等工作。依据国家有关法规文件和环境影响评价技术导则，编制了该项目环境影响报告表，并报请生态环境主管部门审查、审批，以期为项目实施和管理提供参考依据</w:t>
            </w:r>
          </w:p>
          <w:p>
            <w:pPr>
              <w:numPr>
                <w:ilvl w:val="0"/>
                <w:numId w:val="0"/>
              </w:numPr>
              <w:adjustRightInd w:val="0"/>
              <w:snapToGrid w:val="0"/>
              <w:spacing w:line="360" w:lineRule="auto"/>
              <w:ind w:leftChars="228"/>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2、环评类别判定</w:t>
            </w:r>
          </w:p>
          <w:p>
            <w:pPr>
              <w:numPr>
                <w:ilvl w:val="0"/>
                <w:numId w:val="0"/>
              </w:numPr>
              <w:adjustRightInd w:val="0"/>
              <w:snapToGrid w:val="0"/>
              <w:spacing w:line="360" w:lineRule="auto"/>
              <w:ind w:firstLine="480" w:firstLineChars="200"/>
              <w:rPr>
                <w:rFonts w:ascii="宋体"/>
                <w:color w:val="auto"/>
                <w:kern w:val="0"/>
                <w:sz w:val="24"/>
                <w:szCs w:val="24"/>
                <w:highlight w:val="none"/>
              </w:rPr>
            </w:pPr>
            <w:r>
              <w:rPr>
                <w:rFonts w:hint="eastAsia" w:ascii="宋体" w:hAnsi="宋体" w:cs="宋体"/>
                <w:color w:val="auto"/>
                <w:kern w:val="0"/>
                <w:sz w:val="24"/>
                <w:szCs w:val="24"/>
                <w:highlight w:val="none"/>
              </w:rPr>
              <w:t>对照《建设项目环境影响评价分类管理名录（2021年版）》，本项目类别属于“二十六、橡胶和塑料制品业  29</w:t>
            </w:r>
            <w:r>
              <w:rPr>
                <w:rFonts w:hint="eastAsia" w:ascii="宋体" w:hAnsi="宋体" w:cs="宋体"/>
                <w:color w:val="auto"/>
                <w:kern w:val="0"/>
                <w:sz w:val="24"/>
                <w:szCs w:val="24"/>
                <w:highlight w:val="none"/>
                <w:lang w:val="en-US" w:eastAsia="zh-CN"/>
              </w:rPr>
              <w:t xml:space="preserve">  </w:t>
            </w:r>
            <w:r>
              <w:rPr>
                <w:rFonts w:hint="eastAsia" w:ascii="宋体" w:hAnsi="宋体" w:cs="宋体"/>
                <w:color w:val="auto"/>
                <w:kern w:val="0"/>
                <w:sz w:val="24"/>
                <w:szCs w:val="24"/>
                <w:highlight w:val="none"/>
              </w:rPr>
              <w:t>52.橡胶制品业291</w:t>
            </w:r>
            <w:r>
              <w:rPr>
                <w:rFonts w:hint="eastAsia" w:ascii="宋体" w:hAnsi="宋体" w:cs="宋体"/>
                <w:color w:val="auto"/>
                <w:kern w:val="0"/>
                <w:sz w:val="24"/>
                <w:szCs w:val="24"/>
                <w:highlight w:val="none"/>
                <w:lang w:eastAsia="zh-CN"/>
              </w:rPr>
              <w:t>”，同属于“</w:t>
            </w:r>
            <w:r>
              <w:rPr>
                <w:rFonts w:hint="eastAsia" w:ascii="宋体" w:hAnsi="宋体" w:cs="宋体"/>
                <w:color w:val="auto"/>
                <w:kern w:val="0"/>
                <w:sz w:val="24"/>
                <w:szCs w:val="24"/>
                <w:highlight w:val="none"/>
              </w:rPr>
              <w:t>二十六、橡胶和塑料制品业  29</w:t>
            </w:r>
            <w:r>
              <w:rPr>
                <w:rFonts w:hint="eastAsia" w:ascii="宋体" w:hAnsi="宋体" w:cs="宋体"/>
                <w:color w:val="auto"/>
                <w:kern w:val="0"/>
                <w:sz w:val="24"/>
                <w:szCs w:val="24"/>
                <w:highlight w:val="none"/>
                <w:lang w:val="en-US" w:eastAsia="zh-CN"/>
              </w:rPr>
              <w:t xml:space="preserve">  </w:t>
            </w:r>
            <w:r>
              <w:rPr>
                <w:rFonts w:hint="eastAsia" w:ascii="宋体" w:hAnsi="宋体" w:cs="宋体"/>
                <w:color w:val="auto"/>
                <w:kern w:val="0"/>
                <w:sz w:val="24"/>
                <w:szCs w:val="24"/>
                <w:highlight w:val="none"/>
              </w:rPr>
              <w:t>53.塑料制品业292”。因此环评类别属于“报告表”。</w:t>
            </w:r>
            <w:r>
              <w:rPr>
                <w:rFonts w:hint="eastAsia" w:ascii="宋体" w:hAnsi="宋体" w:cs="宋体"/>
                <w:color w:val="auto"/>
                <w:kern w:val="0"/>
                <w:sz w:val="24"/>
                <w:szCs w:val="24"/>
                <w:highlight w:val="none"/>
              </w:rPr>
              <w:br w:type="textWrapping"/>
            </w:r>
            <w:r>
              <w:rPr>
                <w:rFonts w:hint="eastAsia" w:ascii="宋体" w:hAnsi="宋体" w:cs="宋体"/>
                <w:color w:val="auto"/>
                <w:kern w:val="0"/>
                <w:sz w:val="24"/>
                <w:szCs w:val="24"/>
                <w:highlight w:val="none"/>
                <w:lang w:val="en-US" w:eastAsia="zh-CN"/>
              </w:rPr>
              <w:t xml:space="preserve">    </w:t>
            </w:r>
            <w:r>
              <w:rPr>
                <w:rFonts w:hint="eastAsia" w:cs="Times New Roman"/>
                <w:color w:val="auto"/>
                <w:sz w:val="24"/>
                <w:highlight w:val="none"/>
                <w:lang w:val="en-US" w:eastAsia="zh-CN"/>
              </w:rPr>
              <w:t>项目分期建设，本次环评仅分析一期年生产6000吨塑胶制品及6000吨橡胶制品的生产建设。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宋体"/>
                <w:b/>
                <w:bCs/>
                <w:color w:val="auto"/>
                <w:sz w:val="24"/>
                <w:szCs w:val="24"/>
              </w:rPr>
            </w:pPr>
            <w:r>
              <w:rPr>
                <w:rFonts w:hint="eastAsia" w:ascii="宋体" w:hAnsi="宋体" w:cs="宋体"/>
                <w:b/>
                <w:bCs/>
                <w:color w:val="auto"/>
                <w:sz w:val="24"/>
                <w:szCs w:val="24"/>
                <w:lang w:val="en-US" w:eastAsia="zh-CN"/>
              </w:rPr>
              <w:t>3</w:t>
            </w:r>
            <w:r>
              <w:rPr>
                <w:rFonts w:hint="eastAsia" w:ascii="宋体" w:hAnsi="宋体" w:cs="宋体"/>
                <w:b/>
                <w:bCs/>
                <w:color w:val="auto"/>
                <w:sz w:val="24"/>
                <w:szCs w:val="24"/>
              </w:rPr>
              <w:t>、项目建设内容及规模</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 项目名称：</w:t>
            </w:r>
            <w:r>
              <w:rPr>
                <w:rFonts w:hint="eastAsia" w:ascii="宋体" w:hAnsi="宋体" w:cs="宋体"/>
                <w:color w:val="auto"/>
                <w:sz w:val="24"/>
                <w:szCs w:val="24"/>
                <w:lang w:eastAsia="zh-CN"/>
              </w:rPr>
              <w:t>恒山密封材料项目（一期）</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(2) 建设单位：</w:t>
            </w:r>
            <w:r>
              <w:rPr>
                <w:rFonts w:hint="eastAsia" w:cs="Times New Roman"/>
                <w:color w:val="auto"/>
                <w:sz w:val="24"/>
                <w:lang w:eastAsia="zh-CN"/>
              </w:rPr>
              <w:t>淮北科美特环保科技有限公司</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 项目性质：</w:t>
            </w:r>
            <w:r>
              <w:rPr>
                <w:rFonts w:hint="default" w:ascii="Times New Roman" w:hAnsi="Times New Roman" w:eastAsia="宋体" w:cs="Times New Roman"/>
                <w:color w:val="auto"/>
                <w:sz w:val="24"/>
                <w:lang w:val="en-US" w:eastAsia="zh-CN"/>
              </w:rPr>
              <w:t>新建</w:t>
            </w:r>
            <w:r>
              <w:rPr>
                <w:rFonts w:hint="default" w:ascii="Times New Roman" w:hAnsi="Times New Roman" w:eastAsia="宋体" w:cs="Times New Roman"/>
                <w:color w:val="auto"/>
                <w:sz w:val="24"/>
              </w:rPr>
              <w:t xml:space="preserve"> </w:t>
            </w:r>
          </w:p>
          <w:p>
            <w:pPr>
              <w:spacing w:line="360" w:lineRule="auto"/>
              <w:ind w:firstLine="480" w:firstLineChars="200"/>
              <w:rPr>
                <w:rFonts w:hint="default" w:hAnsi="宋体"/>
                <w:color w:val="auto"/>
                <w:sz w:val="22"/>
                <w:szCs w:val="22"/>
                <w:vertAlign w:val="baseline"/>
                <w:lang w:val="en-US" w:eastAsia="zh-CN"/>
              </w:rPr>
            </w:pPr>
            <w:r>
              <w:rPr>
                <w:rFonts w:hint="default" w:ascii="Times New Roman" w:hAnsi="Times New Roman" w:eastAsia="宋体" w:cs="Times New Roman"/>
                <w:color w:val="auto"/>
                <w:sz w:val="24"/>
              </w:rPr>
              <w:t>(4) 建设规</w:t>
            </w:r>
            <w:r>
              <w:rPr>
                <w:rFonts w:hint="default" w:ascii="Times New Roman" w:hAnsi="Times New Roman" w:eastAsia="宋体" w:cs="Times New Roman"/>
                <w:color w:val="auto"/>
                <w:sz w:val="24"/>
                <w:lang w:val="en-US" w:eastAsia="zh-CN"/>
              </w:rPr>
              <w:t>模：</w:t>
            </w:r>
            <w:r>
              <w:rPr>
                <w:rFonts w:hint="eastAsia" w:cs="Times New Roman"/>
                <w:color w:val="auto"/>
                <w:sz w:val="24"/>
                <w:highlight w:val="none"/>
                <w:lang w:val="en-US" w:eastAsia="zh-CN"/>
              </w:rPr>
              <w:t>年生</w:t>
            </w:r>
            <w:r>
              <w:rPr>
                <w:rFonts w:hint="eastAsia" w:ascii="Times New Roman" w:hAnsi="Times New Roman" w:eastAsia="宋体" w:cs="Times New Roman"/>
                <w:color w:val="auto"/>
                <w:sz w:val="24"/>
                <w:highlight w:val="none"/>
                <w:lang w:val="en-US" w:eastAsia="zh-CN"/>
              </w:rPr>
              <w:t>产</w:t>
            </w:r>
            <w:r>
              <w:rPr>
                <w:rFonts w:hint="eastAsia" w:cs="Times New Roman"/>
                <w:color w:val="auto"/>
                <w:sz w:val="24"/>
                <w:highlight w:val="none"/>
                <w:lang w:val="en-US" w:eastAsia="zh-CN"/>
              </w:rPr>
              <w:t>6000塑胶制品和6000吨橡胶制品</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 建设地点及周边环境：项目</w:t>
            </w:r>
            <w:r>
              <w:rPr>
                <w:rFonts w:hint="eastAsia" w:cs="Times New Roman"/>
                <w:color w:val="auto"/>
                <w:sz w:val="24"/>
                <w:lang w:eastAsia="zh-CN"/>
              </w:rPr>
              <w:t>租赁</w:t>
            </w:r>
            <w:r>
              <w:rPr>
                <w:rFonts w:hint="eastAsia" w:cs="Times New Roman"/>
                <w:color w:val="auto"/>
                <w:sz w:val="24"/>
                <w:lang w:val="en-US" w:eastAsia="zh-CN"/>
              </w:rPr>
              <w:t>安徽省淮北市烈山区烈山经济开发区南区唐山路智能制造产业园二区4号厂房，占地面积5000</w:t>
            </w:r>
            <w:r>
              <w:rPr>
                <w:rFonts w:hint="default" w:ascii="Times New Roman" w:hAnsi="Times New Roman" w:eastAsia="宋体" w:cs="Times New Roman"/>
                <w:color w:val="auto"/>
                <w:sz w:val="24"/>
                <w:lang w:val="en-US" w:eastAsia="zh-CN"/>
              </w:rPr>
              <w:t>平方</w:t>
            </w:r>
            <w:r>
              <w:rPr>
                <w:rFonts w:hint="default" w:ascii="Times New Roman" w:hAnsi="Times New Roman" w:eastAsia="宋体" w:cs="Times New Roman"/>
                <w:color w:val="auto"/>
                <w:sz w:val="24"/>
                <w:highlight w:val="none"/>
                <w:lang w:val="en-US" w:eastAsia="zh-CN"/>
              </w:rPr>
              <w:t>米，</w:t>
            </w:r>
            <w:r>
              <w:rPr>
                <w:rFonts w:hint="eastAsia" w:cs="Times New Roman"/>
                <w:color w:val="auto"/>
                <w:sz w:val="24"/>
                <w:highlight w:val="none"/>
                <w:lang w:val="en-US" w:eastAsia="zh-CN"/>
              </w:rPr>
              <w:t>建设原料仓库、成品仓库均设置在租赁的厂房内，各占地1000</w:t>
            </w:r>
            <w:r>
              <w:rPr>
                <w:rFonts w:hint="default" w:ascii="Times New Roman" w:hAnsi="Times New Roman" w:eastAsia="宋体" w:cs="Times New Roman"/>
                <w:color w:val="auto"/>
                <w:sz w:val="24"/>
                <w:highlight w:val="none"/>
                <w:lang w:val="en-US" w:eastAsia="zh-CN"/>
              </w:rPr>
              <w:t>平方米，</w:t>
            </w:r>
            <w:r>
              <w:rPr>
                <w:rFonts w:hint="eastAsia" w:cs="Times New Roman"/>
                <w:color w:val="auto"/>
                <w:sz w:val="24"/>
                <w:highlight w:val="none"/>
                <w:lang w:val="en-US" w:eastAsia="zh-CN"/>
              </w:rPr>
              <w:t>生产区约3000平方米</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项目建成后实现年生产6000吨</w:t>
            </w:r>
            <w:r>
              <w:rPr>
                <w:rFonts w:hint="eastAsia" w:cs="Times New Roman"/>
                <w:color w:val="auto"/>
                <w:sz w:val="24"/>
                <w:lang w:val="en-US" w:eastAsia="zh-CN"/>
              </w:rPr>
              <w:t>塑胶制品</w:t>
            </w:r>
            <w:r>
              <w:rPr>
                <w:rFonts w:hint="eastAsia" w:cs="Times New Roman"/>
                <w:color w:val="auto"/>
                <w:sz w:val="24"/>
                <w:highlight w:val="none"/>
                <w:lang w:val="en-US" w:eastAsia="zh-CN"/>
              </w:rPr>
              <w:t>及6000吨橡胶制品的生产能力。</w:t>
            </w:r>
            <w:r>
              <w:rPr>
                <w:rFonts w:hint="default" w:ascii="Times New Roman" w:hAnsi="Times New Roman" w:eastAsia="宋体" w:cs="Times New Roman"/>
                <w:color w:val="auto"/>
                <w:sz w:val="24"/>
              </w:rPr>
              <w:t>地理位置详见附图一。</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rPr>
              <w:t>(6) 投资总额</w:t>
            </w:r>
            <w:r>
              <w:rPr>
                <w:rFonts w:hint="eastAsia" w:cs="Times New Roman"/>
                <w:color w:val="auto"/>
                <w:sz w:val="24"/>
                <w:lang w:eastAsia="zh-CN"/>
              </w:rPr>
              <w:t>：</w:t>
            </w:r>
            <w:r>
              <w:rPr>
                <w:rFonts w:hint="default" w:ascii="Times New Roman" w:hAnsi="Times New Roman" w:eastAsia="宋体" w:cs="Times New Roman"/>
                <w:color w:val="auto"/>
                <w:sz w:val="24"/>
                <w:highlight w:val="none"/>
              </w:rPr>
              <w:t>项目总投资</w:t>
            </w:r>
            <w:bookmarkStart w:id="2" w:name="OLE_LINK14"/>
            <w:r>
              <w:rPr>
                <w:rFonts w:hint="eastAsia"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000万元</w:t>
            </w:r>
            <w:bookmarkEnd w:id="2"/>
            <w:r>
              <w:rPr>
                <w:rFonts w:hint="default" w:ascii="Times New Roman" w:hAnsi="Times New Roman" w:eastAsia="宋体" w:cs="Times New Roman"/>
                <w:color w:val="auto"/>
                <w:sz w:val="24"/>
                <w:highlight w:val="none"/>
              </w:rPr>
              <w:t>，其中环保投资</w:t>
            </w:r>
            <w:r>
              <w:rPr>
                <w:rFonts w:hint="eastAsia" w:cs="Times New Roman"/>
                <w:color w:val="auto"/>
                <w:sz w:val="24"/>
                <w:highlight w:val="none"/>
                <w:lang w:val="en-US" w:eastAsia="zh-CN"/>
              </w:rPr>
              <w:t>158.3</w:t>
            </w:r>
            <w:r>
              <w:rPr>
                <w:rFonts w:hint="default" w:ascii="Times New Roman" w:hAnsi="Times New Roman" w:eastAsia="宋体" w:cs="Times New Roman"/>
                <w:color w:val="auto"/>
                <w:sz w:val="24"/>
                <w:highlight w:val="none"/>
              </w:rPr>
              <w:t>万元，占比</w:t>
            </w:r>
            <w:r>
              <w:rPr>
                <w:rFonts w:hint="eastAsia" w:ascii="宋体" w:hAnsi="宋体" w:cs="宋体"/>
                <w:color w:val="auto"/>
                <w:sz w:val="24"/>
                <w:szCs w:val="24"/>
                <w:highlight w:val="none"/>
                <w:lang w:val="en-US" w:eastAsia="zh-CN"/>
              </w:rPr>
              <w:t>1.32</w:t>
            </w:r>
            <w:r>
              <w:rPr>
                <w:rFonts w:hint="default" w:ascii="Times New Roman" w:hAnsi="Times New Roman" w:eastAsia="宋体" w:cs="Times New Roman"/>
                <w:color w:val="auto"/>
                <w:sz w:val="24"/>
                <w:highlight w:val="none"/>
              </w:rPr>
              <w:t>%。</w:t>
            </w:r>
          </w:p>
          <w:p>
            <w:pPr>
              <w:adjustRightInd w:val="0"/>
              <w:snapToGrid w:val="0"/>
              <w:spacing w:line="360" w:lineRule="auto"/>
              <w:ind w:firstLine="480" w:firstLineChars="200"/>
              <w:jc w:val="left"/>
              <w:rPr>
                <w:rFonts w:ascii="宋体"/>
                <w:color w:val="auto"/>
                <w:sz w:val="24"/>
                <w:szCs w:val="24"/>
                <w:highlight w:val="none"/>
              </w:rPr>
            </w:pPr>
            <w:r>
              <w:rPr>
                <w:rFonts w:hint="eastAsia" w:ascii="宋体" w:hAnsi="宋体" w:cs="宋体"/>
                <w:color w:val="auto"/>
                <w:sz w:val="24"/>
                <w:szCs w:val="24"/>
                <w:highlight w:val="none"/>
              </w:rPr>
              <w:t>项目主要建设内容下表。</w:t>
            </w:r>
          </w:p>
          <w:p>
            <w:pPr>
              <w:keepNext w:val="0"/>
              <w:keepLines w:val="0"/>
              <w:pageBreakBefore w:val="0"/>
              <w:widowControl w:val="0"/>
              <w:kinsoku/>
              <w:wordWrap/>
              <w:overflowPunct/>
              <w:topLinePunct w:val="0"/>
              <w:autoSpaceDE/>
              <w:autoSpaceDN/>
              <w:bidi w:val="0"/>
              <w:adjustRightInd/>
              <w:snapToGrid w:val="0"/>
              <w:spacing w:before="157" w:beforeLines="50" w:line="360" w:lineRule="auto"/>
              <w:jc w:val="center"/>
              <w:textAlignment w:val="auto"/>
              <w:rPr>
                <w:rFonts w:ascii="宋体"/>
                <w:color w:val="auto"/>
                <w:sz w:val="24"/>
                <w:szCs w:val="24"/>
              </w:rPr>
            </w:pPr>
            <w:r>
              <w:rPr>
                <w:rFonts w:hint="eastAsia" w:ascii="宋体" w:hAnsi="宋体" w:cs="宋体"/>
                <w:color w:val="auto"/>
                <w:sz w:val="22"/>
                <w:szCs w:val="22"/>
              </w:rPr>
              <w:t>表</w:t>
            </w:r>
            <w:r>
              <w:rPr>
                <w:rFonts w:ascii="宋体" w:hAnsi="宋体" w:cs="宋体"/>
                <w:color w:val="auto"/>
                <w:sz w:val="22"/>
                <w:szCs w:val="22"/>
              </w:rPr>
              <w:t>2-1</w:t>
            </w:r>
            <w:r>
              <w:rPr>
                <w:rFonts w:hint="eastAsia" w:ascii="宋体" w:hAnsi="宋体" w:cs="宋体"/>
                <w:color w:val="auto"/>
                <w:sz w:val="22"/>
                <w:szCs w:val="22"/>
              </w:rPr>
              <w:t>项目主要建设内容及组成情况一览表</w:t>
            </w:r>
          </w:p>
          <w:tbl>
            <w:tblPr>
              <w:tblStyle w:val="36"/>
              <w:tblW w:w="8378" w:type="dxa"/>
              <w:tblInd w:w="3"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28" w:type="dxa"/>
                <w:bottom w:w="0" w:type="dxa"/>
                <w:right w:w="28" w:type="dxa"/>
              </w:tblCellMar>
            </w:tblPr>
            <w:tblGrid>
              <w:gridCol w:w="560"/>
              <w:gridCol w:w="1049"/>
              <w:gridCol w:w="5846"/>
              <w:gridCol w:w="923"/>
            </w:tblGrid>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864" w:hRule="atLeast"/>
              </w:trPr>
              <w:tc>
                <w:tcPr>
                  <w:tcW w:w="560" w:type="dxa"/>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rPr>
                    <w:t>工程类别</w:t>
                  </w:r>
                </w:p>
              </w:tc>
              <w:tc>
                <w:tcPr>
                  <w:tcW w:w="1049" w:type="dxa"/>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rPr>
                    <w:t>单项工程名称</w:t>
                  </w:r>
                </w:p>
              </w:tc>
              <w:tc>
                <w:tcPr>
                  <w:tcW w:w="5846" w:type="dxa"/>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rPr>
                    <w:t>工程内容及规模</w:t>
                  </w:r>
                </w:p>
              </w:tc>
              <w:tc>
                <w:tcPr>
                  <w:tcW w:w="923" w:type="dxa"/>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rPr>
                    <w:t>备注</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1340" w:hRule="atLeast"/>
              </w:trPr>
              <w:tc>
                <w:tcPr>
                  <w:tcW w:w="560" w:type="dxa"/>
                  <w:tcBorders>
                    <w:top w:val="single" w:color="333333" w:sz="4" w:space="0"/>
                    <w:left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rPr>
                    <w:t>主体工程</w:t>
                  </w:r>
                </w:p>
              </w:tc>
              <w:tc>
                <w:tcPr>
                  <w:tcW w:w="1049" w:type="dxa"/>
                  <w:tcBorders>
                    <w:top w:val="single" w:color="333333" w:sz="4" w:space="0"/>
                    <w:left w:val="single" w:color="333333" w:sz="4" w:space="0"/>
                    <w:bottom w:val="single" w:color="333333" w:sz="4" w:space="0"/>
                    <w:right w:val="single" w:color="333333" w:sz="4" w:space="0"/>
                  </w:tcBorders>
                  <w:vAlign w:val="center"/>
                </w:tcPr>
                <w:p>
                  <w:pPr>
                    <w:pStyle w:val="20"/>
                    <w:jc w:val="center"/>
                    <w:rPr>
                      <w:rFonts w:hAnsi="宋体" w:cs="Times New Roman"/>
                      <w:color w:val="auto"/>
                      <w:sz w:val="22"/>
                      <w:szCs w:val="22"/>
                    </w:rPr>
                  </w:pPr>
                  <w:r>
                    <w:rPr>
                      <w:rFonts w:hint="eastAsia" w:hAnsi="宋体"/>
                      <w:color w:val="auto"/>
                      <w:sz w:val="22"/>
                      <w:szCs w:val="22"/>
                    </w:rPr>
                    <w:t>生产车间</w:t>
                  </w:r>
                </w:p>
              </w:tc>
              <w:tc>
                <w:tcPr>
                  <w:tcW w:w="5846" w:type="dxa"/>
                  <w:tcBorders>
                    <w:top w:val="single" w:color="333333" w:sz="4" w:space="0"/>
                    <w:left w:val="single" w:color="333333" w:sz="4" w:space="0"/>
                    <w:bottom w:val="single" w:color="333333" w:sz="4" w:space="0"/>
                    <w:right w:val="single" w:color="333333" w:sz="4" w:space="0"/>
                  </w:tcBorders>
                  <w:vAlign w:val="center"/>
                </w:tcPr>
                <w:p>
                  <w:pPr>
                    <w:keepNext w:val="0"/>
                    <w:keepLines w:val="0"/>
                    <w:widowControl/>
                    <w:suppressLineNumbers w:val="0"/>
                    <w:ind w:firstLine="440" w:firstLineChars="200"/>
                    <w:jc w:val="left"/>
                    <w:rPr>
                      <w:rFonts w:hAnsi="宋体" w:cs="Times New Roman"/>
                      <w:color w:val="auto"/>
                      <w:sz w:val="22"/>
                      <w:szCs w:val="22"/>
                    </w:rPr>
                  </w:pPr>
                  <w:r>
                    <w:rPr>
                      <w:rFonts w:hint="eastAsia" w:ascii="宋体" w:hAnsi="宋体" w:cs="宋体"/>
                      <w:color w:val="auto"/>
                      <w:sz w:val="22"/>
                      <w:szCs w:val="22"/>
                      <w:u w:val="none"/>
                      <w:lang w:val="en-US" w:eastAsia="zh-CN"/>
                    </w:rPr>
                    <w:t>生</w:t>
                  </w:r>
                  <w:r>
                    <w:rPr>
                      <w:rFonts w:hint="eastAsia" w:hAnsi="宋体" w:eastAsia="宋体"/>
                      <w:color w:val="auto"/>
                      <w:sz w:val="22"/>
                      <w:szCs w:val="22"/>
                      <w:lang w:val="en-US" w:eastAsia="zh-CN"/>
                    </w:rPr>
                    <w:t>产车间面积5000m</w:t>
                  </w:r>
                  <w:r>
                    <w:rPr>
                      <w:rFonts w:hint="eastAsia" w:hAnsi="宋体" w:eastAsia="宋体"/>
                      <w:color w:val="auto"/>
                      <w:sz w:val="22"/>
                      <w:szCs w:val="22"/>
                      <w:vertAlign w:val="superscript"/>
                      <w:lang w:val="en-US" w:eastAsia="zh-CN"/>
                    </w:rPr>
                    <w:t>2</w:t>
                  </w:r>
                  <w:r>
                    <w:rPr>
                      <w:rFonts w:hint="eastAsia" w:hAnsi="宋体" w:eastAsia="宋体"/>
                      <w:color w:val="auto"/>
                      <w:sz w:val="22"/>
                      <w:szCs w:val="22"/>
                      <w:lang w:val="en-US" w:eastAsia="zh-CN"/>
                    </w:rPr>
                    <w:t>，1F，主要包括原料仓库、成品仓库、值班室</w:t>
                  </w:r>
                  <w:r>
                    <w:rPr>
                      <w:rFonts w:hint="eastAsia" w:hAnsi="宋体"/>
                      <w:color w:val="auto"/>
                      <w:sz w:val="22"/>
                      <w:szCs w:val="22"/>
                      <w:lang w:val="en-US" w:eastAsia="zh-CN"/>
                    </w:rPr>
                    <w:t>、生产区</w:t>
                  </w:r>
                  <w:r>
                    <w:rPr>
                      <w:rFonts w:hint="eastAsia" w:hAnsi="宋体" w:eastAsia="宋体"/>
                      <w:color w:val="auto"/>
                      <w:sz w:val="22"/>
                      <w:szCs w:val="22"/>
                      <w:lang w:val="en-US" w:eastAsia="zh-CN"/>
                    </w:rPr>
                    <w:t>等。项目建成后实</w:t>
                  </w:r>
                  <w:r>
                    <w:rPr>
                      <w:rFonts w:hint="eastAsia" w:hAnsi="宋体" w:eastAsia="宋体"/>
                      <w:color w:val="auto"/>
                      <w:sz w:val="22"/>
                      <w:szCs w:val="22"/>
                      <w:highlight w:val="none"/>
                      <w:lang w:val="en-US" w:eastAsia="zh-CN"/>
                    </w:rPr>
                    <w:t>现年生产</w:t>
                  </w:r>
                  <w:r>
                    <w:rPr>
                      <w:rFonts w:hint="eastAsia" w:hAnsi="宋体"/>
                      <w:color w:val="auto"/>
                      <w:sz w:val="22"/>
                      <w:szCs w:val="22"/>
                      <w:highlight w:val="none"/>
                      <w:lang w:val="en-US" w:eastAsia="zh-CN"/>
                    </w:rPr>
                    <w:t>6</w:t>
                  </w:r>
                  <w:r>
                    <w:rPr>
                      <w:rFonts w:hint="eastAsia" w:hAnsi="宋体" w:eastAsia="宋体"/>
                      <w:color w:val="auto"/>
                      <w:sz w:val="22"/>
                      <w:szCs w:val="22"/>
                      <w:highlight w:val="none"/>
                      <w:lang w:val="en-US" w:eastAsia="zh-CN"/>
                    </w:rPr>
                    <w:t>000吨塑胶制品及</w:t>
                  </w:r>
                  <w:r>
                    <w:rPr>
                      <w:rFonts w:hint="eastAsia" w:hAnsi="宋体"/>
                      <w:color w:val="auto"/>
                      <w:sz w:val="22"/>
                      <w:szCs w:val="22"/>
                      <w:highlight w:val="none"/>
                      <w:lang w:val="en-US" w:eastAsia="zh-CN"/>
                    </w:rPr>
                    <w:t>6</w:t>
                  </w:r>
                  <w:r>
                    <w:rPr>
                      <w:rFonts w:hint="eastAsia" w:hAnsi="宋体" w:eastAsia="宋体"/>
                      <w:color w:val="auto"/>
                      <w:sz w:val="22"/>
                      <w:szCs w:val="22"/>
                      <w:highlight w:val="none"/>
                      <w:lang w:val="en-US" w:eastAsia="zh-CN"/>
                    </w:rPr>
                    <w:t>000吨橡胶制品的生产能力。</w:t>
                  </w:r>
                </w:p>
              </w:tc>
              <w:tc>
                <w:tcPr>
                  <w:tcW w:w="923" w:type="dxa"/>
                  <w:tcBorders>
                    <w:top w:val="single" w:color="333333" w:sz="4" w:space="0"/>
                    <w:left w:val="single" w:color="333333" w:sz="4" w:space="0"/>
                    <w:bottom w:val="single" w:color="333333" w:sz="4" w:space="0"/>
                    <w:right w:val="single" w:color="333333" w:sz="4" w:space="0"/>
                  </w:tcBorders>
                  <w:vAlign w:val="center"/>
                </w:tcPr>
                <w:p>
                  <w:pPr>
                    <w:pStyle w:val="20"/>
                    <w:jc w:val="center"/>
                    <w:rPr>
                      <w:rFonts w:hint="eastAsia" w:hAnsi="宋体" w:cs="Times New Roman"/>
                      <w:color w:val="auto"/>
                      <w:sz w:val="22"/>
                      <w:szCs w:val="22"/>
                      <w:lang w:val="en-US" w:eastAsia="zh-CN"/>
                    </w:rPr>
                  </w:pPr>
                  <w:r>
                    <w:rPr>
                      <w:rFonts w:hint="eastAsia" w:hAnsi="宋体" w:cs="Times New Roman"/>
                      <w:color w:val="auto"/>
                      <w:sz w:val="22"/>
                      <w:szCs w:val="22"/>
                      <w:lang w:val="en-US" w:eastAsia="zh-CN"/>
                    </w:rPr>
                    <w:t>租赁、</w:t>
                  </w:r>
                </w:p>
                <w:p>
                  <w:pPr>
                    <w:pStyle w:val="20"/>
                    <w:jc w:val="center"/>
                    <w:rPr>
                      <w:rFonts w:hint="default" w:hAnsi="宋体" w:eastAsia="宋体" w:cs="Times New Roman"/>
                      <w:color w:val="auto"/>
                      <w:sz w:val="22"/>
                      <w:szCs w:val="22"/>
                      <w:lang w:val="en-US" w:eastAsia="zh-CN"/>
                    </w:rPr>
                  </w:pPr>
                  <w:r>
                    <w:rPr>
                      <w:rFonts w:hint="eastAsia" w:hAnsi="宋体" w:cs="Times New Roman"/>
                      <w:color w:val="auto"/>
                      <w:sz w:val="22"/>
                      <w:szCs w:val="22"/>
                      <w:lang w:val="en-US" w:eastAsia="zh-CN"/>
                    </w:rPr>
                    <w:t>改造</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699" w:hRule="atLeast"/>
              </w:trPr>
              <w:tc>
                <w:tcPr>
                  <w:tcW w:w="560" w:type="dxa"/>
                  <w:vMerge w:val="restart"/>
                  <w:tcBorders>
                    <w:top w:val="single" w:color="333333" w:sz="4" w:space="0"/>
                    <w:left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rPr>
                    <w:t>辅助工程</w:t>
                  </w:r>
                </w:p>
              </w:tc>
              <w:tc>
                <w:tcPr>
                  <w:tcW w:w="1049" w:type="dxa"/>
                  <w:tcBorders>
                    <w:top w:val="single" w:color="333333" w:sz="4" w:space="0"/>
                    <w:left w:val="single" w:color="333333" w:sz="4" w:space="0"/>
                    <w:bottom w:val="single" w:color="333333" w:sz="4" w:space="0"/>
                    <w:right w:val="single" w:color="333333" w:sz="4" w:space="0"/>
                  </w:tcBorders>
                  <w:vAlign w:val="center"/>
                </w:tcPr>
                <w:p>
                  <w:pPr>
                    <w:adjustRightInd w:val="0"/>
                    <w:snapToGrid w:val="0"/>
                    <w:jc w:val="center"/>
                    <w:rPr>
                      <w:rFonts w:hint="eastAsia" w:ascii="宋体" w:eastAsiaTheme="minorEastAsia"/>
                      <w:color w:val="auto"/>
                      <w:sz w:val="22"/>
                      <w:szCs w:val="22"/>
                      <w:lang w:eastAsia="zh-CN"/>
                    </w:rPr>
                  </w:pPr>
                  <w:r>
                    <w:rPr>
                      <w:rFonts w:hint="eastAsia" w:ascii="宋体" w:eastAsiaTheme="minorEastAsia"/>
                      <w:color w:val="auto"/>
                      <w:sz w:val="22"/>
                      <w:szCs w:val="22"/>
                      <w:lang w:eastAsia="zh-CN"/>
                    </w:rPr>
                    <w:t>值班室</w:t>
                  </w:r>
                </w:p>
              </w:tc>
              <w:tc>
                <w:tcPr>
                  <w:tcW w:w="5846" w:type="dxa"/>
                  <w:tcBorders>
                    <w:top w:val="single" w:color="333333" w:sz="4" w:space="0"/>
                    <w:left w:val="single" w:color="333333" w:sz="4" w:space="0"/>
                    <w:bottom w:val="single" w:color="333333" w:sz="4" w:space="0"/>
                    <w:right w:val="single" w:color="333333" w:sz="4" w:space="0"/>
                  </w:tcBorders>
                  <w:vAlign w:val="center"/>
                </w:tcPr>
                <w:p>
                  <w:pPr>
                    <w:keepNext w:val="0"/>
                    <w:keepLines w:val="0"/>
                    <w:widowControl/>
                    <w:suppressLineNumbers w:val="0"/>
                    <w:ind w:firstLine="440" w:firstLineChars="200"/>
                    <w:jc w:val="left"/>
                    <w:rPr>
                      <w:rFonts w:ascii="宋体"/>
                      <w:color w:val="auto"/>
                      <w:sz w:val="22"/>
                      <w:szCs w:val="22"/>
                      <w:highlight w:val="none"/>
                    </w:rPr>
                  </w:pPr>
                  <w:r>
                    <w:rPr>
                      <w:rFonts w:hint="eastAsia" w:ascii="宋体" w:hAnsi="宋体" w:cs="宋体"/>
                      <w:color w:val="auto"/>
                      <w:sz w:val="22"/>
                      <w:szCs w:val="22"/>
                      <w:highlight w:val="none"/>
                      <w:lang w:eastAsia="zh-CN"/>
                    </w:rPr>
                    <w:t>位于厂区西侧，用于</w:t>
                  </w:r>
                  <w:r>
                    <w:rPr>
                      <w:rFonts w:hint="eastAsia" w:ascii="宋体" w:hAnsi="宋体" w:cs="宋体"/>
                      <w:color w:val="auto"/>
                      <w:sz w:val="22"/>
                      <w:szCs w:val="22"/>
                      <w:highlight w:val="none"/>
                    </w:rPr>
                    <w:t>生产调度</w:t>
                  </w:r>
                  <w:r>
                    <w:rPr>
                      <w:rFonts w:hint="eastAsia" w:ascii="宋体" w:hAnsi="宋体" w:cs="宋体"/>
                      <w:color w:val="auto"/>
                      <w:sz w:val="22"/>
                      <w:szCs w:val="22"/>
                      <w:highlight w:val="none"/>
                      <w:lang w:eastAsia="zh-CN"/>
                    </w:rPr>
                    <w:t>等，</w:t>
                  </w:r>
                  <w:r>
                    <w:rPr>
                      <w:rFonts w:hint="eastAsia" w:ascii="宋体" w:hAnsi="宋体" w:cs="宋体"/>
                      <w:color w:val="auto"/>
                      <w:sz w:val="22"/>
                      <w:szCs w:val="22"/>
                      <w:highlight w:val="none"/>
                      <w:lang w:val="en-US" w:eastAsia="zh-CN"/>
                    </w:rPr>
                    <w:t>1F，</w:t>
                  </w:r>
                  <w:r>
                    <w:rPr>
                      <w:rFonts w:hint="eastAsia" w:ascii="宋体" w:hAnsi="宋体" w:cs="宋体"/>
                      <w:color w:val="auto"/>
                      <w:sz w:val="22"/>
                      <w:szCs w:val="22"/>
                      <w:highlight w:val="none"/>
                      <w:lang w:eastAsia="zh-CN"/>
                    </w:rPr>
                    <w:t>占地面积</w:t>
                  </w:r>
                  <w:r>
                    <w:rPr>
                      <w:rFonts w:hint="eastAsia" w:ascii="宋体" w:hAnsi="宋体" w:cs="宋体"/>
                      <w:color w:val="auto"/>
                      <w:sz w:val="22"/>
                      <w:szCs w:val="22"/>
                      <w:highlight w:val="none"/>
                      <w:lang w:val="en-US" w:eastAsia="zh-CN"/>
                    </w:rPr>
                    <w:t>150</w:t>
                  </w:r>
                  <w:r>
                    <w:rPr>
                      <w:rFonts w:hint="eastAsia" w:ascii="宋体" w:hAnsi="宋体" w:cs="宋体"/>
                      <w:color w:val="auto"/>
                      <w:sz w:val="22"/>
                      <w:szCs w:val="22"/>
                      <w:highlight w:val="none"/>
                    </w:rPr>
                    <w:t>m</w:t>
                  </w:r>
                  <w:r>
                    <w:rPr>
                      <w:rFonts w:hint="eastAsia" w:ascii="宋体" w:hAnsi="宋体" w:cs="宋体"/>
                      <w:color w:val="auto"/>
                      <w:sz w:val="22"/>
                      <w:szCs w:val="22"/>
                      <w:highlight w:val="none"/>
                      <w:vertAlign w:val="superscript"/>
                    </w:rPr>
                    <w:t>2</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hint="eastAsia" w:hAnsi="宋体" w:cs="Times New Roman"/>
                      <w:color w:val="auto"/>
                      <w:sz w:val="22"/>
                      <w:szCs w:val="22"/>
                      <w:lang w:val="en-US" w:eastAsia="zh-CN"/>
                    </w:rPr>
                  </w:pPr>
                  <w:r>
                    <w:rPr>
                      <w:rFonts w:hint="eastAsia" w:hAnsi="宋体" w:cs="Times New Roman"/>
                      <w:color w:val="auto"/>
                      <w:sz w:val="22"/>
                      <w:szCs w:val="22"/>
                      <w:lang w:val="en-US" w:eastAsia="zh-CN"/>
                    </w:rPr>
                    <w:t>租赁、</w:t>
                  </w:r>
                </w:p>
                <w:p>
                  <w:pPr>
                    <w:kinsoku w:val="0"/>
                    <w:overflowPunct w:val="0"/>
                    <w:autoSpaceDE w:val="0"/>
                    <w:autoSpaceDN w:val="0"/>
                    <w:adjustRightInd w:val="0"/>
                    <w:snapToGrid w:val="0"/>
                    <w:jc w:val="center"/>
                    <w:rPr>
                      <w:rFonts w:ascii="宋体"/>
                      <w:color w:val="auto"/>
                      <w:sz w:val="22"/>
                      <w:szCs w:val="22"/>
                    </w:rPr>
                  </w:pPr>
                  <w:r>
                    <w:rPr>
                      <w:rFonts w:hint="eastAsia" w:hAnsi="宋体" w:cs="Times New Roman"/>
                      <w:color w:val="auto"/>
                      <w:sz w:val="22"/>
                      <w:szCs w:val="22"/>
                      <w:lang w:val="en-US" w:eastAsia="zh-CN"/>
                    </w:rPr>
                    <w:t>改造</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699" w:hRule="atLeast"/>
              </w:trPr>
              <w:tc>
                <w:tcPr>
                  <w:tcW w:w="560" w:type="dxa"/>
                  <w:vMerge w:val="continue"/>
                  <w:tcBorders>
                    <w:left w:val="single" w:color="333333" w:sz="4" w:space="0"/>
                    <w:bottom w:val="single" w:color="333333" w:sz="4" w:space="0"/>
                    <w:right w:val="single" w:color="333333" w:sz="4" w:space="0"/>
                  </w:tcBorders>
                  <w:vAlign w:val="center"/>
                </w:tcPr>
                <w:p>
                  <w:pPr>
                    <w:jc w:val="center"/>
                    <w:rPr>
                      <w:rFonts w:hint="eastAsia" w:ascii="宋体" w:hAnsi="宋体" w:cs="宋体"/>
                      <w:color w:val="auto"/>
                      <w:sz w:val="22"/>
                      <w:szCs w:val="22"/>
                    </w:rPr>
                  </w:pPr>
                </w:p>
              </w:tc>
              <w:tc>
                <w:tcPr>
                  <w:tcW w:w="1049" w:type="dxa"/>
                  <w:tcBorders>
                    <w:top w:val="single" w:color="333333" w:sz="4" w:space="0"/>
                    <w:left w:val="single" w:color="333333" w:sz="4" w:space="0"/>
                    <w:bottom w:val="single" w:color="333333" w:sz="4" w:space="0"/>
                    <w:right w:val="single" w:color="333333" w:sz="4" w:space="0"/>
                  </w:tcBorders>
                  <w:vAlign w:val="center"/>
                </w:tcPr>
                <w:p>
                  <w:pPr>
                    <w:adjustRightInd w:val="0"/>
                    <w:snapToGrid w:val="0"/>
                    <w:jc w:val="center"/>
                    <w:rPr>
                      <w:rFonts w:hint="eastAsia" w:ascii="宋体" w:eastAsiaTheme="minorEastAsia"/>
                      <w:color w:val="auto"/>
                      <w:sz w:val="22"/>
                      <w:szCs w:val="22"/>
                      <w:lang w:eastAsia="zh-CN"/>
                    </w:rPr>
                  </w:pPr>
                  <w:r>
                    <w:rPr>
                      <w:rFonts w:hint="eastAsia" w:ascii="宋体" w:eastAsiaTheme="minorEastAsia"/>
                      <w:color w:val="auto"/>
                      <w:sz w:val="22"/>
                      <w:szCs w:val="22"/>
                      <w:lang w:eastAsia="zh-CN"/>
                    </w:rPr>
                    <w:t>储物间</w:t>
                  </w:r>
                </w:p>
              </w:tc>
              <w:tc>
                <w:tcPr>
                  <w:tcW w:w="5846" w:type="dxa"/>
                  <w:tcBorders>
                    <w:top w:val="single" w:color="333333" w:sz="4" w:space="0"/>
                    <w:left w:val="single" w:color="333333" w:sz="4" w:space="0"/>
                    <w:bottom w:val="single" w:color="333333" w:sz="4" w:space="0"/>
                    <w:right w:val="single" w:color="333333" w:sz="4" w:space="0"/>
                  </w:tcBorders>
                  <w:vAlign w:val="center"/>
                </w:tcPr>
                <w:p>
                  <w:pPr>
                    <w:keepNext w:val="0"/>
                    <w:keepLines w:val="0"/>
                    <w:widowControl/>
                    <w:suppressLineNumbers w:val="0"/>
                    <w:ind w:firstLine="440" w:firstLineChars="200"/>
                    <w:jc w:val="lef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位于厂区西侧，用于储存办公用品，</w:t>
                  </w:r>
                  <w:r>
                    <w:rPr>
                      <w:rFonts w:hint="eastAsia" w:ascii="宋体" w:hAnsi="宋体" w:cs="宋体"/>
                      <w:color w:val="auto"/>
                      <w:sz w:val="22"/>
                      <w:szCs w:val="22"/>
                      <w:highlight w:val="none"/>
                      <w:lang w:val="en-US" w:eastAsia="zh-CN"/>
                    </w:rPr>
                    <w:t>1F，</w:t>
                  </w:r>
                  <w:r>
                    <w:rPr>
                      <w:rFonts w:hint="eastAsia" w:ascii="宋体" w:hAnsi="宋体" w:cs="宋体"/>
                      <w:color w:val="auto"/>
                      <w:sz w:val="22"/>
                      <w:szCs w:val="22"/>
                      <w:highlight w:val="none"/>
                      <w:lang w:eastAsia="zh-CN"/>
                    </w:rPr>
                    <w:t>占地面积</w:t>
                  </w:r>
                  <w:r>
                    <w:rPr>
                      <w:rFonts w:hint="eastAsia" w:ascii="宋体" w:hAnsi="宋体" w:cs="宋体"/>
                      <w:color w:val="auto"/>
                      <w:sz w:val="22"/>
                      <w:szCs w:val="22"/>
                      <w:highlight w:val="none"/>
                      <w:lang w:val="en-US" w:eastAsia="zh-CN"/>
                    </w:rPr>
                    <w:t>100</w:t>
                  </w:r>
                  <w:r>
                    <w:rPr>
                      <w:rFonts w:hint="eastAsia" w:ascii="宋体" w:hAnsi="宋体" w:cs="宋体"/>
                      <w:color w:val="auto"/>
                      <w:sz w:val="22"/>
                      <w:szCs w:val="22"/>
                      <w:highlight w:val="none"/>
                    </w:rPr>
                    <w:t>m</w:t>
                  </w:r>
                  <w:r>
                    <w:rPr>
                      <w:rFonts w:hint="eastAsia" w:ascii="宋体" w:hAnsi="宋体" w:cs="宋体"/>
                      <w:color w:val="auto"/>
                      <w:sz w:val="22"/>
                      <w:szCs w:val="22"/>
                      <w:highlight w:val="none"/>
                      <w:vertAlign w:val="superscript"/>
                    </w:rPr>
                    <w:t>2</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hint="eastAsia" w:hAnsi="宋体" w:cs="Times New Roman"/>
                      <w:color w:val="auto"/>
                      <w:sz w:val="22"/>
                      <w:szCs w:val="22"/>
                      <w:lang w:val="en-US" w:eastAsia="zh-CN"/>
                    </w:rPr>
                  </w:pPr>
                  <w:r>
                    <w:rPr>
                      <w:rFonts w:hint="eastAsia" w:hAnsi="宋体" w:cs="Times New Roman"/>
                      <w:color w:val="auto"/>
                      <w:sz w:val="22"/>
                      <w:szCs w:val="22"/>
                      <w:lang w:val="en-US" w:eastAsia="zh-CN"/>
                    </w:rPr>
                    <w:t>租赁、</w:t>
                  </w:r>
                </w:p>
                <w:p>
                  <w:pPr>
                    <w:kinsoku w:val="0"/>
                    <w:overflowPunct w:val="0"/>
                    <w:autoSpaceDE w:val="0"/>
                    <w:autoSpaceDN w:val="0"/>
                    <w:adjustRightInd w:val="0"/>
                    <w:snapToGrid w:val="0"/>
                    <w:jc w:val="center"/>
                    <w:rPr>
                      <w:rFonts w:hint="eastAsia" w:hAnsi="宋体" w:eastAsia="宋体" w:cs="Times New Roman"/>
                      <w:color w:val="auto"/>
                      <w:sz w:val="22"/>
                      <w:szCs w:val="22"/>
                      <w:lang w:val="en-US" w:eastAsia="zh-CN"/>
                    </w:rPr>
                  </w:pPr>
                  <w:r>
                    <w:rPr>
                      <w:rFonts w:hint="eastAsia" w:hAnsi="宋体" w:cs="Times New Roman"/>
                      <w:color w:val="auto"/>
                      <w:sz w:val="22"/>
                      <w:szCs w:val="22"/>
                      <w:lang w:val="en-US" w:eastAsia="zh-CN"/>
                    </w:rPr>
                    <w:t>改造</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699" w:hRule="atLeast"/>
              </w:trPr>
              <w:tc>
                <w:tcPr>
                  <w:tcW w:w="560" w:type="dxa"/>
                  <w:vMerge w:val="restart"/>
                  <w:tcBorders>
                    <w:top w:val="single" w:color="333333" w:sz="4" w:space="0"/>
                    <w:left w:val="single" w:color="333333" w:sz="4" w:space="0"/>
                    <w:right w:val="single" w:color="333333" w:sz="4" w:space="0"/>
                  </w:tcBorders>
                  <w:vAlign w:val="center"/>
                </w:tcPr>
                <w:p>
                  <w:pPr>
                    <w:jc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储运工程</w:t>
                  </w:r>
                </w:p>
              </w:tc>
              <w:tc>
                <w:tcPr>
                  <w:tcW w:w="1049" w:type="dxa"/>
                  <w:tcBorders>
                    <w:top w:val="single" w:color="333333" w:sz="4" w:space="0"/>
                    <w:left w:val="single" w:color="333333" w:sz="4" w:space="0"/>
                    <w:bottom w:val="single" w:color="333333" w:sz="4" w:space="0"/>
                    <w:right w:val="single" w:color="333333" w:sz="4" w:space="0"/>
                  </w:tcBorders>
                  <w:vAlign w:val="center"/>
                </w:tcPr>
                <w:p>
                  <w:pPr>
                    <w:adjustRightInd w:val="0"/>
                    <w:snapToGrid w:val="0"/>
                    <w:jc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eastAsia="zh-CN"/>
                    </w:rPr>
                    <w:t>原料仓库</w:t>
                  </w:r>
                </w:p>
              </w:tc>
              <w:tc>
                <w:tcPr>
                  <w:tcW w:w="5846" w:type="dxa"/>
                  <w:tcBorders>
                    <w:top w:val="single" w:color="333333" w:sz="4" w:space="0"/>
                    <w:left w:val="single" w:color="333333" w:sz="4" w:space="0"/>
                    <w:bottom w:val="single" w:color="333333" w:sz="4" w:space="0"/>
                    <w:right w:val="single" w:color="333333" w:sz="4" w:space="0"/>
                  </w:tcBorders>
                  <w:vAlign w:val="center"/>
                </w:tcPr>
                <w:p>
                  <w:pPr>
                    <w:adjustRightInd w:val="0"/>
                    <w:snapToGrid w:val="0"/>
                    <w:jc w:val="center"/>
                    <w:rPr>
                      <w:rFonts w:hint="default" w:ascii="宋体" w:hAnsi="宋体" w:eastAsia="宋体" w:cs="宋体"/>
                      <w:color w:val="auto"/>
                      <w:sz w:val="22"/>
                      <w:szCs w:val="22"/>
                      <w:u w:val="single"/>
                      <w:lang w:val="en-US" w:eastAsia="zh-CN"/>
                    </w:rPr>
                  </w:pPr>
                  <w:r>
                    <w:rPr>
                      <w:rFonts w:hint="eastAsia" w:ascii="宋体" w:hAnsi="宋体" w:cs="宋体"/>
                      <w:color w:val="auto"/>
                      <w:sz w:val="22"/>
                      <w:szCs w:val="22"/>
                      <w:lang w:eastAsia="zh-CN"/>
                    </w:rPr>
                    <w:t>位于厂区南侧，用于存放成原料，占地面积约为</w:t>
                  </w:r>
                  <w:r>
                    <w:rPr>
                      <w:rFonts w:hint="eastAsia" w:ascii="宋体" w:hAnsi="宋体" w:cs="宋体"/>
                      <w:color w:val="auto"/>
                      <w:sz w:val="22"/>
                      <w:szCs w:val="22"/>
                      <w:highlight w:val="none"/>
                      <w:u w:val="none"/>
                      <w:lang w:val="en-US" w:eastAsia="zh-CN"/>
                    </w:rPr>
                    <w:t>1000</w:t>
                  </w:r>
                  <w:r>
                    <w:rPr>
                      <w:rFonts w:ascii="宋体" w:hAnsi="宋体" w:cs="宋体"/>
                      <w:color w:val="auto"/>
                      <w:sz w:val="22"/>
                      <w:szCs w:val="22"/>
                    </w:rPr>
                    <w:t>m</w:t>
                  </w:r>
                  <w:r>
                    <w:rPr>
                      <w:rFonts w:ascii="宋体" w:hAnsi="宋体" w:cs="宋体"/>
                      <w:color w:val="auto"/>
                      <w:sz w:val="22"/>
                      <w:szCs w:val="22"/>
                      <w:vertAlign w:val="superscript"/>
                    </w:rPr>
                    <w:t>2</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hint="eastAsia" w:hAnsi="宋体" w:cs="Times New Roman"/>
                      <w:color w:val="auto"/>
                      <w:sz w:val="22"/>
                      <w:szCs w:val="22"/>
                      <w:lang w:val="en-US" w:eastAsia="zh-CN"/>
                    </w:rPr>
                  </w:pPr>
                  <w:r>
                    <w:rPr>
                      <w:rFonts w:hint="eastAsia" w:hAnsi="宋体" w:cs="Times New Roman"/>
                      <w:color w:val="auto"/>
                      <w:sz w:val="22"/>
                      <w:szCs w:val="22"/>
                      <w:lang w:val="en-US" w:eastAsia="zh-CN"/>
                    </w:rPr>
                    <w:t>租赁、</w:t>
                  </w:r>
                </w:p>
                <w:p>
                  <w:pPr>
                    <w:kinsoku w:val="0"/>
                    <w:overflowPunct w:val="0"/>
                    <w:autoSpaceDE w:val="0"/>
                    <w:autoSpaceDN w:val="0"/>
                    <w:adjustRightInd w:val="0"/>
                    <w:snapToGrid w:val="0"/>
                    <w:jc w:val="center"/>
                    <w:rPr>
                      <w:rFonts w:hint="eastAsia" w:ascii="宋体" w:hAnsi="宋体" w:eastAsia="宋体" w:cs="宋体"/>
                      <w:color w:val="auto"/>
                      <w:sz w:val="22"/>
                      <w:szCs w:val="22"/>
                      <w:lang w:eastAsia="zh-CN"/>
                    </w:rPr>
                  </w:pPr>
                  <w:r>
                    <w:rPr>
                      <w:rFonts w:hint="eastAsia" w:hAnsi="宋体" w:cs="Times New Roman"/>
                      <w:color w:val="auto"/>
                      <w:sz w:val="22"/>
                      <w:szCs w:val="22"/>
                      <w:lang w:val="en-US" w:eastAsia="zh-CN"/>
                    </w:rPr>
                    <w:t>改造</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699" w:hRule="atLeast"/>
              </w:trPr>
              <w:tc>
                <w:tcPr>
                  <w:tcW w:w="560" w:type="dxa"/>
                  <w:vMerge w:val="continue"/>
                  <w:tcBorders>
                    <w:left w:val="single" w:color="333333" w:sz="4" w:space="0"/>
                    <w:bottom w:val="single" w:color="333333" w:sz="4" w:space="0"/>
                    <w:right w:val="single" w:color="333333" w:sz="4" w:space="0"/>
                  </w:tcBorders>
                  <w:vAlign w:val="center"/>
                </w:tcPr>
                <w:p>
                  <w:pPr>
                    <w:jc w:val="center"/>
                    <w:rPr>
                      <w:rFonts w:hint="eastAsia" w:ascii="宋体" w:hAnsi="宋体" w:cs="宋体"/>
                      <w:color w:val="auto"/>
                      <w:sz w:val="22"/>
                      <w:szCs w:val="22"/>
                      <w:lang w:eastAsia="zh-CN"/>
                    </w:rPr>
                  </w:pPr>
                </w:p>
              </w:tc>
              <w:tc>
                <w:tcPr>
                  <w:tcW w:w="1049" w:type="dxa"/>
                  <w:tcBorders>
                    <w:top w:val="single" w:color="333333" w:sz="4" w:space="0"/>
                    <w:left w:val="single" w:color="333333" w:sz="4" w:space="0"/>
                    <w:bottom w:val="single" w:color="333333" w:sz="4" w:space="0"/>
                    <w:right w:val="single" w:color="333333" w:sz="4" w:space="0"/>
                  </w:tcBorders>
                  <w:vAlign w:val="center"/>
                </w:tcPr>
                <w:p>
                  <w:pPr>
                    <w:adjustRightInd w:val="0"/>
                    <w:snapToGrid w:val="0"/>
                    <w:jc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成品仓库</w:t>
                  </w:r>
                </w:p>
              </w:tc>
              <w:tc>
                <w:tcPr>
                  <w:tcW w:w="5846" w:type="dxa"/>
                  <w:tcBorders>
                    <w:top w:val="single" w:color="333333" w:sz="4" w:space="0"/>
                    <w:left w:val="single" w:color="333333" w:sz="4" w:space="0"/>
                    <w:bottom w:val="single" w:color="333333" w:sz="4" w:space="0"/>
                    <w:right w:val="single" w:color="333333" w:sz="4" w:space="0"/>
                  </w:tcBorders>
                  <w:vAlign w:val="center"/>
                </w:tcPr>
                <w:p>
                  <w:pPr>
                    <w:adjustRightInd w:val="0"/>
                    <w:snapToGrid w:val="0"/>
                    <w:jc w:val="both"/>
                    <w:rPr>
                      <w:rFonts w:hint="default" w:ascii="宋体" w:hAnsi="宋体" w:cs="宋体"/>
                      <w:color w:val="auto"/>
                      <w:sz w:val="22"/>
                      <w:szCs w:val="22"/>
                      <w:lang w:val="en-US"/>
                    </w:rPr>
                  </w:pPr>
                  <w:r>
                    <w:rPr>
                      <w:rFonts w:hint="eastAsia" w:ascii="宋体" w:hAnsi="宋体" w:cs="宋体"/>
                      <w:color w:val="auto"/>
                      <w:sz w:val="22"/>
                      <w:szCs w:val="22"/>
                      <w:lang w:eastAsia="zh-CN"/>
                    </w:rPr>
                    <w:t>位于原料仓库北侧</w:t>
                  </w:r>
                  <w:r>
                    <w:rPr>
                      <w:rFonts w:hint="eastAsia" w:ascii="宋体" w:hAnsi="宋体" w:cs="宋体"/>
                      <w:color w:val="auto"/>
                      <w:sz w:val="22"/>
                      <w:szCs w:val="22"/>
                      <w:u w:val="none"/>
                      <w:lang w:val="en-US" w:eastAsia="zh-CN"/>
                    </w:rPr>
                    <w:t>，</w:t>
                  </w:r>
                  <w:r>
                    <w:rPr>
                      <w:rFonts w:hint="eastAsia" w:ascii="宋体" w:hAnsi="宋体" w:cs="宋体"/>
                      <w:color w:val="auto"/>
                      <w:sz w:val="22"/>
                      <w:szCs w:val="22"/>
                      <w:lang w:eastAsia="zh-CN"/>
                    </w:rPr>
                    <w:t>用于存放成品，占地面积约为</w:t>
                  </w:r>
                  <w:r>
                    <w:rPr>
                      <w:rFonts w:hint="eastAsia" w:ascii="宋体" w:hAnsi="宋体" w:cs="宋体"/>
                      <w:color w:val="auto"/>
                      <w:sz w:val="22"/>
                      <w:szCs w:val="22"/>
                      <w:highlight w:val="none"/>
                      <w:u w:val="none"/>
                      <w:lang w:val="en-US" w:eastAsia="zh-CN"/>
                    </w:rPr>
                    <w:t>1000</w:t>
                  </w:r>
                  <w:r>
                    <w:rPr>
                      <w:rFonts w:ascii="宋体" w:hAnsi="宋体" w:cs="宋体"/>
                      <w:color w:val="auto"/>
                      <w:sz w:val="22"/>
                      <w:szCs w:val="22"/>
                    </w:rPr>
                    <w:t>m</w:t>
                  </w:r>
                  <w:r>
                    <w:rPr>
                      <w:rFonts w:ascii="宋体" w:hAnsi="宋体" w:cs="宋体"/>
                      <w:color w:val="auto"/>
                      <w:sz w:val="22"/>
                      <w:szCs w:val="22"/>
                      <w:vertAlign w:val="superscript"/>
                    </w:rPr>
                    <w:t>2</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hint="eastAsia" w:hAnsi="宋体" w:cs="Times New Roman"/>
                      <w:color w:val="auto"/>
                      <w:sz w:val="22"/>
                      <w:szCs w:val="22"/>
                      <w:lang w:val="en-US" w:eastAsia="zh-CN"/>
                    </w:rPr>
                  </w:pPr>
                  <w:r>
                    <w:rPr>
                      <w:rFonts w:hint="eastAsia" w:hAnsi="宋体" w:cs="Times New Roman"/>
                      <w:color w:val="auto"/>
                      <w:sz w:val="22"/>
                      <w:szCs w:val="22"/>
                      <w:lang w:val="en-US" w:eastAsia="zh-CN"/>
                    </w:rPr>
                    <w:t>租赁、</w:t>
                  </w:r>
                </w:p>
                <w:p>
                  <w:pPr>
                    <w:kinsoku w:val="0"/>
                    <w:overflowPunct w:val="0"/>
                    <w:autoSpaceDE w:val="0"/>
                    <w:autoSpaceDN w:val="0"/>
                    <w:adjustRightInd w:val="0"/>
                    <w:snapToGrid w:val="0"/>
                    <w:jc w:val="center"/>
                    <w:rPr>
                      <w:rFonts w:hint="eastAsia" w:ascii="宋体" w:hAnsi="宋体" w:eastAsia="宋体" w:cs="宋体"/>
                      <w:color w:val="auto"/>
                      <w:sz w:val="22"/>
                      <w:szCs w:val="22"/>
                      <w:lang w:eastAsia="zh-CN"/>
                    </w:rPr>
                  </w:pPr>
                  <w:r>
                    <w:rPr>
                      <w:rFonts w:hint="eastAsia" w:hAnsi="宋体" w:cs="Times New Roman"/>
                      <w:color w:val="auto"/>
                      <w:sz w:val="22"/>
                      <w:szCs w:val="22"/>
                      <w:lang w:val="en-US" w:eastAsia="zh-CN"/>
                    </w:rPr>
                    <w:t>改造</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699" w:hRule="atLeast"/>
              </w:trPr>
              <w:tc>
                <w:tcPr>
                  <w:tcW w:w="560" w:type="dxa"/>
                  <w:vMerge w:val="restart"/>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rPr>
                    <w:t>公用工程</w:t>
                  </w:r>
                </w:p>
              </w:tc>
              <w:tc>
                <w:tcPr>
                  <w:tcW w:w="1049" w:type="dxa"/>
                  <w:tcBorders>
                    <w:top w:val="single" w:color="333333" w:sz="4" w:space="0"/>
                    <w:left w:val="single" w:color="333333" w:sz="4" w:space="0"/>
                    <w:bottom w:val="single" w:color="333333" w:sz="4" w:space="0"/>
                    <w:right w:val="single" w:color="333333"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供水</w:t>
                  </w:r>
                </w:p>
              </w:tc>
              <w:tc>
                <w:tcPr>
                  <w:tcW w:w="5846" w:type="dxa"/>
                  <w:tcBorders>
                    <w:top w:val="single" w:color="333333" w:sz="4" w:space="0"/>
                    <w:left w:val="single" w:color="333333" w:sz="4" w:space="0"/>
                    <w:bottom w:val="single" w:color="333333" w:sz="4" w:space="0"/>
                    <w:right w:val="single" w:color="333333"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园区给水管道；</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hint="eastAsia" w:hAnsi="宋体" w:cs="Times New Roman"/>
                      <w:color w:val="auto"/>
                      <w:sz w:val="22"/>
                      <w:szCs w:val="22"/>
                      <w:lang w:val="en-US" w:eastAsia="zh-CN"/>
                    </w:rPr>
                  </w:pPr>
                  <w:r>
                    <w:rPr>
                      <w:rFonts w:hint="eastAsia" w:hAnsi="宋体" w:cs="Times New Roman"/>
                      <w:color w:val="auto"/>
                      <w:sz w:val="22"/>
                      <w:szCs w:val="22"/>
                      <w:lang w:val="en-US" w:eastAsia="zh-CN"/>
                    </w:rPr>
                    <w:t>依托</w:t>
                  </w:r>
                </w:p>
                <w:p>
                  <w:pPr>
                    <w:kinsoku w:val="0"/>
                    <w:overflowPunct w:val="0"/>
                    <w:autoSpaceDE w:val="0"/>
                    <w:autoSpaceDN w:val="0"/>
                    <w:adjustRightInd w:val="0"/>
                    <w:snapToGrid w:val="0"/>
                    <w:jc w:val="center"/>
                    <w:rPr>
                      <w:rFonts w:hint="eastAsia" w:ascii="宋体" w:eastAsia="宋体"/>
                      <w:color w:val="auto"/>
                      <w:sz w:val="22"/>
                      <w:szCs w:val="22"/>
                      <w:lang w:val="en-US" w:eastAsia="zh-CN"/>
                    </w:rPr>
                  </w:pPr>
                  <w:r>
                    <w:rPr>
                      <w:rFonts w:hint="eastAsia" w:hAnsi="宋体" w:cs="Times New Roman"/>
                      <w:color w:val="auto"/>
                      <w:sz w:val="22"/>
                      <w:szCs w:val="22"/>
                      <w:lang w:val="en-US" w:eastAsia="zh-CN"/>
                    </w:rPr>
                    <w:t>现有</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1104"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p>
              </w:tc>
              <w:tc>
                <w:tcPr>
                  <w:tcW w:w="1049" w:type="dxa"/>
                  <w:tcBorders>
                    <w:top w:val="single" w:color="333333" w:sz="4" w:space="0"/>
                    <w:left w:val="single" w:color="333333" w:sz="4" w:space="0"/>
                    <w:bottom w:val="single" w:color="333333" w:sz="4" w:space="0"/>
                    <w:right w:val="single" w:color="333333"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排水</w:t>
                  </w:r>
                </w:p>
              </w:tc>
              <w:tc>
                <w:tcPr>
                  <w:tcW w:w="5846" w:type="dxa"/>
                  <w:tcBorders>
                    <w:top w:val="single" w:color="333333" w:sz="4" w:space="0"/>
                    <w:left w:val="single" w:color="333333" w:sz="4" w:space="0"/>
                    <w:bottom w:val="single" w:color="333333" w:sz="4" w:space="0"/>
                    <w:right w:val="single" w:color="333333" w:sz="4" w:space="0"/>
                  </w:tcBorders>
                  <w:vAlign w:val="center"/>
                </w:tcPr>
                <w:p>
                  <w:pPr>
                    <w:adjustRightInd w:val="0"/>
                    <w:snapToGrid w:val="0"/>
                    <w:jc w:val="center"/>
                    <w:rPr>
                      <w:rFonts w:ascii="宋体"/>
                      <w:color w:val="auto"/>
                      <w:sz w:val="22"/>
                      <w:szCs w:val="22"/>
                      <w:highlight w:val="none"/>
                    </w:rPr>
                  </w:pPr>
                  <w:r>
                    <w:rPr>
                      <w:rFonts w:hint="eastAsia" w:ascii="宋体" w:hAnsi="宋体" w:cs="宋体"/>
                      <w:color w:val="auto"/>
                      <w:sz w:val="22"/>
                      <w:szCs w:val="22"/>
                      <w:highlight w:val="none"/>
                    </w:rPr>
                    <w:t>雨污分流，雨水经雨水管网收集后进入园区雨水管网，生活污水经</w:t>
                  </w:r>
                  <w:r>
                    <w:rPr>
                      <w:rFonts w:hint="eastAsia" w:ascii="宋体" w:hAnsi="宋体" w:cs="宋体"/>
                      <w:color w:val="auto"/>
                      <w:sz w:val="22"/>
                      <w:szCs w:val="22"/>
                      <w:highlight w:val="none"/>
                      <w:u w:val="none"/>
                      <w:lang w:val="en-US" w:eastAsia="zh-CN"/>
                    </w:rPr>
                    <w:t>化粪池</w:t>
                  </w:r>
                  <w:r>
                    <w:rPr>
                      <w:rFonts w:hint="eastAsia" w:ascii="宋体" w:hAnsi="宋体" w:cs="宋体"/>
                      <w:color w:val="auto"/>
                      <w:sz w:val="22"/>
                      <w:szCs w:val="22"/>
                      <w:highlight w:val="none"/>
                    </w:rPr>
                    <w:t>处理后</w:t>
                  </w:r>
                  <w:r>
                    <w:rPr>
                      <w:rFonts w:hint="eastAsia" w:ascii="宋体" w:hAnsi="宋体" w:cs="宋体"/>
                      <w:color w:val="auto"/>
                      <w:sz w:val="22"/>
                      <w:szCs w:val="22"/>
                      <w:highlight w:val="none"/>
                      <w:lang w:eastAsia="zh-CN"/>
                    </w:rPr>
                    <w:t>排入园区污水管网，进入淮北蓝海水处理有限公司</w:t>
                  </w:r>
                  <w:r>
                    <w:rPr>
                      <w:rFonts w:hint="eastAsia" w:ascii="宋体" w:hAnsi="宋体" w:cs="宋体"/>
                      <w:color w:val="auto"/>
                      <w:sz w:val="22"/>
                      <w:szCs w:val="22"/>
                      <w:highlight w:val="none"/>
                    </w:rPr>
                    <w:t>；</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hint="eastAsia" w:hAnsi="宋体" w:cs="Times New Roman"/>
                      <w:color w:val="auto"/>
                      <w:sz w:val="22"/>
                      <w:szCs w:val="22"/>
                      <w:lang w:val="en-US" w:eastAsia="zh-CN"/>
                    </w:rPr>
                  </w:pPr>
                  <w:r>
                    <w:rPr>
                      <w:rFonts w:hint="eastAsia" w:hAnsi="宋体" w:cs="Times New Roman"/>
                      <w:color w:val="auto"/>
                      <w:sz w:val="22"/>
                      <w:szCs w:val="22"/>
                      <w:lang w:val="en-US" w:eastAsia="zh-CN"/>
                    </w:rPr>
                    <w:t>依托</w:t>
                  </w:r>
                </w:p>
                <w:p>
                  <w:pPr>
                    <w:kinsoku w:val="0"/>
                    <w:overflowPunct w:val="0"/>
                    <w:autoSpaceDE w:val="0"/>
                    <w:autoSpaceDN w:val="0"/>
                    <w:adjustRightInd w:val="0"/>
                    <w:snapToGrid w:val="0"/>
                    <w:jc w:val="center"/>
                    <w:rPr>
                      <w:rFonts w:ascii="宋体"/>
                      <w:color w:val="auto"/>
                      <w:sz w:val="22"/>
                      <w:szCs w:val="22"/>
                    </w:rPr>
                  </w:pPr>
                  <w:r>
                    <w:rPr>
                      <w:rFonts w:hint="eastAsia" w:hAnsi="宋体" w:cs="Times New Roman"/>
                      <w:color w:val="auto"/>
                      <w:sz w:val="22"/>
                      <w:szCs w:val="22"/>
                      <w:lang w:val="en-US" w:eastAsia="zh-CN"/>
                    </w:rPr>
                    <w:t>现有</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699"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p>
              </w:tc>
              <w:tc>
                <w:tcPr>
                  <w:tcW w:w="1049" w:type="dxa"/>
                  <w:tcBorders>
                    <w:top w:val="single" w:color="333333" w:sz="4" w:space="0"/>
                    <w:left w:val="single" w:color="333333" w:sz="4" w:space="0"/>
                    <w:bottom w:val="single" w:color="333333" w:sz="4" w:space="0"/>
                    <w:right w:val="single" w:color="333333"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供电</w:t>
                  </w:r>
                </w:p>
              </w:tc>
              <w:tc>
                <w:tcPr>
                  <w:tcW w:w="5846"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ascii="宋体"/>
                      <w:color w:val="auto"/>
                      <w:sz w:val="22"/>
                      <w:szCs w:val="22"/>
                      <w:highlight w:val="none"/>
                    </w:rPr>
                  </w:pPr>
                  <w:r>
                    <w:rPr>
                      <w:rFonts w:hint="eastAsia" w:ascii="宋体" w:hAnsi="宋体" w:cs="宋体"/>
                      <w:color w:val="auto"/>
                      <w:sz w:val="22"/>
                      <w:szCs w:val="22"/>
                      <w:highlight w:val="none"/>
                    </w:rPr>
                    <w:t>由</w:t>
                  </w:r>
                  <w:r>
                    <w:rPr>
                      <w:rFonts w:hint="eastAsia" w:ascii="宋体" w:hAnsi="宋体" w:cs="宋体"/>
                      <w:color w:val="auto"/>
                      <w:sz w:val="22"/>
                      <w:szCs w:val="22"/>
                      <w:highlight w:val="none"/>
                      <w:lang w:eastAsia="zh-CN"/>
                    </w:rPr>
                    <w:t>园区供电管网</w:t>
                  </w:r>
                  <w:r>
                    <w:rPr>
                      <w:rFonts w:hint="eastAsia" w:ascii="宋体" w:hAnsi="宋体" w:cs="宋体"/>
                      <w:color w:val="auto"/>
                      <w:sz w:val="22"/>
                      <w:szCs w:val="22"/>
                      <w:highlight w:val="none"/>
                    </w:rPr>
                    <w:t>供电</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hint="eastAsia" w:hAnsi="宋体" w:cs="Times New Roman"/>
                      <w:color w:val="auto"/>
                      <w:sz w:val="22"/>
                      <w:szCs w:val="22"/>
                      <w:lang w:val="en-US" w:eastAsia="zh-CN"/>
                    </w:rPr>
                  </w:pPr>
                  <w:r>
                    <w:rPr>
                      <w:rFonts w:hint="eastAsia" w:hAnsi="宋体" w:cs="Times New Roman"/>
                      <w:color w:val="auto"/>
                      <w:sz w:val="22"/>
                      <w:szCs w:val="22"/>
                      <w:lang w:val="en-US" w:eastAsia="zh-CN"/>
                    </w:rPr>
                    <w:t>依托</w:t>
                  </w:r>
                </w:p>
                <w:p>
                  <w:pPr>
                    <w:kinsoku w:val="0"/>
                    <w:overflowPunct w:val="0"/>
                    <w:autoSpaceDE w:val="0"/>
                    <w:autoSpaceDN w:val="0"/>
                    <w:adjustRightInd w:val="0"/>
                    <w:snapToGrid w:val="0"/>
                    <w:jc w:val="center"/>
                    <w:rPr>
                      <w:rFonts w:ascii="宋体"/>
                      <w:color w:val="auto"/>
                      <w:sz w:val="22"/>
                      <w:szCs w:val="22"/>
                    </w:rPr>
                  </w:pPr>
                  <w:r>
                    <w:rPr>
                      <w:rFonts w:hint="eastAsia" w:hAnsi="宋体" w:cs="Times New Roman"/>
                      <w:color w:val="auto"/>
                      <w:sz w:val="22"/>
                      <w:szCs w:val="22"/>
                      <w:lang w:val="en-US" w:eastAsia="zh-CN"/>
                    </w:rPr>
                    <w:t>现有</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511"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p>
              </w:tc>
              <w:tc>
                <w:tcPr>
                  <w:tcW w:w="1049" w:type="dxa"/>
                  <w:tcBorders>
                    <w:top w:val="single" w:color="333333" w:sz="4" w:space="0"/>
                    <w:left w:val="single" w:color="333333" w:sz="4" w:space="0"/>
                    <w:bottom w:val="single" w:color="333333" w:sz="4" w:space="0"/>
                    <w:right w:val="single" w:color="333333" w:sz="4" w:space="0"/>
                  </w:tcBorders>
                  <w:vAlign w:val="center"/>
                </w:tcPr>
                <w:p>
                  <w:pPr>
                    <w:adjustRightInd w:val="0"/>
                    <w:snapToGrid w:val="0"/>
                    <w:jc w:val="center"/>
                    <w:rPr>
                      <w:rFonts w:ascii="宋体"/>
                      <w:color w:val="auto"/>
                      <w:sz w:val="22"/>
                      <w:szCs w:val="22"/>
                    </w:rPr>
                  </w:pPr>
                  <w:r>
                    <w:rPr>
                      <w:rFonts w:hint="eastAsia" w:ascii="宋体" w:hAnsi="宋体" w:cs="宋体"/>
                      <w:color w:val="auto"/>
                      <w:sz w:val="22"/>
                      <w:szCs w:val="22"/>
                    </w:rPr>
                    <w:t>消防系统</w:t>
                  </w:r>
                </w:p>
              </w:tc>
              <w:tc>
                <w:tcPr>
                  <w:tcW w:w="5846" w:type="dxa"/>
                  <w:tcBorders>
                    <w:top w:val="single" w:color="333333" w:sz="4" w:space="0"/>
                    <w:left w:val="single" w:color="333333" w:sz="4" w:space="0"/>
                    <w:bottom w:val="single" w:color="333333" w:sz="4" w:space="0"/>
                    <w:right w:val="single" w:color="333333" w:sz="4" w:space="0"/>
                  </w:tcBorders>
                  <w:vAlign w:val="center"/>
                </w:tcPr>
                <w:p>
                  <w:pPr>
                    <w:adjustRightInd w:val="0"/>
                    <w:snapToGrid w:val="0"/>
                    <w:jc w:val="center"/>
                    <w:rPr>
                      <w:rFonts w:ascii="宋体"/>
                      <w:color w:val="auto"/>
                      <w:sz w:val="22"/>
                      <w:szCs w:val="22"/>
                      <w:highlight w:val="none"/>
                    </w:rPr>
                  </w:pPr>
                  <w:r>
                    <w:rPr>
                      <w:rFonts w:hint="eastAsia" w:ascii="宋体" w:hAnsi="宋体" w:cs="宋体"/>
                      <w:color w:val="auto"/>
                      <w:sz w:val="22"/>
                      <w:szCs w:val="22"/>
                      <w:highlight w:val="none"/>
                    </w:rPr>
                    <w:t>按照相关规定设置各类消防设施</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hint="eastAsia" w:ascii="宋体" w:eastAsia="宋体"/>
                      <w:color w:val="auto"/>
                      <w:sz w:val="22"/>
                      <w:szCs w:val="22"/>
                      <w:lang w:eastAsia="zh-CN"/>
                    </w:rPr>
                  </w:pPr>
                  <w:r>
                    <w:rPr>
                      <w:rFonts w:hint="eastAsia" w:ascii="宋体"/>
                      <w:color w:val="auto"/>
                      <w:sz w:val="22"/>
                      <w:szCs w:val="22"/>
                      <w:lang w:eastAsia="zh-CN"/>
                    </w:rPr>
                    <w:t>新建</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928" w:hRule="atLeast"/>
              </w:trPr>
              <w:tc>
                <w:tcPr>
                  <w:tcW w:w="560" w:type="dxa"/>
                  <w:vMerge w:val="restart"/>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rPr>
                    <w:t>环保工程</w:t>
                  </w:r>
                </w:p>
              </w:tc>
              <w:tc>
                <w:tcPr>
                  <w:tcW w:w="1049" w:type="dxa"/>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rPr>
                    <w:t>废水处理工程</w:t>
                  </w:r>
                </w:p>
              </w:tc>
              <w:tc>
                <w:tcPr>
                  <w:tcW w:w="5846" w:type="dxa"/>
                  <w:tcBorders>
                    <w:top w:val="single" w:color="333333" w:sz="4" w:space="0"/>
                    <w:left w:val="single" w:color="333333" w:sz="4" w:space="0"/>
                    <w:bottom w:val="single" w:color="333333" w:sz="4" w:space="0"/>
                    <w:right w:val="single" w:color="333333" w:sz="4" w:space="0"/>
                  </w:tcBorders>
                  <w:vAlign w:val="center"/>
                </w:tcPr>
                <w:p>
                  <w:pPr>
                    <w:jc w:val="center"/>
                    <w:rPr>
                      <w:rFonts w:hint="eastAsia" w:ascii="宋体" w:eastAsia="宋体"/>
                      <w:color w:val="auto"/>
                      <w:sz w:val="22"/>
                      <w:szCs w:val="22"/>
                      <w:highlight w:val="red"/>
                      <w:lang w:val="en-US" w:eastAsia="zh-CN"/>
                    </w:rPr>
                  </w:pPr>
                  <w:r>
                    <w:rPr>
                      <w:rFonts w:hint="eastAsia" w:ascii="宋体" w:hAnsi="宋体" w:cs="宋体"/>
                      <w:color w:val="auto"/>
                      <w:sz w:val="22"/>
                      <w:szCs w:val="22"/>
                      <w:highlight w:val="none"/>
                    </w:rPr>
                    <w:t>生活污水经</w:t>
                  </w:r>
                  <w:r>
                    <w:rPr>
                      <w:rFonts w:hint="eastAsia" w:ascii="宋体" w:hAnsi="宋体" w:cs="宋体"/>
                      <w:color w:val="auto"/>
                      <w:sz w:val="22"/>
                      <w:szCs w:val="22"/>
                      <w:highlight w:val="none"/>
                      <w:u w:val="none"/>
                      <w:lang w:val="en-US" w:eastAsia="zh-CN"/>
                    </w:rPr>
                    <w:t>化粪池</w:t>
                  </w:r>
                  <w:r>
                    <w:rPr>
                      <w:rFonts w:hint="eastAsia" w:ascii="宋体" w:hAnsi="宋体" w:cs="宋体"/>
                      <w:color w:val="auto"/>
                      <w:sz w:val="22"/>
                      <w:szCs w:val="22"/>
                      <w:highlight w:val="none"/>
                    </w:rPr>
                    <w:t>处理后</w:t>
                  </w:r>
                  <w:r>
                    <w:rPr>
                      <w:rFonts w:hint="eastAsia" w:ascii="宋体" w:hAnsi="宋体" w:cs="宋体"/>
                      <w:color w:val="auto"/>
                      <w:sz w:val="22"/>
                      <w:szCs w:val="22"/>
                      <w:highlight w:val="none"/>
                      <w:lang w:eastAsia="zh-CN"/>
                    </w:rPr>
                    <w:t>排入园区污水管网，进入淮北蓝海水处理有限公司，尾水排入萧濉新河</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hint="eastAsia" w:hAnsi="宋体" w:cs="Times New Roman"/>
                      <w:color w:val="auto"/>
                      <w:sz w:val="22"/>
                      <w:szCs w:val="22"/>
                      <w:lang w:val="en-US" w:eastAsia="zh-CN"/>
                    </w:rPr>
                  </w:pPr>
                  <w:r>
                    <w:rPr>
                      <w:rFonts w:hint="eastAsia" w:hAnsi="宋体" w:cs="Times New Roman"/>
                      <w:color w:val="auto"/>
                      <w:sz w:val="22"/>
                      <w:szCs w:val="22"/>
                      <w:lang w:val="en-US" w:eastAsia="zh-CN"/>
                    </w:rPr>
                    <w:t>依托</w:t>
                  </w:r>
                </w:p>
                <w:p>
                  <w:pPr>
                    <w:kinsoku w:val="0"/>
                    <w:overflowPunct w:val="0"/>
                    <w:autoSpaceDE w:val="0"/>
                    <w:autoSpaceDN w:val="0"/>
                    <w:adjustRightInd w:val="0"/>
                    <w:snapToGrid w:val="0"/>
                    <w:jc w:val="center"/>
                    <w:rPr>
                      <w:rFonts w:ascii="宋体"/>
                      <w:color w:val="auto"/>
                      <w:sz w:val="22"/>
                      <w:szCs w:val="22"/>
                    </w:rPr>
                  </w:pPr>
                  <w:r>
                    <w:rPr>
                      <w:rFonts w:hint="eastAsia" w:hAnsi="宋体" w:cs="Times New Roman"/>
                      <w:color w:val="auto"/>
                      <w:sz w:val="22"/>
                      <w:szCs w:val="22"/>
                      <w:lang w:val="en-US" w:eastAsia="zh-CN"/>
                    </w:rPr>
                    <w:t>现有</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840"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pPr>
                    <w:jc w:val="center"/>
                    <w:rPr>
                      <w:rFonts w:hint="default" w:ascii="宋体" w:eastAsia="宋体"/>
                      <w:color w:val="auto"/>
                      <w:sz w:val="22"/>
                      <w:szCs w:val="22"/>
                      <w:lang w:val="en-US" w:eastAsia="zh-CN"/>
                    </w:rPr>
                  </w:pPr>
                  <w:r>
                    <w:rPr>
                      <w:rFonts w:hint="eastAsia" w:ascii="宋体"/>
                      <w:color w:val="auto"/>
                      <w:sz w:val="22"/>
                      <w:szCs w:val="22"/>
                      <w:lang w:eastAsia="zh-CN"/>
                    </w:rPr>
                    <w:t xml:space="preserve"> ，</w:t>
                  </w:r>
                  <w:r>
                    <w:rPr>
                      <w:rFonts w:hint="eastAsia" w:ascii="宋体"/>
                      <w:color w:val="auto"/>
                      <w:sz w:val="22"/>
                      <w:szCs w:val="22"/>
                      <w:lang w:val="en-US" w:eastAsia="zh-CN"/>
                    </w:rPr>
                    <w:t xml:space="preserve"> </w:t>
                  </w:r>
                </w:p>
              </w:tc>
              <w:tc>
                <w:tcPr>
                  <w:tcW w:w="1049" w:type="dxa"/>
                  <w:tcBorders>
                    <w:top w:val="single" w:color="333333" w:sz="4" w:space="0"/>
                    <w:left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rPr>
                    <w:t>废气处理工程</w:t>
                  </w:r>
                </w:p>
              </w:tc>
              <w:tc>
                <w:tcPr>
                  <w:tcW w:w="5846" w:type="dxa"/>
                  <w:tcBorders>
                    <w:top w:val="single" w:color="333333" w:sz="4" w:space="0"/>
                    <w:left w:val="single" w:color="333333" w:sz="4" w:space="0"/>
                    <w:bottom w:val="single" w:color="333333" w:sz="4" w:space="0"/>
                    <w:right w:val="single" w:color="333333" w:sz="4" w:space="0"/>
                  </w:tcBorders>
                  <w:vAlign w:val="center"/>
                </w:tcPr>
                <w:p>
                  <w:pPr>
                    <w:ind w:firstLine="440" w:firstLineChars="200"/>
                    <w:jc w:val="lef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挤出工序产生的废气由集气设施收集后经活性炭吸附/脱附催化燃烧装置处理，处理后由1根15米高排气筒排放（DA001）；</w:t>
                  </w:r>
                </w:p>
                <w:p>
                  <w:pPr>
                    <w:ind w:firstLine="440" w:firstLineChars="200"/>
                    <w:jc w:val="left"/>
                    <w:rPr>
                      <w:rFonts w:hint="default"/>
                      <w:color w:val="auto"/>
                      <w:lang w:val="en-US" w:eastAsia="zh-CN"/>
                    </w:rPr>
                  </w:pPr>
                  <w:r>
                    <w:rPr>
                      <w:rFonts w:hint="eastAsia" w:ascii="宋体" w:hAnsi="宋体" w:cs="宋体"/>
                      <w:color w:val="auto"/>
                      <w:sz w:val="22"/>
                      <w:szCs w:val="22"/>
                      <w:highlight w:val="none"/>
                      <w:lang w:val="en-US" w:eastAsia="zh-CN"/>
                    </w:rPr>
                    <w:t>破碎、投料工序产生的废气由集气罩收集后经布袋除尘器处理后由1根15米高排气筒排放（DA002）</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hint="eastAsia" w:ascii="宋体" w:eastAsia="宋体"/>
                      <w:color w:val="auto"/>
                      <w:sz w:val="22"/>
                      <w:szCs w:val="22"/>
                      <w:lang w:eastAsia="zh-CN"/>
                    </w:rPr>
                  </w:pPr>
                  <w:r>
                    <w:rPr>
                      <w:rFonts w:hint="eastAsia" w:ascii="宋体" w:hAnsi="宋体" w:cs="宋体"/>
                      <w:color w:val="auto"/>
                      <w:sz w:val="22"/>
                      <w:szCs w:val="22"/>
                    </w:rPr>
                    <w:t>新建</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399"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p>
              </w:tc>
              <w:tc>
                <w:tcPr>
                  <w:tcW w:w="1049" w:type="dxa"/>
                  <w:tcBorders>
                    <w:top w:val="single" w:color="333333" w:sz="4" w:space="0"/>
                    <w:left w:val="single" w:color="333333" w:sz="4" w:space="0"/>
                    <w:right w:val="single" w:color="333333" w:sz="4" w:space="0"/>
                  </w:tcBorders>
                  <w:vAlign w:val="center"/>
                </w:tcPr>
                <w:p>
                  <w:pPr>
                    <w:jc w:val="center"/>
                    <w:rPr>
                      <w:rFonts w:ascii="宋体"/>
                      <w:color w:val="auto"/>
                      <w:sz w:val="22"/>
                      <w:szCs w:val="22"/>
                      <w:highlight w:val="none"/>
                    </w:rPr>
                  </w:pPr>
                  <w:r>
                    <w:rPr>
                      <w:rFonts w:hint="eastAsia" w:ascii="宋体" w:hAnsi="宋体" w:cs="宋体"/>
                      <w:color w:val="auto"/>
                      <w:sz w:val="22"/>
                      <w:szCs w:val="22"/>
                      <w:highlight w:val="none"/>
                    </w:rPr>
                    <w:t>固废处置工程</w:t>
                  </w:r>
                </w:p>
              </w:tc>
              <w:tc>
                <w:tcPr>
                  <w:tcW w:w="5846" w:type="dxa"/>
                  <w:tcBorders>
                    <w:top w:val="single" w:color="333333" w:sz="4" w:space="0"/>
                    <w:left w:val="single" w:color="333333" w:sz="4" w:space="0"/>
                    <w:bottom w:val="single" w:color="333333" w:sz="4" w:space="0"/>
                    <w:right w:val="single" w:color="333333" w:sz="4" w:space="0"/>
                  </w:tcBorders>
                  <w:vAlign w:val="center"/>
                </w:tcPr>
                <w:p>
                  <w:pPr>
                    <w:jc w:val="left"/>
                    <w:rPr>
                      <w:rFonts w:hint="default" w:hAnsi="宋体" w:cs="Times New Roman"/>
                      <w:color w:val="auto"/>
                      <w:sz w:val="22"/>
                      <w:szCs w:val="22"/>
                      <w:highlight w:val="none"/>
                      <w:lang w:val="en-US"/>
                    </w:rPr>
                  </w:pPr>
                  <w:r>
                    <w:rPr>
                      <w:rFonts w:hint="eastAsia"/>
                      <w:color w:val="auto"/>
                      <w:highlight w:val="none"/>
                      <w:lang w:val="en-US" w:eastAsia="zh-CN"/>
                    </w:rPr>
                    <w:t xml:space="preserve">   </w:t>
                  </w:r>
                  <w:r>
                    <w:rPr>
                      <w:rFonts w:hint="eastAsia" w:ascii="Times New Roman" w:hAnsi="Times New Roman" w:eastAsia="宋体" w:cs="Times New Roman"/>
                      <w:color w:val="auto"/>
                      <w:highlight w:val="none"/>
                      <w:lang w:val="en-US" w:eastAsia="zh-CN"/>
                    </w:rPr>
                    <w:t xml:space="preserve"> 废包装袋</w:t>
                  </w:r>
                  <w:r>
                    <w:rPr>
                      <w:rFonts w:hint="eastAsia" w:cs="Times New Roman"/>
                      <w:color w:val="auto"/>
                      <w:highlight w:val="none"/>
                      <w:lang w:val="en-US" w:eastAsia="zh-CN"/>
                    </w:rPr>
                    <w:t>、收集的粉尘</w:t>
                  </w:r>
                  <w:r>
                    <w:rPr>
                      <w:rFonts w:hint="eastAsia" w:ascii="Times New Roman" w:hAnsi="Times New Roman" w:eastAsia="宋体" w:cs="Times New Roman"/>
                      <w:color w:val="auto"/>
                      <w:highlight w:val="none"/>
                      <w:lang w:val="en-US" w:eastAsia="zh-CN"/>
                    </w:rPr>
                    <w:t>集中收集后外售物资回收部门，不合格品经破碎后回用于生产；废活性炭</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废催化剂</w:t>
                  </w:r>
                  <w:r>
                    <w:rPr>
                      <w:rFonts w:hint="eastAsia" w:cs="Times New Roman"/>
                      <w:color w:val="auto"/>
                      <w:highlight w:val="none"/>
                      <w:lang w:val="en-US" w:eastAsia="zh-CN"/>
                    </w:rPr>
                    <w:t>、废机油、废油桶、废含油抹布等</w:t>
                  </w:r>
                  <w:r>
                    <w:rPr>
                      <w:rFonts w:hint="eastAsia" w:ascii="Times New Roman" w:hAnsi="Times New Roman" w:eastAsia="宋体" w:cs="Times New Roman"/>
                      <w:color w:val="auto"/>
                      <w:highlight w:val="none"/>
                      <w:lang w:val="en-US" w:eastAsia="zh-CN"/>
                    </w:rPr>
                    <w:t>集中收集后暂存于危废间，定期交由有资质单位进行处理；生活垃圾由环卫部门定期清运。</w:t>
                  </w:r>
                  <w:r>
                    <w:rPr>
                      <w:rFonts w:hint="eastAsia" w:cs="Times New Roman"/>
                      <w:color w:val="auto"/>
                      <w:highlight w:val="none"/>
                      <w:lang w:val="en-US" w:eastAsia="zh-CN"/>
                    </w:rPr>
                    <w:t>一般固废暂存点，占地面积约10m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位于生产车间东侧；危废间占地面积约10m</w:t>
                  </w:r>
                  <w:r>
                    <w:rPr>
                      <w:rFonts w:hint="eastAsia" w:cs="Times New Roman"/>
                      <w:color w:val="auto"/>
                      <w:highlight w:val="none"/>
                      <w:vertAlign w:val="superscript"/>
                      <w:lang w:val="en-US" w:eastAsia="zh-CN"/>
                    </w:rPr>
                    <w:t>2</w:t>
                  </w:r>
                  <w:r>
                    <w:rPr>
                      <w:rFonts w:hint="eastAsia" w:cs="Times New Roman"/>
                      <w:color w:val="auto"/>
                      <w:highlight w:val="none"/>
                      <w:vertAlign w:val="baseline"/>
                      <w:lang w:val="en-US" w:eastAsia="zh-CN"/>
                    </w:rPr>
                    <w:t>，位于生产车间的西北侧。</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ascii="宋体"/>
                      <w:color w:val="auto"/>
                      <w:sz w:val="22"/>
                      <w:szCs w:val="22"/>
                      <w:highlight w:val="none"/>
                    </w:rPr>
                  </w:pPr>
                  <w:r>
                    <w:rPr>
                      <w:rFonts w:hint="eastAsia" w:ascii="宋体" w:hAnsi="宋体" w:cs="宋体"/>
                      <w:color w:val="auto"/>
                      <w:sz w:val="22"/>
                      <w:szCs w:val="22"/>
                      <w:highlight w:val="none"/>
                      <w:lang w:eastAsia="zh-CN"/>
                    </w:rPr>
                    <w:t>新</w:t>
                  </w:r>
                  <w:r>
                    <w:rPr>
                      <w:rFonts w:hint="eastAsia" w:ascii="宋体" w:hAnsi="宋体" w:cs="宋体"/>
                      <w:color w:val="auto"/>
                      <w:sz w:val="22"/>
                      <w:szCs w:val="22"/>
                      <w:highlight w:val="none"/>
                    </w:rPr>
                    <w:t>建</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798"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p>
              </w:tc>
              <w:tc>
                <w:tcPr>
                  <w:tcW w:w="1049" w:type="dxa"/>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rPr>
                    <w:t>噪声防治工程</w:t>
                  </w:r>
                </w:p>
              </w:tc>
              <w:tc>
                <w:tcPr>
                  <w:tcW w:w="5846" w:type="dxa"/>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r>
                    <w:rPr>
                      <w:rFonts w:hint="default" w:ascii="宋体" w:hAnsi="宋体" w:eastAsia="宋体" w:cs="宋体"/>
                      <w:color w:val="auto"/>
                      <w:sz w:val="22"/>
                      <w:szCs w:val="22"/>
                    </w:rPr>
                    <w:t>采用隔声、减震等措施消除噪声污染影响</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ascii="宋体"/>
                      <w:color w:val="auto"/>
                      <w:sz w:val="22"/>
                      <w:szCs w:val="22"/>
                    </w:rPr>
                  </w:pPr>
                  <w:r>
                    <w:rPr>
                      <w:rFonts w:hint="eastAsia" w:hAnsi="宋体" w:eastAsia="宋体" w:cs="Times New Roman"/>
                      <w:color w:val="auto"/>
                      <w:sz w:val="22"/>
                      <w:szCs w:val="22"/>
                      <w:lang w:val="en-US" w:eastAsia="zh-CN"/>
                    </w:rPr>
                    <w:t>新建</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2208"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p>
              </w:tc>
              <w:tc>
                <w:tcPr>
                  <w:tcW w:w="1049" w:type="dxa"/>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rPr>
                    <w:t>土壤防治和地下水防渗工程</w:t>
                  </w:r>
                </w:p>
              </w:tc>
              <w:tc>
                <w:tcPr>
                  <w:tcW w:w="5846" w:type="dxa"/>
                  <w:tcBorders>
                    <w:top w:val="single" w:color="333333" w:sz="4" w:space="0"/>
                    <w:left w:val="single" w:color="333333" w:sz="4" w:space="0"/>
                    <w:bottom w:val="single" w:color="333333" w:sz="4" w:space="0"/>
                    <w:right w:val="single" w:color="333333" w:sz="4"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ind w:firstLine="440" w:firstLineChars="200"/>
                    <w:jc w:val="left"/>
                    <w:textAlignment w:val="auto"/>
                    <w:rPr>
                      <w:rFonts w:ascii="宋体"/>
                      <w:color w:val="auto"/>
                      <w:sz w:val="22"/>
                      <w:szCs w:val="22"/>
                    </w:rPr>
                  </w:pPr>
                  <w:r>
                    <w:rPr>
                      <w:rFonts w:hint="eastAsia" w:ascii="宋体" w:hAnsi="宋体" w:eastAsia="宋体" w:cs="宋体"/>
                      <w:color w:val="auto"/>
                      <w:sz w:val="22"/>
                      <w:szCs w:val="22"/>
                      <w:highlight w:val="none"/>
                      <w:lang w:eastAsia="zh-CN"/>
                    </w:rPr>
                    <w:t>分区防控措施：污水管线（依托）、化粪池（依托）、危废间（新建）设置为重点防渗区；生产车间、办公区及其他区域（依托）设置为一般防渗区。一般防渗区采用双层复合防渗结构，基础防渗层为至少1.5米厚粘土层（渗透系数≤10</w:t>
                  </w:r>
                  <w:r>
                    <w:rPr>
                      <w:rFonts w:hint="eastAsia" w:ascii="宋体" w:hAnsi="宋体" w:eastAsia="宋体" w:cs="宋体"/>
                      <w:color w:val="auto"/>
                      <w:sz w:val="22"/>
                      <w:szCs w:val="22"/>
                      <w:highlight w:val="none"/>
                      <w:vertAlign w:val="superscript"/>
                      <w:lang w:eastAsia="zh-CN"/>
                    </w:rPr>
                    <w:t>-7</w:t>
                  </w:r>
                  <w:r>
                    <w:rPr>
                      <w:rFonts w:hint="eastAsia" w:ascii="宋体" w:hAnsi="宋体" w:eastAsia="宋体" w:cs="宋体"/>
                      <w:color w:val="auto"/>
                      <w:sz w:val="22"/>
                      <w:szCs w:val="22"/>
                      <w:highlight w:val="none"/>
                      <w:lang w:eastAsia="zh-CN"/>
                    </w:rPr>
                    <w:t>cm/s），重点防渗区可采用至少2毫米厚的高密度聚乙烯等其它人工材料（渗透系数≤10</w:t>
                  </w:r>
                  <w:r>
                    <w:rPr>
                      <w:rFonts w:hint="eastAsia" w:ascii="宋体" w:hAnsi="宋体" w:eastAsia="宋体" w:cs="宋体"/>
                      <w:color w:val="auto"/>
                      <w:sz w:val="22"/>
                      <w:szCs w:val="22"/>
                      <w:highlight w:val="none"/>
                      <w:vertAlign w:val="superscript"/>
                      <w:lang w:eastAsia="zh-CN"/>
                    </w:rPr>
                    <w:t>-10</w:t>
                  </w:r>
                  <w:r>
                    <w:rPr>
                      <w:rFonts w:hint="eastAsia" w:ascii="宋体" w:hAnsi="宋体" w:eastAsia="宋体" w:cs="宋体"/>
                      <w:color w:val="auto"/>
                      <w:sz w:val="22"/>
                      <w:szCs w:val="22"/>
                      <w:highlight w:val="none"/>
                      <w:lang w:eastAsia="zh-CN"/>
                    </w:rPr>
                    <w:t>cm/s）或采用防渗涂料面层或防渗钢筋钢纤维混凝土面层（渗透系数≤10</w:t>
                  </w:r>
                  <w:r>
                    <w:rPr>
                      <w:rFonts w:hint="eastAsia" w:ascii="宋体" w:hAnsi="宋体" w:eastAsia="宋体" w:cs="宋体"/>
                      <w:color w:val="auto"/>
                      <w:sz w:val="22"/>
                      <w:szCs w:val="22"/>
                      <w:highlight w:val="none"/>
                      <w:vertAlign w:val="superscript"/>
                      <w:lang w:eastAsia="zh-CN"/>
                    </w:rPr>
                    <w:t>-12</w:t>
                  </w:r>
                  <w:r>
                    <w:rPr>
                      <w:rFonts w:hint="eastAsia" w:ascii="宋体" w:hAnsi="宋体" w:eastAsia="宋体" w:cs="宋体"/>
                      <w:color w:val="auto"/>
                      <w:sz w:val="22"/>
                      <w:szCs w:val="22"/>
                      <w:highlight w:val="none"/>
                      <w:lang w:eastAsia="zh-CN"/>
                    </w:rPr>
                    <w:t>cm/s）。</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hint="eastAsia" w:hAnsi="宋体" w:cs="Times New Roman"/>
                      <w:color w:val="auto"/>
                      <w:sz w:val="22"/>
                      <w:szCs w:val="22"/>
                      <w:lang w:val="en-US" w:eastAsia="zh-CN"/>
                    </w:rPr>
                  </w:pPr>
                  <w:r>
                    <w:rPr>
                      <w:rFonts w:hint="eastAsia" w:hAnsi="宋体" w:cs="Times New Roman"/>
                      <w:color w:val="auto"/>
                      <w:sz w:val="22"/>
                      <w:szCs w:val="22"/>
                      <w:lang w:val="en-US" w:eastAsia="zh-CN"/>
                    </w:rPr>
                    <w:t>依托</w:t>
                  </w:r>
                </w:p>
                <w:p>
                  <w:pPr>
                    <w:kinsoku w:val="0"/>
                    <w:overflowPunct w:val="0"/>
                    <w:autoSpaceDE w:val="0"/>
                    <w:autoSpaceDN w:val="0"/>
                    <w:adjustRightInd w:val="0"/>
                    <w:snapToGrid w:val="0"/>
                    <w:jc w:val="center"/>
                    <w:rPr>
                      <w:rFonts w:ascii="宋体"/>
                      <w:color w:val="auto"/>
                      <w:sz w:val="22"/>
                      <w:szCs w:val="22"/>
                    </w:rPr>
                  </w:pPr>
                  <w:r>
                    <w:rPr>
                      <w:rFonts w:hint="eastAsia" w:hAnsi="宋体" w:cs="Times New Roman"/>
                      <w:color w:val="auto"/>
                      <w:sz w:val="22"/>
                      <w:szCs w:val="22"/>
                      <w:lang w:val="en-US" w:eastAsia="zh-CN"/>
                    </w:rPr>
                    <w:t>现有</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1055"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p>
              </w:tc>
              <w:tc>
                <w:tcPr>
                  <w:tcW w:w="1049" w:type="dxa"/>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rPr>
                    <w:t>环境风险防范措施</w:t>
                  </w:r>
                </w:p>
              </w:tc>
              <w:tc>
                <w:tcPr>
                  <w:tcW w:w="5846" w:type="dxa"/>
                  <w:tcBorders>
                    <w:top w:val="single" w:color="333333" w:sz="4" w:space="0"/>
                    <w:left w:val="single" w:color="333333" w:sz="4" w:space="0"/>
                    <w:bottom w:val="single" w:color="333333" w:sz="4" w:space="0"/>
                    <w:right w:val="single" w:color="333333" w:sz="4" w:space="0"/>
                  </w:tcBorders>
                  <w:vAlign w:val="center"/>
                </w:tcPr>
                <w:p>
                  <w:pPr>
                    <w:jc w:val="center"/>
                    <w:rPr>
                      <w:rFonts w:ascii="宋体"/>
                      <w:color w:val="auto"/>
                      <w:sz w:val="22"/>
                      <w:szCs w:val="22"/>
                    </w:rPr>
                  </w:pPr>
                  <w:r>
                    <w:rPr>
                      <w:rFonts w:hint="eastAsia" w:ascii="宋体" w:hAnsi="宋体" w:cs="宋体"/>
                      <w:color w:val="auto"/>
                      <w:sz w:val="22"/>
                      <w:szCs w:val="22"/>
                      <w:lang w:val="en-US" w:eastAsia="zh-CN"/>
                    </w:rPr>
                    <w:t xml:space="preserve">    </w:t>
                  </w:r>
                  <w:r>
                    <w:rPr>
                      <w:rFonts w:hint="eastAsia" w:ascii="宋体" w:hAnsi="宋体" w:cs="宋体"/>
                      <w:color w:val="auto"/>
                      <w:sz w:val="22"/>
                      <w:szCs w:val="22"/>
                    </w:rPr>
                    <w:t>设置安全警示，按《建筑设计防火规范》</w:t>
                  </w:r>
                  <w:r>
                    <w:rPr>
                      <w:rFonts w:ascii="宋体" w:hAnsi="宋体" w:cs="宋体"/>
                      <w:color w:val="auto"/>
                      <w:sz w:val="22"/>
                      <w:szCs w:val="22"/>
                    </w:rPr>
                    <w:t>(GB50016-2014)</w:t>
                  </w:r>
                  <w:r>
                    <w:rPr>
                      <w:rFonts w:hint="eastAsia" w:ascii="宋体" w:hAnsi="宋体" w:cs="宋体"/>
                      <w:color w:val="auto"/>
                      <w:sz w:val="22"/>
                      <w:szCs w:val="22"/>
                    </w:rPr>
                    <w:t>设置消火栓</w:t>
                  </w:r>
                  <w:r>
                    <w:rPr>
                      <w:rFonts w:hint="eastAsia" w:ascii="宋体" w:hAnsi="宋体" w:cs="宋体"/>
                      <w:color w:val="auto"/>
                      <w:sz w:val="22"/>
                      <w:szCs w:val="22"/>
                      <w:lang w:eastAsia="zh-CN"/>
                    </w:rPr>
                    <w:t>及消防器材</w:t>
                  </w:r>
                  <w:r>
                    <w:rPr>
                      <w:rFonts w:hint="eastAsia" w:ascii="宋体" w:hAnsi="宋体" w:cs="宋体"/>
                      <w:color w:val="auto"/>
                      <w:sz w:val="22"/>
                      <w:szCs w:val="22"/>
                    </w:rPr>
                    <w:t>等。</w:t>
                  </w:r>
                  <w:r>
                    <w:rPr>
                      <w:rFonts w:hint="eastAsia" w:ascii="宋体" w:hAnsi="宋体" w:cs="宋体"/>
                      <w:color w:val="auto"/>
                      <w:sz w:val="22"/>
                      <w:szCs w:val="22"/>
                      <w:vertAlign w:val="baseline"/>
                      <w:lang w:val="en-US" w:eastAsia="zh-CN"/>
                    </w:rPr>
                    <w:t>编制环境应急预案并备案</w:t>
                  </w:r>
                </w:p>
              </w:tc>
              <w:tc>
                <w:tcPr>
                  <w:tcW w:w="923" w:type="dxa"/>
                  <w:tcBorders>
                    <w:top w:val="single" w:color="333333" w:sz="4" w:space="0"/>
                    <w:left w:val="single" w:color="333333" w:sz="4" w:space="0"/>
                    <w:bottom w:val="single" w:color="333333" w:sz="4" w:space="0"/>
                    <w:right w:val="single" w:color="333333" w:sz="4" w:space="0"/>
                  </w:tcBorders>
                  <w:vAlign w:val="center"/>
                </w:tcPr>
                <w:p>
                  <w:pPr>
                    <w:kinsoku w:val="0"/>
                    <w:overflowPunct w:val="0"/>
                    <w:autoSpaceDE w:val="0"/>
                    <w:autoSpaceDN w:val="0"/>
                    <w:adjustRightInd w:val="0"/>
                    <w:snapToGrid w:val="0"/>
                    <w:jc w:val="center"/>
                    <w:rPr>
                      <w:rFonts w:hint="eastAsia" w:hAnsi="宋体" w:cs="Times New Roman"/>
                      <w:color w:val="auto"/>
                      <w:sz w:val="22"/>
                      <w:szCs w:val="22"/>
                      <w:lang w:val="en-US" w:eastAsia="zh-CN"/>
                    </w:rPr>
                  </w:pPr>
                  <w:r>
                    <w:rPr>
                      <w:rFonts w:hint="eastAsia" w:hAnsi="宋体" w:cs="Times New Roman"/>
                      <w:color w:val="auto"/>
                      <w:sz w:val="22"/>
                      <w:szCs w:val="22"/>
                      <w:lang w:val="en-US" w:eastAsia="zh-CN"/>
                    </w:rPr>
                    <w:t>依托</w:t>
                  </w:r>
                </w:p>
                <w:p>
                  <w:pPr>
                    <w:kinsoku w:val="0"/>
                    <w:overflowPunct w:val="0"/>
                    <w:autoSpaceDE w:val="0"/>
                    <w:autoSpaceDN w:val="0"/>
                    <w:adjustRightInd w:val="0"/>
                    <w:snapToGrid w:val="0"/>
                    <w:jc w:val="center"/>
                    <w:rPr>
                      <w:rFonts w:ascii="宋体"/>
                      <w:color w:val="auto"/>
                      <w:sz w:val="22"/>
                      <w:szCs w:val="22"/>
                    </w:rPr>
                  </w:pPr>
                  <w:r>
                    <w:rPr>
                      <w:rFonts w:hint="eastAsia" w:hAnsi="宋体" w:cs="Times New Roman"/>
                      <w:color w:val="auto"/>
                      <w:sz w:val="22"/>
                      <w:szCs w:val="22"/>
                      <w:lang w:val="en-US" w:eastAsia="zh-CN"/>
                    </w:rPr>
                    <w:t>现有，部分新建</w:t>
                  </w:r>
                </w:p>
              </w:tc>
            </w:tr>
          </w:tbl>
          <w:p>
            <w:pPr>
              <w:adjustRightInd w:val="0"/>
              <w:snapToGrid w:val="0"/>
              <w:spacing w:beforeLines="100" w:line="360" w:lineRule="auto"/>
              <w:ind w:firstLine="482" w:firstLineChars="200"/>
              <w:jc w:val="left"/>
              <w:rPr>
                <w:rFonts w:hint="eastAsia" w:ascii="宋体" w:eastAsia="宋体"/>
                <w:b/>
                <w:bCs/>
                <w:color w:val="auto"/>
                <w:sz w:val="24"/>
                <w:szCs w:val="24"/>
                <w:lang w:eastAsia="zh-CN"/>
              </w:rPr>
            </w:pPr>
            <w:r>
              <w:rPr>
                <w:rFonts w:ascii="宋体" w:hAnsi="宋体" w:cs="宋体"/>
                <w:b/>
                <w:bCs/>
                <w:color w:val="auto"/>
                <w:sz w:val="24"/>
                <w:szCs w:val="24"/>
              </w:rPr>
              <w:t>2</w:t>
            </w:r>
            <w:r>
              <w:rPr>
                <w:rFonts w:hint="eastAsia" w:ascii="宋体" w:hAnsi="宋体" w:cs="宋体"/>
                <w:b/>
                <w:bCs/>
                <w:color w:val="auto"/>
                <w:sz w:val="24"/>
                <w:szCs w:val="24"/>
              </w:rPr>
              <w:t>、项目地理位置与总平面布置</w:t>
            </w:r>
          </w:p>
          <w:p>
            <w:pPr>
              <w:adjustRightInd w:val="0"/>
              <w:snapToGrid w:val="0"/>
              <w:spacing w:line="360" w:lineRule="auto"/>
              <w:ind w:firstLine="480" w:firstLineChars="200"/>
              <w:jc w:val="left"/>
              <w:rPr>
                <w:rFonts w:ascii="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w:t>
            </w:r>
            <w:r>
              <w:rPr>
                <w:rFonts w:hint="eastAsia" w:ascii="宋体" w:hAnsi="宋体" w:cs="宋体"/>
                <w:color w:val="auto"/>
                <w:sz w:val="24"/>
                <w:szCs w:val="24"/>
                <w:lang w:eastAsia="zh-CN"/>
              </w:rPr>
              <w:t>）</w:t>
            </w:r>
            <w:r>
              <w:rPr>
                <w:rFonts w:hint="eastAsia" w:ascii="宋体" w:hAnsi="宋体" w:cs="宋体"/>
                <w:color w:val="auto"/>
                <w:sz w:val="24"/>
                <w:szCs w:val="24"/>
              </w:rPr>
              <w:t>项目地理位置</w:t>
            </w:r>
          </w:p>
          <w:p>
            <w:pPr>
              <w:keepNext w:val="0"/>
              <w:keepLines w:val="0"/>
              <w:widowControl/>
              <w:suppressLineNumbers w:val="0"/>
              <w:spacing w:line="360" w:lineRule="auto"/>
              <w:ind w:firstLine="480" w:firstLineChars="200"/>
              <w:jc w:val="left"/>
              <w:rPr>
                <w:rFonts w:ascii="宋体"/>
                <w:color w:val="auto"/>
                <w:sz w:val="24"/>
                <w:szCs w:val="24"/>
              </w:rPr>
            </w:pPr>
            <w:r>
              <w:rPr>
                <w:rFonts w:hint="eastAsia" w:ascii="宋体" w:hAnsi="宋体" w:cs="宋体"/>
                <w:color w:val="auto"/>
                <w:sz w:val="24"/>
                <w:szCs w:val="24"/>
              </w:rPr>
              <w:t>项目位于</w:t>
            </w:r>
            <w:r>
              <w:rPr>
                <w:rFonts w:hint="eastAsia" w:cs="Times New Roman"/>
                <w:color w:val="auto"/>
                <w:sz w:val="24"/>
                <w:lang w:val="en-US" w:eastAsia="zh-CN"/>
              </w:rPr>
              <w:t>安徽省淮北市烈山区烈山经济开发区南区唐山路智能制造产业园二区4号厂房</w:t>
            </w:r>
            <w:r>
              <w:rPr>
                <w:rFonts w:hint="eastAsia" w:ascii="宋体" w:hAnsi="宋体" w:cs="宋体"/>
                <w:color w:val="auto"/>
                <w:sz w:val="24"/>
                <w:szCs w:val="24"/>
              </w:rPr>
              <w:t>，厂区地理位置优越，交通便利。项目地理位置图见附图</w:t>
            </w:r>
            <w:r>
              <w:rPr>
                <w:rFonts w:ascii="宋体" w:hAnsi="宋体" w:cs="宋体"/>
                <w:color w:val="auto"/>
                <w:sz w:val="24"/>
                <w:szCs w:val="24"/>
              </w:rPr>
              <w:t>1</w:t>
            </w:r>
            <w:r>
              <w:rPr>
                <w:rFonts w:hint="eastAsia" w:ascii="宋体" w:hAnsi="宋体" w:cs="宋体"/>
                <w:color w:val="auto"/>
                <w:sz w:val="24"/>
                <w:szCs w:val="24"/>
              </w:rPr>
              <w:t>。</w:t>
            </w:r>
          </w:p>
          <w:p>
            <w:pPr>
              <w:adjustRightInd w:val="0"/>
              <w:snapToGrid w:val="0"/>
              <w:spacing w:line="360" w:lineRule="auto"/>
              <w:ind w:firstLine="480" w:firstLineChars="200"/>
              <w:jc w:val="left"/>
              <w:rPr>
                <w:rFonts w:hint="eastAsia" w:ascii="宋体" w:eastAsia="宋体"/>
                <w:color w:val="auto"/>
                <w:sz w:val="24"/>
                <w:szCs w:val="24"/>
                <w:lang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w:t>
            </w:r>
            <w:r>
              <w:rPr>
                <w:rFonts w:hint="eastAsia" w:ascii="宋体" w:hAnsi="宋体" w:cs="宋体"/>
                <w:color w:val="auto"/>
                <w:sz w:val="24"/>
                <w:szCs w:val="24"/>
              </w:rPr>
              <w:t>总平面布置</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hd w:val="clear" w:color="auto" w:fill="auto"/>
                <w:lang w:val="en-US" w:eastAsia="zh-CN"/>
              </w:rPr>
            </w:pPr>
            <w:r>
              <w:rPr>
                <w:rFonts w:hint="eastAsia" w:ascii="宋体" w:hAnsi="宋体" w:cs="宋体"/>
                <w:color w:val="auto"/>
                <w:sz w:val="24"/>
                <w:szCs w:val="24"/>
              </w:rPr>
              <w:t>项目</w:t>
            </w:r>
            <w:r>
              <w:rPr>
                <w:rFonts w:hint="eastAsia" w:ascii="宋体" w:hAnsi="宋体" w:cs="宋体"/>
                <w:color w:val="auto"/>
                <w:sz w:val="24"/>
                <w:szCs w:val="24"/>
                <w:lang w:eastAsia="zh-CN"/>
              </w:rPr>
              <w:t>租赁</w:t>
            </w:r>
            <w:r>
              <w:rPr>
                <w:rFonts w:hint="eastAsia" w:ascii="Times New Roman" w:hAnsi="Times New Roman" w:eastAsia="宋体" w:cs="Times New Roman"/>
                <w:color w:val="auto"/>
                <w:sz w:val="24"/>
                <w:shd w:val="clear" w:color="auto" w:fill="auto"/>
                <w:lang w:val="en-US" w:eastAsia="zh-CN"/>
              </w:rPr>
              <w:t>安徽省淮北市烈山区烈山经济开发区南区唐山路智能制造产业园二区4号厂房</w:t>
            </w:r>
            <w:r>
              <w:rPr>
                <w:rFonts w:hint="eastAsia" w:ascii="Times New Roman" w:hAnsi="Times New Roman" w:eastAsia="宋体" w:cs="Times New Roman"/>
                <w:color w:val="auto"/>
                <w:sz w:val="24"/>
                <w:shd w:val="clear" w:color="auto" w:fill="auto"/>
              </w:rPr>
              <w:t>用作生产厂房、</w:t>
            </w:r>
            <w:r>
              <w:rPr>
                <w:rFonts w:hint="eastAsia" w:ascii="Times New Roman" w:hAnsi="Times New Roman" w:eastAsia="宋体" w:cs="Times New Roman"/>
                <w:color w:val="auto"/>
                <w:sz w:val="24"/>
                <w:shd w:val="clear" w:color="auto" w:fill="auto"/>
                <w:lang w:eastAsia="zh-CN"/>
              </w:rPr>
              <w:t>原料</w:t>
            </w:r>
            <w:r>
              <w:rPr>
                <w:rFonts w:hint="eastAsia" w:ascii="Times New Roman" w:hAnsi="Times New Roman" w:eastAsia="宋体" w:cs="Times New Roman"/>
                <w:color w:val="auto"/>
                <w:sz w:val="24"/>
                <w:shd w:val="clear" w:color="auto" w:fill="auto"/>
              </w:rPr>
              <w:t>仓库</w:t>
            </w:r>
            <w:r>
              <w:rPr>
                <w:rFonts w:hint="eastAsia" w:ascii="Times New Roman" w:hAnsi="Times New Roman" w:eastAsia="宋体" w:cs="Times New Roman"/>
                <w:color w:val="auto"/>
                <w:sz w:val="24"/>
                <w:shd w:val="clear" w:color="auto" w:fill="auto"/>
                <w:lang w:eastAsia="zh-CN"/>
              </w:rPr>
              <w:t>、成品仓库等</w:t>
            </w:r>
            <w:r>
              <w:rPr>
                <w:rFonts w:hint="eastAsia" w:ascii="Times New Roman" w:hAnsi="Times New Roman" w:eastAsia="宋体" w:cs="Times New Roman"/>
                <w:color w:val="auto"/>
                <w:sz w:val="24"/>
                <w:shd w:val="clear" w:color="auto" w:fill="auto"/>
              </w:rPr>
              <w:t>。具体布置为：</w:t>
            </w:r>
            <w:r>
              <w:rPr>
                <w:rFonts w:hint="eastAsia" w:ascii="Times New Roman" w:hAnsi="Times New Roman" w:eastAsia="宋体" w:cs="Times New Roman"/>
                <w:color w:val="auto"/>
                <w:sz w:val="24"/>
                <w:shd w:val="clear" w:color="auto" w:fill="auto"/>
                <w:lang w:val="en-US" w:eastAsia="zh-CN"/>
              </w:rPr>
              <w:t>车间南侧原料仓库，</w:t>
            </w:r>
            <w:r>
              <w:rPr>
                <w:rFonts w:hint="eastAsia" w:ascii="Times New Roman" w:hAnsi="Times New Roman" w:eastAsia="宋体" w:cs="Times New Roman"/>
                <w:color w:val="auto"/>
                <w:sz w:val="24"/>
                <w:shd w:val="clear" w:color="auto" w:fill="auto"/>
                <w:lang w:eastAsia="zh-CN"/>
              </w:rPr>
              <w:t>成品仓库</w:t>
            </w:r>
            <w:r>
              <w:rPr>
                <w:rFonts w:hint="eastAsia" w:ascii="Times New Roman" w:hAnsi="Times New Roman" w:eastAsia="宋体" w:cs="Times New Roman"/>
                <w:color w:val="auto"/>
                <w:sz w:val="24"/>
                <w:shd w:val="clear" w:color="auto" w:fill="auto"/>
                <w:lang w:val="en-US" w:eastAsia="zh-CN"/>
              </w:rPr>
              <w:t>位于车间中部，</w:t>
            </w:r>
            <w:r>
              <w:rPr>
                <w:rFonts w:hint="eastAsia" w:ascii="Times New Roman" w:hAnsi="Times New Roman" w:eastAsia="宋体" w:cs="Times New Roman"/>
                <w:color w:val="auto"/>
                <w:sz w:val="24"/>
                <w:shd w:val="clear" w:color="auto" w:fill="auto"/>
                <w:lang w:eastAsia="zh-CN"/>
              </w:rPr>
              <w:t>车间北部为生产区</w:t>
            </w:r>
            <w:r>
              <w:rPr>
                <w:rFonts w:hint="eastAsia" w:ascii="Times New Roman" w:hAnsi="Times New Roman" w:eastAsia="宋体" w:cs="Times New Roman"/>
                <w:color w:val="auto"/>
                <w:sz w:val="24"/>
                <w:shd w:val="clear" w:color="auto" w:fill="auto"/>
                <w:lang w:val="en-US" w:eastAsia="zh-CN"/>
              </w:rPr>
              <w:t>，包括破碎机、螺杆挤出机等生产设备。</w:t>
            </w:r>
          </w:p>
          <w:p>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rPr>
              <w:t>总体来说，生产</w:t>
            </w:r>
            <w:r>
              <w:rPr>
                <w:rFonts w:hint="eastAsia" w:ascii="宋体" w:hAnsi="宋体" w:cs="宋体"/>
                <w:color w:val="auto"/>
                <w:sz w:val="24"/>
                <w:szCs w:val="24"/>
                <w:lang w:eastAsia="zh-CN"/>
              </w:rPr>
              <w:t>车间内的建设</w:t>
            </w:r>
            <w:r>
              <w:rPr>
                <w:rFonts w:hint="eastAsia" w:ascii="宋体" w:hAnsi="宋体" w:cs="宋体"/>
                <w:color w:val="auto"/>
                <w:sz w:val="24"/>
                <w:szCs w:val="24"/>
              </w:rPr>
              <w:t>满足</w:t>
            </w:r>
            <w:r>
              <w:rPr>
                <w:rFonts w:hint="eastAsia" w:ascii="宋体" w:hAnsi="宋体" w:cs="宋体"/>
                <w:color w:val="auto"/>
                <w:sz w:val="24"/>
                <w:szCs w:val="24"/>
                <w:lang w:eastAsia="zh-CN"/>
              </w:rPr>
              <w:t>原料、</w:t>
            </w:r>
            <w:r>
              <w:rPr>
                <w:rFonts w:hint="eastAsia" w:ascii="宋体" w:hAnsi="宋体" w:cs="宋体"/>
                <w:color w:val="auto"/>
                <w:sz w:val="24"/>
                <w:szCs w:val="24"/>
              </w:rPr>
              <w:t>成品进出等方面的要求，各功能区分区明确，布局合理、工艺流程布置顺畅可行。因此，本项目总平面布置基本合理可行。</w:t>
            </w:r>
            <w:r>
              <w:rPr>
                <w:rFonts w:hint="eastAsia" w:ascii="宋体" w:hAnsi="宋体" w:eastAsia="宋体" w:cs="宋体"/>
                <w:color w:val="auto"/>
                <w:sz w:val="24"/>
                <w:szCs w:val="24"/>
                <w:highlight w:val="none"/>
                <w:lang w:eastAsia="zh-CN"/>
              </w:rPr>
              <w:t>平面布置见附图。</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ascii="宋体"/>
                <w:b/>
                <w:bCs/>
                <w:color w:val="auto"/>
                <w:sz w:val="24"/>
                <w:szCs w:val="24"/>
              </w:rPr>
            </w:pPr>
            <w:r>
              <w:rPr>
                <w:rFonts w:ascii="宋体" w:hAnsi="宋体" w:cs="宋体"/>
                <w:b/>
                <w:bCs/>
                <w:color w:val="auto"/>
                <w:sz w:val="24"/>
                <w:szCs w:val="24"/>
              </w:rPr>
              <w:t>3</w:t>
            </w:r>
            <w:r>
              <w:rPr>
                <w:rFonts w:hint="eastAsia" w:ascii="宋体" w:hAnsi="宋体" w:cs="宋体"/>
                <w:b/>
                <w:bCs/>
                <w:color w:val="auto"/>
                <w:sz w:val="24"/>
                <w:szCs w:val="24"/>
              </w:rPr>
              <w:t>、主要生产设备</w:t>
            </w:r>
          </w:p>
          <w:p>
            <w:pPr>
              <w:adjustRightInd w:val="0"/>
              <w:snapToGrid w:val="0"/>
              <w:spacing w:line="360" w:lineRule="auto"/>
              <w:ind w:firstLine="480" w:firstLineChars="200"/>
              <w:jc w:val="left"/>
              <w:rPr>
                <w:rFonts w:ascii="宋体"/>
                <w:color w:val="auto"/>
                <w:sz w:val="24"/>
                <w:szCs w:val="24"/>
              </w:rPr>
            </w:pPr>
            <w:r>
              <w:rPr>
                <w:rFonts w:hint="eastAsia" w:ascii="宋体" w:hAnsi="宋体" w:cs="宋体"/>
                <w:color w:val="auto"/>
                <w:sz w:val="24"/>
                <w:szCs w:val="24"/>
              </w:rPr>
              <w:t>本项目生产设备见下表。</w:t>
            </w:r>
          </w:p>
          <w:p>
            <w:pPr>
              <w:tabs>
                <w:tab w:val="left" w:pos="5115"/>
              </w:tabs>
              <w:spacing w:line="360" w:lineRule="auto"/>
              <w:jc w:val="center"/>
              <w:rPr>
                <w:color w:val="auto"/>
                <w:sz w:val="22"/>
                <w:szCs w:val="22"/>
              </w:rPr>
            </w:pPr>
            <w:r>
              <w:rPr>
                <w:rFonts w:hint="eastAsia" w:cs="宋体"/>
                <w:color w:val="auto"/>
                <w:sz w:val="22"/>
                <w:szCs w:val="22"/>
              </w:rPr>
              <w:t>表</w:t>
            </w:r>
            <w:r>
              <w:rPr>
                <w:color w:val="auto"/>
                <w:sz w:val="22"/>
                <w:szCs w:val="22"/>
              </w:rPr>
              <w:t xml:space="preserve">2-2  </w:t>
            </w:r>
            <w:r>
              <w:rPr>
                <w:rFonts w:hint="eastAsia" w:cs="宋体"/>
                <w:color w:val="auto"/>
                <w:sz w:val="22"/>
                <w:szCs w:val="22"/>
              </w:rPr>
              <w:t>主要设备清单</w:t>
            </w:r>
          </w:p>
          <w:tbl>
            <w:tblPr>
              <w:tblStyle w:val="36"/>
              <w:tblW w:w="83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38"/>
              <w:gridCol w:w="2177"/>
              <w:gridCol w:w="2128"/>
              <w:gridCol w:w="1665"/>
              <w:gridCol w:w="123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exact"/>
                <w:jc w:val="center"/>
              </w:trPr>
              <w:tc>
                <w:tcPr>
                  <w:tcW w:w="1138" w:type="dxa"/>
                  <w:tcBorders>
                    <w:top w:val="single" w:color="auto" w:sz="6" w:space="0"/>
                    <w:left w:val="single" w:color="auto" w:sz="6" w:space="0"/>
                    <w:bottom w:val="single" w:color="auto" w:sz="6" w:space="0"/>
                    <w:right w:val="single" w:color="auto" w:sz="6" w:space="0"/>
                  </w:tcBorders>
                  <w:noWrap w:val="0"/>
                  <w:vAlign w:val="center"/>
                </w:tcPr>
                <w:p>
                  <w:pPr>
                    <w:jc w:val="center"/>
                    <w:rPr>
                      <w:color w:val="auto"/>
                      <w:szCs w:val="21"/>
                    </w:rPr>
                  </w:pPr>
                  <w:r>
                    <w:rPr>
                      <w:rFonts w:hint="eastAsia"/>
                      <w:color w:val="auto"/>
                      <w:szCs w:val="21"/>
                    </w:rPr>
                    <w:t>序号</w:t>
                  </w:r>
                </w:p>
              </w:tc>
              <w:tc>
                <w:tcPr>
                  <w:tcW w:w="2177" w:type="dxa"/>
                  <w:tcBorders>
                    <w:top w:val="single" w:color="auto" w:sz="6" w:space="0"/>
                    <w:left w:val="single" w:color="auto" w:sz="6" w:space="0"/>
                    <w:bottom w:val="single" w:color="auto" w:sz="6" w:space="0"/>
                    <w:right w:val="single" w:color="auto" w:sz="4" w:space="0"/>
                  </w:tcBorders>
                  <w:noWrap w:val="0"/>
                  <w:vAlign w:val="center"/>
                </w:tcPr>
                <w:p>
                  <w:pPr>
                    <w:jc w:val="center"/>
                    <w:rPr>
                      <w:color w:val="auto"/>
                      <w:szCs w:val="21"/>
                    </w:rPr>
                  </w:pPr>
                  <w:r>
                    <w:rPr>
                      <w:rFonts w:hint="eastAsia"/>
                      <w:color w:val="auto"/>
                      <w:szCs w:val="21"/>
                    </w:rPr>
                    <w:t>设备名称</w:t>
                  </w:r>
                </w:p>
              </w:tc>
              <w:tc>
                <w:tcPr>
                  <w:tcW w:w="2128" w:type="dxa"/>
                  <w:tcBorders>
                    <w:top w:val="single" w:color="auto" w:sz="6" w:space="0"/>
                    <w:left w:val="single" w:color="auto" w:sz="6" w:space="0"/>
                    <w:bottom w:val="single" w:color="auto" w:sz="6" w:space="0"/>
                    <w:right w:val="single" w:color="auto" w:sz="4" w:space="0"/>
                  </w:tcBorders>
                  <w:noWrap w:val="0"/>
                  <w:vAlign w:val="center"/>
                </w:tcPr>
                <w:p>
                  <w:pPr>
                    <w:jc w:val="center"/>
                    <w:rPr>
                      <w:color w:val="auto"/>
                      <w:szCs w:val="21"/>
                    </w:rPr>
                  </w:pPr>
                  <w:r>
                    <w:rPr>
                      <w:rFonts w:hint="eastAsia"/>
                      <w:color w:val="auto"/>
                      <w:szCs w:val="21"/>
                    </w:rPr>
                    <w:t>型号</w:t>
                  </w:r>
                </w:p>
              </w:tc>
              <w:tc>
                <w:tcPr>
                  <w:tcW w:w="1665" w:type="dxa"/>
                  <w:tcBorders>
                    <w:top w:val="single" w:color="auto" w:sz="6" w:space="0"/>
                    <w:left w:val="single" w:color="auto" w:sz="4" w:space="0"/>
                    <w:bottom w:val="single" w:color="auto" w:sz="6" w:space="0"/>
                    <w:right w:val="single" w:color="auto" w:sz="6" w:space="0"/>
                  </w:tcBorders>
                  <w:noWrap w:val="0"/>
                  <w:vAlign w:val="center"/>
                </w:tcPr>
                <w:p>
                  <w:pPr>
                    <w:jc w:val="center"/>
                    <w:rPr>
                      <w:color w:val="auto"/>
                      <w:szCs w:val="21"/>
                    </w:rPr>
                  </w:pPr>
                  <w:r>
                    <w:rPr>
                      <w:rFonts w:hint="eastAsia"/>
                      <w:color w:val="auto"/>
                      <w:szCs w:val="21"/>
                    </w:rPr>
                    <w:t>单位</w:t>
                  </w:r>
                </w:p>
              </w:tc>
              <w:tc>
                <w:tcPr>
                  <w:tcW w:w="1230" w:type="dxa"/>
                  <w:tcBorders>
                    <w:top w:val="single" w:color="auto" w:sz="6" w:space="0"/>
                    <w:left w:val="single" w:color="auto" w:sz="6" w:space="0"/>
                    <w:bottom w:val="single" w:color="auto" w:sz="6" w:space="0"/>
                    <w:right w:val="single" w:color="auto" w:sz="6" w:space="0"/>
                  </w:tcBorders>
                  <w:noWrap w:val="0"/>
                  <w:vAlign w:val="center"/>
                </w:tcPr>
                <w:p>
                  <w:pPr>
                    <w:jc w:val="center"/>
                    <w:rPr>
                      <w:color w:val="auto"/>
                      <w:szCs w:val="21"/>
                    </w:rPr>
                  </w:pPr>
                  <w:r>
                    <w:rPr>
                      <w:rFonts w:hint="eastAsia"/>
                      <w:color w:val="auto"/>
                      <w:szCs w:val="21"/>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exact"/>
                <w:jc w:val="center"/>
              </w:trPr>
              <w:tc>
                <w:tcPr>
                  <w:tcW w:w="1138"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textAlignment w:val="baseline"/>
                    <w:rPr>
                      <w:color w:val="auto"/>
                      <w:szCs w:val="21"/>
                    </w:rPr>
                  </w:pPr>
                  <w:r>
                    <w:rPr>
                      <w:color w:val="auto"/>
                      <w:szCs w:val="21"/>
                    </w:rPr>
                    <w:t>1</w:t>
                  </w:r>
                </w:p>
              </w:tc>
              <w:tc>
                <w:tcPr>
                  <w:tcW w:w="2177" w:type="dxa"/>
                  <w:tcBorders>
                    <w:top w:val="single" w:color="auto" w:sz="6" w:space="0"/>
                    <w:left w:val="single" w:color="auto" w:sz="6" w:space="0"/>
                    <w:bottom w:val="single" w:color="auto" w:sz="6" w:space="0"/>
                    <w:right w:val="single" w:color="auto" w:sz="4" w:space="0"/>
                  </w:tcBorders>
                  <w:noWrap w:val="0"/>
                  <w:vAlign w:val="center"/>
                </w:tcPr>
                <w:p>
                  <w:pPr>
                    <w:jc w:val="center"/>
                    <w:rPr>
                      <w:rFonts w:hint="default" w:eastAsiaTheme="minorEastAsia"/>
                      <w:color w:val="auto"/>
                      <w:szCs w:val="21"/>
                      <w:lang w:val="en-US" w:eastAsia="zh-CN"/>
                    </w:rPr>
                  </w:pPr>
                  <w:r>
                    <w:rPr>
                      <w:rFonts w:hint="eastAsia"/>
                      <w:color w:val="auto"/>
                      <w:szCs w:val="21"/>
                      <w:lang w:val="en-US" w:eastAsia="zh-CN"/>
                    </w:rPr>
                    <w:t>破碎机</w:t>
                  </w:r>
                </w:p>
              </w:tc>
              <w:tc>
                <w:tcPr>
                  <w:tcW w:w="2128" w:type="dxa"/>
                  <w:tcBorders>
                    <w:top w:val="single" w:color="auto" w:sz="6" w:space="0"/>
                    <w:left w:val="single" w:color="auto" w:sz="6" w:space="0"/>
                    <w:bottom w:val="single" w:color="auto" w:sz="6" w:space="0"/>
                    <w:right w:val="single" w:color="auto" w:sz="4" w:space="0"/>
                  </w:tcBorders>
                  <w:noWrap w:val="0"/>
                  <w:vAlign w:val="center"/>
                </w:tcPr>
                <w:p>
                  <w:pPr>
                    <w:jc w:val="center"/>
                    <w:rPr>
                      <w:rFonts w:hint="default" w:eastAsiaTheme="minorEastAsia"/>
                      <w:color w:val="auto"/>
                      <w:szCs w:val="21"/>
                      <w:lang w:val="en-US" w:eastAsia="zh-CN"/>
                    </w:rPr>
                  </w:pPr>
                  <w:r>
                    <w:rPr>
                      <w:rFonts w:hint="eastAsia"/>
                      <w:color w:val="auto"/>
                      <w:szCs w:val="21"/>
                      <w:lang w:val="en-US" w:eastAsia="zh-CN"/>
                    </w:rPr>
                    <w:t>500mm</w:t>
                  </w:r>
                </w:p>
              </w:tc>
              <w:tc>
                <w:tcPr>
                  <w:tcW w:w="1665" w:type="dxa"/>
                  <w:tcBorders>
                    <w:top w:val="single" w:color="auto" w:sz="6" w:space="0"/>
                    <w:left w:val="single" w:color="auto" w:sz="4" w:space="0"/>
                    <w:bottom w:val="single" w:color="auto" w:sz="6" w:space="0"/>
                    <w:right w:val="single" w:color="auto" w:sz="6" w:space="0"/>
                  </w:tcBorders>
                  <w:noWrap w:val="0"/>
                  <w:vAlign w:val="center"/>
                </w:tcPr>
                <w:p>
                  <w:pPr>
                    <w:jc w:val="center"/>
                    <w:rPr>
                      <w:rFonts w:hint="default" w:eastAsiaTheme="minorEastAsia"/>
                      <w:color w:val="auto"/>
                      <w:szCs w:val="21"/>
                      <w:lang w:val="en-US" w:eastAsia="zh-CN"/>
                    </w:rPr>
                  </w:pPr>
                  <w:r>
                    <w:rPr>
                      <w:rFonts w:hint="eastAsia"/>
                      <w:color w:val="auto"/>
                      <w:szCs w:val="21"/>
                      <w:lang w:val="en-US" w:eastAsia="zh-CN"/>
                    </w:rPr>
                    <w:t>台</w:t>
                  </w:r>
                </w:p>
              </w:tc>
              <w:tc>
                <w:tcPr>
                  <w:tcW w:w="123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Theme="minorEastAsia"/>
                      <w:color w:val="auto"/>
                      <w:szCs w:val="21"/>
                      <w:lang w:val="en-US" w:eastAsia="zh-CN"/>
                    </w:rPr>
                  </w:pPr>
                  <w:r>
                    <w:rPr>
                      <w:rFonts w:hint="eastAsia"/>
                      <w:color w:val="auto"/>
                      <w:szCs w:val="21"/>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exact"/>
                <w:jc w:val="center"/>
              </w:trPr>
              <w:tc>
                <w:tcPr>
                  <w:tcW w:w="1138"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color w:val="auto"/>
                      <w:szCs w:val="21"/>
                    </w:rPr>
                  </w:pPr>
                  <w:r>
                    <w:rPr>
                      <w:color w:val="auto"/>
                      <w:szCs w:val="21"/>
                    </w:rPr>
                    <w:t>2</w:t>
                  </w:r>
                </w:p>
              </w:tc>
              <w:tc>
                <w:tcPr>
                  <w:tcW w:w="2177" w:type="dxa"/>
                  <w:tcBorders>
                    <w:top w:val="single" w:color="auto" w:sz="6" w:space="0"/>
                    <w:left w:val="single" w:color="auto" w:sz="6" w:space="0"/>
                    <w:bottom w:val="single" w:color="auto" w:sz="6" w:space="0"/>
                    <w:right w:val="single" w:color="auto" w:sz="4" w:space="0"/>
                  </w:tcBorders>
                  <w:noWrap w:val="0"/>
                  <w:vAlign w:val="center"/>
                </w:tcPr>
                <w:p>
                  <w:pPr>
                    <w:jc w:val="center"/>
                    <w:rPr>
                      <w:rFonts w:hint="default" w:eastAsiaTheme="minorEastAsia"/>
                      <w:color w:val="auto"/>
                      <w:szCs w:val="21"/>
                      <w:lang w:val="en-US" w:eastAsia="zh-CN"/>
                    </w:rPr>
                  </w:pPr>
                  <w:r>
                    <w:rPr>
                      <w:rFonts w:hint="eastAsia"/>
                      <w:color w:val="auto"/>
                      <w:szCs w:val="21"/>
                      <w:lang w:val="en-US" w:eastAsia="zh-CN"/>
                    </w:rPr>
                    <w:t>螺杆挤出机</w:t>
                  </w:r>
                </w:p>
              </w:tc>
              <w:tc>
                <w:tcPr>
                  <w:tcW w:w="2128" w:type="dxa"/>
                  <w:tcBorders>
                    <w:top w:val="single" w:color="auto" w:sz="6" w:space="0"/>
                    <w:left w:val="single" w:color="auto" w:sz="6" w:space="0"/>
                    <w:bottom w:val="single" w:color="auto" w:sz="6" w:space="0"/>
                    <w:right w:val="single" w:color="auto" w:sz="4" w:space="0"/>
                  </w:tcBorders>
                  <w:noWrap w:val="0"/>
                  <w:vAlign w:val="center"/>
                </w:tcPr>
                <w:p>
                  <w:pPr>
                    <w:jc w:val="center"/>
                    <w:rPr>
                      <w:rFonts w:hint="default" w:eastAsiaTheme="minorEastAsia"/>
                      <w:color w:val="auto"/>
                      <w:szCs w:val="21"/>
                      <w:lang w:val="en-US" w:eastAsia="zh-CN"/>
                    </w:rPr>
                  </w:pPr>
                  <w:r>
                    <w:rPr>
                      <w:rFonts w:hint="eastAsia"/>
                      <w:color w:val="auto"/>
                      <w:szCs w:val="21"/>
                      <w:lang w:val="en-US" w:eastAsia="zh-CN"/>
                    </w:rPr>
                    <w:t>50mm</w:t>
                  </w:r>
                </w:p>
              </w:tc>
              <w:tc>
                <w:tcPr>
                  <w:tcW w:w="1665"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eastAsiaTheme="minorEastAsia"/>
                      <w:color w:val="auto"/>
                      <w:szCs w:val="21"/>
                      <w:lang w:val="en-US" w:eastAsia="zh-CN"/>
                    </w:rPr>
                  </w:pPr>
                  <w:r>
                    <w:rPr>
                      <w:rFonts w:hint="eastAsia"/>
                      <w:color w:val="auto"/>
                      <w:szCs w:val="21"/>
                      <w:lang w:val="en-US" w:eastAsia="zh-CN"/>
                    </w:rPr>
                    <w:t>台</w:t>
                  </w:r>
                </w:p>
              </w:tc>
              <w:tc>
                <w:tcPr>
                  <w:tcW w:w="1230"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eastAsiaTheme="minorEastAsia"/>
                      <w:color w:val="auto"/>
                      <w:szCs w:val="21"/>
                      <w:lang w:val="en-US" w:eastAsia="zh-CN"/>
                    </w:rPr>
                  </w:pPr>
                  <w:r>
                    <w:rPr>
                      <w:rFonts w:hint="eastAsia"/>
                      <w:color w:val="auto"/>
                      <w:szCs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exact"/>
                <w:jc w:val="center"/>
              </w:trPr>
              <w:tc>
                <w:tcPr>
                  <w:tcW w:w="1138"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3</w:t>
                  </w:r>
                </w:p>
              </w:tc>
              <w:tc>
                <w:tcPr>
                  <w:tcW w:w="2177" w:type="dxa"/>
                  <w:tcBorders>
                    <w:top w:val="single" w:color="auto" w:sz="6" w:space="0"/>
                    <w:left w:val="single" w:color="auto" w:sz="6" w:space="0"/>
                    <w:bottom w:val="single" w:color="auto" w:sz="6" w:space="0"/>
                    <w:right w:val="single" w:color="auto" w:sz="4" w:space="0"/>
                  </w:tcBorders>
                  <w:noWrap w:val="0"/>
                  <w:vAlign w:val="center"/>
                </w:tcPr>
                <w:p>
                  <w:pPr>
                    <w:jc w:val="center"/>
                    <w:rPr>
                      <w:color w:val="auto"/>
                      <w:szCs w:val="21"/>
                    </w:rPr>
                  </w:pPr>
                  <w:r>
                    <w:rPr>
                      <w:rFonts w:hint="eastAsia"/>
                      <w:color w:val="auto"/>
                      <w:szCs w:val="21"/>
                      <w:lang w:val="en-US" w:eastAsia="zh-CN"/>
                    </w:rPr>
                    <w:t>螺杆挤出机</w:t>
                  </w:r>
                </w:p>
              </w:tc>
              <w:tc>
                <w:tcPr>
                  <w:tcW w:w="2128" w:type="dxa"/>
                  <w:tcBorders>
                    <w:top w:val="single" w:color="auto" w:sz="6" w:space="0"/>
                    <w:left w:val="single" w:color="auto" w:sz="6" w:space="0"/>
                    <w:bottom w:val="single" w:color="auto" w:sz="6" w:space="0"/>
                    <w:right w:val="single" w:color="auto" w:sz="4" w:space="0"/>
                  </w:tcBorders>
                  <w:noWrap w:val="0"/>
                  <w:vAlign w:val="center"/>
                </w:tcPr>
                <w:p>
                  <w:pPr>
                    <w:jc w:val="center"/>
                    <w:rPr>
                      <w:color w:val="auto"/>
                      <w:szCs w:val="21"/>
                    </w:rPr>
                  </w:pPr>
                  <w:r>
                    <w:rPr>
                      <w:rFonts w:hint="eastAsia"/>
                      <w:color w:val="auto"/>
                      <w:szCs w:val="21"/>
                      <w:lang w:val="en-US" w:eastAsia="zh-CN"/>
                    </w:rPr>
                    <w:t>65mm</w:t>
                  </w:r>
                </w:p>
              </w:tc>
              <w:tc>
                <w:tcPr>
                  <w:tcW w:w="1665" w:type="dxa"/>
                  <w:tcBorders>
                    <w:top w:val="single" w:color="auto" w:sz="6" w:space="0"/>
                    <w:left w:val="single" w:color="auto" w:sz="4" w:space="0"/>
                    <w:bottom w:val="single" w:color="auto" w:sz="6" w:space="0"/>
                    <w:right w:val="single" w:color="auto" w:sz="6" w:space="0"/>
                  </w:tcBorders>
                  <w:noWrap w:val="0"/>
                  <w:vAlign w:val="center"/>
                </w:tcPr>
                <w:p>
                  <w:pPr>
                    <w:jc w:val="center"/>
                    <w:rPr>
                      <w:color w:val="auto"/>
                      <w:szCs w:val="21"/>
                    </w:rPr>
                  </w:pPr>
                  <w:r>
                    <w:rPr>
                      <w:rFonts w:hint="eastAsia"/>
                      <w:color w:val="auto"/>
                      <w:szCs w:val="21"/>
                      <w:lang w:val="en-US" w:eastAsia="zh-CN"/>
                    </w:rPr>
                    <w:t>台</w:t>
                  </w:r>
                </w:p>
              </w:tc>
              <w:tc>
                <w:tcPr>
                  <w:tcW w:w="1230"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eastAsiaTheme="minorEastAsia"/>
                      <w:color w:val="auto"/>
                      <w:szCs w:val="21"/>
                      <w:lang w:val="en-US" w:eastAsia="zh-CN"/>
                    </w:rPr>
                  </w:pPr>
                  <w:r>
                    <w:rPr>
                      <w:rFonts w:hint="eastAsia"/>
                      <w:color w:val="auto"/>
                      <w:szCs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1" w:hRule="exact"/>
                <w:jc w:val="center"/>
              </w:trPr>
              <w:tc>
                <w:tcPr>
                  <w:tcW w:w="1138"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color w:val="auto"/>
                      <w:szCs w:val="21"/>
                    </w:rPr>
                  </w:pPr>
                  <w:r>
                    <w:rPr>
                      <w:color w:val="auto"/>
                      <w:szCs w:val="21"/>
                    </w:rPr>
                    <w:t>4</w:t>
                  </w:r>
                </w:p>
              </w:tc>
              <w:tc>
                <w:tcPr>
                  <w:tcW w:w="2177" w:type="dxa"/>
                  <w:tcBorders>
                    <w:top w:val="single" w:color="auto" w:sz="6" w:space="0"/>
                    <w:left w:val="single" w:color="auto" w:sz="6" w:space="0"/>
                    <w:bottom w:val="single" w:color="auto" w:sz="6" w:space="0"/>
                    <w:right w:val="single" w:color="auto" w:sz="4" w:space="0"/>
                  </w:tcBorders>
                  <w:noWrap w:val="0"/>
                  <w:vAlign w:val="center"/>
                </w:tcPr>
                <w:p>
                  <w:pPr>
                    <w:jc w:val="center"/>
                    <w:rPr>
                      <w:color w:val="auto"/>
                      <w:szCs w:val="21"/>
                    </w:rPr>
                  </w:pPr>
                  <w:r>
                    <w:rPr>
                      <w:rFonts w:hint="eastAsia"/>
                      <w:color w:val="auto"/>
                      <w:szCs w:val="21"/>
                      <w:lang w:val="en-US" w:eastAsia="zh-CN"/>
                    </w:rPr>
                    <w:t>螺杆挤出机</w:t>
                  </w:r>
                </w:p>
              </w:tc>
              <w:tc>
                <w:tcPr>
                  <w:tcW w:w="2128" w:type="dxa"/>
                  <w:tcBorders>
                    <w:top w:val="single" w:color="auto" w:sz="6" w:space="0"/>
                    <w:left w:val="single" w:color="auto" w:sz="6" w:space="0"/>
                    <w:bottom w:val="single" w:color="auto" w:sz="6" w:space="0"/>
                    <w:right w:val="single" w:color="auto" w:sz="4" w:space="0"/>
                  </w:tcBorders>
                  <w:noWrap w:val="0"/>
                  <w:vAlign w:val="center"/>
                </w:tcPr>
                <w:p>
                  <w:pPr>
                    <w:jc w:val="center"/>
                    <w:rPr>
                      <w:color w:val="auto"/>
                      <w:szCs w:val="21"/>
                    </w:rPr>
                  </w:pPr>
                  <w:r>
                    <w:rPr>
                      <w:rFonts w:hint="eastAsia"/>
                      <w:color w:val="auto"/>
                      <w:szCs w:val="21"/>
                      <w:lang w:val="en-US" w:eastAsia="zh-CN"/>
                    </w:rPr>
                    <w:t>90mm</w:t>
                  </w:r>
                </w:p>
              </w:tc>
              <w:tc>
                <w:tcPr>
                  <w:tcW w:w="1665" w:type="dxa"/>
                  <w:tcBorders>
                    <w:top w:val="single" w:color="auto" w:sz="6" w:space="0"/>
                    <w:left w:val="single" w:color="auto" w:sz="4" w:space="0"/>
                    <w:bottom w:val="single" w:color="auto" w:sz="6" w:space="0"/>
                    <w:right w:val="single" w:color="auto" w:sz="6" w:space="0"/>
                  </w:tcBorders>
                  <w:noWrap w:val="0"/>
                  <w:vAlign w:val="center"/>
                </w:tcPr>
                <w:p>
                  <w:pPr>
                    <w:jc w:val="center"/>
                    <w:rPr>
                      <w:color w:val="auto"/>
                      <w:szCs w:val="21"/>
                    </w:rPr>
                  </w:pPr>
                  <w:r>
                    <w:rPr>
                      <w:rFonts w:hint="eastAsia"/>
                      <w:color w:val="auto"/>
                      <w:szCs w:val="21"/>
                      <w:lang w:val="en-US" w:eastAsia="zh-CN"/>
                    </w:rPr>
                    <w:t>台</w:t>
                  </w:r>
                </w:p>
              </w:tc>
              <w:tc>
                <w:tcPr>
                  <w:tcW w:w="1230" w:type="dxa"/>
                  <w:tcBorders>
                    <w:top w:val="single" w:color="auto" w:sz="6" w:space="0"/>
                    <w:left w:val="single" w:color="auto" w:sz="6" w:space="0"/>
                    <w:bottom w:val="single" w:color="auto" w:sz="6" w:space="0"/>
                    <w:right w:val="single" w:color="auto" w:sz="6" w:space="0"/>
                  </w:tcBorders>
                  <w:noWrap w:val="0"/>
                  <w:vAlign w:val="center"/>
                </w:tcPr>
                <w:p>
                  <w:pPr>
                    <w:jc w:val="center"/>
                    <w:rPr>
                      <w:color w:val="auto"/>
                      <w:szCs w:val="21"/>
                    </w:rPr>
                  </w:pPr>
                  <w:r>
                    <w:rPr>
                      <w:rFonts w:hint="eastAsia"/>
                      <w:color w:val="auto"/>
                      <w:szCs w:val="21"/>
                      <w:lang w:val="en-US" w:eastAsia="zh-CN"/>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1" w:hRule="exact"/>
                <w:jc w:val="center"/>
              </w:trPr>
              <w:tc>
                <w:tcPr>
                  <w:tcW w:w="1138"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eastAsia" w:eastAsia="宋体"/>
                      <w:color w:val="auto"/>
                      <w:szCs w:val="21"/>
                      <w:lang w:val="en-US" w:eastAsia="zh-CN"/>
                    </w:rPr>
                  </w:pPr>
                  <w:r>
                    <w:rPr>
                      <w:rFonts w:hint="eastAsia"/>
                      <w:color w:val="auto"/>
                      <w:szCs w:val="21"/>
                    </w:rPr>
                    <w:t>5</w:t>
                  </w:r>
                </w:p>
              </w:tc>
              <w:tc>
                <w:tcPr>
                  <w:tcW w:w="2177" w:type="dxa"/>
                  <w:tcBorders>
                    <w:top w:val="single" w:color="auto" w:sz="6" w:space="0"/>
                    <w:left w:val="single" w:color="auto" w:sz="6" w:space="0"/>
                    <w:bottom w:val="single" w:color="auto" w:sz="6" w:space="0"/>
                    <w:right w:val="single" w:color="auto" w:sz="4" w:space="0"/>
                  </w:tcBorders>
                  <w:noWrap w:val="0"/>
                  <w:vAlign w:val="center"/>
                </w:tcPr>
                <w:p>
                  <w:pPr>
                    <w:jc w:val="center"/>
                    <w:rPr>
                      <w:rFonts w:hint="eastAsia"/>
                      <w:color w:val="auto"/>
                      <w:szCs w:val="21"/>
                      <w:lang w:val="en-US" w:eastAsia="zh-CN"/>
                    </w:rPr>
                  </w:pPr>
                  <w:r>
                    <w:rPr>
                      <w:rFonts w:hint="eastAsia"/>
                      <w:color w:val="auto"/>
                      <w:szCs w:val="21"/>
                      <w:lang w:val="en-US" w:eastAsia="zh-CN"/>
                    </w:rPr>
                    <w:t>一次泡沫预发泡机</w:t>
                  </w:r>
                </w:p>
              </w:tc>
              <w:tc>
                <w:tcPr>
                  <w:tcW w:w="2128" w:type="dxa"/>
                  <w:tcBorders>
                    <w:top w:val="single" w:color="auto" w:sz="6" w:space="0"/>
                    <w:left w:val="single" w:color="auto" w:sz="6" w:space="0"/>
                    <w:bottom w:val="single" w:color="auto" w:sz="6" w:space="0"/>
                    <w:right w:val="single" w:color="auto" w:sz="4" w:space="0"/>
                  </w:tcBorders>
                  <w:noWrap w:val="0"/>
                  <w:vAlign w:val="center"/>
                </w:tcPr>
                <w:p>
                  <w:pPr>
                    <w:jc w:val="center"/>
                    <w:rPr>
                      <w:rFonts w:hint="eastAsia"/>
                      <w:color w:val="auto"/>
                      <w:szCs w:val="21"/>
                      <w:lang w:val="en-US" w:eastAsia="zh-CN"/>
                    </w:rPr>
                  </w:pPr>
                  <w:r>
                    <w:rPr>
                      <w:rFonts w:hint="eastAsia"/>
                      <w:color w:val="auto"/>
                      <w:szCs w:val="21"/>
                      <w:lang w:val="en-US" w:eastAsia="zh-CN"/>
                    </w:rPr>
                    <w:t>1660</w:t>
                  </w:r>
                </w:p>
              </w:tc>
              <w:tc>
                <w:tcPr>
                  <w:tcW w:w="1665"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color w:val="auto"/>
                      <w:szCs w:val="21"/>
                      <w:lang w:val="en-US" w:eastAsia="zh-CN"/>
                    </w:rPr>
                  </w:pPr>
                  <w:r>
                    <w:rPr>
                      <w:rFonts w:hint="eastAsia"/>
                      <w:color w:val="auto"/>
                      <w:szCs w:val="21"/>
                      <w:lang w:val="en-US" w:eastAsia="zh-CN"/>
                    </w:rPr>
                    <w:t>台</w:t>
                  </w:r>
                </w:p>
              </w:tc>
              <w:tc>
                <w:tcPr>
                  <w:tcW w:w="1230"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color w:val="auto"/>
                      <w:szCs w:val="21"/>
                      <w:lang w:val="en-US" w:eastAsia="zh-CN"/>
                    </w:rPr>
                  </w:pPr>
                  <w:r>
                    <w:rPr>
                      <w:rFonts w:hint="eastAsia"/>
                      <w:color w:val="auto"/>
                      <w:szCs w:val="21"/>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1" w:hRule="exact"/>
                <w:jc w:val="center"/>
              </w:trPr>
              <w:tc>
                <w:tcPr>
                  <w:tcW w:w="1138"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6</w:t>
                  </w:r>
                </w:p>
              </w:tc>
              <w:tc>
                <w:tcPr>
                  <w:tcW w:w="2177" w:type="dxa"/>
                  <w:tcBorders>
                    <w:top w:val="single" w:color="auto" w:sz="6" w:space="0"/>
                    <w:left w:val="single" w:color="auto" w:sz="6" w:space="0"/>
                    <w:bottom w:val="single" w:color="auto" w:sz="6" w:space="0"/>
                    <w:right w:val="single" w:color="auto" w:sz="4" w:space="0"/>
                  </w:tcBorders>
                  <w:noWrap w:val="0"/>
                  <w:vAlign w:val="center"/>
                </w:tcPr>
                <w:p>
                  <w:pPr>
                    <w:jc w:val="center"/>
                    <w:rPr>
                      <w:rFonts w:hint="eastAsia"/>
                      <w:color w:val="auto"/>
                      <w:szCs w:val="21"/>
                      <w:lang w:val="en-US" w:eastAsia="zh-CN"/>
                    </w:rPr>
                  </w:pPr>
                  <w:r>
                    <w:rPr>
                      <w:rFonts w:hint="eastAsia"/>
                      <w:color w:val="auto"/>
                      <w:szCs w:val="21"/>
                      <w:lang w:val="en-US" w:eastAsia="zh-CN"/>
                    </w:rPr>
                    <w:t>二次泡沫预发泡机</w:t>
                  </w:r>
                </w:p>
              </w:tc>
              <w:tc>
                <w:tcPr>
                  <w:tcW w:w="2128" w:type="dxa"/>
                  <w:tcBorders>
                    <w:top w:val="single" w:color="auto" w:sz="6" w:space="0"/>
                    <w:left w:val="single" w:color="auto" w:sz="6" w:space="0"/>
                    <w:bottom w:val="single" w:color="auto" w:sz="6" w:space="0"/>
                    <w:right w:val="single" w:color="auto" w:sz="4" w:space="0"/>
                  </w:tcBorders>
                  <w:noWrap w:val="0"/>
                  <w:vAlign w:val="center"/>
                </w:tcPr>
                <w:p>
                  <w:pPr>
                    <w:jc w:val="center"/>
                    <w:rPr>
                      <w:rFonts w:hint="eastAsia"/>
                      <w:color w:val="auto"/>
                      <w:szCs w:val="21"/>
                      <w:lang w:val="en-US" w:eastAsia="zh-CN"/>
                    </w:rPr>
                  </w:pPr>
                  <w:r>
                    <w:rPr>
                      <w:rFonts w:hint="eastAsia"/>
                      <w:color w:val="auto"/>
                      <w:szCs w:val="21"/>
                      <w:lang w:val="en-US" w:eastAsia="zh-CN"/>
                    </w:rPr>
                    <w:t>120</w:t>
                  </w:r>
                </w:p>
              </w:tc>
              <w:tc>
                <w:tcPr>
                  <w:tcW w:w="1665"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color w:val="auto"/>
                      <w:szCs w:val="21"/>
                      <w:lang w:val="en-US" w:eastAsia="zh-CN"/>
                    </w:rPr>
                  </w:pPr>
                  <w:r>
                    <w:rPr>
                      <w:rFonts w:hint="eastAsia"/>
                      <w:color w:val="auto"/>
                      <w:szCs w:val="21"/>
                      <w:lang w:val="en-US" w:eastAsia="zh-CN"/>
                    </w:rPr>
                    <w:t>台</w:t>
                  </w:r>
                </w:p>
              </w:tc>
              <w:tc>
                <w:tcPr>
                  <w:tcW w:w="1230"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color w:val="auto"/>
                      <w:szCs w:val="21"/>
                      <w:lang w:val="en-US" w:eastAsia="zh-CN"/>
                    </w:rPr>
                  </w:pPr>
                  <w:r>
                    <w:rPr>
                      <w:rFonts w:hint="eastAsia"/>
                      <w:color w:val="auto"/>
                      <w:szCs w:val="21"/>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4" w:hRule="exact"/>
                <w:jc w:val="center"/>
              </w:trPr>
              <w:tc>
                <w:tcPr>
                  <w:tcW w:w="1138"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7</w:t>
                  </w:r>
                </w:p>
              </w:tc>
              <w:tc>
                <w:tcPr>
                  <w:tcW w:w="2177" w:type="dxa"/>
                  <w:tcBorders>
                    <w:top w:val="single" w:color="auto" w:sz="6" w:space="0"/>
                    <w:left w:val="single" w:color="auto" w:sz="6" w:space="0"/>
                    <w:bottom w:val="single" w:color="auto" w:sz="6" w:space="0"/>
                    <w:right w:val="single" w:color="auto" w:sz="4" w:space="0"/>
                  </w:tcBorders>
                  <w:noWrap w:val="0"/>
                  <w:vAlign w:val="center"/>
                </w:tcPr>
                <w:p>
                  <w:pPr>
                    <w:jc w:val="center"/>
                    <w:rPr>
                      <w:rFonts w:hint="eastAsia"/>
                      <w:color w:val="auto"/>
                      <w:szCs w:val="21"/>
                      <w:lang w:val="en-US" w:eastAsia="zh-CN"/>
                    </w:rPr>
                  </w:pPr>
                  <w:r>
                    <w:rPr>
                      <w:rFonts w:hint="eastAsia"/>
                      <w:color w:val="auto"/>
                      <w:szCs w:val="21"/>
                      <w:lang w:val="en-US" w:eastAsia="zh-CN"/>
                    </w:rPr>
                    <w:t>泡沫材机</w:t>
                  </w:r>
                </w:p>
              </w:tc>
              <w:tc>
                <w:tcPr>
                  <w:tcW w:w="2128" w:type="dxa"/>
                  <w:tcBorders>
                    <w:top w:val="single" w:color="auto" w:sz="6" w:space="0"/>
                    <w:left w:val="single" w:color="auto" w:sz="6" w:space="0"/>
                    <w:bottom w:val="single" w:color="auto" w:sz="6" w:space="0"/>
                    <w:right w:val="single" w:color="auto" w:sz="4" w:space="0"/>
                  </w:tcBorders>
                  <w:noWrap w:val="0"/>
                  <w:vAlign w:val="center"/>
                </w:tcPr>
                <w:p>
                  <w:pPr>
                    <w:jc w:val="center"/>
                    <w:rPr>
                      <w:rFonts w:hint="eastAsia"/>
                      <w:color w:val="auto"/>
                      <w:szCs w:val="21"/>
                      <w:lang w:val="en-US" w:eastAsia="zh-CN"/>
                    </w:rPr>
                  </w:pPr>
                  <w:r>
                    <w:rPr>
                      <w:rFonts w:hint="eastAsia"/>
                      <w:color w:val="auto"/>
                      <w:szCs w:val="21"/>
                      <w:lang w:val="en-US" w:eastAsia="zh-CN"/>
                    </w:rPr>
                    <w:t>/</w:t>
                  </w:r>
                </w:p>
              </w:tc>
              <w:tc>
                <w:tcPr>
                  <w:tcW w:w="1665"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color w:val="auto"/>
                      <w:szCs w:val="21"/>
                      <w:lang w:val="en-US" w:eastAsia="zh-CN"/>
                    </w:rPr>
                  </w:pPr>
                  <w:r>
                    <w:rPr>
                      <w:rFonts w:hint="eastAsia"/>
                      <w:color w:val="auto"/>
                      <w:szCs w:val="21"/>
                      <w:lang w:val="en-US" w:eastAsia="zh-CN"/>
                    </w:rPr>
                    <w:t>台</w:t>
                  </w:r>
                </w:p>
              </w:tc>
              <w:tc>
                <w:tcPr>
                  <w:tcW w:w="1230"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color w:val="auto"/>
                      <w:szCs w:val="21"/>
                      <w:lang w:val="en-US" w:eastAsia="zh-CN"/>
                    </w:rPr>
                  </w:pPr>
                  <w:r>
                    <w:rPr>
                      <w:rFonts w:hint="eastAsia"/>
                      <w:color w:val="auto"/>
                      <w:szCs w:val="21"/>
                      <w:lang w:val="en-US" w:eastAsia="zh-CN"/>
                    </w:rPr>
                    <w:t>3</w:t>
                  </w:r>
                </w:p>
              </w:tc>
            </w:tr>
          </w:tbl>
          <w:p>
            <w:pPr>
              <w:spacing w:line="480" w:lineRule="exact"/>
              <w:ind w:left="719" w:leftChars="228" w:hanging="240" w:hangingChars="100"/>
              <w:rPr>
                <w:rFonts w:hint="eastAsia" w:ascii="宋体" w:hAnsi="宋体" w:eastAsia="宋体"/>
                <w:bCs/>
                <w:color w:val="auto"/>
                <w:sz w:val="24"/>
                <w:lang w:eastAsia="zh-CN"/>
              </w:rPr>
            </w:pPr>
            <w:r>
              <w:rPr>
                <w:rFonts w:hint="eastAsia" w:ascii="宋体" w:hAnsi="宋体"/>
                <w:bCs/>
                <w:color w:val="auto"/>
                <w:sz w:val="24"/>
              </w:rPr>
              <w:t>产能匹配性分析：</w:t>
            </w:r>
          </w:p>
          <w:p>
            <w:pPr>
              <w:spacing w:line="480" w:lineRule="exact"/>
              <w:ind w:left="719" w:leftChars="228" w:hanging="240" w:hangingChars="100"/>
              <w:rPr>
                <w:rFonts w:hint="eastAsia" w:ascii="宋体" w:hAnsi="宋体"/>
                <w:bCs/>
                <w:color w:val="auto"/>
                <w:sz w:val="24"/>
              </w:rPr>
            </w:pPr>
            <w:r>
              <w:rPr>
                <w:rFonts w:hint="eastAsia" w:ascii="宋体" w:hAnsi="宋体"/>
                <w:bCs/>
                <w:color w:val="auto"/>
                <w:sz w:val="24"/>
              </w:rPr>
              <w:t>对比淘汰落后设备清单，本项目生产设备无淘汰落后设备。因设备型</w:t>
            </w:r>
          </w:p>
          <w:p>
            <w:pPr>
              <w:spacing w:line="480" w:lineRule="exact"/>
              <w:rPr>
                <w:rFonts w:hint="eastAsia" w:ascii="宋体" w:hAnsi="宋体"/>
                <w:bCs/>
                <w:color w:val="auto"/>
                <w:sz w:val="24"/>
              </w:rPr>
            </w:pPr>
            <w:r>
              <w:rPr>
                <w:rFonts w:hint="eastAsia" w:ascii="宋体" w:hAnsi="宋体"/>
                <w:bCs/>
                <w:color w:val="auto"/>
                <w:sz w:val="24"/>
              </w:rPr>
              <w:t>号、数量与项目产能密切相关，本项目单机产能如下：</w:t>
            </w:r>
          </w:p>
          <w:p>
            <w:pPr>
              <w:spacing w:before="120" w:beforeLines="50" w:line="360" w:lineRule="auto"/>
              <w:jc w:val="center"/>
              <w:rPr>
                <w:rFonts w:hint="eastAsia" w:ascii="宋体" w:hAnsi="宋体"/>
                <w:b/>
                <w:color w:val="auto"/>
                <w:sz w:val="24"/>
              </w:rPr>
            </w:pPr>
            <w:r>
              <w:rPr>
                <w:rFonts w:hint="eastAsia" w:ascii="宋体" w:hAnsi="宋体" w:cs="宋体"/>
                <w:color w:val="auto"/>
                <w:szCs w:val="21"/>
              </w:rPr>
              <w:t>表2-4 项目产能匹配性分析表</w:t>
            </w:r>
          </w:p>
          <w:tbl>
            <w:tblPr>
              <w:tblStyle w:val="36"/>
              <w:tblW w:w="8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123"/>
              <w:gridCol w:w="2041"/>
              <w:gridCol w:w="165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802" w:type="dxa"/>
                  <w:noWrap w:val="0"/>
                  <w:vAlign w:val="center"/>
                </w:tcPr>
                <w:p>
                  <w:pPr>
                    <w:jc w:val="center"/>
                    <w:rPr>
                      <w:rFonts w:hint="eastAsia" w:ascii="宋体" w:hAnsi="宋体"/>
                      <w:bCs/>
                      <w:color w:val="auto"/>
                      <w:sz w:val="24"/>
                    </w:rPr>
                  </w:pPr>
                  <w:r>
                    <w:rPr>
                      <w:rFonts w:hint="eastAsia" w:ascii="宋体" w:hAnsi="宋体"/>
                      <w:bCs/>
                      <w:color w:val="auto"/>
                      <w:sz w:val="24"/>
                    </w:rPr>
                    <w:t>序号</w:t>
                  </w:r>
                </w:p>
              </w:tc>
              <w:tc>
                <w:tcPr>
                  <w:tcW w:w="2123" w:type="dxa"/>
                  <w:noWrap w:val="0"/>
                  <w:vAlign w:val="center"/>
                </w:tcPr>
                <w:p>
                  <w:pPr>
                    <w:jc w:val="center"/>
                    <w:rPr>
                      <w:rFonts w:hint="eastAsia" w:ascii="宋体" w:hAnsi="宋体"/>
                      <w:bCs/>
                      <w:color w:val="auto"/>
                      <w:sz w:val="24"/>
                    </w:rPr>
                  </w:pPr>
                  <w:r>
                    <w:rPr>
                      <w:rFonts w:hint="eastAsia" w:ascii="宋体" w:hAnsi="宋体"/>
                      <w:bCs/>
                      <w:color w:val="auto"/>
                      <w:sz w:val="24"/>
                    </w:rPr>
                    <w:t>设备名称</w:t>
                  </w:r>
                </w:p>
              </w:tc>
              <w:tc>
                <w:tcPr>
                  <w:tcW w:w="2041" w:type="dxa"/>
                  <w:noWrap w:val="0"/>
                  <w:vAlign w:val="center"/>
                </w:tcPr>
                <w:p>
                  <w:pPr>
                    <w:jc w:val="center"/>
                    <w:rPr>
                      <w:rFonts w:hint="eastAsia" w:ascii="宋体" w:hAnsi="宋体"/>
                      <w:bCs/>
                      <w:color w:val="auto"/>
                      <w:sz w:val="24"/>
                    </w:rPr>
                  </w:pPr>
                  <w:r>
                    <w:rPr>
                      <w:rFonts w:hint="eastAsia" w:ascii="宋体" w:hAnsi="宋体"/>
                      <w:bCs/>
                      <w:color w:val="auto"/>
                      <w:sz w:val="24"/>
                    </w:rPr>
                    <w:t>型号</w:t>
                  </w:r>
                </w:p>
              </w:tc>
              <w:tc>
                <w:tcPr>
                  <w:tcW w:w="1656" w:type="dxa"/>
                  <w:noWrap w:val="0"/>
                  <w:vAlign w:val="center"/>
                </w:tcPr>
                <w:p>
                  <w:pPr>
                    <w:jc w:val="center"/>
                    <w:rPr>
                      <w:rFonts w:hint="eastAsia" w:ascii="宋体" w:hAnsi="宋体"/>
                      <w:bCs/>
                      <w:color w:val="auto"/>
                      <w:sz w:val="24"/>
                    </w:rPr>
                  </w:pPr>
                  <w:r>
                    <w:rPr>
                      <w:rFonts w:hint="eastAsia" w:ascii="宋体" w:hAnsi="宋体"/>
                      <w:bCs/>
                      <w:color w:val="auto"/>
                      <w:sz w:val="24"/>
                    </w:rPr>
                    <w:t>产能</w:t>
                  </w:r>
                </w:p>
              </w:tc>
              <w:tc>
                <w:tcPr>
                  <w:tcW w:w="1656" w:type="dxa"/>
                  <w:noWrap w:val="0"/>
                  <w:vAlign w:val="center"/>
                </w:tcPr>
                <w:p>
                  <w:pPr>
                    <w:jc w:val="center"/>
                    <w:rPr>
                      <w:rFonts w:hint="eastAsia" w:ascii="宋体" w:hAnsi="宋体"/>
                      <w:bCs/>
                      <w:color w:val="auto"/>
                      <w:sz w:val="24"/>
                    </w:rPr>
                  </w:pPr>
                  <w:r>
                    <w:rPr>
                      <w:rFonts w:hint="eastAsia" w:ascii="宋体" w:hAnsi="宋体"/>
                      <w:bCs/>
                      <w:color w:val="auto"/>
                      <w:sz w:val="24"/>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802" w:type="dxa"/>
                  <w:noWrap w:val="0"/>
                  <w:vAlign w:val="center"/>
                </w:tcPr>
                <w:p>
                  <w:pPr>
                    <w:adjustRightInd w:val="0"/>
                    <w:snapToGrid w:val="0"/>
                    <w:jc w:val="center"/>
                    <w:textAlignment w:val="baseline"/>
                    <w:rPr>
                      <w:rFonts w:hint="eastAsia" w:ascii="宋体" w:hAnsi="宋体"/>
                      <w:bCs/>
                      <w:color w:val="auto"/>
                      <w:sz w:val="24"/>
                    </w:rPr>
                  </w:pPr>
                  <w:r>
                    <w:rPr>
                      <w:color w:val="auto"/>
                      <w:szCs w:val="21"/>
                    </w:rPr>
                    <w:t>1</w:t>
                  </w:r>
                </w:p>
              </w:tc>
              <w:tc>
                <w:tcPr>
                  <w:tcW w:w="2123" w:type="dxa"/>
                  <w:noWrap w:val="0"/>
                  <w:vAlign w:val="center"/>
                </w:tcPr>
                <w:p>
                  <w:pPr>
                    <w:jc w:val="center"/>
                    <w:rPr>
                      <w:rFonts w:hint="eastAsia"/>
                      <w:color w:val="auto"/>
                      <w:szCs w:val="21"/>
                      <w:lang w:val="en-US" w:eastAsia="zh-CN"/>
                    </w:rPr>
                  </w:pPr>
                  <w:r>
                    <w:rPr>
                      <w:rFonts w:hint="eastAsia"/>
                      <w:color w:val="auto"/>
                      <w:szCs w:val="21"/>
                      <w:lang w:val="en-US" w:eastAsia="zh-CN"/>
                    </w:rPr>
                    <w:t>螺杆挤出机</w:t>
                  </w:r>
                </w:p>
              </w:tc>
              <w:tc>
                <w:tcPr>
                  <w:tcW w:w="2041" w:type="dxa"/>
                  <w:noWrap w:val="0"/>
                  <w:vAlign w:val="center"/>
                </w:tcPr>
                <w:p>
                  <w:pPr>
                    <w:jc w:val="center"/>
                    <w:rPr>
                      <w:rFonts w:hint="eastAsia"/>
                      <w:color w:val="auto"/>
                      <w:szCs w:val="21"/>
                      <w:lang w:val="en-US" w:eastAsia="zh-CN"/>
                    </w:rPr>
                  </w:pPr>
                  <w:r>
                    <w:rPr>
                      <w:rFonts w:hint="eastAsia"/>
                      <w:color w:val="auto"/>
                      <w:szCs w:val="21"/>
                      <w:lang w:val="en-US" w:eastAsia="zh-CN"/>
                    </w:rPr>
                    <w:t>50mm</w:t>
                  </w:r>
                </w:p>
              </w:tc>
              <w:tc>
                <w:tcPr>
                  <w:tcW w:w="1656" w:type="dxa"/>
                  <w:noWrap w:val="0"/>
                  <w:vAlign w:val="center"/>
                </w:tcPr>
                <w:p>
                  <w:pPr>
                    <w:jc w:val="center"/>
                    <w:rPr>
                      <w:rFonts w:hint="eastAsia" w:ascii="宋体" w:hAnsi="宋体" w:eastAsia="宋体"/>
                      <w:bCs/>
                      <w:color w:val="auto"/>
                      <w:sz w:val="24"/>
                      <w:highlight w:val="none"/>
                      <w:lang w:eastAsia="zh-CN"/>
                    </w:rPr>
                  </w:pPr>
                  <w:r>
                    <w:rPr>
                      <w:rFonts w:hint="eastAsia" w:ascii="宋体" w:hAnsi="宋体"/>
                      <w:bCs/>
                      <w:color w:val="auto"/>
                      <w:sz w:val="24"/>
                      <w:highlight w:val="none"/>
                      <w:lang w:val="en-US" w:eastAsia="zh-CN"/>
                    </w:rPr>
                    <w:t>2160</w:t>
                  </w:r>
                  <w:r>
                    <w:rPr>
                      <w:rFonts w:hint="eastAsia" w:ascii="宋体" w:hAnsi="宋体"/>
                      <w:bCs/>
                      <w:color w:val="auto"/>
                      <w:sz w:val="24"/>
                      <w:highlight w:val="none"/>
                    </w:rPr>
                    <w:t>t/</w:t>
                  </w:r>
                  <w:r>
                    <w:rPr>
                      <w:rFonts w:hint="eastAsia" w:ascii="宋体" w:hAnsi="宋体"/>
                      <w:bCs/>
                      <w:color w:val="auto"/>
                      <w:sz w:val="24"/>
                      <w:highlight w:val="none"/>
                      <w:lang w:val="en-US" w:eastAsia="zh-CN"/>
                    </w:rPr>
                    <w:t>a</w:t>
                  </w:r>
                </w:p>
              </w:tc>
              <w:tc>
                <w:tcPr>
                  <w:tcW w:w="1656" w:type="dxa"/>
                  <w:noWrap w:val="0"/>
                  <w:vAlign w:val="center"/>
                </w:tcPr>
                <w:p>
                  <w:pPr>
                    <w:jc w:val="center"/>
                    <w:rPr>
                      <w:rFonts w:hint="eastAsia" w:ascii="宋体" w:hAnsi="宋体"/>
                      <w:bCs/>
                      <w:color w:val="auto"/>
                      <w:sz w:val="24"/>
                    </w:rPr>
                  </w:pPr>
                  <w:r>
                    <w:rPr>
                      <w:rFonts w:hint="eastAsia"/>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802" w:type="dxa"/>
                  <w:noWrap w:val="0"/>
                  <w:vAlign w:val="center"/>
                </w:tcPr>
                <w:p>
                  <w:pPr>
                    <w:adjustRightInd w:val="0"/>
                    <w:snapToGrid w:val="0"/>
                    <w:jc w:val="center"/>
                    <w:rPr>
                      <w:rFonts w:hint="eastAsia" w:ascii="宋体" w:hAnsi="宋体"/>
                      <w:bCs/>
                      <w:color w:val="auto"/>
                      <w:sz w:val="24"/>
                    </w:rPr>
                  </w:pPr>
                  <w:r>
                    <w:rPr>
                      <w:color w:val="auto"/>
                      <w:szCs w:val="21"/>
                    </w:rPr>
                    <w:t>2</w:t>
                  </w:r>
                </w:p>
              </w:tc>
              <w:tc>
                <w:tcPr>
                  <w:tcW w:w="2123" w:type="dxa"/>
                  <w:noWrap w:val="0"/>
                  <w:vAlign w:val="center"/>
                </w:tcPr>
                <w:p>
                  <w:pPr>
                    <w:jc w:val="center"/>
                    <w:rPr>
                      <w:rFonts w:hint="eastAsia"/>
                      <w:color w:val="auto"/>
                      <w:szCs w:val="21"/>
                      <w:lang w:val="en-US" w:eastAsia="zh-CN"/>
                    </w:rPr>
                  </w:pPr>
                  <w:r>
                    <w:rPr>
                      <w:rFonts w:hint="eastAsia"/>
                      <w:color w:val="auto"/>
                      <w:szCs w:val="21"/>
                      <w:lang w:val="en-US" w:eastAsia="zh-CN"/>
                    </w:rPr>
                    <w:t>螺杆挤出机</w:t>
                  </w:r>
                </w:p>
              </w:tc>
              <w:tc>
                <w:tcPr>
                  <w:tcW w:w="2041" w:type="dxa"/>
                  <w:noWrap w:val="0"/>
                  <w:vAlign w:val="center"/>
                </w:tcPr>
                <w:p>
                  <w:pPr>
                    <w:jc w:val="center"/>
                    <w:rPr>
                      <w:rFonts w:hint="eastAsia"/>
                      <w:color w:val="auto"/>
                      <w:szCs w:val="21"/>
                      <w:lang w:val="en-US" w:eastAsia="zh-CN"/>
                    </w:rPr>
                  </w:pPr>
                  <w:r>
                    <w:rPr>
                      <w:rFonts w:hint="eastAsia"/>
                      <w:color w:val="auto"/>
                      <w:szCs w:val="21"/>
                      <w:lang w:val="en-US" w:eastAsia="zh-CN"/>
                    </w:rPr>
                    <w:t>65mm</w:t>
                  </w:r>
                </w:p>
              </w:tc>
              <w:tc>
                <w:tcPr>
                  <w:tcW w:w="1656" w:type="dxa"/>
                  <w:noWrap w:val="0"/>
                  <w:vAlign w:val="center"/>
                </w:tcPr>
                <w:p>
                  <w:pPr>
                    <w:jc w:val="center"/>
                    <w:rPr>
                      <w:rFonts w:hint="eastAsia" w:ascii="宋体" w:hAnsi="宋体"/>
                      <w:bCs/>
                      <w:color w:val="auto"/>
                      <w:sz w:val="24"/>
                      <w:highlight w:val="none"/>
                    </w:rPr>
                  </w:pPr>
                  <w:r>
                    <w:rPr>
                      <w:rFonts w:hint="eastAsia" w:ascii="宋体" w:hAnsi="宋体"/>
                      <w:bCs/>
                      <w:color w:val="auto"/>
                      <w:sz w:val="24"/>
                      <w:highlight w:val="none"/>
                      <w:lang w:val="en-US" w:eastAsia="zh-CN"/>
                    </w:rPr>
                    <w:t>2160</w:t>
                  </w:r>
                  <w:r>
                    <w:rPr>
                      <w:rFonts w:hint="eastAsia" w:ascii="宋体" w:hAnsi="宋体"/>
                      <w:bCs/>
                      <w:color w:val="auto"/>
                      <w:sz w:val="24"/>
                      <w:highlight w:val="none"/>
                    </w:rPr>
                    <w:t>t/</w:t>
                  </w:r>
                  <w:r>
                    <w:rPr>
                      <w:rFonts w:hint="eastAsia" w:ascii="宋体" w:hAnsi="宋体"/>
                      <w:bCs/>
                      <w:color w:val="auto"/>
                      <w:sz w:val="24"/>
                      <w:highlight w:val="none"/>
                      <w:lang w:val="en-US" w:eastAsia="zh-CN"/>
                    </w:rPr>
                    <w:t>a</w:t>
                  </w:r>
                </w:p>
              </w:tc>
              <w:tc>
                <w:tcPr>
                  <w:tcW w:w="1656" w:type="dxa"/>
                  <w:noWrap w:val="0"/>
                  <w:vAlign w:val="center"/>
                </w:tcPr>
                <w:p>
                  <w:pPr>
                    <w:jc w:val="center"/>
                    <w:rPr>
                      <w:rFonts w:hint="eastAsia" w:ascii="宋体" w:hAnsi="宋体"/>
                      <w:bCs/>
                      <w:color w:val="auto"/>
                      <w:sz w:val="24"/>
                    </w:rPr>
                  </w:pPr>
                  <w:r>
                    <w:rPr>
                      <w:rFonts w:hint="eastAsia"/>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02" w:type="dxa"/>
                  <w:noWrap w:val="0"/>
                  <w:vAlign w:val="center"/>
                </w:tcPr>
                <w:p>
                  <w:pPr>
                    <w:adjustRightInd w:val="0"/>
                    <w:snapToGrid w:val="0"/>
                    <w:jc w:val="center"/>
                    <w:rPr>
                      <w:rFonts w:hint="eastAsia" w:ascii="宋体" w:hAnsi="宋体"/>
                      <w:bCs/>
                      <w:color w:val="auto"/>
                      <w:sz w:val="24"/>
                    </w:rPr>
                  </w:pPr>
                  <w:r>
                    <w:rPr>
                      <w:rFonts w:hint="eastAsia"/>
                      <w:color w:val="auto"/>
                      <w:szCs w:val="21"/>
                      <w:lang w:val="en-US" w:eastAsia="zh-CN"/>
                    </w:rPr>
                    <w:t>3</w:t>
                  </w:r>
                </w:p>
              </w:tc>
              <w:tc>
                <w:tcPr>
                  <w:tcW w:w="2123" w:type="dxa"/>
                  <w:noWrap w:val="0"/>
                  <w:vAlign w:val="center"/>
                </w:tcPr>
                <w:p>
                  <w:pPr>
                    <w:jc w:val="center"/>
                    <w:rPr>
                      <w:rFonts w:hint="eastAsia"/>
                      <w:color w:val="auto"/>
                      <w:szCs w:val="21"/>
                      <w:lang w:val="en-US" w:eastAsia="zh-CN"/>
                    </w:rPr>
                  </w:pPr>
                  <w:r>
                    <w:rPr>
                      <w:rFonts w:hint="eastAsia"/>
                      <w:color w:val="auto"/>
                      <w:szCs w:val="21"/>
                      <w:lang w:val="en-US" w:eastAsia="zh-CN"/>
                    </w:rPr>
                    <w:t>螺杆挤出机</w:t>
                  </w:r>
                </w:p>
              </w:tc>
              <w:tc>
                <w:tcPr>
                  <w:tcW w:w="2041" w:type="dxa"/>
                  <w:noWrap w:val="0"/>
                  <w:vAlign w:val="center"/>
                </w:tcPr>
                <w:p>
                  <w:pPr>
                    <w:jc w:val="center"/>
                    <w:rPr>
                      <w:rFonts w:hint="eastAsia"/>
                      <w:color w:val="auto"/>
                      <w:szCs w:val="21"/>
                      <w:lang w:val="en-US" w:eastAsia="zh-CN"/>
                    </w:rPr>
                  </w:pPr>
                  <w:r>
                    <w:rPr>
                      <w:rFonts w:hint="eastAsia"/>
                      <w:color w:val="auto"/>
                      <w:szCs w:val="21"/>
                      <w:lang w:val="en-US" w:eastAsia="zh-CN"/>
                    </w:rPr>
                    <w:t>90mm</w:t>
                  </w:r>
                </w:p>
              </w:tc>
              <w:tc>
                <w:tcPr>
                  <w:tcW w:w="1656" w:type="dxa"/>
                  <w:noWrap w:val="0"/>
                  <w:vAlign w:val="center"/>
                </w:tcPr>
                <w:p>
                  <w:pPr>
                    <w:jc w:val="center"/>
                    <w:rPr>
                      <w:rFonts w:hint="eastAsia" w:ascii="宋体" w:hAnsi="宋体"/>
                      <w:bCs/>
                      <w:color w:val="auto"/>
                      <w:sz w:val="24"/>
                      <w:highlight w:val="none"/>
                    </w:rPr>
                  </w:pPr>
                  <w:r>
                    <w:rPr>
                      <w:rFonts w:hint="eastAsia" w:ascii="宋体" w:hAnsi="宋体"/>
                      <w:bCs/>
                      <w:color w:val="auto"/>
                      <w:sz w:val="24"/>
                      <w:highlight w:val="none"/>
                      <w:lang w:val="en-US" w:eastAsia="zh-CN"/>
                    </w:rPr>
                    <w:t>2160</w:t>
                  </w:r>
                  <w:r>
                    <w:rPr>
                      <w:rFonts w:hint="eastAsia" w:ascii="宋体" w:hAnsi="宋体"/>
                      <w:bCs/>
                      <w:color w:val="auto"/>
                      <w:sz w:val="24"/>
                      <w:highlight w:val="none"/>
                    </w:rPr>
                    <w:t>t/</w:t>
                  </w:r>
                  <w:r>
                    <w:rPr>
                      <w:rFonts w:hint="eastAsia" w:ascii="宋体" w:hAnsi="宋体"/>
                      <w:bCs/>
                      <w:color w:val="auto"/>
                      <w:sz w:val="24"/>
                      <w:highlight w:val="none"/>
                      <w:lang w:val="en-US" w:eastAsia="zh-CN"/>
                    </w:rPr>
                    <w:t>a</w:t>
                  </w:r>
                </w:p>
              </w:tc>
              <w:tc>
                <w:tcPr>
                  <w:tcW w:w="1656" w:type="dxa"/>
                  <w:noWrap w:val="0"/>
                  <w:vAlign w:val="center"/>
                </w:tcPr>
                <w:p>
                  <w:pPr>
                    <w:jc w:val="center"/>
                    <w:rPr>
                      <w:rFonts w:hint="eastAsia" w:ascii="宋体" w:hAnsi="宋体"/>
                      <w:bCs/>
                      <w:color w:val="auto"/>
                      <w:sz w:val="24"/>
                    </w:rPr>
                  </w:pPr>
                  <w:r>
                    <w:rPr>
                      <w:rFonts w:hint="eastAsia"/>
                      <w:color w:val="auto"/>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02" w:type="dxa"/>
                  <w:noWrap w:val="0"/>
                  <w:vAlign w:val="center"/>
                </w:tcPr>
                <w:p>
                  <w:pPr>
                    <w:adjustRightInd w:val="0"/>
                    <w:snapToGrid w:val="0"/>
                    <w:jc w:val="center"/>
                    <w:rPr>
                      <w:rFonts w:hint="eastAsia" w:eastAsia="宋体"/>
                      <w:color w:val="auto"/>
                      <w:szCs w:val="21"/>
                      <w:lang w:val="en-US" w:eastAsia="zh-CN"/>
                    </w:rPr>
                  </w:pPr>
                  <w:r>
                    <w:rPr>
                      <w:color w:val="auto"/>
                      <w:szCs w:val="21"/>
                    </w:rPr>
                    <w:t>4</w:t>
                  </w:r>
                </w:p>
              </w:tc>
              <w:tc>
                <w:tcPr>
                  <w:tcW w:w="2123" w:type="dxa"/>
                  <w:noWrap w:val="0"/>
                  <w:vAlign w:val="center"/>
                </w:tcPr>
                <w:p>
                  <w:pPr>
                    <w:jc w:val="center"/>
                    <w:rPr>
                      <w:rFonts w:hint="eastAsia"/>
                      <w:color w:val="auto"/>
                      <w:szCs w:val="21"/>
                      <w:lang w:val="en-US" w:eastAsia="zh-CN"/>
                    </w:rPr>
                  </w:pPr>
                  <w:r>
                    <w:rPr>
                      <w:rFonts w:hint="eastAsia"/>
                      <w:color w:val="auto"/>
                      <w:szCs w:val="21"/>
                      <w:lang w:val="en-US" w:eastAsia="zh-CN"/>
                    </w:rPr>
                    <w:t>一次泡沫预发泡机</w:t>
                  </w:r>
                </w:p>
              </w:tc>
              <w:tc>
                <w:tcPr>
                  <w:tcW w:w="2041" w:type="dxa"/>
                  <w:noWrap w:val="0"/>
                  <w:vAlign w:val="center"/>
                </w:tcPr>
                <w:p>
                  <w:pPr>
                    <w:jc w:val="center"/>
                    <w:rPr>
                      <w:rFonts w:hint="default"/>
                      <w:color w:val="auto"/>
                      <w:szCs w:val="21"/>
                      <w:lang w:val="en-US" w:eastAsia="zh-CN"/>
                    </w:rPr>
                  </w:pPr>
                  <w:r>
                    <w:rPr>
                      <w:rFonts w:hint="eastAsia"/>
                      <w:color w:val="auto"/>
                      <w:szCs w:val="21"/>
                      <w:lang w:val="en-US" w:eastAsia="zh-CN"/>
                    </w:rPr>
                    <w:t>1660</w:t>
                  </w:r>
                </w:p>
              </w:tc>
              <w:tc>
                <w:tcPr>
                  <w:tcW w:w="1656" w:type="dxa"/>
                  <w:noWrap w:val="0"/>
                  <w:vAlign w:val="center"/>
                </w:tcPr>
                <w:p>
                  <w:pPr>
                    <w:jc w:val="center"/>
                    <w:rPr>
                      <w:rFonts w:hint="default" w:ascii="宋体" w:hAnsi="宋体"/>
                      <w:bCs/>
                      <w:color w:val="auto"/>
                      <w:sz w:val="24"/>
                      <w:highlight w:val="none"/>
                      <w:lang w:val="en-US" w:eastAsia="zh-CN"/>
                    </w:rPr>
                  </w:pPr>
                  <w:r>
                    <w:rPr>
                      <w:rFonts w:hint="eastAsia" w:ascii="宋体" w:hAnsi="宋体"/>
                      <w:bCs/>
                      <w:color w:val="auto"/>
                      <w:sz w:val="24"/>
                      <w:highlight w:val="none"/>
                      <w:lang w:val="en-US" w:eastAsia="zh-CN"/>
                    </w:rPr>
                    <w:t>3600</w:t>
                  </w:r>
                  <w:r>
                    <w:rPr>
                      <w:rFonts w:hint="eastAsia" w:ascii="宋体" w:hAnsi="宋体"/>
                      <w:bCs/>
                      <w:color w:val="auto"/>
                      <w:sz w:val="24"/>
                      <w:highlight w:val="none"/>
                    </w:rPr>
                    <w:t>t/</w:t>
                  </w:r>
                  <w:r>
                    <w:rPr>
                      <w:rFonts w:hint="eastAsia" w:ascii="宋体" w:hAnsi="宋体"/>
                      <w:bCs/>
                      <w:color w:val="auto"/>
                      <w:sz w:val="24"/>
                      <w:highlight w:val="none"/>
                      <w:lang w:val="en-US" w:eastAsia="zh-CN"/>
                    </w:rPr>
                    <w:t>a</w:t>
                  </w:r>
                </w:p>
              </w:tc>
              <w:tc>
                <w:tcPr>
                  <w:tcW w:w="1656" w:type="dxa"/>
                  <w:noWrap w:val="0"/>
                  <w:vAlign w:val="center"/>
                </w:tcPr>
                <w:p>
                  <w:pPr>
                    <w:jc w:val="center"/>
                    <w:rPr>
                      <w:rFonts w:hint="default"/>
                      <w:color w:val="auto"/>
                      <w:szCs w:val="21"/>
                      <w:lang w:val="en-US" w:eastAsia="zh-CN"/>
                    </w:rPr>
                  </w:pP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02" w:type="dxa"/>
                  <w:noWrap w:val="0"/>
                  <w:vAlign w:val="center"/>
                </w:tcPr>
                <w:p>
                  <w:pPr>
                    <w:adjustRightInd w:val="0"/>
                    <w:snapToGrid w:val="0"/>
                    <w:jc w:val="center"/>
                    <w:rPr>
                      <w:rFonts w:hint="eastAsia" w:eastAsia="宋体"/>
                      <w:color w:val="auto"/>
                      <w:szCs w:val="21"/>
                      <w:lang w:val="en-US" w:eastAsia="zh-CN"/>
                    </w:rPr>
                  </w:pPr>
                  <w:r>
                    <w:rPr>
                      <w:rFonts w:hint="eastAsia"/>
                      <w:color w:val="auto"/>
                      <w:szCs w:val="21"/>
                    </w:rPr>
                    <w:t>5</w:t>
                  </w:r>
                </w:p>
              </w:tc>
              <w:tc>
                <w:tcPr>
                  <w:tcW w:w="2123" w:type="dxa"/>
                  <w:noWrap w:val="0"/>
                  <w:vAlign w:val="center"/>
                </w:tcPr>
                <w:p>
                  <w:pPr>
                    <w:jc w:val="center"/>
                    <w:rPr>
                      <w:rFonts w:hint="eastAsia"/>
                      <w:color w:val="auto"/>
                      <w:szCs w:val="21"/>
                      <w:lang w:val="en-US" w:eastAsia="zh-CN"/>
                    </w:rPr>
                  </w:pPr>
                  <w:r>
                    <w:rPr>
                      <w:rFonts w:hint="eastAsia"/>
                      <w:color w:val="auto"/>
                      <w:szCs w:val="21"/>
                      <w:lang w:val="en-US" w:eastAsia="zh-CN"/>
                    </w:rPr>
                    <w:t>二次泡沫预发泡机</w:t>
                  </w:r>
                </w:p>
              </w:tc>
              <w:tc>
                <w:tcPr>
                  <w:tcW w:w="2041" w:type="dxa"/>
                  <w:noWrap w:val="0"/>
                  <w:vAlign w:val="center"/>
                </w:tcPr>
                <w:p>
                  <w:pPr>
                    <w:jc w:val="center"/>
                    <w:rPr>
                      <w:rFonts w:hint="default"/>
                      <w:color w:val="auto"/>
                      <w:szCs w:val="21"/>
                      <w:lang w:val="en-US" w:eastAsia="zh-CN"/>
                    </w:rPr>
                  </w:pPr>
                  <w:r>
                    <w:rPr>
                      <w:rFonts w:hint="eastAsia"/>
                      <w:color w:val="auto"/>
                      <w:szCs w:val="21"/>
                      <w:lang w:val="en-US" w:eastAsia="zh-CN"/>
                    </w:rPr>
                    <w:t>120</w:t>
                  </w:r>
                </w:p>
              </w:tc>
              <w:tc>
                <w:tcPr>
                  <w:tcW w:w="1656" w:type="dxa"/>
                  <w:noWrap w:val="0"/>
                  <w:vAlign w:val="center"/>
                </w:tcPr>
                <w:p>
                  <w:pPr>
                    <w:jc w:val="center"/>
                    <w:rPr>
                      <w:rFonts w:hint="eastAsia" w:ascii="宋体" w:hAnsi="宋体"/>
                      <w:bCs/>
                      <w:color w:val="auto"/>
                      <w:sz w:val="24"/>
                      <w:highlight w:val="none"/>
                      <w:lang w:val="en-US" w:eastAsia="zh-CN"/>
                    </w:rPr>
                  </w:pPr>
                  <w:r>
                    <w:rPr>
                      <w:rFonts w:hint="eastAsia" w:ascii="宋体" w:hAnsi="宋体"/>
                      <w:bCs/>
                      <w:color w:val="auto"/>
                      <w:sz w:val="24"/>
                      <w:highlight w:val="none"/>
                      <w:lang w:val="en-US" w:eastAsia="zh-CN"/>
                    </w:rPr>
                    <w:t>3600</w:t>
                  </w:r>
                  <w:r>
                    <w:rPr>
                      <w:rFonts w:hint="eastAsia" w:ascii="宋体" w:hAnsi="宋体"/>
                      <w:bCs/>
                      <w:color w:val="auto"/>
                      <w:sz w:val="24"/>
                      <w:highlight w:val="none"/>
                    </w:rPr>
                    <w:t>t/</w:t>
                  </w:r>
                  <w:r>
                    <w:rPr>
                      <w:rFonts w:hint="eastAsia" w:ascii="宋体" w:hAnsi="宋体"/>
                      <w:bCs/>
                      <w:color w:val="auto"/>
                      <w:sz w:val="24"/>
                      <w:highlight w:val="none"/>
                      <w:lang w:val="en-US" w:eastAsia="zh-CN"/>
                    </w:rPr>
                    <w:t>a</w:t>
                  </w:r>
                </w:p>
              </w:tc>
              <w:tc>
                <w:tcPr>
                  <w:tcW w:w="1656" w:type="dxa"/>
                  <w:noWrap w:val="0"/>
                  <w:vAlign w:val="center"/>
                </w:tcPr>
                <w:p>
                  <w:pPr>
                    <w:jc w:val="center"/>
                    <w:rPr>
                      <w:rFonts w:hint="default"/>
                      <w:color w:val="auto"/>
                      <w:szCs w:val="21"/>
                      <w:lang w:val="en-US" w:eastAsia="zh-CN"/>
                    </w:rPr>
                  </w:pP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802" w:type="dxa"/>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6</w:t>
                  </w:r>
                </w:p>
              </w:tc>
              <w:tc>
                <w:tcPr>
                  <w:tcW w:w="2123" w:type="dxa"/>
                  <w:noWrap w:val="0"/>
                  <w:vAlign w:val="center"/>
                </w:tcPr>
                <w:p>
                  <w:pPr>
                    <w:jc w:val="center"/>
                    <w:rPr>
                      <w:rFonts w:hint="eastAsia"/>
                      <w:color w:val="auto"/>
                      <w:szCs w:val="21"/>
                      <w:lang w:val="en-US" w:eastAsia="zh-CN"/>
                    </w:rPr>
                  </w:pPr>
                  <w:r>
                    <w:rPr>
                      <w:rFonts w:hint="eastAsia"/>
                      <w:color w:val="auto"/>
                      <w:szCs w:val="21"/>
                      <w:lang w:val="en-US" w:eastAsia="zh-CN"/>
                    </w:rPr>
                    <w:t>泡沫材机</w:t>
                  </w:r>
                </w:p>
              </w:tc>
              <w:tc>
                <w:tcPr>
                  <w:tcW w:w="2041" w:type="dxa"/>
                  <w:noWrap w:val="0"/>
                  <w:vAlign w:val="center"/>
                </w:tcPr>
                <w:p>
                  <w:pPr>
                    <w:jc w:val="center"/>
                    <w:rPr>
                      <w:rFonts w:hint="default"/>
                      <w:color w:val="auto"/>
                      <w:szCs w:val="21"/>
                      <w:lang w:val="en-US" w:eastAsia="zh-CN"/>
                    </w:rPr>
                  </w:pPr>
                  <w:r>
                    <w:rPr>
                      <w:rFonts w:hint="eastAsia"/>
                      <w:color w:val="auto"/>
                      <w:szCs w:val="21"/>
                      <w:lang w:val="en-US" w:eastAsia="zh-CN"/>
                    </w:rPr>
                    <w:t>/</w:t>
                  </w:r>
                </w:p>
              </w:tc>
              <w:tc>
                <w:tcPr>
                  <w:tcW w:w="1656" w:type="dxa"/>
                  <w:noWrap w:val="0"/>
                  <w:vAlign w:val="center"/>
                </w:tcPr>
                <w:p>
                  <w:pPr>
                    <w:jc w:val="center"/>
                    <w:rPr>
                      <w:rFonts w:hint="eastAsia" w:ascii="宋体" w:hAnsi="宋体"/>
                      <w:bCs/>
                      <w:color w:val="auto"/>
                      <w:sz w:val="24"/>
                      <w:highlight w:val="none"/>
                      <w:lang w:val="en-US" w:eastAsia="zh-CN"/>
                    </w:rPr>
                  </w:pPr>
                  <w:r>
                    <w:rPr>
                      <w:rFonts w:hint="eastAsia" w:ascii="宋体" w:hAnsi="宋体"/>
                      <w:bCs/>
                      <w:color w:val="auto"/>
                      <w:sz w:val="24"/>
                      <w:highlight w:val="none"/>
                      <w:lang w:val="en-US" w:eastAsia="zh-CN"/>
                    </w:rPr>
                    <w:t>3600</w:t>
                  </w:r>
                  <w:r>
                    <w:rPr>
                      <w:rFonts w:hint="eastAsia" w:ascii="宋体" w:hAnsi="宋体"/>
                      <w:bCs/>
                      <w:color w:val="auto"/>
                      <w:sz w:val="24"/>
                      <w:highlight w:val="none"/>
                    </w:rPr>
                    <w:t>t/</w:t>
                  </w:r>
                  <w:r>
                    <w:rPr>
                      <w:rFonts w:hint="eastAsia" w:ascii="宋体" w:hAnsi="宋体"/>
                      <w:bCs/>
                      <w:color w:val="auto"/>
                      <w:sz w:val="24"/>
                      <w:highlight w:val="none"/>
                      <w:lang w:val="en-US" w:eastAsia="zh-CN"/>
                    </w:rPr>
                    <w:t>a</w:t>
                  </w:r>
                </w:p>
              </w:tc>
              <w:tc>
                <w:tcPr>
                  <w:tcW w:w="1656" w:type="dxa"/>
                  <w:noWrap w:val="0"/>
                  <w:vAlign w:val="center"/>
                </w:tcPr>
                <w:p>
                  <w:pPr>
                    <w:jc w:val="center"/>
                    <w:rPr>
                      <w:rFonts w:hint="default"/>
                      <w:color w:val="auto"/>
                      <w:szCs w:val="21"/>
                      <w:lang w:val="en-US" w:eastAsia="zh-CN"/>
                    </w:rPr>
                  </w:pPr>
                  <w:r>
                    <w:rPr>
                      <w:rFonts w:hint="eastAsia"/>
                      <w:color w:val="auto"/>
                      <w:szCs w:val="21"/>
                      <w:lang w:val="en-US" w:eastAsia="zh-CN"/>
                    </w:rPr>
                    <w:t>3</w:t>
                  </w:r>
                </w:p>
              </w:tc>
            </w:tr>
          </w:tbl>
          <w:p>
            <w:pPr>
              <w:spacing w:before="120" w:beforeLines="50" w:line="360" w:lineRule="auto"/>
              <w:ind w:firstLine="480" w:firstLineChars="200"/>
              <w:jc w:val="left"/>
              <w:rPr>
                <w:rFonts w:hint="eastAsia" w:ascii="宋体" w:hAnsi="宋体" w:eastAsia="宋体"/>
                <w:bCs/>
                <w:color w:val="auto"/>
                <w:sz w:val="24"/>
                <w:szCs w:val="24"/>
                <w:lang w:eastAsia="zh-CN"/>
              </w:rPr>
            </w:pPr>
            <w:r>
              <w:rPr>
                <w:rFonts w:hint="eastAsia" w:ascii="宋体" w:hAnsi="宋体"/>
                <w:bCs/>
                <w:color w:val="auto"/>
                <w:sz w:val="24"/>
                <w:szCs w:val="24"/>
              </w:rPr>
              <w:t>注：年生产时</w:t>
            </w:r>
            <w:r>
              <w:rPr>
                <w:rFonts w:hint="eastAsia" w:ascii="宋体" w:hAnsi="宋体"/>
                <w:bCs/>
                <w:color w:val="auto"/>
                <w:sz w:val="24"/>
                <w:szCs w:val="24"/>
                <w:highlight w:val="none"/>
              </w:rPr>
              <w:t>间按3</w:t>
            </w:r>
            <w:r>
              <w:rPr>
                <w:rFonts w:hint="eastAsia" w:ascii="宋体" w:hAnsi="宋体"/>
                <w:bCs/>
                <w:color w:val="auto"/>
                <w:sz w:val="24"/>
                <w:szCs w:val="24"/>
                <w:highlight w:val="none"/>
                <w:lang w:val="en-US" w:eastAsia="zh-CN"/>
              </w:rPr>
              <w:t>0</w:t>
            </w:r>
            <w:r>
              <w:rPr>
                <w:rFonts w:hint="eastAsia" w:ascii="宋体" w:hAnsi="宋体"/>
                <w:bCs/>
                <w:color w:val="auto"/>
                <w:sz w:val="24"/>
                <w:szCs w:val="24"/>
                <w:highlight w:val="none"/>
              </w:rPr>
              <w:t>0天，</w:t>
            </w:r>
            <w:r>
              <w:rPr>
                <w:rFonts w:hint="eastAsia" w:ascii="宋体" w:hAnsi="宋体"/>
                <w:bCs/>
                <w:color w:val="auto"/>
                <w:sz w:val="24"/>
                <w:szCs w:val="24"/>
                <w:highlight w:val="none"/>
                <w:lang w:eastAsia="zh-CN"/>
              </w:rPr>
              <w:t>三</w:t>
            </w:r>
            <w:r>
              <w:rPr>
                <w:rFonts w:hint="eastAsia" w:ascii="宋体" w:hAnsi="宋体"/>
                <w:bCs/>
                <w:color w:val="auto"/>
                <w:sz w:val="24"/>
                <w:szCs w:val="24"/>
                <w:highlight w:val="none"/>
              </w:rPr>
              <w:t>班制，每班8小时，</w:t>
            </w:r>
            <w:r>
              <w:rPr>
                <w:rFonts w:hint="eastAsia" w:ascii="宋体" w:hAnsi="宋体"/>
                <w:bCs/>
                <w:color w:val="auto"/>
                <w:sz w:val="24"/>
                <w:szCs w:val="24"/>
              </w:rPr>
              <w:t>生产设备能够满足产能需求。</w:t>
            </w:r>
          </w:p>
          <w:p>
            <w:pPr>
              <w:keepNext w:val="0"/>
              <w:keepLines w:val="0"/>
              <w:pageBreakBefore w:val="0"/>
              <w:widowControl w:val="0"/>
              <w:tabs>
                <w:tab w:val="left" w:pos="1180"/>
              </w:tabs>
              <w:kinsoku/>
              <w:wordWrap/>
              <w:overflowPunct/>
              <w:topLinePunct w:val="0"/>
              <w:autoSpaceDE/>
              <w:autoSpaceDN/>
              <w:bidi w:val="0"/>
              <w:adjustRightInd/>
              <w:snapToGrid/>
              <w:spacing w:before="157" w:beforeLines="50" w:line="360" w:lineRule="auto"/>
              <w:ind w:firstLine="482" w:firstLineChars="200"/>
              <w:jc w:val="left"/>
              <w:textAlignment w:val="auto"/>
              <w:rPr>
                <w:b/>
                <w:bCs/>
                <w:color w:val="auto"/>
                <w:sz w:val="24"/>
                <w:szCs w:val="24"/>
              </w:rPr>
            </w:pPr>
            <w:r>
              <w:rPr>
                <w:b/>
                <w:bCs/>
                <w:color w:val="auto"/>
                <w:sz w:val="24"/>
                <w:szCs w:val="24"/>
              </w:rPr>
              <w:t>4</w:t>
            </w:r>
            <w:r>
              <w:rPr>
                <w:rFonts w:hint="eastAsia" w:cs="宋体"/>
                <w:b/>
                <w:bCs/>
                <w:color w:val="auto"/>
                <w:sz w:val="24"/>
                <w:szCs w:val="24"/>
              </w:rPr>
              <w:t>、主要原辅材料及能源消耗</w:t>
            </w:r>
          </w:p>
          <w:p>
            <w:pPr>
              <w:adjustRightInd w:val="0"/>
              <w:snapToGrid w:val="0"/>
              <w:spacing w:beforeLines="50" w:line="360" w:lineRule="auto"/>
              <w:ind w:firstLine="480" w:firstLineChars="200"/>
              <w:jc w:val="left"/>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1</w:t>
            </w:r>
            <w:r>
              <w:rPr>
                <w:rFonts w:hint="eastAsia" w:ascii="宋体" w:hAnsi="宋体" w:cs="宋体"/>
                <w:color w:val="auto"/>
                <w:sz w:val="24"/>
                <w:szCs w:val="24"/>
              </w:rPr>
              <w:t>）本项目原辅材料及能源消耗情况详见表。</w:t>
            </w:r>
          </w:p>
          <w:p>
            <w:pPr>
              <w:spacing w:line="360" w:lineRule="auto"/>
              <w:jc w:val="center"/>
              <w:rPr>
                <w:color w:val="auto"/>
                <w:sz w:val="24"/>
                <w:szCs w:val="24"/>
              </w:rPr>
            </w:pPr>
            <w:r>
              <w:rPr>
                <w:rFonts w:hint="eastAsia" w:cs="宋体"/>
                <w:color w:val="auto"/>
                <w:sz w:val="22"/>
                <w:szCs w:val="22"/>
              </w:rPr>
              <w:t>表</w:t>
            </w:r>
            <w:r>
              <w:rPr>
                <w:color w:val="auto"/>
                <w:sz w:val="22"/>
                <w:szCs w:val="22"/>
              </w:rPr>
              <w:t xml:space="preserve">2-3 </w:t>
            </w:r>
            <w:r>
              <w:rPr>
                <w:rFonts w:hint="eastAsia" w:cs="宋体"/>
                <w:color w:val="auto"/>
                <w:sz w:val="22"/>
                <w:szCs w:val="22"/>
              </w:rPr>
              <w:t>主要原辅材料</w:t>
            </w:r>
            <w:r>
              <w:rPr>
                <w:rFonts w:hint="eastAsia" w:cs="宋体"/>
                <w:color w:val="auto"/>
                <w:sz w:val="22"/>
                <w:szCs w:val="22"/>
                <w:lang w:eastAsia="zh-CN"/>
              </w:rPr>
              <w:t>年</w:t>
            </w:r>
            <w:r>
              <w:rPr>
                <w:rFonts w:hint="eastAsia" w:cs="宋体"/>
                <w:color w:val="auto"/>
                <w:sz w:val="22"/>
                <w:szCs w:val="22"/>
              </w:rPr>
              <w:t>消耗清单</w:t>
            </w:r>
          </w:p>
          <w:tbl>
            <w:tblPr>
              <w:tblStyle w:val="36"/>
              <w:tblW w:w="799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1"/>
              <w:gridCol w:w="1520"/>
              <w:gridCol w:w="828"/>
              <w:gridCol w:w="924"/>
              <w:gridCol w:w="1416"/>
              <w:gridCol w:w="840"/>
              <w:gridCol w:w="864"/>
              <w:gridCol w:w="7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5" w:hRule="atLeast"/>
                <w:jc w:val="center"/>
              </w:trPr>
              <w:tc>
                <w:tcPr>
                  <w:tcW w:w="851" w:type="dxa"/>
                  <w:tcBorders>
                    <w:top w:val="single" w:color="auto" w:sz="6" w:space="0"/>
                    <w:left w:val="single" w:color="auto" w:sz="6" w:space="0"/>
                    <w:bottom w:val="single" w:color="auto" w:sz="6" w:space="0"/>
                    <w:right w:val="single" w:color="auto" w:sz="6" w:space="0"/>
                  </w:tcBorders>
                  <w:noWrap w:val="0"/>
                  <w:vAlign w:val="center"/>
                </w:tcPr>
                <w:p>
                  <w:pPr>
                    <w:pStyle w:val="116"/>
                    <w:spacing w:line="240" w:lineRule="auto"/>
                    <w:ind w:firstLine="0"/>
                    <w:jc w:val="center"/>
                    <w:rPr>
                      <w:rFonts w:hint="eastAsia" w:ascii="Times New Roman" w:eastAsia="宋体"/>
                      <w:color w:val="auto"/>
                      <w:kern w:val="2"/>
                      <w:sz w:val="21"/>
                      <w:szCs w:val="21"/>
                      <w:lang w:eastAsia="zh-CN"/>
                    </w:rPr>
                  </w:pPr>
                  <w:r>
                    <w:rPr>
                      <w:rFonts w:hint="eastAsia" w:ascii="Times New Roman"/>
                      <w:color w:val="auto"/>
                      <w:kern w:val="2"/>
                      <w:sz w:val="21"/>
                      <w:szCs w:val="21"/>
                      <w:lang w:eastAsia="zh-CN"/>
                    </w:rPr>
                    <w:t>类别</w:t>
                  </w:r>
                </w:p>
              </w:tc>
              <w:tc>
                <w:tcPr>
                  <w:tcW w:w="1520" w:type="dxa"/>
                  <w:tcBorders>
                    <w:top w:val="single" w:color="auto" w:sz="6" w:space="0"/>
                    <w:left w:val="single" w:color="auto" w:sz="6" w:space="0"/>
                    <w:bottom w:val="single" w:color="auto" w:sz="6" w:space="0"/>
                    <w:right w:val="single" w:color="auto" w:sz="6" w:space="0"/>
                  </w:tcBorders>
                  <w:noWrap w:val="0"/>
                  <w:vAlign w:val="center"/>
                </w:tcPr>
                <w:p>
                  <w:pPr>
                    <w:pStyle w:val="116"/>
                    <w:spacing w:line="240" w:lineRule="auto"/>
                    <w:ind w:firstLine="0"/>
                    <w:jc w:val="center"/>
                    <w:rPr>
                      <w:rFonts w:ascii="Times New Roman"/>
                      <w:color w:val="auto"/>
                      <w:kern w:val="2"/>
                      <w:sz w:val="21"/>
                      <w:szCs w:val="21"/>
                    </w:rPr>
                  </w:pPr>
                  <w:r>
                    <w:rPr>
                      <w:rFonts w:hint="eastAsia" w:ascii="Times New Roman"/>
                      <w:color w:val="auto"/>
                      <w:kern w:val="2"/>
                      <w:sz w:val="21"/>
                      <w:szCs w:val="21"/>
                    </w:rPr>
                    <w:t>名称</w:t>
                  </w:r>
                </w:p>
              </w:tc>
              <w:tc>
                <w:tcPr>
                  <w:tcW w:w="828" w:type="dxa"/>
                  <w:tcBorders>
                    <w:top w:val="single" w:color="auto" w:sz="6" w:space="0"/>
                    <w:left w:val="single" w:color="auto" w:sz="6" w:space="0"/>
                    <w:bottom w:val="single" w:color="auto" w:sz="6" w:space="0"/>
                    <w:right w:val="single" w:color="auto" w:sz="6" w:space="0"/>
                  </w:tcBorders>
                  <w:noWrap w:val="0"/>
                  <w:vAlign w:val="center"/>
                </w:tcPr>
                <w:p>
                  <w:pPr>
                    <w:pStyle w:val="116"/>
                    <w:spacing w:line="240" w:lineRule="auto"/>
                    <w:ind w:firstLine="0"/>
                    <w:jc w:val="center"/>
                    <w:rPr>
                      <w:rFonts w:ascii="Times New Roman"/>
                      <w:color w:val="auto"/>
                      <w:kern w:val="2"/>
                      <w:sz w:val="21"/>
                      <w:szCs w:val="21"/>
                    </w:rPr>
                  </w:pPr>
                  <w:r>
                    <w:rPr>
                      <w:rFonts w:hint="eastAsia" w:ascii="Times New Roman"/>
                      <w:color w:val="auto"/>
                      <w:kern w:val="2"/>
                      <w:sz w:val="21"/>
                      <w:szCs w:val="21"/>
                    </w:rPr>
                    <w:t>单位</w:t>
                  </w:r>
                </w:p>
              </w:tc>
              <w:tc>
                <w:tcPr>
                  <w:tcW w:w="924" w:type="dxa"/>
                  <w:tcBorders>
                    <w:top w:val="single" w:color="auto" w:sz="6" w:space="0"/>
                    <w:left w:val="single" w:color="auto" w:sz="6" w:space="0"/>
                    <w:bottom w:val="single" w:color="auto" w:sz="6" w:space="0"/>
                    <w:right w:val="single" w:color="auto" w:sz="6" w:space="0"/>
                  </w:tcBorders>
                  <w:noWrap w:val="0"/>
                  <w:vAlign w:val="center"/>
                </w:tcPr>
                <w:p>
                  <w:pPr>
                    <w:pStyle w:val="116"/>
                    <w:spacing w:line="240" w:lineRule="auto"/>
                    <w:ind w:firstLine="0"/>
                    <w:jc w:val="center"/>
                    <w:rPr>
                      <w:rFonts w:ascii="Times New Roman"/>
                      <w:color w:val="auto"/>
                      <w:kern w:val="2"/>
                      <w:sz w:val="21"/>
                      <w:szCs w:val="21"/>
                    </w:rPr>
                  </w:pPr>
                  <w:r>
                    <w:rPr>
                      <w:rFonts w:hint="eastAsia" w:ascii="Times New Roman"/>
                      <w:color w:val="auto"/>
                      <w:kern w:val="2"/>
                      <w:sz w:val="21"/>
                      <w:szCs w:val="21"/>
                    </w:rPr>
                    <w:t>用量</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pStyle w:val="116"/>
                    <w:spacing w:line="240" w:lineRule="auto"/>
                    <w:ind w:firstLine="0"/>
                    <w:jc w:val="center"/>
                    <w:rPr>
                      <w:rFonts w:hint="eastAsia" w:ascii="Times New Roman" w:eastAsia="宋体"/>
                      <w:color w:val="auto"/>
                      <w:kern w:val="2"/>
                      <w:sz w:val="21"/>
                      <w:szCs w:val="21"/>
                      <w:lang w:eastAsia="zh-CN"/>
                    </w:rPr>
                  </w:pPr>
                  <w:r>
                    <w:rPr>
                      <w:rFonts w:hint="eastAsia" w:ascii="Times New Roman"/>
                      <w:color w:val="auto"/>
                      <w:kern w:val="2"/>
                      <w:sz w:val="21"/>
                      <w:szCs w:val="21"/>
                      <w:lang w:eastAsia="zh-CN"/>
                    </w:rPr>
                    <w:t>规格</w:t>
                  </w:r>
                </w:p>
              </w:tc>
              <w:tc>
                <w:tcPr>
                  <w:tcW w:w="840" w:type="dxa"/>
                  <w:tcBorders>
                    <w:top w:val="single" w:color="auto" w:sz="6" w:space="0"/>
                    <w:left w:val="single" w:color="auto" w:sz="4" w:space="0"/>
                    <w:bottom w:val="single" w:color="auto" w:sz="6" w:space="0"/>
                    <w:right w:val="single" w:color="auto" w:sz="4" w:space="0"/>
                  </w:tcBorders>
                  <w:noWrap w:val="0"/>
                  <w:vAlign w:val="center"/>
                </w:tcPr>
                <w:p>
                  <w:pPr>
                    <w:pStyle w:val="116"/>
                    <w:spacing w:line="240" w:lineRule="auto"/>
                    <w:ind w:firstLine="0"/>
                    <w:jc w:val="center"/>
                    <w:rPr>
                      <w:rFonts w:hint="eastAsia" w:ascii="Times New Roman" w:eastAsiaTheme="minorEastAsia"/>
                      <w:color w:val="auto"/>
                      <w:kern w:val="2"/>
                      <w:sz w:val="21"/>
                      <w:szCs w:val="21"/>
                      <w:lang w:eastAsia="zh-CN"/>
                    </w:rPr>
                  </w:pPr>
                  <w:r>
                    <w:rPr>
                      <w:rFonts w:hint="eastAsia" w:ascii="Times New Roman"/>
                      <w:color w:val="auto"/>
                      <w:kern w:val="2"/>
                      <w:sz w:val="21"/>
                      <w:szCs w:val="21"/>
                      <w:lang w:eastAsia="zh-CN"/>
                    </w:rPr>
                    <w:t>最大储存量</w:t>
                  </w:r>
                </w:p>
              </w:tc>
              <w:tc>
                <w:tcPr>
                  <w:tcW w:w="864" w:type="dxa"/>
                  <w:tcBorders>
                    <w:top w:val="single" w:color="auto" w:sz="6" w:space="0"/>
                    <w:left w:val="single" w:color="auto" w:sz="4" w:space="0"/>
                    <w:bottom w:val="single" w:color="auto" w:sz="6" w:space="0"/>
                    <w:right w:val="single" w:color="auto" w:sz="4" w:space="0"/>
                  </w:tcBorders>
                  <w:noWrap w:val="0"/>
                  <w:vAlign w:val="center"/>
                </w:tcPr>
                <w:p>
                  <w:pPr>
                    <w:pStyle w:val="116"/>
                    <w:spacing w:line="240" w:lineRule="auto"/>
                    <w:ind w:firstLine="0"/>
                    <w:jc w:val="center"/>
                    <w:rPr>
                      <w:rFonts w:hint="eastAsia" w:ascii="Times New Roman" w:eastAsia="宋体"/>
                      <w:color w:val="auto"/>
                      <w:kern w:val="2"/>
                      <w:sz w:val="21"/>
                      <w:szCs w:val="21"/>
                      <w:lang w:val="en-US" w:eastAsia="zh-CN"/>
                    </w:rPr>
                  </w:pPr>
                  <w:r>
                    <w:rPr>
                      <w:rFonts w:hint="eastAsia" w:ascii="Times New Roman"/>
                      <w:color w:val="auto"/>
                      <w:kern w:val="2"/>
                      <w:sz w:val="21"/>
                      <w:szCs w:val="21"/>
                      <w:lang w:val="en-US" w:eastAsia="zh-CN"/>
                    </w:rPr>
                    <w:t>包装</w:t>
                  </w:r>
                  <w:r>
                    <w:rPr>
                      <w:rFonts w:hint="eastAsia" w:ascii="Times New Roman"/>
                      <w:color w:val="auto"/>
                      <w:kern w:val="2"/>
                      <w:sz w:val="21"/>
                      <w:szCs w:val="21"/>
                      <w:lang w:val="en-US" w:eastAsia="zh-CN"/>
                    </w:rPr>
                    <w:br w:type="textWrapping"/>
                  </w:r>
                  <w:r>
                    <w:rPr>
                      <w:rFonts w:hint="eastAsia" w:ascii="Times New Roman"/>
                      <w:color w:val="auto"/>
                      <w:kern w:val="2"/>
                      <w:sz w:val="21"/>
                      <w:szCs w:val="21"/>
                      <w:lang w:val="en-US" w:eastAsia="zh-CN"/>
                    </w:rPr>
                    <w:t>方式</w:t>
                  </w:r>
                </w:p>
              </w:tc>
              <w:tc>
                <w:tcPr>
                  <w:tcW w:w="753" w:type="dxa"/>
                  <w:tcBorders>
                    <w:top w:val="single" w:color="auto" w:sz="6" w:space="0"/>
                    <w:left w:val="single" w:color="auto" w:sz="4" w:space="0"/>
                    <w:bottom w:val="single" w:color="auto" w:sz="6" w:space="0"/>
                    <w:right w:val="single" w:color="auto" w:sz="4" w:space="0"/>
                  </w:tcBorders>
                  <w:noWrap w:val="0"/>
                  <w:vAlign w:val="center"/>
                </w:tcPr>
                <w:p>
                  <w:pPr>
                    <w:pStyle w:val="116"/>
                    <w:spacing w:line="240" w:lineRule="auto"/>
                    <w:ind w:firstLine="0"/>
                    <w:jc w:val="center"/>
                    <w:rPr>
                      <w:rFonts w:hint="eastAsia" w:ascii="Times New Roman"/>
                      <w:color w:val="auto"/>
                      <w:kern w:val="2"/>
                      <w:sz w:val="21"/>
                      <w:szCs w:val="21"/>
                      <w:lang w:val="en-US" w:eastAsia="zh-CN"/>
                    </w:rPr>
                  </w:pPr>
                  <w:r>
                    <w:rPr>
                      <w:rFonts w:hint="eastAsia" w:ascii="Times New Roman"/>
                      <w:color w:val="auto"/>
                      <w:kern w:val="2"/>
                      <w:sz w:val="21"/>
                      <w:szCs w:val="21"/>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restart"/>
                  <w:tcBorders>
                    <w:top w:val="single" w:color="auto" w:sz="6" w:space="0"/>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val="en-US" w:eastAsia="zh-CN"/>
                    </w:rPr>
                    <w:t>PP</w:t>
                  </w:r>
                  <w:r>
                    <w:rPr>
                      <w:rFonts w:hint="eastAsia" w:ascii="Times New Roman" w:hAnsi="宋体" w:eastAsia="宋体" w:cs="Times New Roman"/>
                      <w:color w:val="auto"/>
                      <w:kern w:val="0"/>
                      <w:szCs w:val="21"/>
                      <w:lang w:eastAsia="zh-CN"/>
                    </w:rPr>
                    <w:t>塑料型材</w:t>
                  </w: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val="en-US" w:eastAsia="zh-CN"/>
                    </w:rPr>
                    <w:t>尼龙颗粒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300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7</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restart"/>
                  <w:tcBorders>
                    <w:top w:val="single" w:color="auto" w:sz="6" w:space="0"/>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原料不含废旧塑料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val="en-US" w:eastAsia="zh-CN"/>
                    </w:rPr>
                    <w:t>聚丙烯颗粒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900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7</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val="en-US" w:eastAsia="zh-CN"/>
                    </w:rPr>
                    <w:t>色母颗粒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0.5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restart"/>
                  <w:tcBorders>
                    <w:top w:val="single" w:color="auto" w:sz="6" w:space="0"/>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val="en-US" w:eastAsia="zh-CN"/>
                    </w:rPr>
                    <w:t>PE</w:t>
                  </w:r>
                  <w:r>
                    <w:rPr>
                      <w:rFonts w:hint="eastAsia" w:ascii="Times New Roman" w:hAnsi="宋体" w:eastAsia="宋体" w:cs="Times New Roman"/>
                      <w:color w:val="auto"/>
                      <w:kern w:val="0"/>
                      <w:szCs w:val="21"/>
                      <w:lang w:eastAsia="zh-CN"/>
                    </w:rPr>
                    <w:t>塑料型材</w:t>
                  </w: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val="en-US" w:eastAsia="zh-CN"/>
                    </w:rPr>
                    <w:t>尼龙颗粒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300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7</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val="en-US" w:eastAsia="zh-CN"/>
                    </w:rPr>
                    <w:t>聚乙烯</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900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7</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val="en-US" w:eastAsia="zh-CN"/>
                    </w:rPr>
                    <w:t>色母颗粒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0.5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restart"/>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PP</w:t>
                  </w:r>
                  <w:r>
                    <w:rPr>
                      <w:rFonts w:hint="eastAsia" w:ascii="Times New Roman" w:hAnsi="宋体" w:eastAsia="宋体" w:cs="Times New Roman"/>
                      <w:color w:val="auto"/>
                      <w:kern w:val="0"/>
                      <w:szCs w:val="21"/>
                      <w:lang w:eastAsia="zh-CN"/>
                    </w:rPr>
                    <w:t>塑料板材</w:t>
                  </w: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尼龙颗粒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300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7</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聚丙烯颗粒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900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7</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色母颗粒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0.5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restart"/>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PE</w:t>
                  </w:r>
                  <w:r>
                    <w:rPr>
                      <w:rFonts w:hint="eastAsia" w:ascii="Times New Roman" w:hAnsi="宋体" w:eastAsia="宋体" w:cs="Times New Roman"/>
                      <w:color w:val="auto"/>
                      <w:kern w:val="0"/>
                      <w:szCs w:val="21"/>
                      <w:lang w:eastAsia="zh-CN"/>
                    </w:rPr>
                    <w:t>塑料板材</w:t>
                  </w: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尼龙颗粒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300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7</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聚乙烯</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900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7</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色母颗粒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0.5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restart"/>
                  <w:tcBorders>
                    <w:top w:val="single" w:color="auto" w:sz="6" w:space="0"/>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eastAsia="zh-CN"/>
                    </w:rPr>
                    <w:t>新型外墙保温材料</w:t>
                  </w: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聚苯乙烯颗粒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920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色母颗粒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5.21</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0.5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highlight w:val="none"/>
                      <w:lang w:val="en-US" w:eastAsia="zh-CN"/>
                    </w:rPr>
                  </w:pPr>
                  <w:r>
                    <w:rPr>
                      <w:rFonts w:hint="eastAsia"/>
                      <w:color w:val="auto"/>
                      <w:szCs w:val="21"/>
                      <w:highlight w:val="none"/>
                      <w:lang w:val="en-US" w:eastAsia="zh-CN"/>
                    </w:rPr>
                    <w:t>发泡剂</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278</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w:t>
                  </w:r>
                  <w:r>
                    <w:rPr>
                      <w:rFonts w:hint="default" w:ascii="Times New Roman" w:hAnsi="宋体" w:eastAsia="宋体" w:cs="Times New Roman"/>
                      <w:color w:val="auto"/>
                      <w:kern w:val="0"/>
                      <w:szCs w:val="21"/>
                      <w:lang w:val="en-US" w:eastAsia="zh-CN"/>
                    </w:rPr>
                    <w:t>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restart"/>
                  <w:tcBorders>
                    <w:top w:val="single" w:color="auto" w:sz="6" w:space="0"/>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eastAsia="zh-CN"/>
                    </w:rPr>
                    <w:t>橡胶板</w:t>
                  </w: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 w:val="21"/>
                      <w:szCs w:val="21"/>
                      <w:highlight w:val="none"/>
                      <w:lang w:val="en-US" w:eastAsia="zh-CN" w:bidi="ar-SA"/>
                    </w:rPr>
                  </w:pPr>
                  <w:r>
                    <w:rPr>
                      <w:rFonts w:hint="eastAsia" w:ascii="Times New Roman" w:hAnsi="宋体" w:eastAsia="宋体" w:cs="Times New Roman"/>
                      <w:color w:val="auto"/>
                      <w:kern w:val="0"/>
                      <w:szCs w:val="21"/>
                      <w:highlight w:val="none"/>
                      <w:lang w:val="en-US" w:eastAsia="zh-CN"/>
                    </w:rPr>
                    <w:t>胶粉</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2004</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20-～50目</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15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 w:val="21"/>
                      <w:szCs w:val="21"/>
                      <w:highlight w:val="none"/>
                      <w:lang w:val="en-US" w:eastAsia="zh-CN" w:bidi="ar-SA"/>
                    </w:rPr>
                  </w:pPr>
                  <w:r>
                    <w:rPr>
                      <w:rFonts w:hint="eastAsia" w:ascii="Times New Roman" w:hAnsi="宋体" w:eastAsia="宋体" w:cs="Times New Roman"/>
                      <w:color w:val="auto"/>
                      <w:kern w:val="0"/>
                      <w:szCs w:val="21"/>
                      <w:highlight w:val="none"/>
                      <w:lang w:val="en-US" w:eastAsia="zh-CN"/>
                    </w:rPr>
                    <w:t>橡胶填充剂</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2004</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15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 w:val="21"/>
                      <w:szCs w:val="21"/>
                      <w:highlight w:val="none"/>
                      <w:lang w:val="en-US" w:eastAsia="zh-CN" w:bidi="ar-SA"/>
                    </w:rPr>
                  </w:pPr>
                  <w:r>
                    <w:rPr>
                      <w:rFonts w:hint="eastAsia" w:ascii="Times New Roman" w:hAnsi="宋体" w:eastAsia="宋体" w:cs="Times New Roman"/>
                      <w:color w:val="auto"/>
                      <w:kern w:val="0"/>
                      <w:szCs w:val="21"/>
                      <w:highlight w:val="none"/>
                      <w:lang w:val="en-US" w:eastAsia="zh-CN"/>
                    </w:rPr>
                    <w:t>石蜡</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2004</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15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851" w:type="dxa"/>
                  <w:vMerge w:val="restart"/>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hAnsi="宋体" w:cs="Times New Roman"/>
                      <w:color w:val="auto"/>
                      <w:kern w:val="0"/>
                      <w:szCs w:val="21"/>
                      <w:lang w:val="en-US" w:eastAsia="zh-CN"/>
                    </w:rPr>
                    <w:t>合计</w:t>
                  </w:r>
                </w:p>
              </w:tc>
              <w:tc>
                <w:tcPr>
                  <w:tcW w:w="1520" w:type="dxa"/>
                  <w:tcBorders>
                    <w:top w:val="single" w:color="auto" w:sz="6" w:space="0"/>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尼龙颗粒</w:t>
                  </w:r>
                </w:p>
              </w:tc>
              <w:tc>
                <w:tcPr>
                  <w:tcW w:w="828" w:type="dxa"/>
                  <w:tcBorders>
                    <w:top w:val="single" w:color="auto" w:sz="6" w:space="0"/>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1200</w:t>
                  </w:r>
                </w:p>
              </w:tc>
              <w:tc>
                <w:tcPr>
                  <w:tcW w:w="1416" w:type="dxa"/>
                  <w:tcBorders>
                    <w:top w:val="single" w:color="auto" w:sz="6" w:space="0"/>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7</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聚丙烯颗粒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1800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7</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色母颗粒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17.21</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0.5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聚乙烯</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1800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7</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聚苯乙烯颗粒</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920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color w:val="auto"/>
                      <w:szCs w:val="21"/>
                      <w:highlight w:val="none"/>
                      <w:lang w:val="en-US" w:eastAsia="zh-CN"/>
                    </w:rPr>
                    <w:t>发泡剂</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278</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w:t>
                  </w:r>
                  <w:r>
                    <w:rPr>
                      <w:rFonts w:hint="default" w:ascii="Times New Roman" w:hAnsi="宋体" w:eastAsia="宋体" w:cs="Times New Roman"/>
                      <w:color w:val="auto"/>
                      <w:kern w:val="0"/>
                      <w:szCs w:val="21"/>
                      <w:lang w:val="en-US" w:eastAsia="zh-CN"/>
                    </w:rPr>
                    <w:t>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胶粉</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2004</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20</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50目</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15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橡胶填充剂</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2004</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15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石蜡</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2004</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3</w:t>
                  </w:r>
                  <w:r>
                    <w:rPr>
                      <w:rFonts w:hint="default" w:ascii="Times New Roman" w:hAnsi="宋体" w:eastAsia="宋体" w:cs="Times New Roman"/>
                      <w:color w:val="auto"/>
                      <w:kern w:val="0"/>
                      <w:szCs w:val="21"/>
                      <w:lang w:val="en-US" w:eastAsia="zh-CN"/>
                    </w:rPr>
                    <w:t>~</w:t>
                  </w:r>
                  <w:r>
                    <w:rPr>
                      <w:rFonts w:hint="eastAsia" w:ascii="Times New Roman" w:hAnsi="宋体" w:eastAsia="宋体" w:cs="Times New Roman"/>
                      <w:color w:val="auto"/>
                      <w:kern w:val="0"/>
                      <w:szCs w:val="21"/>
                      <w:lang w:val="en-US" w:eastAsia="zh-CN"/>
                    </w:rPr>
                    <w:t>5mm</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15</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袋装</w:t>
                  </w:r>
                </w:p>
              </w:tc>
              <w:tc>
                <w:tcPr>
                  <w:tcW w:w="753" w:type="dxa"/>
                  <w:vMerge w:val="continue"/>
                  <w:tcBorders>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851" w:type="dxa"/>
                  <w:vMerge w:val="restart"/>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hAnsi="宋体" w:cs="Times New Roman"/>
                      <w:color w:val="auto"/>
                      <w:kern w:val="0"/>
                      <w:szCs w:val="21"/>
                      <w:lang w:val="en-US" w:eastAsia="zh-CN"/>
                    </w:rPr>
                    <w:t>能耗</w:t>
                  </w: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hAnsi="宋体" w:cs="Times New Roman"/>
                      <w:color w:val="auto"/>
                      <w:kern w:val="0"/>
                      <w:szCs w:val="21"/>
                      <w:lang w:val="en-US" w:eastAsia="zh-CN"/>
                    </w:rPr>
                    <w:t>水</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t/a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810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w:t>
                  </w:r>
                </w:p>
              </w:tc>
              <w:tc>
                <w:tcPr>
                  <w:tcW w:w="753"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hAnsi="宋体" w:cs="Times New Roman"/>
                      <w:color w:val="auto"/>
                      <w:kern w:val="0"/>
                      <w:szCs w:val="21"/>
                      <w:lang w:val="en-US" w:eastAsia="zh-CN"/>
                    </w:rPr>
                  </w:pPr>
                  <w:r>
                    <w:rPr>
                      <w:rFonts w:hint="eastAsia" w:hAnsi="宋体" w:cs="Times New Roman"/>
                      <w:color w:val="auto"/>
                      <w:kern w:val="0"/>
                      <w:szCs w:val="21"/>
                      <w:lang w:val="en-US" w:eastAsia="zh-CN"/>
                    </w:rPr>
                    <w:t>电</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default" w:ascii="Times New Roman" w:hAnsi="宋体" w:eastAsia="宋体" w:cs="Times New Roman"/>
                      <w:color w:val="auto"/>
                      <w:kern w:val="0"/>
                      <w:szCs w:val="21"/>
                      <w:lang w:val="en-US" w:eastAsia="zh-CN"/>
                    </w:rPr>
                    <w:t>万kW</w:t>
                  </w:r>
                  <w:r>
                    <w:rPr>
                      <w:rFonts w:hint="eastAsia" w:ascii="Times New Roman" w:hAnsi="宋体" w:eastAsia="宋体" w:cs="Times New Roman"/>
                      <w:color w:val="auto"/>
                      <w:kern w:val="0"/>
                      <w:szCs w:val="21"/>
                      <w:lang w:val="en-US" w:eastAsia="zh-CN"/>
                    </w:rPr>
                    <w:t>·</w:t>
                  </w:r>
                  <w:r>
                    <w:rPr>
                      <w:rFonts w:hint="default" w:ascii="Times New Roman" w:hAnsi="宋体" w:eastAsia="宋体" w:cs="Times New Roman"/>
                      <w:color w:val="auto"/>
                      <w:kern w:val="0"/>
                      <w:szCs w:val="21"/>
                      <w:lang w:val="en-US" w:eastAsia="zh-CN"/>
                    </w:rPr>
                    <w:t>h/a</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1500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w:t>
                  </w:r>
                </w:p>
              </w:tc>
              <w:tc>
                <w:tcPr>
                  <w:tcW w:w="753"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851" w:type="dxa"/>
                  <w:vMerge w:val="continue"/>
                  <w:tcBorders>
                    <w:left w:val="single" w:color="auto" w:sz="6" w:space="0"/>
                    <w:right w:val="single" w:color="auto" w:sz="6" w:space="0"/>
                  </w:tcBorders>
                  <w:noWrap w:val="0"/>
                  <w:vAlign w:val="center"/>
                </w:tcPr>
                <w:p>
                  <w:pPr>
                    <w:jc w:val="center"/>
                    <w:rPr>
                      <w:rFonts w:hint="eastAsia" w:ascii="Times New Roman" w:hAnsi="宋体" w:eastAsia="宋体" w:cs="Times New Roman"/>
                      <w:color w:val="auto"/>
                      <w:kern w:val="0"/>
                      <w:szCs w:val="21"/>
                      <w:lang w:val="en-US" w:eastAsia="zh-CN"/>
                    </w:rPr>
                  </w:pPr>
                </w:p>
              </w:tc>
              <w:tc>
                <w:tcPr>
                  <w:tcW w:w="152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hAnsi="宋体" w:cs="Times New Roman"/>
                      <w:color w:val="auto"/>
                      <w:kern w:val="0"/>
                      <w:szCs w:val="21"/>
                      <w:lang w:val="en-US" w:eastAsia="zh-CN"/>
                    </w:rPr>
                  </w:pPr>
                  <w:r>
                    <w:rPr>
                      <w:rFonts w:hint="eastAsia" w:hAnsi="宋体" w:cs="Times New Roman"/>
                      <w:color w:val="auto"/>
                      <w:kern w:val="0"/>
                      <w:szCs w:val="21"/>
                      <w:lang w:val="en-US" w:eastAsia="zh-CN"/>
                    </w:rPr>
                    <w:t>蒸汽</w:t>
                  </w:r>
                </w:p>
              </w:tc>
              <w:tc>
                <w:tcPr>
                  <w:tcW w:w="828"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m</w:t>
                  </w:r>
                  <w:r>
                    <w:rPr>
                      <w:rFonts w:hint="eastAsia" w:ascii="Times New Roman" w:hAnsi="宋体" w:eastAsia="宋体" w:cs="Times New Roman"/>
                      <w:color w:val="auto"/>
                      <w:kern w:val="0"/>
                      <w:szCs w:val="21"/>
                      <w:vertAlign w:val="superscript"/>
                      <w:lang w:val="en-US" w:eastAsia="zh-CN"/>
                    </w:rPr>
                    <w:t>3</w:t>
                  </w:r>
                </w:p>
              </w:tc>
              <w:tc>
                <w:tcPr>
                  <w:tcW w:w="924"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6000</w:t>
                  </w:r>
                </w:p>
              </w:tc>
              <w:tc>
                <w:tcPr>
                  <w:tcW w:w="1416"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w:t>
                  </w:r>
                </w:p>
              </w:tc>
              <w:tc>
                <w:tcPr>
                  <w:tcW w:w="840"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w:t>
                  </w:r>
                </w:p>
              </w:tc>
              <w:tc>
                <w:tcPr>
                  <w:tcW w:w="864" w:type="dxa"/>
                  <w:tcBorders>
                    <w:top w:val="single" w:color="auto" w:sz="6" w:space="0"/>
                    <w:left w:val="single" w:color="auto" w:sz="4" w:space="0"/>
                    <w:bottom w:val="single" w:color="auto" w:sz="6" w:space="0"/>
                    <w:right w:val="single" w:color="auto" w:sz="4" w:space="0"/>
                  </w:tcBorders>
                  <w:noWrap w:val="0"/>
                  <w:vAlign w:val="center"/>
                </w:tcPr>
                <w:p>
                  <w:pPr>
                    <w:jc w:val="center"/>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w:t>
                  </w:r>
                </w:p>
              </w:tc>
              <w:tc>
                <w:tcPr>
                  <w:tcW w:w="753"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尼龙颗粒：聚酰胺俗称尼龙(Nylon)，英文名称Polyamide(简称PA)，是分子主链上含有重复酰胺基团-[NHCO]-的</w:t>
            </w:r>
            <w:r>
              <w:rPr>
                <w:rFonts w:hint="default" w:ascii="宋体" w:hAnsi="宋体" w:eastAsia="宋体" w:cs="宋体"/>
                <w:color w:val="auto"/>
                <w:sz w:val="24"/>
                <w:szCs w:val="24"/>
                <w:lang w:val="en-US" w:eastAsia="zh-CN"/>
              </w:rPr>
              <w:fldChar w:fldCharType="begin"/>
            </w:r>
            <w:r>
              <w:rPr>
                <w:rFonts w:hint="default" w:ascii="宋体" w:hAnsi="宋体" w:eastAsia="宋体" w:cs="宋体"/>
                <w:color w:val="auto"/>
                <w:sz w:val="24"/>
                <w:szCs w:val="24"/>
                <w:lang w:val="en-US" w:eastAsia="zh-CN"/>
              </w:rPr>
              <w:instrText xml:space="preserve"> HYPERLINK "https://baike.so.com/"/doc/4067957-4266509.html/"" \t "https://baike.so.com/doc/\\"_blank\\"" </w:instrText>
            </w:r>
            <w:r>
              <w:rPr>
                <w:rFonts w:hint="default" w:ascii="宋体" w:hAnsi="宋体" w:eastAsia="宋体" w:cs="宋体"/>
                <w:color w:val="auto"/>
                <w:sz w:val="24"/>
                <w:szCs w:val="24"/>
                <w:lang w:val="en-US" w:eastAsia="zh-CN"/>
              </w:rPr>
              <w:fldChar w:fldCharType="separate"/>
            </w:r>
            <w:r>
              <w:rPr>
                <w:rFonts w:hint="default" w:ascii="宋体" w:hAnsi="宋体" w:eastAsia="宋体" w:cs="宋体"/>
                <w:color w:val="auto"/>
                <w:sz w:val="24"/>
                <w:szCs w:val="24"/>
                <w:lang w:val="en-US" w:eastAsia="zh-CN"/>
              </w:rPr>
              <w:t>热塑性树脂</w:t>
            </w:r>
            <w:r>
              <w:rPr>
                <w:rFonts w:hint="default" w:ascii="宋体" w:hAnsi="宋体" w:eastAsia="宋体" w:cs="宋体"/>
                <w:color w:val="auto"/>
                <w:sz w:val="24"/>
                <w:szCs w:val="24"/>
                <w:lang w:val="en-US" w:eastAsia="zh-CN"/>
              </w:rPr>
              <w:fldChar w:fldCharType="end"/>
            </w:r>
            <w:r>
              <w:rPr>
                <w:rFonts w:hint="default" w:ascii="宋体" w:hAnsi="宋体" w:eastAsia="宋体" w:cs="宋体"/>
                <w:color w:val="auto"/>
                <w:sz w:val="24"/>
                <w:szCs w:val="24"/>
                <w:lang w:val="en-US" w:eastAsia="zh-CN"/>
              </w:rPr>
              <w:t>总称，包括脂肪族PA，脂肪-芳香族PA和芳香族PA。其中脂肪族PA品种多，产量大，应用广泛，其命名由合成单体具体的碳原子数而定。</w:t>
            </w:r>
          </w:p>
          <w:p>
            <w:pPr>
              <w:pStyle w:val="15"/>
              <w:spacing w:before="0" w:after="0" w:line="360" w:lineRule="auto"/>
              <w:ind w:right="0" w:firstLine="480" w:firstLineChars="200"/>
              <w:jc w:val="left"/>
              <w:rPr>
                <w:rFonts w:hint="eastAsia" w:hAnsi="宋体"/>
                <w:bCs/>
                <w:color w:val="auto"/>
                <w:kern w:val="2"/>
                <w:sz w:val="24"/>
                <w:szCs w:val="24"/>
              </w:rPr>
            </w:pPr>
            <w:r>
              <w:rPr>
                <w:rFonts w:hint="default" w:ascii="宋体" w:hAnsi="宋体" w:eastAsia="宋体" w:cs="宋体"/>
                <w:color w:val="auto"/>
                <w:sz w:val="24"/>
                <w:szCs w:val="24"/>
                <w:lang w:val="en-US" w:eastAsia="zh-CN"/>
              </w:rPr>
              <w:t>聚丙烯（Polypropylene，简称PP）是一种半结晶的热塑性塑料。具有较高的耐冲击性，机械性质强韧，抗多种有机溶剂和酸碱腐蚀。在工业界有广泛的应用，是平常常见的高分子材料之一。</w:t>
            </w:r>
            <w:r>
              <w:rPr>
                <w:rFonts w:hint="default" w:ascii="宋体" w:hAnsi="宋体" w:eastAsia="宋体" w:cs="宋体"/>
                <w:color w:val="auto"/>
                <w:sz w:val="24"/>
                <w:szCs w:val="24"/>
                <w:lang w:val="en-US" w:eastAsia="zh-CN"/>
              </w:rPr>
              <w:br w:type="textWrapping"/>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 xml:space="preserve"> 聚乙烯（PE）：聚乙</w:t>
            </w:r>
            <w:r>
              <w:rPr>
                <w:rFonts w:hint="eastAsia" w:hAnsi="宋体"/>
                <w:bCs/>
                <w:color w:val="auto"/>
                <w:kern w:val="2"/>
                <w:sz w:val="24"/>
                <w:szCs w:val="24"/>
              </w:rPr>
              <w:t>烯是饱和碳氢化合物，结构类似于石蜡，由乙烯聚合而成的高分子合成材料。根据聚合方法的不同分为高压、中压和低压三种聚乙烯。高压聚乙烯又称低密度聚乙烯</w:t>
            </w:r>
            <w:r>
              <w:rPr>
                <w:rFonts w:hint="eastAsia" w:hAnsi="宋体"/>
                <w:bCs/>
                <w:color w:val="auto"/>
                <w:kern w:val="2"/>
                <w:sz w:val="24"/>
                <w:szCs w:val="24"/>
                <w:lang w:eastAsia="zh-CN"/>
              </w:rPr>
              <w:t>（</w:t>
            </w:r>
            <w:r>
              <w:rPr>
                <w:rFonts w:hint="eastAsia" w:hAnsi="宋体"/>
                <w:bCs/>
                <w:color w:val="auto"/>
                <w:kern w:val="2"/>
                <w:sz w:val="24"/>
                <w:szCs w:val="24"/>
              </w:rPr>
              <w:t>占聚乙烯总生产量的70%左右</w:t>
            </w:r>
            <w:r>
              <w:rPr>
                <w:rFonts w:hint="eastAsia" w:hAnsi="宋体"/>
                <w:bCs/>
                <w:color w:val="auto"/>
                <w:kern w:val="2"/>
                <w:sz w:val="24"/>
                <w:szCs w:val="24"/>
                <w:lang w:eastAsia="zh-CN"/>
              </w:rPr>
              <w:t>）</w:t>
            </w:r>
            <w:r>
              <w:rPr>
                <w:rFonts w:hint="eastAsia" w:hAnsi="宋体"/>
                <w:bCs/>
                <w:color w:val="auto"/>
                <w:kern w:val="2"/>
                <w:sz w:val="24"/>
                <w:szCs w:val="24"/>
              </w:rPr>
              <w:t>，中压和低压的统称为低压聚乙烯，是高密度的。聚乙烯分子中无极性基因、吸水性低、稳定性好。常温下不溶于普通溶剂，对醇、醚、酮、酯、弱酸、弱碱都很稳定。但在脂肪烃、芳香烃和卤代烃中能发生溶胀，能被强含氧酸浸蚀，在空气中加热或光照时发生氧化作用。主要用于制薄膜、软管、纤维，做成各种工业和生活制品。</w:t>
            </w:r>
          </w:p>
          <w:p>
            <w:pPr>
              <w:pStyle w:val="15"/>
              <w:spacing w:before="0" w:after="0" w:line="360" w:lineRule="auto"/>
              <w:ind w:right="0" w:firstLine="480" w:firstLineChars="200"/>
              <w:jc w:val="left"/>
              <w:rPr>
                <w:rFonts w:hint="eastAsia" w:ascii="宋体" w:hAnsi="宋体" w:cs="宋体"/>
                <w:color w:val="auto"/>
                <w:sz w:val="24"/>
                <w:szCs w:val="24"/>
                <w:lang w:eastAsia="zh-CN"/>
              </w:rPr>
            </w:pPr>
            <w:r>
              <w:rPr>
                <w:rFonts w:hint="eastAsia" w:hAnsi="宋体"/>
                <w:bCs/>
                <w:color w:val="auto"/>
                <w:kern w:val="2"/>
                <w:sz w:val="24"/>
                <w:szCs w:val="24"/>
              </w:rPr>
              <w:t>聚苯乙烯</w:t>
            </w:r>
            <w:r>
              <w:rPr>
                <w:rFonts w:hint="default" w:hAnsi="宋体"/>
                <w:bCs/>
                <w:color w:val="auto"/>
                <w:kern w:val="2"/>
                <w:sz w:val="24"/>
                <w:szCs w:val="24"/>
              </w:rPr>
              <w:t>颗粒：聚苯乙烯玻璃化温度80~105℃</w:t>
            </w:r>
            <w:r>
              <w:rPr>
                <w:rFonts w:hint="eastAsia" w:hAnsi="宋体"/>
                <w:bCs/>
                <w:color w:val="auto"/>
                <w:kern w:val="2"/>
                <w:sz w:val="24"/>
                <w:szCs w:val="24"/>
                <w:lang w:eastAsia="zh-CN"/>
              </w:rPr>
              <w:t>，</w:t>
            </w:r>
            <w:r>
              <w:rPr>
                <w:rFonts w:hint="default" w:hAnsi="宋体"/>
                <w:bCs/>
                <w:color w:val="auto"/>
                <w:kern w:val="2"/>
                <w:sz w:val="24"/>
                <w:szCs w:val="24"/>
              </w:rPr>
              <w:t>非晶态密度1.04~1.06克/立方厘米</w:t>
            </w:r>
            <w:r>
              <w:rPr>
                <w:rFonts w:hint="eastAsia" w:hAnsi="宋体"/>
                <w:bCs/>
                <w:color w:val="auto"/>
                <w:kern w:val="2"/>
                <w:sz w:val="24"/>
                <w:szCs w:val="24"/>
                <w:lang w:eastAsia="zh-CN"/>
              </w:rPr>
              <w:t>，</w:t>
            </w:r>
            <w:r>
              <w:rPr>
                <w:rFonts w:hint="default" w:hAnsi="宋体"/>
                <w:bCs/>
                <w:color w:val="auto"/>
                <w:kern w:val="2"/>
                <w:sz w:val="24"/>
                <w:szCs w:val="24"/>
              </w:rPr>
              <w:t>晶体密度1.11~1.12克/立方厘米</w:t>
            </w:r>
            <w:r>
              <w:rPr>
                <w:rFonts w:hint="eastAsia" w:hAnsi="宋体"/>
                <w:bCs/>
                <w:color w:val="auto"/>
                <w:kern w:val="2"/>
                <w:sz w:val="24"/>
                <w:szCs w:val="24"/>
                <w:lang w:eastAsia="zh-CN"/>
              </w:rPr>
              <w:t>，</w:t>
            </w:r>
            <w:r>
              <w:rPr>
                <w:rFonts w:hint="default" w:hAnsi="宋体"/>
                <w:bCs/>
                <w:color w:val="auto"/>
                <w:kern w:val="2"/>
                <w:sz w:val="24"/>
                <w:szCs w:val="24"/>
              </w:rPr>
              <w:t>熔融温度240℃，电阻率为1020~1022欧·厘米。导热系数30℃时 0.116 瓦/(米·开)。通常的聚苯乙烯为非晶态无规聚合物，具有优良的绝热、绝缘和透明性，长期使用温度0~70℃，但脆，低温易开裂。此外还有全同和间同以及无规立构聚苯乙烯。全同聚合物有高度结晶性，间同聚合物有部分结晶性。</w:t>
            </w:r>
            <w:r>
              <w:rPr>
                <w:rFonts w:hint="default" w:hAnsi="宋体"/>
                <w:bCs/>
                <w:color w:val="auto"/>
                <w:kern w:val="2"/>
                <w:sz w:val="24"/>
                <w:szCs w:val="24"/>
              </w:rPr>
              <w:br w:type="textWrapping"/>
            </w:r>
            <w:r>
              <w:rPr>
                <w:rFonts w:hint="eastAsia" w:hAnsi="宋体"/>
                <w:bCs/>
                <w:color w:val="auto"/>
                <w:kern w:val="2"/>
                <w:sz w:val="24"/>
                <w:szCs w:val="24"/>
                <w:lang w:val="en-US" w:eastAsia="zh-CN"/>
              </w:rPr>
              <w:t xml:space="preserve">    苯乙烯：苯乙烯又称乙烯基苯，分子式为C8H8，结构式为—CH ==CH2，具有高折射性和特殊芳香气味，难溶于水，能溶于甲醇、乙酸及乙醚等溶剂。苯乙烯遇明火极易燃烧。与氯磺酸、发烟硫酸、浓硫酸反应剧烈，有爆炸危险。苯乙烯具有乙烯基烯烃的性质，反应性能极强，如氧化、还原、氯化等反应均可进行，并能与卤化氢发生加成反应。苯乙烯暴露于空气中，易被氧化成醛、酮类。苯乙烯易自聚生成聚苯乙烯树脂，也易与其他含双键的不饱和化合物共聚。</w:t>
            </w:r>
            <w:r>
              <w:rPr>
                <w:rFonts w:hint="default" w:hAnsi="宋体"/>
                <w:bCs/>
                <w:color w:val="auto"/>
                <w:kern w:val="2"/>
                <w:sz w:val="24"/>
                <w:szCs w:val="24"/>
              </w:rPr>
              <w:br w:type="textWrapping"/>
            </w:r>
            <w:r>
              <w:rPr>
                <w:rFonts w:hint="eastAsia" w:hAnsi="宋体"/>
                <w:bCs/>
                <w:color w:val="auto"/>
                <w:kern w:val="2"/>
                <w:sz w:val="24"/>
                <w:szCs w:val="24"/>
                <w:lang w:val="en-US" w:eastAsia="zh-CN"/>
              </w:rPr>
              <w:t xml:space="preserve">    </w:t>
            </w:r>
            <w:r>
              <w:rPr>
                <w:rFonts w:hint="eastAsia" w:ascii="宋体" w:hAnsi="宋体" w:eastAsia="宋体" w:cs="宋体"/>
                <w:color w:val="auto"/>
                <w:sz w:val="24"/>
                <w:szCs w:val="24"/>
                <w:lang w:val="en-US" w:eastAsia="zh-CN"/>
              </w:rPr>
              <w:t>色母颗粒：</w:t>
            </w:r>
            <w:r>
              <w:rPr>
                <w:rFonts w:hint="eastAsia" w:ascii="宋体" w:hAnsi="宋体" w:eastAsia="宋体" w:cs="宋体"/>
                <w:color w:val="auto"/>
                <w:sz w:val="24"/>
                <w:szCs w:val="24"/>
              </w:rPr>
              <w:t>由高比例的颜料或添加剂与热塑性树脂，经良好分散而成的</w:t>
            </w:r>
            <w:r>
              <w:rPr>
                <w:rFonts w:hint="default" w:ascii="宋体" w:hAnsi="宋体" w:eastAsia="宋体" w:cs="宋体"/>
                <w:color w:val="auto"/>
                <w:sz w:val="24"/>
                <w:szCs w:val="24"/>
              </w:rPr>
              <w:fldChar w:fldCharType="begin"/>
            </w:r>
            <w:r>
              <w:rPr>
                <w:rFonts w:hint="default" w:ascii="宋体" w:hAnsi="宋体" w:eastAsia="宋体" w:cs="宋体"/>
                <w:color w:val="auto"/>
                <w:sz w:val="24"/>
                <w:szCs w:val="24"/>
              </w:rPr>
              <w:instrText xml:space="preserve"> HYPERLINK "https://baike.so.com/doc/3876728-4069624.html" \t "https://baike.so.com/doc/_blank" </w:instrText>
            </w:r>
            <w:r>
              <w:rPr>
                <w:rFonts w:hint="default" w:ascii="宋体" w:hAnsi="宋体" w:eastAsia="宋体" w:cs="宋体"/>
                <w:color w:val="auto"/>
                <w:sz w:val="24"/>
                <w:szCs w:val="24"/>
              </w:rPr>
              <w:fldChar w:fldCharType="separate"/>
            </w:r>
            <w:r>
              <w:rPr>
                <w:rFonts w:hint="default" w:ascii="宋体" w:hAnsi="宋体" w:eastAsia="宋体" w:cs="宋体"/>
                <w:color w:val="auto"/>
                <w:sz w:val="24"/>
                <w:szCs w:val="24"/>
              </w:rPr>
              <w:t>塑料着色剂</w:t>
            </w:r>
            <w:r>
              <w:rPr>
                <w:rFonts w:hint="default" w:ascii="宋体" w:hAnsi="宋体" w:eastAsia="宋体" w:cs="宋体"/>
                <w:color w:val="auto"/>
                <w:sz w:val="24"/>
                <w:szCs w:val="24"/>
              </w:rPr>
              <w:fldChar w:fldCharType="end"/>
            </w:r>
            <w:r>
              <w:rPr>
                <w:rFonts w:hint="default" w:ascii="宋体" w:hAnsi="宋体" w:eastAsia="宋体" w:cs="宋体"/>
                <w:color w:val="auto"/>
                <w:sz w:val="24"/>
                <w:szCs w:val="24"/>
              </w:rPr>
              <w:t>，其所选用的树脂对着色剂具有良好润湿和分散作用，并且与被着色材料具有良好的相容性</w:t>
            </w:r>
            <w:r>
              <w:rPr>
                <w:rFonts w:hint="eastAsia" w:ascii="宋体" w:hAnsi="宋体" w:cs="宋体"/>
                <w:color w:val="auto"/>
                <w:sz w:val="24"/>
                <w:szCs w:val="24"/>
                <w:lang w:eastAsia="zh-CN"/>
              </w:rPr>
              <w:t>。</w:t>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br w:type="textWrapping"/>
            </w:r>
          </w:p>
          <w:p>
            <w:pPr>
              <w:pStyle w:val="15"/>
              <w:spacing w:before="0" w:after="0" w:line="360" w:lineRule="auto"/>
              <w:ind w:right="0" w:firstLine="480" w:firstLineChars="200"/>
              <w:jc w:val="left"/>
              <w:rPr>
                <w:rFonts w:hint="eastAsia" w:ascii="宋体" w:hAnsi="宋体" w:cs="宋体"/>
                <w:color w:val="auto"/>
                <w:sz w:val="24"/>
                <w:szCs w:val="24"/>
                <w:lang w:eastAsia="zh-CN"/>
              </w:rPr>
            </w:pPr>
          </w:p>
          <w:p>
            <w:pPr>
              <w:pStyle w:val="15"/>
              <w:spacing w:before="0" w:after="0" w:line="360" w:lineRule="auto"/>
              <w:ind w:right="0" w:firstLine="480" w:firstLineChars="200"/>
              <w:jc w:val="left"/>
              <w:rPr>
                <w:rFonts w:hint="eastAsia" w:ascii="宋体" w:hAnsi="宋体" w:cs="宋体"/>
                <w:color w:val="auto"/>
                <w:sz w:val="24"/>
                <w:szCs w:val="24"/>
                <w:lang w:eastAsia="zh-CN"/>
              </w:rPr>
            </w:pPr>
          </w:p>
          <w:p>
            <w:pPr>
              <w:pStyle w:val="15"/>
              <w:spacing w:before="0" w:after="0" w:line="360" w:lineRule="auto"/>
              <w:ind w:right="0" w:firstLine="480" w:firstLineChars="200"/>
              <w:jc w:val="left"/>
              <w:rPr>
                <w:rFonts w:hint="eastAsia" w:ascii="宋体" w:hAnsi="宋体" w:cs="宋体"/>
                <w:color w:val="auto"/>
                <w:sz w:val="24"/>
                <w:szCs w:val="24"/>
                <w:vertAlign w:val="baseline"/>
                <w:lang w:eastAsia="zh-CN"/>
              </w:rPr>
            </w:pPr>
            <w:r>
              <w:rPr>
                <w:rFonts w:hint="eastAsia" w:ascii="宋体" w:hAnsi="宋体" w:cs="宋体"/>
                <w:color w:val="auto"/>
                <w:sz w:val="24"/>
                <w:szCs w:val="24"/>
                <w:lang w:eastAsia="zh-CN"/>
              </w:rPr>
              <w:br w:type="textWrapping"/>
            </w:r>
            <w:r>
              <w:rPr>
                <w:rFonts w:hint="eastAsia" w:ascii="宋体" w:hAnsi="宋体" w:cs="宋体"/>
                <w:color w:val="auto"/>
                <w:sz w:val="24"/>
                <w:szCs w:val="24"/>
                <w:lang w:val="en-US" w:eastAsia="zh-CN"/>
              </w:rPr>
              <w:t xml:space="preserve">    </w:t>
            </w:r>
            <w:r>
              <w:rPr>
                <w:rFonts w:hint="eastAsia" w:ascii="宋体" w:hAnsi="宋体" w:cs="宋体"/>
                <w:color w:val="auto"/>
                <w:sz w:val="24"/>
                <w:szCs w:val="24"/>
                <w:lang w:eastAsia="zh-CN"/>
              </w:rPr>
              <w:t>发泡剂理化性质：</w:t>
            </w:r>
            <w:r>
              <w:rPr>
                <w:rFonts w:hint="eastAsia" w:ascii="宋体" w:hAnsi="宋体" w:cs="宋体"/>
                <w:color w:val="auto"/>
                <w:sz w:val="24"/>
                <w:szCs w:val="24"/>
                <w:lang w:eastAsia="zh-CN"/>
              </w:rPr>
              <w:br w:type="textWrapping"/>
            </w:r>
            <w:r>
              <w:rPr>
                <w:rFonts w:hint="eastAsia" w:ascii="宋体" w:hAnsi="宋体" w:cs="宋体"/>
                <w:color w:val="auto"/>
                <w:sz w:val="24"/>
                <w:szCs w:val="24"/>
                <w:vertAlign w:val="baseline"/>
                <w:lang w:eastAsia="zh-CN"/>
              </w:rPr>
              <w:drawing>
                <wp:inline distT="0" distB="0" distL="114300" distR="114300">
                  <wp:extent cx="5290185" cy="7481570"/>
                  <wp:effectExtent l="0" t="0" r="5715" b="508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7"/>
                          <a:stretch>
                            <a:fillRect/>
                          </a:stretch>
                        </pic:blipFill>
                        <pic:spPr>
                          <a:xfrm>
                            <a:off x="0" y="0"/>
                            <a:ext cx="5290185" cy="74815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240" w:firstLineChars="100"/>
              <w:jc w:val="left"/>
              <w:textAlignment w:val="auto"/>
              <w:rPr>
                <w:b/>
                <w:bCs/>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br w:type="textWrapping"/>
            </w:r>
            <w:r>
              <w:rPr>
                <w:rFonts w:hint="eastAsia" w:ascii="宋体" w:hAnsi="宋体" w:cs="宋体"/>
                <w:color w:val="auto"/>
                <w:sz w:val="24"/>
                <w:szCs w:val="24"/>
                <w:lang w:eastAsia="zh-CN"/>
              </w:rPr>
              <w:t>石蜡理化性质</w:t>
            </w:r>
            <w:r>
              <w:rPr>
                <w:rFonts w:hint="eastAsia" w:ascii="宋体" w:hAnsi="宋体" w:eastAsia="宋体" w:cs="宋体"/>
                <w:color w:val="auto"/>
                <w:sz w:val="24"/>
                <w:szCs w:val="24"/>
                <w:lang w:val="en-US" w:eastAsia="zh-CN"/>
              </w:rPr>
              <w:drawing>
                <wp:inline distT="0" distB="0" distL="114300" distR="114300">
                  <wp:extent cx="5286375" cy="6572885"/>
                  <wp:effectExtent l="0" t="0" r="9525" b="1841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8"/>
                          <a:stretch>
                            <a:fillRect/>
                          </a:stretch>
                        </pic:blipFill>
                        <pic:spPr>
                          <a:xfrm>
                            <a:off x="0" y="0"/>
                            <a:ext cx="5286375" cy="6572885"/>
                          </a:xfrm>
                          <a:prstGeom prst="rect">
                            <a:avLst/>
                          </a:prstGeom>
                          <a:noFill/>
                          <a:ln>
                            <a:noFill/>
                          </a:ln>
                        </pic:spPr>
                      </pic:pic>
                    </a:graphicData>
                  </a:graphic>
                </wp:inline>
              </w:drawing>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br w:type="textWrapping"/>
            </w:r>
            <w:r>
              <w:rPr>
                <w:rFonts w:hint="eastAsia"/>
                <w:b/>
                <w:bCs/>
                <w:color w:val="auto"/>
                <w:sz w:val="24"/>
                <w:szCs w:val="24"/>
                <w:lang w:val="en-US" w:eastAsia="zh-CN"/>
              </w:rPr>
              <w:t>5</w:t>
            </w:r>
            <w:r>
              <w:rPr>
                <w:rFonts w:hint="eastAsia" w:cs="宋体"/>
                <w:b/>
                <w:bCs/>
                <w:color w:val="auto"/>
                <w:sz w:val="24"/>
                <w:szCs w:val="24"/>
              </w:rPr>
              <w:t>、产品方案</w:t>
            </w:r>
          </w:p>
          <w:p>
            <w:pPr>
              <w:spacing w:line="360" w:lineRule="auto"/>
              <w:ind w:firstLine="440" w:firstLineChars="200"/>
              <w:jc w:val="center"/>
              <w:rPr>
                <w:color w:val="auto"/>
                <w:sz w:val="24"/>
                <w:szCs w:val="24"/>
              </w:rPr>
            </w:pPr>
            <w:r>
              <w:rPr>
                <w:rFonts w:hint="eastAsia" w:cs="宋体"/>
                <w:color w:val="auto"/>
                <w:sz w:val="22"/>
                <w:szCs w:val="22"/>
              </w:rPr>
              <w:t>表</w:t>
            </w:r>
            <w:r>
              <w:rPr>
                <w:color w:val="auto"/>
                <w:sz w:val="22"/>
                <w:szCs w:val="22"/>
              </w:rPr>
              <w:t>2-</w:t>
            </w:r>
            <w:r>
              <w:rPr>
                <w:rFonts w:hint="eastAsia"/>
                <w:color w:val="auto"/>
                <w:sz w:val="22"/>
                <w:szCs w:val="22"/>
                <w:lang w:val="en-US" w:eastAsia="zh-CN"/>
              </w:rPr>
              <w:t>6</w:t>
            </w:r>
            <w:r>
              <w:rPr>
                <w:color w:val="auto"/>
                <w:sz w:val="22"/>
                <w:szCs w:val="22"/>
              </w:rPr>
              <w:t xml:space="preserve"> </w:t>
            </w:r>
            <w:r>
              <w:rPr>
                <w:rFonts w:hint="eastAsia" w:cs="宋体"/>
                <w:color w:val="auto"/>
                <w:sz w:val="22"/>
                <w:szCs w:val="22"/>
              </w:rPr>
              <w:t>产品方案一览表</w:t>
            </w:r>
          </w:p>
          <w:tbl>
            <w:tblPr>
              <w:tblStyle w:val="36"/>
              <w:tblW w:w="841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15"/>
              <w:gridCol w:w="2155"/>
              <w:gridCol w:w="1045"/>
              <w:gridCol w:w="1911"/>
              <w:gridCol w:w="1145"/>
              <w:gridCol w:w="11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1015" w:type="dxa"/>
                  <w:tcBorders>
                    <w:right w:val="single" w:color="auto" w:sz="4" w:space="0"/>
                  </w:tcBorders>
                  <w:noWrap w:val="0"/>
                  <w:vAlign w:val="center"/>
                </w:tcPr>
                <w:p>
                  <w:pPr>
                    <w:jc w:val="center"/>
                    <w:rPr>
                      <w:color w:val="auto"/>
                      <w:kern w:val="0"/>
                      <w:szCs w:val="21"/>
                    </w:rPr>
                  </w:pPr>
                  <w:r>
                    <w:rPr>
                      <w:rFonts w:hint="eastAsia"/>
                      <w:color w:val="auto"/>
                      <w:kern w:val="0"/>
                      <w:szCs w:val="21"/>
                    </w:rPr>
                    <w:t>序号</w:t>
                  </w:r>
                </w:p>
              </w:tc>
              <w:tc>
                <w:tcPr>
                  <w:tcW w:w="2155" w:type="dxa"/>
                  <w:tcBorders>
                    <w:left w:val="single" w:color="auto" w:sz="4" w:space="0"/>
                    <w:right w:val="single" w:color="auto" w:sz="4" w:space="0"/>
                  </w:tcBorders>
                  <w:noWrap w:val="0"/>
                  <w:vAlign w:val="center"/>
                </w:tcPr>
                <w:p>
                  <w:pPr>
                    <w:jc w:val="center"/>
                    <w:rPr>
                      <w:color w:val="auto"/>
                      <w:kern w:val="0"/>
                      <w:szCs w:val="21"/>
                    </w:rPr>
                  </w:pPr>
                  <w:r>
                    <w:rPr>
                      <w:rFonts w:hAnsi="宋体"/>
                      <w:color w:val="auto"/>
                      <w:kern w:val="0"/>
                      <w:szCs w:val="21"/>
                    </w:rPr>
                    <w:t>产品名称</w:t>
                  </w:r>
                </w:p>
              </w:tc>
              <w:tc>
                <w:tcPr>
                  <w:tcW w:w="1045" w:type="dxa"/>
                  <w:noWrap w:val="0"/>
                  <w:vAlign w:val="center"/>
                </w:tcPr>
                <w:p>
                  <w:pPr>
                    <w:jc w:val="center"/>
                    <w:rPr>
                      <w:color w:val="auto"/>
                      <w:kern w:val="0"/>
                      <w:szCs w:val="21"/>
                    </w:rPr>
                  </w:pPr>
                  <w:r>
                    <w:rPr>
                      <w:rFonts w:hint="eastAsia" w:hAnsi="宋体"/>
                      <w:color w:val="auto"/>
                      <w:kern w:val="0"/>
                      <w:szCs w:val="21"/>
                    </w:rPr>
                    <w:t>单位</w:t>
                  </w:r>
                </w:p>
              </w:tc>
              <w:tc>
                <w:tcPr>
                  <w:tcW w:w="1911" w:type="dxa"/>
                  <w:tcBorders>
                    <w:right w:val="single" w:color="auto" w:sz="4" w:space="0"/>
                  </w:tcBorders>
                  <w:noWrap w:val="0"/>
                  <w:vAlign w:val="center"/>
                </w:tcPr>
                <w:p>
                  <w:pPr>
                    <w:jc w:val="center"/>
                    <w:rPr>
                      <w:color w:val="auto"/>
                      <w:kern w:val="0"/>
                      <w:szCs w:val="21"/>
                    </w:rPr>
                  </w:pPr>
                  <w:r>
                    <w:rPr>
                      <w:rFonts w:hint="eastAsia"/>
                      <w:color w:val="auto"/>
                      <w:szCs w:val="21"/>
                    </w:rPr>
                    <w:t>产量</w:t>
                  </w:r>
                </w:p>
              </w:tc>
              <w:tc>
                <w:tcPr>
                  <w:tcW w:w="1145" w:type="dxa"/>
                  <w:noWrap w:val="0"/>
                  <w:vAlign w:val="center"/>
                </w:tcPr>
                <w:p>
                  <w:pPr>
                    <w:jc w:val="center"/>
                    <w:rPr>
                      <w:rFonts w:hint="eastAsia" w:eastAsia="宋体"/>
                      <w:color w:val="auto"/>
                      <w:szCs w:val="21"/>
                      <w:lang w:eastAsia="zh-CN"/>
                    </w:rPr>
                  </w:pPr>
                  <w:r>
                    <w:rPr>
                      <w:rFonts w:hint="eastAsia"/>
                      <w:color w:val="auto"/>
                      <w:szCs w:val="21"/>
                      <w:lang w:eastAsia="zh-CN"/>
                    </w:rPr>
                    <w:t>合计</w:t>
                  </w:r>
                </w:p>
              </w:tc>
              <w:tc>
                <w:tcPr>
                  <w:tcW w:w="1145" w:type="dxa"/>
                  <w:noWrap w:val="0"/>
                  <w:vAlign w:val="center"/>
                </w:tcPr>
                <w:p>
                  <w:pPr>
                    <w:jc w:val="center"/>
                    <w:rPr>
                      <w:rFonts w:hint="eastAsia"/>
                      <w:color w:val="auto"/>
                      <w:szCs w:val="21"/>
                    </w:rPr>
                  </w:pPr>
                  <w:r>
                    <w:rPr>
                      <w:rFonts w:hint="eastAsia"/>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015" w:type="dxa"/>
                  <w:tcBorders>
                    <w:top w:val="single" w:color="auto" w:sz="4" w:space="0"/>
                    <w:bottom w:val="single" w:color="auto" w:sz="4" w:space="0"/>
                    <w:right w:val="single" w:color="auto" w:sz="4" w:space="0"/>
                  </w:tcBorders>
                  <w:noWrap w:val="0"/>
                  <w:vAlign w:val="center"/>
                </w:tcPr>
                <w:p>
                  <w:pPr>
                    <w:jc w:val="center"/>
                    <w:rPr>
                      <w:rFonts w:hint="eastAsia" w:ascii="Times New Roman" w:hAnsi="宋体" w:eastAsia="宋体" w:cs="Times New Roman"/>
                      <w:color w:val="auto"/>
                      <w:kern w:val="0"/>
                      <w:sz w:val="21"/>
                      <w:szCs w:val="21"/>
                      <w:lang w:val="en-US" w:eastAsia="zh-CN" w:bidi="ar-SA"/>
                    </w:rPr>
                  </w:pPr>
                  <w:r>
                    <w:rPr>
                      <w:rFonts w:hint="eastAsia" w:hAnsi="宋体"/>
                      <w:color w:val="auto"/>
                      <w:kern w:val="0"/>
                      <w:szCs w:val="21"/>
                    </w:rPr>
                    <w:t>1</w:t>
                  </w:r>
                </w:p>
              </w:tc>
              <w:tc>
                <w:tcPr>
                  <w:tcW w:w="2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hAnsi="宋体"/>
                      <w:color w:val="auto"/>
                      <w:kern w:val="0"/>
                      <w:szCs w:val="21"/>
                      <w:lang w:eastAsia="zh-CN"/>
                    </w:rPr>
                  </w:pPr>
                  <w:r>
                    <w:rPr>
                      <w:rFonts w:hint="eastAsia" w:hAnsi="宋体"/>
                      <w:color w:val="auto"/>
                      <w:kern w:val="0"/>
                      <w:szCs w:val="21"/>
                      <w:lang w:val="en-US" w:eastAsia="zh-CN"/>
                    </w:rPr>
                    <w:t>PP</w:t>
                  </w:r>
                  <w:r>
                    <w:rPr>
                      <w:rFonts w:hint="eastAsia" w:hAnsi="宋体"/>
                      <w:color w:val="auto"/>
                      <w:kern w:val="0"/>
                      <w:szCs w:val="21"/>
                      <w:lang w:eastAsia="zh-CN"/>
                    </w:rPr>
                    <w:t>塑料型材</w:t>
                  </w:r>
                </w:p>
              </w:tc>
              <w:tc>
                <w:tcPr>
                  <w:tcW w:w="1045" w:type="dxa"/>
                  <w:noWrap w:val="0"/>
                  <w:vAlign w:val="center"/>
                </w:tcPr>
                <w:p>
                  <w:pPr>
                    <w:jc w:val="center"/>
                    <w:rPr>
                      <w:rFonts w:hint="eastAsia" w:hAnsi="宋体"/>
                      <w:color w:val="auto"/>
                      <w:kern w:val="0"/>
                      <w:szCs w:val="21"/>
                      <w:lang w:val="en-US" w:eastAsia="zh-CN"/>
                    </w:rPr>
                  </w:pPr>
                  <w:r>
                    <w:rPr>
                      <w:rFonts w:hint="eastAsia" w:hAnsi="宋体"/>
                      <w:color w:val="auto"/>
                      <w:kern w:val="0"/>
                      <w:szCs w:val="21"/>
                      <w:lang w:val="en-US" w:eastAsia="zh-CN"/>
                    </w:rPr>
                    <w:t>t/a</w:t>
                  </w:r>
                </w:p>
              </w:tc>
              <w:tc>
                <w:tcPr>
                  <w:tcW w:w="1911" w:type="dxa"/>
                  <w:tcBorders>
                    <w:right w:val="single" w:color="auto" w:sz="4" w:space="0"/>
                  </w:tcBorders>
                  <w:noWrap w:val="0"/>
                  <w:vAlign w:val="center"/>
                </w:tcPr>
                <w:p>
                  <w:pPr>
                    <w:jc w:val="center"/>
                    <w:rPr>
                      <w:rFonts w:hint="default" w:hAnsi="宋体"/>
                      <w:color w:val="auto"/>
                      <w:kern w:val="0"/>
                      <w:szCs w:val="21"/>
                      <w:lang w:val="en-US" w:eastAsia="zh-CN"/>
                    </w:rPr>
                  </w:pPr>
                  <w:r>
                    <w:rPr>
                      <w:rFonts w:hint="eastAsia" w:hAnsi="宋体"/>
                      <w:color w:val="auto"/>
                      <w:kern w:val="0"/>
                      <w:szCs w:val="21"/>
                      <w:lang w:val="en-US" w:eastAsia="zh-CN"/>
                    </w:rPr>
                    <w:t>1200</w:t>
                  </w:r>
                </w:p>
              </w:tc>
              <w:tc>
                <w:tcPr>
                  <w:tcW w:w="1145" w:type="dxa"/>
                  <w:vMerge w:val="restart"/>
                  <w:noWrap w:val="0"/>
                  <w:vAlign w:val="center"/>
                </w:tcPr>
                <w:p>
                  <w:pPr>
                    <w:jc w:val="center"/>
                    <w:rPr>
                      <w:rFonts w:hint="eastAsia" w:hAnsi="宋体"/>
                      <w:color w:val="auto"/>
                      <w:kern w:val="0"/>
                      <w:szCs w:val="21"/>
                      <w:lang w:val="en-US" w:eastAsia="zh-CN"/>
                    </w:rPr>
                  </w:pPr>
                  <w:r>
                    <w:rPr>
                      <w:rFonts w:hint="eastAsia" w:hAnsi="宋体"/>
                      <w:color w:val="auto"/>
                      <w:kern w:val="0"/>
                      <w:szCs w:val="21"/>
                      <w:lang w:val="en-US" w:eastAsia="zh-CN"/>
                    </w:rPr>
                    <w:t>年生产6000塑胶制品</w:t>
                  </w:r>
                </w:p>
              </w:tc>
              <w:tc>
                <w:tcPr>
                  <w:tcW w:w="1145" w:type="dxa"/>
                  <w:vMerge w:val="restart"/>
                  <w:noWrap w:val="0"/>
                  <w:vAlign w:val="center"/>
                </w:tcPr>
                <w:p>
                  <w:pPr>
                    <w:jc w:val="center"/>
                    <w:rPr>
                      <w:rFonts w:hint="eastAsia" w:hAnsi="宋体"/>
                      <w:color w:val="auto"/>
                      <w:kern w:val="0"/>
                      <w:szCs w:val="21"/>
                      <w:lang w:eastAsia="zh-CN"/>
                    </w:rPr>
                  </w:pPr>
                  <w:r>
                    <w:rPr>
                      <w:rFonts w:hint="eastAsia" w:hAnsi="宋体"/>
                      <w:color w:val="auto"/>
                      <w:kern w:val="0"/>
                      <w:szCs w:val="21"/>
                      <w:lang w:eastAsia="zh-CN"/>
                    </w:rPr>
                    <w:t>具体产量根据订单确定；原料不含废旧塑料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015" w:type="dxa"/>
                  <w:tcBorders>
                    <w:top w:val="single" w:color="auto" w:sz="4" w:space="0"/>
                    <w:bottom w:val="single" w:color="auto" w:sz="4" w:space="0"/>
                    <w:right w:val="single" w:color="auto" w:sz="4" w:space="0"/>
                  </w:tcBorders>
                  <w:noWrap w:val="0"/>
                  <w:vAlign w:val="center"/>
                </w:tcPr>
                <w:p>
                  <w:pPr>
                    <w:jc w:val="center"/>
                    <w:rPr>
                      <w:rFonts w:hint="eastAsia" w:ascii="Times New Roman" w:hAnsi="宋体" w:eastAsia="宋体" w:cs="Times New Roman"/>
                      <w:color w:val="auto"/>
                      <w:kern w:val="0"/>
                      <w:sz w:val="21"/>
                      <w:szCs w:val="21"/>
                      <w:lang w:val="en-US" w:eastAsia="zh-CN" w:bidi="ar-SA"/>
                    </w:rPr>
                  </w:pPr>
                  <w:r>
                    <w:rPr>
                      <w:rFonts w:hint="eastAsia" w:hAnsi="宋体"/>
                      <w:color w:val="auto"/>
                      <w:kern w:val="0"/>
                      <w:szCs w:val="21"/>
                    </w:rPr>
                    <w:t>2</w:t>
                  </w:r>
                </w:p>
              </w:tc>
              <w:tc>
                <w:tcPr>
                  <w:tcW w:w="2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hAnsi="宋体"/>
                      <w:color w:val="auto"/>
                      <w:kern w:val="0"/>
                      <w:szCs w:val="21"/>
                      <w:lang w:eastAsia="zh-CN"/>
                    </w:rPr>
                  </w:pPr>
                  <w:r>
                    <w:rPr>
                      <w:rFonts w:hint="eastAsia" w:hAnsi="宋体"/>
                      <w:color w:val="auto"/>
                      <w:kern w:val="0"/>
                      <w:szCs w:val="21"/>
                      <w:lang w:val="en-US" w:eastAsia="zh-CN"/>
                    </w:rPr>
                    <w:t>PE</w:t>
                  </w:r>
                  <w:r>
                    <w:rPr>
                      <w:rFonts w:hint="eastAsia" w:hAnsi="宋体"/>
                      <w:color w:val="auto"/>
                      <w:kern w:val="0"/>
                      <w:szCs w:val="21"/>
                      <w:lang w:eastAsia="zh-CN"/>
                    </w:rPr>
                    <w:t>塑料型材</w:t>
                  </w:r>
                </w:p>
              </w:tc>
              <w:tc>
                <w:tcPr>
                  <w:tcW w:w="1045" w:type="dxa"/>
                  <w:noWrap w:val="0"/>
                  <w:vAlign w:val="center"/>
                </w:tcPr>
                <w:p>
                  <w:pPr>
                    <w:jc w:val="center"/>
                    <w:rPr>
                      <w:rFonts w:hint="eastAsia" w:hAnsi="宋体"/>
                      <w:color w:val="auto"/>
                      <w:kern w:val="0"/>
                      <w:szCs w:val="21"/>
                      <w:lang w:val="en-US" w:eastAsia="zh-CN"/>
                    </w:rPr>
                  </w:pPr>
                  <w:r>
                    <w:rPr>
                      <w:rFonts w:hint="eastAsia" w:hAnsi="宋体"/>
                      <w:color w:val="auto"/>
                      <w:kern w:val="0"/>
                      <w:szCs w:val="21"/>
                      <w:lang w:val="en-US" w:eastAsia="zh-CN"/>
                    </w:rPr>
                    <w:t>t/a</w:t>
                  </w:r>
                </w:p>
              </w:tc>
              <w:tc>
                <w:tcPr>
                  <w:tcW w:w="1911" w:type="dxa"/>
                  <w:tcBorders>
                    <w:right w:val="single" w:color="auto" w:sz="4" w:space="0"/>
                  </w:tcBorders>
                  <w:noWrap w:val="0"/>
                  <w:vAlign w:val="center"/>
                </w:tcPr>
                <w:p>
                  <w:pPr>
                    <w:jc w:val="center"/>
                    <w:rPr>
                      <w:rFonts w:hint="eastAsia" w:hAnsi="宋体"/>
                      <w:color w:val="auto"/>
                      <w:kern w:val="0"/>
                      <w:szCs w:val="21"/>
                      <w:lang w:val="en-US" w:eastAsia="zh-CN"/>
                    </w:rPr>
                  </w:pPr>
                  <w:r>
                    <w:rPr>
                      <w:rFonts w:hint="eastAsia" w:hAnsi="宋体"/>
                      <w:color w:val="auto"/>
                      <w:kern w:val="0"/>
                      <w:szCs w:val="21"/>
                      <w:lang w:val="en-US" w:eastAsia="zh-CN"/>
                    </w:rPr>
                    <w:t>1200</w:t>
                  </w:r>
                </w:p>
              </w:tc>
              <w:tc>
                <w:tcPr>
                  <w:tcW w:w="1145" w:type="dxa"/>
                  <w:vMerge w:val="continue"/>
                  <w:noWrap w:val="0"/>
                  <w:vAlign w:val="center"/>
                </w:tcPr>
                <w:p>
                  <w:pPr>
                    <w:jc w:val="center"/>
                    <w:rPr>
                      <w:rFonts w:hint="eastAsia" w:hAnsi="宋体"/>
                      <w:color w:val="auto"/>
                      <w:kern w:val="0"/>
                      <w:szCs w:val="21"/>
                      <w:lang w:val="en-US" w:eastAsia="zh-CN"/>
                    </w:rPr>
                  </w:pPr>
                </w:p>
              </w:tc>
              <w:tc>
                <w:tcPr>
                  <w:tcW w:w="1145" w:type="dxa"/>
                  <w:vMerge w:val="continue"/>
                  <w:noWrap w:val="0"/>
                  <w:vAlign w:val="center"/>
                </w:tcPr>
                <w:p>
                  <w:pPr>
                    <w:jc w:val="center"/>
                    <w:rPr>
                      <w:rFonts w:hint="eastAsia" w:hAnsi="宋体"/>
                      <w:color w:val="auto"/>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015" w:type="dxa"/>
                  <w:tcBorders>
                    <w:top w:val="single" w:color="auto" w:sz="4" w:space="0"/>
                    <w:bottom w:val="single" w:color="auto" w:sz="4" w:space="0"/>
                    <w:right w:val="single" w:color="auto" w:sz="4" w:space="0"/>
                  </w:tcBorders>
                  <w:noWrap w:val="0"/>
                  <w:vAlign w:val="center"/>
                </w:tcPr>
                <w:p>
                  <w:pPr>
                    <w:jc w:val="center"/>
                    <w:rPr>
                      <w:rFonts w:hint="eastAsia" w:ascii="Times New Roman" w:hAnsi="宋体" w:cs="Times New Roman" w:eastAsiaTheme="minorEastAsia"/>
                      <w:color w:val="auto"/>
                      <w:kern w:val="0"/>
                      <w:sz w:val="21"/>
                      <w:szCs w:val="21"/>
                      <w:lang w:val="en-US" w:eastAsia="zh-CN" w:bidi="ar-SA"/>
                    </w:rPr>
                  </w:pPr>
                  <w:r>
                    <w:rPr>
                      <w:rFonts w:hint="eastAsia" w:hAnsi="宋体"/>
                      <w:color w:val="auto"/>
                      <w:kern w:val="0"/>
                      <w:szCs w:val="21"/>
                      <w:lang w:val="en-US" w:eastAsia="zh-CN"/>
                    </w:rPr>
                    <w:t>3</w:t>
                  </w:r>
                </w:p>
              </w:tc>
              <w:tc>
                <w:tcPr>
                  <w:tcW w:w="2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hAnsi="宋体" w:eastAsiaTheme="minorEastAsia"/>
                      <w:color w:val="auto"/>
                      <w:kern w:val="0"/>
                      <w:szCs w:val="21"/>
                      <w:lang w:eastAsia="zh-CN"/>
                    </w:rPr>
                  </w:pPr>
                  <w:r>
                    <w:rPr>
                      <w:rFonts w:hint="eastAsia" w:hAnsi="宋体"/>
                      <w:color w:val="auto"/>
                      <w:kern w:val="0"/>
                      <w:szCs w:val="21"/>
                      <w:lang w:val="en-US" w:eastAsia="zh-CN"/>
                    </w:rPr>
                    <w:t>PP</w:t>
                  </w:r>
                  <w:r>
                    <w:rPr>
                      <w:rFonts w:hint="eastAsia" w:hAnsi="宋体"/>
                      <w:color w:val="auto"/>
                      <w:kern w:val="0"/>
                      <w:szCs w:val="21"/>
                      <w:lang w:eastAsia="zh-CN"/>
                    </w:rPr>
                    <w:t>塑料板材</w:t>
                  </w:r>
                </w:p>
              </w:tc>
              <w:tc>
                <w:tcPr>
                  <w:tcW w:w="1045" w:type="dxa"/>
                  <w:noWrap w:val="0"/>
                  <w:vAlign w:val="center"/>
                </w:tcPr>
                <w:p>
                  <w:pPr>
                    <w:jc w:val="center"/>
                    <w:rPr>
                      <w:rFonts w:hint="default" w:hAnsi="宋体" w:eastAsiaTheme="minorEastAsia"/>
                      <w:color w:val="auto"/>
                      <w:kern w:val="0"/>
                      <w:szCs w:val="21"/>
                      <w:lang w:val="en-US" w:eastAsia="zh-CN"/>
                    </w:rPr>
                  </w:pPr>
                  <w:r>
                    <w:rPr>
                      <w:rFonts w:hint="eastAsia" w:hAnsi="宋体"/>
                      <w:color w:val="auto"/>
                      <w:kern w:val="0"/>
                      <w:szCs w:val="21"/>
                      <w:lang w:val="en-US" w:eastAsia="zh-CN"/>
                    </w:rPr>
                    <w:t>t/a</w:t>
                  </w:r>
                </w:p>
              </w:tc>
              <w:tc>
                <w:tcPr>
                  <w:tcW w:w="1911" w:type="dxa"/>
                  <w:tcBorders>
                    <w:right w:val="single" w:color="auto" w:sz="4" w:space="0"/>
                  </w:tcBorders>
                  <w:noWrap w:val="0"/>
                  <w:vAlign w:val="center"/>
                </w:tcPr>
                <w:p>
                  <w:pPr>
                    <w:jc w:val="center"/>
                    <w:rPr>
                      <w:rFonts w:hint="default" w:hAnsi="宋体"/>
                      <w:color w:val="auto"/>
                      <w:kern w:val="0"/>
                      <w:szCs w:val="21"/>
                      <w:lang w:val="en-US" w:eastAsia="zh-CN"/>
                    </w:rPr>
                  </w:pPr>
                  <w:r>
                    <w:rPr>
                      <w:rFonts w:hint="eastAsia" w:hAnsi="宋体"/>
                      <w:color w:val="auto"/>
                      <w:kern w:val="0"/>
                      <w:szCs w:val="21"/>
                      <w:lang w:val="en-US" w:eastAsia="zh-CN"/>
                    </w:rPr>
                    <w:t>1200</w:t>
                  </w:r>
                </w:p>
              </w:tc>
              <w:tc>
                <w:tcPr>
                  <w:tcW w:w="1145" w:type="dxa"/>
                  <w:vMerge w:val="continue"/>
                  <w:noWrap w:val="0"/>
                  <w:vAlign w:val="center"/>
                </w:tcPr>
                <w:p>
                  <w:pPr>
                    <w:jc w:val="center"/>
                    <w:rPr>
                      <w:rFonts w:hint="eastAsia" w:hAnsi="宋体"/>
                      <w:color w:val="auto"/>
                      <w:kern w:val="0"/>
                      <w:szCs w:val="21"/>
                      <w:lang w:val="en-US" w:eastAsia="zh-CN"/>
                    </w:rPr>
                  </w:pPr>
                </w:p>
              </w:tc>
              <w:tc>
                <w:tcPr>
                  <w:tcW w:w="1145" w:type="dxa"/>
                  <w:vMerge w:val="continue"/>
                  <w:noWrap w:val="0"/>
                  <w:vAlign w:val="center"/>
                </w:tcPr>
                <w:p>
                  <w:pPr>
                    <w:jc w:val="center"/>
                    <w:rPr>
                      <w:rFonts w:hint="eastAsia" w:hAnsi="宋体"/>
                      <w:color w:val="auto"/>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7" w:hRule="atLeast"/>
                <w:jc w:val="center"/>
              </w:trPr>
              <w:tc>
                <w:tcPr>
                  <w:tcW w:w="1015" w:type="dxa"/>
                  <w:tcBorders>
                    <w:top w:val="single" w:color="auto" w:sz="4" w:space="0"/>
                    <w:bottom w:val="single" w:color="auto" w:sz="4" w:space="0"/>
                    <w:right w:val="single" w:color="auto" w:sz="4" w:space="0"/>
                  </w:tcBorders>
                  <w:noWrap w:val="0"/>
                  <w:vAlign w:val="center"/>
                </w:tcPr>
                <w:p>
                  <w:pPr>
                    <w:jc w:val="center"/>
                    <w:rPr>
                      <w:rFonts w:hint="eastAsia" w:hAnsi="宋体" w:eastAsia="宋体"/>
                      <w:color w:val="auto"/>
                      <w:kern w:val="0"/>
                      <w:szCs w:val="21"/>
                      <w:lang w:eastAsia="zh-CN"/>
                    </w:rPr>
                  </w:pPr>
                  <w:r>
                    <w:rPr>
                      <w:rFonts w:hint="eastAsia" w:hAnsi="宋体"/>
                      <w:color w:val="auto"/>
                      <w:kern w:val="0"/>
                      <w:szCs w:val="21"/>
                      <w:lang w:val="en-US" w:eastAsia="zh-CN"/>
                    </w:rPr>
                    <w:t>4</w:t>
                  </w:r>
                </w:p>
              </w:tc>
              <w:tc>
                <w:tcPr>
                  <w:tcW w:w="2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hAnsi="宋体"/>
                      <w:color w:val="auto"/>
                      <w:kern w:val="0"/>
                      <w:szCs w:val="21"/>
                      <w:lang w:val="en-US" w:eastAsia="zh-CN"/>
                    </w:rPr>
                  </w:pPr>
                  <w:r>
                    <w:rPr>
                      <w:rFonts w:hint="eastAsia" w:hAnsi="宋体"/>
                      <w:color w:val="auto"/>
                      <w:kern w:val="0"/>
                      <w:szCs w:val="21"/>
                      <w:lang w:val="en-US" w:eastAsia="zh-CN"/>
                    </w:rPr>
                    <w:t>PE</w:t>
                  </w:r>
                  <w:r>
                    <w:rPr>
                      <w:rFonts w:hint="eastAsia" w:hAnsi="宋体"/>
                      <w:color w:val="auto"/>
                      <w:kern w:val="0"/>
                      <w:szCs w:val="21"/>
                      <w:lang w:eastAsia="zh-CN"/>
                    </w:rPr>
                    <w:t>塑料板材</w:t>
                  </w:r>
                </w:p>
              </w:tc>
              <w:tc>
                <w:tcPr>
                  <w:tcW w:w="1045" w:type="dxa"/>
                  <w:noWrap w:val="0"/>
                  <w:vAlign w:val="center"/>
                </w:tcPr>
                <w:p>
                  <w:pPr>
                    <w:jc w:val="center"/>
                    <w:rPr>
                      <w:rFonts w:hint="default" w:hAnsi="宋体"/>
                      <w:color w:val="auto"/>
                      <w:kern w:val="0"/>
                      <w:szCs w:val="21"/>
                      <w:lang w:val="en-US" w:eastAsia="zh-CN"/>
                    </w:rPr>
                  </w:pPr>
                  <w:r>
                    <w:rPr>
                      <w:rFonts w:hint="eastAsia" w:hAnsi="宋体"/>
                      <w:color w:val="auto"/>
                      <w:kern w:val="0"/>
                      <w:szCs w:val="21"/>
                      <w:lang w:val="en-US" w:eastAsia="zh-CN"/>
                    </w:rPr>
                    <w:t>t/a</w:t>
                  </w:r>
                </w:p>
              </w:tc>
              <w:tc>
                <w:tcPr>
                  <w:tcW w:w="1911" w:type="dxa"/>
                  <w:tcBorders>
                    <w:right w:val="single" w:color="auto" w:sz="4" w:space="0"/>
                  </w:tcBorders>
                  <w:noWrap w:val="0"/>
                  <w:vAlign w:val="center"/>
                </w:tcPr>
                <w:p>
                  <w:pPr>
                    <w:jc w:val="center"/>
                    <w:rPr>
                      <w:rFonts w:hint="default" w:hAnsi="宋体"/>
                      <w:color w:val="auto"/>
                      <w:kern w:val="0"/>
                      <w:szCs w:val="21"/>
                      <w:lang w:val="en-US" w:eastAsia="zh-CN"/>
                    </w:rPr>
                  </w:pPr>
                  <w:r>
                    <w:rPr>
                      <w:rFonts w:hint="eastAsia" w:hAnsi="宋体"/>
                      <w:color w:val="auto"/>
                      <w:kern w:val="0"/>
                      <w:szCs w:val="21"/>
                      <w:lang w:val="en-US" w:eastAsia="zh-CN"/>
                    </w:rPr>
                    <w:t>1200</w:t>
                  </w:r>
                </w:p>
              </w:tc>
              <w:tc>
                <w:tcPr>
                  <w:tcW w:w="1145" w:type="dxa"/>
                  <w:vMerge w:val="continue"/>
                  <w:noWrap w:val="0"/>
                  <w:vAlign w:val="center"/>
                </w:tcPr>
                <w:p>
                  <w:pPr>
                    <w:jc w:val="center"/>
                    <w:rPr>
                      <w:rFonts w:hint="eastAsia" w:hAnsi="宋体"/>
                      <w:color w:val="auto"/>
                      <w:kern w:val="0"/>
                      <w:szCs w:val="21"/>
                      <w:lang w:val="en-US" w:eastAsia="zh-CN"/>
                    </w:rPr>
                  </w:pPr>
                </w:p>
              </w:tc>
              <w:tc>
                <w:tcPr>
                  <w:tcW w:w="1145" w:type="dxa"/>
                  <w:vMerge w:val="continue"/>
                  <w:noWrap w:val="0"/>
                  <w:vAlign w:val="center"/>
                </w:tcPr>
                <w:p>
                  <w:pPr>
                    <w:jc w:val="center"/>
                    <w:rPr>
                      <w:rFonts w:hint="eastAsia" w:eastAsia="宋体"/>
                      <w:bCs/>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2" w:hRule="atLeast"/>
                <w:jc w:val="center"/>
              </w:trPr>
              <w:tc>
                <w:tcPr>
                  <w:tcW w:w="1015" w:type="dxa"/>
                  <w:tcBorders>
                    <w:top w:val="single" w:color="auto" w:sz="4" w:space="0"/>
                    <w:bottom w:val="single" w:color="auto" w:sz="4" w:space="0"/>
                    <w:right w:val="single" w:color="auto" w:sz="4" w:space="0"/>
                  </w:tcBorders>
                  <w:noWrap w:val="0"/>
                  <w:vAlign w:val="center"/>
                </w:tcPr>
                <w:p>
                  <w:pPr>
                    <w:jc w:val="center"/>
                    <w:rPr>
                      <w:rFonts w:hint="eastAsia" w:hAnsi="宋体" w:eastAsiaTheme="minorEastAsia"/>
                      <w:color w:val="auto"/>
                      <w:kern w:val="0"/>
                      <w:szCs w:val="21"/>
                      <w:lang w:val="en-US" w:eastAsia="zh-CN"/>
                    </w:rPr>
                  </w:pPr>
                  <w:r>
                    <w:rPr>
                      <w:rFonts w:hint="eastAsia" w:hAnsi="宋体"/>
                      <w:color w:val="auto"/>
                      <w:kern w:val="0"/>
                      <w:szCs w:val="21"/>
                      <w:lang w:val="en-US" w:eastAsia="zh-CN"/>
                    </w:rPr>
                    <w:t>5</w:t>
                  </w:r>
                </w:p>
              </w:tc>
              <w:tc>
                <w:tcPr>
                  <w:tcW w:w="2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hAnsi="宋体"/>
                      <w:color w:val="auto"/>
                      <w:kern w:val="0"/>
                      <w:szCs w:val="21"/>
                      <w:lang w:eastAsia="zh-CN"/>
                    </w:rPr>
                  </w:pPr>
                  <w:r>
                    <w:rPr>
                      <w:rFonts w:hint="eastAsia" w:hAnsi="宋体"/>
                      <w:color w:val="auto"/>
                      <w:kern w:val="0"/>
                      <w:szCs w:val="21"/>
                      <w:lang w:eastAsia="zh-CN"/>
                    </w:rPr>
                    <w:t>新型外墙保温材料</w:t>
                  </w:r>
                </w:p>
              </w:tc>
              <w:tc>
                <w:tcPr>
                  <w:tcW w:w="1045" w:type="dxa"/>
                  <w:noWrap w:val="0"/>
                  <w:vAlign w:val="center"/>
                </w:tcPr>
                <w:p>
                  <w:pPr>
                    <w:jc w:val="center"/>
                    <w:rPr>
                      <w:rFonts w:hint="default" w:hAnsi="宋体"/>
                      <w:color w:val="auto"/>
                      <w:kern w:val="0"/>
                      <w:szCs w:val="21"/>
                      <w:lang w:val="en-US" w:eastAsia="zh-CN"/>
                    </w:rPr>
                  </w:pPr>
                  <w:r>
                    <w:rPr>
                      <w:rFonts w:hint="eastAsia" w:hAnsi="宋体"/>
                      <w:color w:val="auto"/>
                      <w:kern w:val="0"/>
                      <w:szCs w:val="21"/>
                      <w:lang w:val="en-US" w:eastAsia="zh-CN"/>
                    </w:rPr>
                    <w:t>t/a</w:t>
                  </w:r>
                </w:p>
              </w:tc>
              <w:tc>
                <w:tcPr>
                  <w:tcW w:w="1911" w:type="dxa"/>
                  <w:tcBorders>
                    <w:right w:val="single" w:color="auto" w:sz="4" w:space="0"/>
                  </w:tcBorders>
                  <w:noWrap w:val="0"/>
                  <w:vAlign w:val="center"/>
                </w:tcPr>
                <w:p>
                  <w:pPr>
                    <w:jc w:val="center"/>
                    <w:rPr>
                      <w:rFonts w:hint="eastAsia" w:hAnsi="宋体"/>
                      <w:color w:val="auto"/>
                      <w:kern w:val="0"/>
                      <w:szCs w:val="21"/>
                      <w:lang w:val="en-US" w:eastAsia="zh-CN"/>
                    </w:rPr>
                  </w:pPr>
                  <w:r>
                    <w:rPr>
                      <w:rFonts w:hint="eastAsia" w:hAnsi="宋体"/>
                      <w:color w:val="auto"/>
                      <w:kern w:val="0"/>
                      <w:szCs w:val="21"/>
                      <w:lang w:val="en-US" w:eastAsia="zh-CN"/>
                    </w:rPr>
                    <w:t>1200</w:t>
                  </w:r>
                </w:p>
              </w:tc>
              <w:tc>
                <w:tcPr>
                  <w:tcW w:w="1145" w:type="dxa"/>
                  <w:vMerge w:val="continue"/>
                  <w:noWrap w:val="0"/>
                  <w:vAlign w:val="center"/>
                </w:tcPr>
                <w:p>
                  <w:pPr>
                    <w:jc w:val="center"/>
                    <w:rPr>
                      <w:rFonts w:hint="eastAsia" w:hAnsi="宋体"/>
                      <w:color w:val="auto"/>
                      <w:kern w:val="0"/>
                      <w:szCs w:val="21"/>
                      <w:lang w:val="en-US" w:eastAsia="zh-CN"/>
                    </w:rPr>
                  </w:pPr>
                </w:p>
              </w:tc>
              <w:tc>
                <w:tcPr>
                  <w:tcW w:w="1145" w:type="dxa"/>
                  <w:vMerge w:val="continue"/>
                  <w:noWrap w:val="0"/>
                  <w:vAlign w:val="center"/>
                </w:tcPr>
                <w:p>
                  <w:pPr>
                    <w:jc w:val="center"/>
                    <w:rPr>
                      <w:rFonts w:hint="eastAsia" w:eastAsia="宋体"/>
                      <w:bCs/>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2" w:hRule="atLeast"/>
                <w:jc w:val="center"/>
              </w:trPr>
              <w:tc>
                <w:tcPr>
                  <w:tcW w:w="1015" w:type="dxa"/>
                  <w:tcBorders>
                    <w:top w:val="single" w:color="auto" w:sz="4" w:space="0"/>
                    <w:right w:val="single" w:color="auto" w:sz="4" w:space="0"/>
                  </w:tcBorders>
                  <w:noWrap w:val="0"/>
                  <w:vAlign w:val="center"/>
                </w:tcPr>
                <w:p>
                  <w:pPr>
                    <w:jc w:val="center"/>
                    <w:rPr>
                      <w:rFonts w:hint="default" w:hAnsi="宋体"/>
                      <w:color w:val="auto"/>
                      <w:kern w:val="0"/>
                      <w:szCs w:val="21"/>
                      <w:lang w:val="en-US" w:eastAsia="zh-CN"/>
                    </w:rPr>
                  </w:pPr>
                  <w:r>
                    <w:rPr>
                      <w:rFonts w:hint="eastAsia" w:hAnsi="宋体"/>
                      <w:color w:val="auto"/>
                      <w:kern w:val="0"/>
                      <w:szCs w:val="21"/>
                      <w:lang w:val="en-US" w:eastAsia="zh-CN"/>
                    </w:rPr>
                    <w:t>6</w:t>
                  </w:r>
                </w:p>
              </w:tc>
              <w:tc>
                <w:tcPr>
                  <w:tcW w:w="2155" w:type="dxa"/>
                  <w:tcBorders>
                    <w:top w:val="single" w:color="auto" w:sz="4" w:space="0"/>
                    <w:left w:val="single" w:color="auto" w:sz="4" w:space="0"/>
                    <w:right w:val="single" w:color="auto" w:sz="4" w:space="0"/>
                  </w:tcBorders>
                  <w:noWrap w:val="0"/>
                  <w:vAlign w:val="center"/>
                </w:tcPr>
                <w:p>
                  <w:pPr>
                    <w:jc w:val="center"/>
                    <w:rPr>
                      <w:rFonts w:hint="eastAsia" w:hAnsi="宋体"/>
                      <w:color w:val="auto"/>
                      <w:kern w:val="0"/>
                      <w:szCs w:val="21"/>
                      <w:lang w:eastAsia="zh-CN"/>
                    </w:rPr>
                  </w:pPr>
                  <w:r>
                    <w:rPr>
                      <w:rFonts w:hint="eastAsia" w:hAnsi="宋体"/>
                      <w:color w:val="auto"/>
                      <w:kern w:val="0"/>
                      <w:szCs w:val="21"/>
                      <w:lang w:eastAsia="zh-CN"/>
                    </w:rPr>
                    <w:t>橡胶板</w:t>
                  </w:r>
                </w:p>
              </w:tc>
              <w:tc>
                <w:tcPr>
                  <w:tcW w:w="1045" w:type="dxa"/>
                  <w:noWrap w:val="0"/>
                  <w:vAlign w:val="center"/>
                </w:tcPr>
                <w:p>
                  <w:pPr>
                    <w:jc w:val="center"/>
                    <w:rPr>
                      <w:rFonts w:hint="eastAsia" w:hAnsi="宋体"/>
                      <w:color w:val="auto"/>
                      <w:kern w:val="0"/>
                      <w:szCs w:val="21"/>
                      <w:lang w:val="en-US" w:eastAsia="zh-CN"/>
                    </w:rPr>
                  </w:pPr>
                  <w:r>
                    <w:rPr>
                      <w:rFonts w:hint="eastAsia" w:hAnsi="宋体"/>
                      <w:color w:val="auto"/>
                      <w:kern w:val="0"/>
                      <w:szCs w:val="21"/>
                      <w:lang w:val="en-US" w:eastAsia="zh-CN"/>
                    </w:rPr>
                    <w:t>t/a</w:t>
                  </w:r>
                </w:p>
              </w:tc>
              <w:tc>
                <w:tcPr>
                  <w:tcW w:w="1911" w:type="dxa"/>
                  <w:tcBorders>
                    <w:right w:val="single" w:color="auto" w:sz="4" w:space="0"/>
                  </w:tcBorders>
                  <w:noWrap w:val="0"/>
                  <w:vAlign w:val="center"/>
                </w:tcPr>
                <w:p>
                  <w:pPr>
                    <w:jc w:val="center"/>
                    <w:rPr>
                      <w:rFonts w:hint="default" w:hAnsi="宋体"/>
                      <w:color w:val="auto"/>
                      <w:kern w:val="0"/>
                      <w:szCs w:val="21"/>
                      <w:lang w:val="en-US" w:eastAsia="zh-CN"/>
                    </w:rPr>
                  </w:pPr>
                  <w:r>
                    <w:rPr>
                      <w:rFonts w:hint="eastAsia" w:hAnsi="宋体"/>
                      <w:color w:val="auto"/>
                      <w:kern w:val="0"/>
                      <w:szCs w:val="21"/>
                      <w:lang w:val="en-US" w:eastAsia="zh-CN"/>
                    </w:rPr>
                    <w:t>6000</w:t>
                  </w:r>
                </w:p>
              </w:tc>
              <w:tc>
                <w:tcPr>
                  <w:tcW w:w="1145" w:type="dxa"/>
                  <w:noWrap w:val="0"/>
                  <w:vAlign w:val="center"/>
                </w:tcPr>
                <w:p>
                  <w:pPr>
                    <w:jc w:val="center"/>
                    <w:rPr>
                      <w:rFonts w:hint="eastAsia" w:hAnsi="宋体"/>
                      <w:color w:val="auto"/>
                      <w:kern w:val="0"/>
                      <w:szCs w:val="21"/>
                      <w:lang w:val="en-US" w:eastAsia="zh-CN"/>
                    </w:rPr>
                  </w:pPr>
                  <w:r>
                    <w:rPr>
                      <w:rFonts w:hint="eastAsia" w:hAnsi="宋体"/>
                      <w:color w:val="auto"/>
                      <w:kern w:val="0"/>
                      <w:szCs w:val="21"/>
                      <w:lang w:val="en-US" w:eastAsia="zh-CN"/>
                    </w:rPr>
                    <w:t>年生产6000吨橡胶制品</w:t>
                  </w:r>
                </w:p>
              </w:tc>
              <w:tc>
                <w:tcPr>
                  <w:tcW w:w="1145" w:type="dxa"/>
                  <w:vMerge w:val="continue"/>
                  <w:noWrap w:val="0"/>
                  <w:vAlign w:val="center"/>
                </w:tcPr>
                <w:p>
                  <w:pPr>
                    <w:jc w:val="center"/>
                    <w:rPr>
                      <w:rFonts w:hint="eastAsia" w:eastAsia="宋体"/>
                      <w:bCs/>
                      <w:color w:val="auto"/>
                      <w:szCs w:val="21"/>
                      <w:lang w:eastAsia="zh-CN"/>
                    </w:rPr>
                  </w:pPr>
                </w:p>
              </w:tc>
            </w:tr>
          </w:tbl>
          <w:p>
            <w:pPr>
              <w:keepNext w:val="0"/>
              <w:keepLines w:val="0"/>
              <w:pageBreakBefore w:val="0"/>
              <w:widowControl w:val="0"/>
              <w:numPr>
                <w:ilvl w:val="0"/>
                <w:numId w:val="5"/>
              </w:numPr>
              <w:kinsoku/>
              <w:wordWrap/>
              <w:overflowPunct/>
              <w:topLinePunct w:val="0"/>
              <w:autoSpaceDE/>
              <w:autoSpaceDN/>
              <w:bidi w:val="0"/>
              <w:adjustRightInd/>
              <w:snapToGrid/>
              <w:spacing w:before="469" w:beforeLines="150" w:line="360" w:lineRule="auto"/>
              <w:ind w:left="720" w:leftChars="228" w:hanging="241" w:hangingChars="100"/>
              <w:textAlignment w:val="auto"/>
              <w:rPr>
                <w:rFonts w:hint="eastAsia"/>
                <w:color w:val="auto"/>
                <w:lang w:val="en-US" w:eastAsia="zh-CN"/>
              </w:rPr>
            </w:pPr>
            <w:r>
              <w:rPr>
                <w:rFonts w:hint="eastAsia" w:ascii="宋体" w:hAnsi="宋体"/>
                <w:b/>
                <w:color w:val="auto"/>
                <w:sz w:val="24"/>
                <w:lang w:val="en-US" w:eastAsia="zh-CN"/>
              </w:rPr>
              <w:t>物料平衡</w:t>
            </w:r>
          </w:p>
          <w:tbl>
            <w:tblPr>
              <w:tblStyle w:val="37"/>
              <w:tblW w:w="8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1272"/>
              <w:gridCol w:w="1094"/>
              <w:gridCol w:w="1102"/>
              <w:gridCol w:w="1388"/>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374" w:type="dxa"/>
                  <w:gridSpan w:val="2"/>
                  <w:noWrap w:val="0"/>
                  <w:vAlign w:val="center"/>
                </w:tcPr>
                <w:p>
                  <w:pPr>
                    <w:spacing w:line="240" w:lineRule="auto"/>
                    <w:jc w:val="center"/>
                    <w:rPr>
                      <w:rFonts w:hint="default" w:ascii="Times New Roman" w:hAnsi="Times New Roman" w:cs="Times New Roman"/>
                      <w:b w:val="0"/>
                      <w:bCs/>
                      <w:color w:val="auto"/>
                      <w:kern w:val="0"/>
                      <w:sz w:val="21"/>
                      <w:szCs w:val="21"/>
                      <w:highlight w:val="none"/>
                      <w:vertAlign w:val="baseline"/>
                      <w:lang w:val="en-US" w:eastAsia="zh-CN"/>
                    </w:rPr>
                  </w:pPr>
                  <w:r>
                    <w:rPr>
                      <w:rFonts w:hint="default" w:ascii="Times New Roman" w:hAnsi="Times New Roman" w:cs="Times New Roman"/>
                      <w:b w:val="0"/>
                      <w:bCs/>
                      <w:color w:val="auto"/>
                      <w:kern w:val="0"/>
                      <w:sz w:val="21"/>
                      <w:szCs w:val="21"/>
                      <w:highlight w:val="none"/>
                      <w:vertAlign w:val="baseline"/>
                      <w:lang w:val="en-US" w:eastAsia="zh-CN"/>
                    </w:rPr>
                    <w:t>进料</w:t>
                  </w:r>
                </w:p>
              </w:tc>
              <w:tc>
                <w:tcPr>
                  <w:tcW w:w="4745" w:type="dxa"/>
                  <w:gridSpan w:val="4"/>
                  <w:noWrap w:val="0"/>
                  <w:vAlign w:val="center"/>
                </w:tcPr>
                <w:p>
                  <w:pPr>
                    <w:spacing w:line="240" w:lineRule="auto"/>
                    <w:jc w:val="center"/>
                    <w:rPr>
                      <w:rFonts w:hint="default" w:ascii="Times New Roman" w:hAnsi="Times New Roman" w:cs="Times New Roman"/>
                      <w:b w:val="0"/>
                      <w:bCs/>
                      <w:color w:val="auto"/>
                      <w:kern w:val="0"/>
                      <w:sz w:val="21"/>
                      <w:szCs w:val="21"/>
                      <w:highlight w:val="none"/>
                      <w:vertAlign w:val="baseline"/>
                      <w:lang w:val="en-US" w:eastAsia="zh-CN"/>
                    </w:rPr>
                  </w:pPr>
                  <w:r>
                    <w:rPr>
                      <w:rFonts w:hint="default" w:ascii="Times New Roman" w:hAnsi="Times New Roman" w:cs="Times New Roman"/>
                      <w:b w:val="0"/>
                      <w:bCs/>
                      <w:color w:val="auto"/>
                      <w:kern w:val="0"/>
                      <w:sz w:val="21"/>
                      <w:szCs w:val="21"/>
                      <w:highlight w:val="none"/>
                      <w:vertAlign w:val="baseline"/>
                      <w:lang w:val="en-US" w:eastAsia="zh-CN"/>
                    </w:rPr>
                    <w:t>出料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102" w:type="dxa"/>
                  <w:noWrap w:val="0"/>
                  <w:vAlign w:val="center"/>
                </w:tcPr>
                <w:p>
                  <w:pPr>
                    <w:spacing w:line="240" w:lineRule="auto"/>
                    <w:jc w:val="center"/>
                    <w:rPr>
                      <w:rFonts w:hint="default" w:ascii="Times New Roman" w:hAnsi="Times New Roman" w:cs="Times New Roman"/>
                      <w:b w:val="0"/>
                      <w:bCs/>
                      <w:color w:val="auto"/>
                      <w:kern w:val="0"/>
                      <w:sz w:val="21"/>
                      <w:szCs w:val="21"/>
                      <w:highlight w:val="none"/>
                      <w:vertAlign w:val="baseline"/>
                      <w:lang w:val="en-US" w:eastAsia="zh-CN"/>
                    </w:rPr>
                  </w:pPr>
                  <w:r>
                    <w:rPr>
                      <w:rFonts w:hint="default" w:ascii="Times New Roman" w:hAnsi="Times New Roman" w:cs="Times New Roman"/>
                      <w:b w:val="0"/>
                      <w:bCs/>
                      <w:color w:val="auto"/>
                      <w:kern w:val="0"/>
                      <w:sz w:val="21"/>
                      <w:szCs w:val="21"/>
                      <w:highlight w:val="none"/>
                      <w:vertAlign w:val="baseline"/>
                      <w:lang w:val="en-US" w:eastAsia="zh-CN"/>
                    </w:rPr>
                    <w:t>原材料名称</w:t>
                  </w:r>
                </w:p>
              </w:tc>
              <w:tc>
                <w:tcPr>
                  <w:tcW w:w="1272" w:type="dxa"/>
                  <w:noWrap w:val="0"/>
                  <w:vAlign w:val="center"/>
                </w:tcPr>
                <w:p>
                  <w:pPr>
                    <w:spacing w:line="240" w:lineRule="auto"/>
                    <w:jc w:val="center"/>
                    <w:rPr>
                      <w:rFonts w:hint="default" w:ascii="Times New Roman" w:hAnsi="Times New Roman" w:cs="Times New Roman"/>
                      <w:b w:val="0"/>
                      <w:bCs/>
                      <w:color w:val="auto"/>
                      <w:kern w:val="0"/>
                      <w:sz w:val="21"/>
                      <w:szCs w:val="21"/>
                      <w:highlight w:val="none"/>
                      <w:vertAlign w:val="baseline"/>
                      <w:lang w:val="en-US" w:eastAsia="zh-CN"/>
                    </w:rPr>
                  </w:pPr>
                  <w:r>
                    <w:rPr>
                      <w:rFonts w:hint="eastAsia" w:ascii="Times New Roman" w:hAnsi="Times New Roman" w:cs="Times New Roman"/>
                      <w:b w:val="0"/>
                      <w:bCs/>
                      <w:color w:val="auto"/>
                      <w:kern w:val="0"/>
                      <w:sz w:val="21"/>
                      <w:szCs w:val="21"/>
                      <w:highlight w:val="none"/>
                      <w:vertAlign w:val="baseline"/>
                      <w:lang w:val="en-US" w:eastAsia="zh-CN"/>
                    </w:rPr>
                    <w:t>数</w:t>
                  </w:r>
                  <w:r>
                    <w:rPr>
                      <w:rFonts w:hint="default" w:ascii="Times New Roman" w:hAnsi="Times New Roman" w:cs="Times New Roman"/>
                      <w:b w:val="0"/>
                      <w:bCs/>
                      <w:color w:val="auto"/>
                      <w:kern w:val="0"/>
                      <w:sz w:val="21"/>
                      <w:szCs w:val="21"/>
                      <w:highlight w:val="none"/>
                      <w:vertAlign w:val="baseline"/>
                      <w:lang w:val="en-US" w:eastAsia="zh-CN"/>
                    </w:rPr>
                    <w:t>量</w:t>
                  </w:r>
                </w:p>
              </w:tc>
              <w:tc>
                <w:tcPr>
                  <w:tcW w:w="1094" w:type="dxa"/>
                  <w:noWrap w:val="0"/>
                  <w:vAlign w:val="center"/>
                </w:tcPr>
                <w:p>
                  <w:pPr>
                    <w:spacing w:line="240" w:lineRule="auto"/>
                    <w:jc w:val="center"/>
                    <w:rPr>
                      <w:rFonts w:hint="default" w:ascii="Times New Roman" w:hAnsi="Times New Roman" w:cs="Times New Roman"/>
                      <w:b w:val="0"/>
                      <w:bCs/>
                      <w:color w:val="auto"/>
                      <w:kern w:val="0"/>
                      <w:sz w:val="21"/>
                      <w:szCs w:val="21"/>
                      <w:highlight w:val="none"/>
                      <w:vertAlign w:val="baseline"/>
                      <w:lang w:val="en-US" w:eastAsia="zh-CN"/>
                    </w:rPr>
                  </w:pPr>
                  <w:r>
                    <w:rPr>
                      <w:rFonts w:hint="default" w:ascii="Times New Roman" w:hAnsi="Times New Roman" w:cs="Times New Roman"/>
                      <w:b w:val="0"/>
                      <w:bCs/>
                      <w:color w:val="auto"/>
                      <w:kern w:val="0"/>
                      <w:sz w:val="21"/>
                      <w:szCs w:val="21"/>
                      <w:highlight w:val="none"/>
                      <w:vertAlign w:val="baseline"/>
                      <w:lang w:val="en-US" w:eastAsia="zh-CN"/>
                    </w:rPr>
                    <w:t>去向</w:t>
                  </w:r>
                </w:p>
              </w:tc>
              <w:tc>
                <w:tcPr>
                  <w:tcW w:w="2490" w:type="dxa"/>
                  <w:gridSpan w:val="2"/>
                  <w:noWrap w:val="0"/>
                  <w:vAlign w:val="center"/>
                </w:tcPr>
                <w:p>
                  <w:pPr>
                    <w:spacing w:line="240" w:lineRule="auto"/>
                    <w:jc w:val="center"/>
                    <w:rPr>
                      <w:rFonts w:hint="default" w:ascii="Times New Roman" w:hAnsi="Times New Roman" w:cs="Times New Roman"/>
                      <w:b w:val="0"/>
                      <w:bCs/>
                      <w:color w:val="auto"/>
                      <w:kern w:val="0"/>
                      <w:sz w:val="21"/>
                      <w:szCs w:val="21"/>
                      <w:highlight w:val="none"/>
                      <w:vertAlign w:val="baseline"/>
                      <w:lang w:val="en-US" w:eastAsia="zh-CN"/>
                    </w:rPr>
                  </w:pPr>
                  <w:r>
                    <w:rPr>
                      <w:rFonts w:hint="default" w:ascii="Times New Roman" w:hAnsi="Times New Roman" w:cs="Times New Roman"/>
                      <w:b w:val="0"/>
                      <w:bCs/>
                      <w:color w:val="auto"/>
                      <w:kern w:val="0"/>
                      <w:sz w:val="21"/>
                      <w:szCs w:val="21"/>
                      <w:highlight w:val="none"/>
                      <w:vertAlign w:val="baseline"/>
                      <w:lang w:val="en-US" w:eastAsia="zh-CN"/>
                    </w:rPr>
                    <w:t>产物</w:t>
                  </w:r>
                </w:p>
              </w:tc>
              <w:tc>
                <w:tcPr>
                  <w:tcW w:w="1161" w:type="dxa"/>
                  <w:noWrap w:val="0"/>
                  <w:vAlign w:val="center"/>
                </w:tcPr>
                <w:p>
                  <w:pPr>
                    <w:spacing w:line="240" w:lineRule="auto"/>
                    <w:jc w:val="center"/>
                    <w:rPr>
                      <w:rFonts w:hint="default" w:ascii="Times New Roman" w:hAnsi="Times New Roman" w:cs="Times New Roman"/>
                      <w:b w:val="0"/>
                      <w:bCs/>
                      <w:color w:val="auto"/>
                      <w:kern w:val="0"/>
                      <w:sz w:val="21"/>
                      <w:szCs w:val="21"/>
                      <w:highlight w:val="none"/>
                      <w:vertAlign w:val="baseline"/>
                      <w:lang w:val="en-US" w:eastAsia="zh-CN"/>
                    </w:rPr>
                  </w:pPr>
                  <w:r>
                    <w:rPr>
                      <w:rFonts w:hint="default" w:ascii="Times New Roman" w:hAnsi="Times New Roman" w:cs="Times New Roman"/>
                      <w:b w:val="0"/>
                      <w:bCs/>
                      <w:color w:val="auto"/>
                      <w:kern w:val="0"/>
                      <w:sz w:val="21"/>
                      <w:szCs w:val="21"/>
                      <w:highlight w:val="none"/>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02" w:type="dxa"/>
                  <w:vMerge w:val="restart"/>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宋体" w:eastAsia="宋体" w:cs="Times New Roman"/>
                      <w:color w:val="auto"/>
                      <w:kern w:val="0"/>
                      <w:szCs w:val="21"/>
                      <w:highlight w:val="none"/>
                      <w:lang w:val="en-US" w:eastAsia="zh-CN"/>
                    </w:rPr>
                    <w:t>尼龙颗粒</w:t>
                  </w:r>
                </w:p>
              </w:tc>
              <w:tc>
                <w:tcPr>
                  <w:tcW w:w="1272" w:type="dxa"/>
                  <w:vMerge w:val="restart"/>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hAnsi="宋体" w:cs="Times New Roman"/>
                      <w:color w:val="auto"/>
                      <w:kern w:val="0"/>
                      <w:szCs w:val="21"/>
                      <w:highlight w:val="none"/>
                      <w:lang w:val="en-US" w:eastAsia="zh-CN"/>
                    </w:rPr>
                    <w:t>1200</w:t>
                  </w:r>
                </w:p>
              </w:tc>
              <w:tc>
                <w:tcPr>
                  <w:tcW w:w="1094" w:type="dxa"/>
                  <w:vMerge w:val="restart"/>
                  <w:noWrap w:val="0"/>
                  <w:vAlign w:val="center"/>
                </w:tcPr>
                <w:p>
                  <w:pPr>
                    <w:jc w:val="center"/>
                    <w:rPr>
                      <w:rFonts w:hint="default"/>
                      <w:color w:val="auto"/>
                      <w:szCs w:val="21"/>
                      <w:highlight w:val="none"/>
                      <w:lang w:val="en-US" w:eastAsia="zh-CN"/>
                    </w:rPr>
                  </w:pPr>
                  <w:r>
                    <w:rPr>
                      <w:rFonts w:hint="default"/>
                      <w:color w:val="auto"/>
                      <w:szCs w:val="21"/>
                      <w:highlight w:val="none"/>
                      <w:lang w:val="en-US" w:eastAsia="zh-CN"/>
                    </w:rPr>
                    <w:t>产品</w:t>
                  </w:r>
                </w:p>
              </w:tc>
              <w:tc>
                <w:tcPr>
                  <w:tcW w:w="2490" w:type="dxa"/>
                  <w:gridSpan w:val="2"/>
                  <w:noWrap w:val="0"/>
                  <w:vAlign w:val="center"/>
                </w:tcPr>
                <w:p>
                  <w:pPr>
                    <w:jc w:val="center"/>
                    <w:rPr>
                      <w:rFonts w:hint="default" w:hAnsi="宋体"/>
                      <w:color w:val="auto"/>
                      <w:kern w:val="0"/>
                      <w:szCs w:val="21"/>
                      <w:highlight w:val="none"/>
                      <w:lang w:val="en-US" w:eastAsia="zh-CN"/>
                    </w:rPr>
                  </w:pPr>
                  <w:r>
                    <w:rPr>
                      <w:rFonts w:hint="eastAsia" w:hAnsi="宋体"/>
                      <w:color w:val="auto"/>
                      <w:kern w:val="0"/>
                      <w:szCs w:val="21"/>
                      <w:highlight w:val="none"/>
                      <w:lang w:val="en-US" w:eastAsia="zh-CN"/>
                    </w:rPr>
                    <w:t>PP</w:t>
                  </w:r>
                  <w:r>
                    <w:rPr>
                      <w:rFonts w:hint="eastAsia" w:hAnsi="宋体"/>
                      <w:color w:val="auto"/>
                      <w:kern w:val="0"/>
                      <w:szCs w:val="21"/>
                      <w:highlight w:val="none"/>
                      <w:lang w:eastAsia="zh-CN"/>
                    </w:rPr>
                    <w:t>塑料型材</w:t>
                  </w:r>
                </w:p>
              </w:tc>
              <w:tc>
                <w:tcPr>
                  <w:tcW w:w="1161" w:type="dxa"/>
                  <w:noWrap w:val="0"/>
                  <w:vAlign w:val="center"/>
                </w:tcPr>
                <w:p>
                  <w:pPr>
                    <w:jc w:val="center"/>
                    <w:rPr>
                      <w:rFonts w:hint="default" w:hAnsi="宋体"/>
                      <w:color w:val="auto"/>
                      <w:kern w:val="0"/>
                      <w:szCs w:val="21"/>
                      <w:highlight w:val="none"/>
                      <w:lang w:val="en-US" w:eastAsia="zh-CN"/>
                    </w:rPr>
                  </w:pPr>
                  <w:r>
                    <w:rPr>
                      <w:rFonts w:hint="eastAsia" w:hAnsi="宋体"/>
                      <w:color w:val="auto"/>
                      <w:kern w:val="0"/>
                      <w:szCs w:val="21"/>
                      <w:highlight w:val="none"/>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02" w:type="dxa"/>
                  <w:vMerge w:val="continue"/>
                  <w:noWrap w:val="0"/>
                  <w:vAlign w:val="center"/>
                </w:tcPr>
                <w:p>
                  <w:pPr>
                    <w:jc w:val="center"/>
                    <w:rPr>
                      <w:color w:val="auto"/>
                      <w:highlight w:val="none"/>
                    </w:rPr>
                  </w:pPr>
                </w:p>
              </w:tc>
              <w:tc>
                <w:tcPr>
                  <w:tcW w:w="1272" w:type="dxa"/>
                  <w:vMerge w:val="continue"/>
                  <w:noWrap w:val="0"/>
                  <w:vAlign w:val="center"/>
                </w:tcPr>
                <w:p>
                  <w:pPr>
                    <w:jc w:val="center"/>
                    <w:rPr>
                      <w:color w:val="auto"/>
                      <w:highlight w:val="none"/>
                    </w:rPr>
                  </w:pPr>
                </w:p>
              </w:tc>
              <w:tc>
                <w:tcPr>
                  <w:tcW w:w="1094" w:type="dxa"/>
                  <w:vMerge w:val="continue"/>
                  <w:noWrap w:val="0"/>
                  <w:vAlign w:val="center"/>
                </w:tcPr>
                <w:p>
                  <w:pPr>
                    <w:jc w:val="center"/>
                    <w:rPr>
                      <w:color w:val="auto"/>
                      <w:highlight w:val="none"/>
                    </w:rPr>
                  </w:pPr>
                </w:p>
              </w:tc>
              <w:tc>
                <w:tcPr>
                  <w:tcW w:w="2490" w:type="dxa"/>
                  <w:gridSpan w:val="2"/>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PE</w:t>
                  </w:r>
                  <w:r>
                    <w:rPr>
                      <w:rFonts w:hint="eastAsia" w:hAnsi="宋体"/>
                      <w:color w:val="auto"/>
                      <w:kern w:val="0"/>
                      <w:szCs w:val="21"/>
                      <w:highlight w:val="none"/>
                      <w:lang w:eastAsia="zh-CN"/>
                    </w:rPr>
                    <w:t>塑料型材</w:t>
                  </w:r>
                </w:p>
              </w:tc>
              <w:tc>
                <w:tcPr>
                  <w:tcW w:w="1161" w:type="dxa"/>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02" w:type="dxa"/>
                  <w:vMerge w:val="restart"/>
                  <w:noWrap w:val="0"/>
                  <w:vAlign w:val="center"/>
                </w:tcPr>
                <w:p>
                  <w:pPr>
                    <w:jc w:val="center"/>
                    <w:rPr>
                      <w:color w:val="auto"/>
                      <w:highlight w:val="none"/>
                    </w:rPr>
                  </w:pPr>
                  <w:r>
                    <w:rPr>
                      <w:rFonts w:hint="eastAsia" w:ascii="Times New Roman" w:hAnsi="宋体" w:eastAsia="宋体" w:cs="Times New Roman"/>
                      <w:color w:val="auto"/>
                      <w:kern w:val="0"/>
                      <w:szCs w:val="21"/>
                      <w:highlight w:val="none"/>
                      <w:lang w:val="en-US" w:eastAsia="zh-CN"/>
                    </w:rPr>
                    <w:t>聚丙烯颗粒</w:t>
                  </w:r>
                </w:p>
              </w:tc>
              <w:tc>
                <w:tcPr>
                  <w:tcW w:w="1272" w:type="dxa"/>
                  <w:vMerge w:val="restart"/>
                  <w:noWrap w:val="0"/>
                  <w:vAlign w:val="center"/>
                </w:tcPr>
                <w:p>
                  <w:pPr>
                    <w:jc w:val="center"/>
                    <w:rPr>
                      <w:color w:val="auto"/>
                      <w:highlight w:val="none"/>
                    </w:rPr>
                  </w:pPr>
                  <w:r>
                    <w:rPr>
                      <w:rFonts w:hint="eastAsia" w:hAnsi="宋体" w:cs="Times New Roman"/>
                      <w:color w:val="auto"/>
                      <w:kern w:val="0"/>
                      <w:szCs w:val="21"/>
                      <w:highlight w:val="none"/>
                      <w:lang w:val="en-US" w:eastAsia="zh-CN"/>
                    </w:rPr>
                    <w:t>1800</w:t>
                  </w:r>
                </w:p>
              </w:tc>
              <w:tc>
                <w:tcPr>
                  <w:tcW w:w="1094" w:type="dxa"/>
                  <w:vMerge w:val="continue"/>
                  <w:noWrap w:val="0"/>
                  <w:vAlign w:val="center"/>
                </w:tcPr>
                <w:p>
                  <w:pPr>
                    <w:jc w:val="center"/>
                    <w:rPr>
                      <w:rFonts w:hint="eastAsia"/>
                      <w:color w:val="auto"/>
                      <w:szCs w:val="21"/>
                      <w:highlight w:val="none"/>
                      <w:lang w:val="en-US" w:eastAsia="zh-CN"/>
                    </w:rPr>
                  </w:pPr>
                </w:p>
              </w:tc>
              <w:tc>
                <w:tcPr>
                  <w:tcW w:w="2490" w:type="dxa"/>
                  <w:gridSpan w:val="2"/>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PP</w:t>
                  </w:r>
                  <w:r>
                    <w:rPr>
                      <w:rFonts w:hint="eastAsia" w:hAnsi="宋体"/>
                      <w:color w:val="auto"/>
                      <w:kern w:val="0"/>
                      <w:szCs w:val="21"/>
                      <w:highlight w:val="none"/>
                      <w:lang w:eastAsia="zh-CN"/>
                    </w:rPr>
                    <w:t>塑料板材</w:t>
                  </w:r>
                </w:p>
              </w:tc>
              <w:tc>
                <w:tcPr>
                  <w:tcW w:w="1161" w:type="dxa"/>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02" w:type="dxa"/>
                  <w:vMerge w:val="continue"/>
                  <w:noWrap w:val="0"/>
                  <w:vAlign w:val="center"/>
                </w:tcPr>
                <w:p>
                  <w:pPr>
                    <w:jc w:val="center"/>
                    <w:rPr>
                      <w:color w:val="auto"/>
                      <w:highlight w:val="none"/>
                    </w:rPr>
                  </w:pPr>
                </w:p>
              </w:tc>
              <w:tc>
                <w:tcPr>
                  <w:tcW w:w="1272" w:type="dxa"/>
                  <w:vMerge w:val="continue"/>
                  <w:noWrap w:val="0"/>
                  <w:vAlign w:val="center"/>
                </w:tcPr>
                <w:p>
                  <w:pPr>
                    <w:jc w:val="center"/>
                    <w:rPr>
                      <w:color w:val="auto"/>
                      <w:highlight w:val="none"/>
                    </w:rPr>
                  </w:pPr>
                </w:p>
              </w:tc>
              <w:tc>
                <w:tcPr>
                  <w:tcW w:w="1094" w:type="dxa"/>
                  <w:vMerge w:val="continue"/>
                  <w:noWrap w:val="0"/>
                  <w:vAlign w:val="center"/>
                </w:tcPr>
                <w:p>
                  <w:pPr>
                    <w:jc w:val="center"/>
                    <w:rPr>
                      <w:color w:val="auto"/>
                      <w:highlight w:val="none"/>
                    </w:rPr>
                  </w:pPr>
                </w:p>
              </w:tc>
              <w:tc>
                <w:tcPr>
                  <w:tcW w:w="2490" w:type="dxa"/>
                  <w:gridSpan w:val="2"/>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PE</w:t>
                  </w:r>
                  <w:r>
                    <w:rPr>
                      <w:rFonts w:hint="eastAsia" w:hAnsi="宋体"/>
                      <w:color w:val="auto"/>
                      <w:kern w:val="0"/>
                      <w:szCs w:val="21"/>
                      <w:highlight w:val="none"/>
                      <w:lang w:eastAsia="zh-CN"/>
                    </w:rPr>
                    <w:t>塑料板材</w:t>
                  </w:r>
                </w:p>
              </w:tc>
              <w:tc>
                <w:tcPr>
                  <w:tcW w:w="1161" w:type="dxa"/>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02" w:type="dxa"/>
                  <w:vMerge w:val="restart"/>
                  <w:noWrap w:val="0"/>
                  <w:vAlign w:val="center"/>
                </w:tcPr>
                <w:p>
                  <w:pPr>
                    <w:jc w:val="center"/>
                    <w:rPr>
                      <w:rFonts w:hint="eastAsia"/>
                      <w:color w:val="auto"/>
                      <w:szCs w:val="21"/>
                      <w:highlight w:val="none"/>
                    </w:rPr>
                  </w:pPr>
                  <w:r>
                    <w:rPr>
                      <w:rFonts w:hint="eastAsia" w:ascii="Times New Roman" w:hAnsi="宋体" w:eastAsia="宋体" w:cs="Times New Roman"/>
                      <w:color w:val="auto"/>
                      <w:kern w:val="0"/>
                      <w:szCs w:val="21"/>
                      <w:highlight w:val="none"/>
                      <w:lang w:val="en-US" w:eastAsia="zh-CN"/>
                    </w:rPr>
                    <w:t>色母颗粒</w:t>
                  </w:r>
                </w:p>
              </w:tc>
              <w:tc>
                <w:tcPr>
                  <w:tcW w:w="1272" w:type="dxa"/>
                  <w:vMerge w:val="restart"/>
                  <w:noWrap w:val="0"/>
                  <w:vAlign w:val="center"/>
                </w:tcPr>
                <w:p>
                  <w:pPr>
                    <w:jc w:val="center"/>
                    <w:rPr>
                      <w:rFonts w:hint="default"/>
                      <w:color w:val="auto"/>
                      <w:szCs w:val="21"/>
                      <w:highlight w:val="none"/>
                      <w:lang w:val="en-US"/>
                    </w:rPr>
                  </w:pPr>
                  <w:r>
                    <w:rPr>
                      <w:rFonts w:hint="eastAsia" w:hAnsi="宋体" w:cs="Times New Roman"/>
                      <w:color w:val="auto"/>
                      <w:kern w:val="0"/>
                      <w:szCs w:val="21"/>
                      <w:highlight w:val="none"/>
                      <w:lang w:val="en-US" w:eastAsia="zh-CN"/>
                    </w:rPr>
                    <w:t>17.21</w:t>
                  </w:r>
                </w:p>
              </w:tc>
              <w:tc>
                <w:tcPr>
                  <w:tcW w:w="1094" w:type="dxa"/>
                  <w:vMerge w:val="continue"/>
                  <w:noWrap w:val="0"/>
                  <w:vAlign w:val="center"/>
                </w:tcPr>
                <w:p>
                  <w:pPr>
                    <w:jc w:val="center"/>
                    <w:rPr>
                      <w:rFonts w:hint="default"/>
                      <w:color w:val="auto"/>
                      <w:szCs w:val="21"/>
                      <w:highlight w:val="none"/>
                      <w:lang w:val="en-US" w:eastAsia="zh-CN"/>
                    </w:rPr>
                  </w:pPr>
                </w:p>
              </w:tc>
              <w:tc>
                <w:tcPr>
                  <w:tcW w:w="2490" w:type="dxa"/>
                  <w:gridSpan w:val="2"/>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eastAsia="zh-CN"/>
                    </w:rPr>
                    <w:t>新型外墙保温材料</w:t>
                  </w:r>
                </w:p>
              </w:tc>
              <w:tc>
                <w:tcPr>
                  <w:tcW w:w="1161" w:type="dxa"/>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02" w:type="dxa"/>
                  <w:vMerge w:val="continue"/>
                  <w:noWrap w:val="0"/>
                  <w:vAlign w:val="center"/>
                </w:tcPr>
                <w:p>
                  <w:pPr>
                    <w:jc w:val="center"/>
                    <w:rPr>
                      <w:color w:val="auto"/>
                      <w:highlight w:val="none"/>
                    </w:rPr>
                  </w:pPr>
                </w:p>
              </w:tc>
              <w:tc>
                <w:tcPr>
                  <w:tcW w:w="1272" w:type="dxa"/>
                  <w:vMerge w:val="continue"/>
                  <w:noWrap w:val="0"/>
                  <w:vAlign w:val="center"/>
                </w:tcPr>
                <w:p>
                  <w:pPr>
                    <w:jc w:val="center"/>
                    <w:rPr>
                      <w:color w:val="auto"/>
                      <w:highlight w:val="none"/>
                    </w:rPr>
                  </w:pPr>
                </w:p>
              </w:tc>
              <w:tc>
                <w:tcPr>
                  <w:tcW w:w="1094" w:type="dxa"/>
                  <w:vMerge w:val="continue"/>
                  <w:noWrap w:val="0"/>
                  <w:vAlign w:val="center"/>
                </w:tcPr>
                <w:p>
                  <w:pPr>
                    <w:jc w:val="center"/>
                    <w:rPr>
                      <w:color w:val="auto"/>
                      <w:highlight w:val="none"/>
                    </w:rPr>
                  </w:pPr>
                </w:p>
              </w:tc>
              <w:tc>
                <w:tcPr>
                  <w:tcW w:w="2490" w:type="dxa"/>
                  <w:gridSpan w:val="2"/>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eastAsia="zh-CN"/>
                    </w:rPr>
                    <w:t>橡胶板</w:t>
                  </w:r>
                </w:p>
              </w:tc>
              <w:tc>
                <w:tcPr>
                  <w:tcW w:w="1161" w:type="dxa"/>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02" w:type="dxa"/>
                  <w:noWrap w:val="0"/>
                  <w:vAlign w:val="center"/>
                </w:tcPr>
                <w:p>
                  <w:pPr>
                    <w:jc w:val="center"/>
                    <w:rPr>
                      <w:rFonts w:hint="eastAsia" w:ascii="Times New Roman" w:hAnsi="Times New Roman" w:eastAsia="宋体" w:cs="Times New Roman"/>
                      <w:b w:val="0"/>
                      <w:bCs w:val="0"/>
                      <w:color w:val="auto"/>
                      <w:kern w:val="2"/>
                      <w:sz w:val="21"/>
                      <w:szCs w:val="21"/>
                      <w:highlight w:val="red"/>
                      <w:lang w:val="en-US" w:eastAsia="zh-CN" w:bidi="ar-SA"/>
                    </w:rPr>
                  </w:pPr>
                  <w:r>
                    <w:rPr>
                      <w:rFonts w:hint="eastAsia" w:ascii="Times New Roman" w:hAnsi="宋体" w:eastAsia="宋体" w:cs="Times New Roman"/>
                      <w:color w:val="auto"/>
                      <w:kern w:val="0"/>
                      <w:szCs w:val="21"/>
                      <w:lang w:val="en-US" w:eastAsia="zh-CN"/>
                    </w:rPr>
                    <w:t>聚乙烯</w:t>
                  </w:r>
                </w:p>
              </w:tc>
              <w:tc>
                <w:tcPr>
                  <w:tcW w:w="1272" w:type="dxa"/>
                  <w:noWrap w:val="0"/>
                  <w:vAlign w:val="center"/>
                </w:tcPr>
                <w:p>
                  <w:pPr>
                    <w:jc w:val="center"/>
                    <w:rPr>
                      <w:rFonts w:hint="eastAsia" w:ascii="Times New Roman" w:hAnsi="Times New Roman" w:eastAsia="宋体" w:cs="Times New Roman"/>
                      <w:b w:val="0"/>
                      <w:bCs w:val="0"/>
                      <w:color w:val="auto"/>
                      <w:kern w:val="2"/>
                      <w:sz w:val="21"/>
                      <w:szCs w:val="21"/>
                      <w:highlight w:val="red"/>
                      <w:lang w:val="en-US" w:eastAsia="zh-CN" w:bidi="ar-SA"/>
                    </w:rPr>
                  </w:pPr>
                  <w:r>
                    <w:rPr>
                      <w:rFonts w:hint="eastAsia" w:hAnsi="宋体" w:cs="Times New Roman"/>
                      <w:color w:val="auto"/>
                      <w:kern w:val="0"/>
                      <w:szCs w:val="21"/>
                      <w:lang w:val="en-US" w:eastAsia="zh-CN"/>
                    </w:rPr>
                    <w:t>1800</w:t>
                  </w:r>
                </w:p>
              </w:tc>
              <w:tc>
                <w:tcPr>
                  <w:tcW w:w="1094" w:type="dxa"/>
                  <w:vMerge w:val="restart"/>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废气</w:t>
                  </w:r>
                </w:p>
                <w:p>
                  <w:pPr>
                    <w:jc w:val="center"/>
                    <w:rPr>
                      <w:rFonts w:hint="default"/>
                      <w:color w:val="auto"/>
                      <w:szCs w:val="21"/>
                      <w:highlight w:val="none"/>
                      <w:lang w:val="en-US" w:eastAsia="zh-CN"/>
                    </w:rPr>
                  </w:pPr>
                </w:p>
              </w:tc>
              <w:tc>
                <w:tcPr>
                  <w:tcW w:w="1102" w:type="dxa"/>
                  <w:vMerge w:val="restart"/>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挥发性有机物</w:t>
                  </w:r>
                </w:p>
              </w:tc>
              <w:tc>
                <w:tcPr>
                  <w:tcW w:w="1388" w:type="dxa"/>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有组织</w:t>
                  </w:r>
                </w:p>
              </w:tc>
              <w:tc>
                <w:tcPr>
                  <w:tcW w:w="1161" w:type="dxa"/>
                  <w:noWrap w:val="0"/>
                  <w:vAlign w:val="center"/>
                </w:tcPr>
                <w:p>
                  <w:pPr>
                    <w:jc w:val="center"/>
                    <w:rPr>
                      <w:rFonts w:hint="default" w:hAnsi="宋体"/>
                      <w:color w:val="auto"/>
                      <w:kern w:val="0"/>
                      <w:szCs w:val="21"/>
                      <w:highlight w:val="none"/>
                      <w:lang w:val="en-US" w:eastAsia="zh-CN"/>
                    </w:rPr>
                  </w:pPr>
                  <w:r>
                    <w:rPr>
                      <w:rFonts w:hint="eastAsia" w:hAnsi="宋体"/>
                      <w:color w:val="auto"/>
                      <w:kern w:val="0"/>
                      <w:szCs w:val="21"/>
                      <w:highlight w:val="none"/>
                      <w:lang w:val="en-US" w:eastAsia="zh-CN"/>
                    </w:rPr>
                    <w:t>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02" w:type="dxa"/>
                  <w:noWrap w:val="0"/>
                  <w:vAlign w:val="center"/>
                </w:tcPr>
                <w:p>
                  <w:pPr>
                    <w:jc w:val="center"/>
                    <w:rPr>
                      <w:color w:val="auto"/>
                      <w:highlight w:val="red"/>
                    </w:rPr>
                  </w:pPr>
                  <w:r>
                    <w:rPr>
                      <w:rFonts w:hint="eastAsia" w:ascii="Times New Roman" w:hAnsi="宋体" w:eastAsia="宋体" w:cs="Times New Roman"/>
                      <w:color w:val="auto"/>
                      <w:kern w:val="0"/>
                      <w:szCs w:val="21"/>
                      <w:lang w:val="en-US" w:eastAsia="zh-CN"/>
                    </w:rPr>
                    <w:t>聚苯乙烯颗粒</w:t>
                  </w:r>
                </w:p>
              </w:tc>
              <w:tc>
                <w:tcPr>
                  <w:tcW w:w="1272" w:type="dxa"/>
                  <w:noWrap w:val="0"/>
                  <w:vAlign w:val="center"/>
                </w:tcPr>
                <w:p>
                  <w:pPr>
                    <w:jc w:val="center"/>
                    <w:rPr>
                      <w:color w:val="auto"/>
                      <w:highlight w:val="red"/>
                    </w:rPr>
                  </w:pPr>
                  <w:r>
                    <w:rPr>
                      <w:rFonts w:hint="eastAsia" w:hAnsi="宋体" w:cs="Times New Roman"/>
                      <w:color w:val="auto"/>
                      <w:kern w:val="0"/>
                      <w:szCs w:val="21"/>
                      <w:lang w:val="en-US" w:eastAsia="zh-CN"/>
                    </w:rPr>
                    <w:t>920</w:t>
                  </w:r>
                </w:p>
              </w:tc>
              <w:tc>
                <w:tcPr>
                  <w:tcW w:w="1094" w:type="dxa"/>
                  <w:vMerge w:val="continue"/>
                  <w:noWrap w:val="0"/>
                  <w:vAlign w:val="center"/>
                </w:tcPr>
                <w:p>
                  <w:pPr>
                    <w:jc w:val="center"/>
                    <w:rPr>
                      <w:rFonts w:hint="eastAsia"/>
                      <w:color w:val="auto"/>
                      <w:szCs w:val="21"/>
                      <w:highlight w:val="none"/>
                      <w:lang w:val="en-US" w:eastAsia="zh-CN"/>
                    </w:rPr>
                  </w:pPr>
                </w:p>
              </w:tc>
              <w:tc>
                <w:tcPr>
                  <w:tcW w:w="1102" w:type="dxa"/>
                  <w:vMerge w:val="continue"/>
                  <w:noWrap w:val="0"/>
                  <w:vAlign w:val="center"/>
                </w:tcPr>
                <w:p>
                  <w:pPr>
                    <w:jc w:val="center"/>
                    <w:rPr>
                      <w:rFonts w:hint="eastAsia" w:hAnsi="宋体"/>
                      <w:color w:val="auto"/>
                      <w:kern w:val="0"/>
                      <w:szCs w:val="21"/>
                      <w:highlight w:val="none"/>
                      <w:lang w:val="en-US" w:eastAsia="zh-CN"/>
                    </w:rPr>
                  </w:pPr>
                </w:p>
              </w:tc>
              <w:tc>
                <w:tcPr>
                  <w:tcW w:w="1388" w:type="dxa"/>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无组织</w:t>
                  </w:r>
                </w:p>
              </w:tc>
              <w:tc>
                <w:tcPr>
                  <w:tcW w:w="1161" w:type="dxa"/>
                  <w:noWrap w:val="0"/>
                  <w:vAlign w:val="center"/>
                </w:tcPr>
                <w:p>
                  <w:pPr>
                    <w:jc w:val="center"/>
                    <w:rPr>
                      <w:rFonts w:hint="default" w:hAnsi="宋体"/>
                      <w:color w:val="auto"/>
                      <w:kern w:val="0"/>
                      <w:szCs w:val="21"/>
                      <w:highlight w:val="none"/>
                      <w:lang w:val="en-US" w:eastAsia="zh-CN"/>
                    </w:rPr>
                  </w:pPr>
                  <w:r>
                    <w:rPr>
                      <w:rFonts w:hint="default" w:hAnsi="宋体"/>
                      <w:color w:val="auto"/>
                      <w:kern w:val="0"/>
                      <w:szCs w:val="21"/>
                      <w:highlight w:val="none"/>
                      <w:lang w:val="en-US" w:eastAsia="zh-CN"/>
                    </w:rPr>
                    <w:t>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102" w:type="dxa"/>
                  <w:vMerge w:val="restart"/>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color w:val="auto"/>
                      <w:szCs w:val="21"/>
                      <w:highlight w:val="none"/>
                      <w:lang w:val="en-US" w:eastAsia="zh-CN"/>
                    </w:rPr>
                    <w:t>发泡剂</w:t>
                  </w:r>
                </w:p>
              </w:tc>
              <w:tc>
                <w:tcPr>
                  <w:tcW w:w="1272" w:type="dxa"/>
                  <w:vMerge w:val="restart"/>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hAnsi="宋体" w:cs="Times New Roman"/>
                      <w:color w:val="auto"/>
                      <w:kern w:val="0"/>
                      <w:szCs w:val="21"/>
                      <w:lang w:val="en-US" w:eastAsia="zh-CN"/>
                    </w:rPr>
                    <w:t>278</w:t>
                  </w:r>
                </w:p>
              </w:tc>
              <w:tc>
                <w:tcPr>
                  <w:tcW w:w="1094" w:type="dxa"/>
                  <w:vMerge w:val="continue"/>
                  <w:noWrap w:val="0"/>
                  <w:vAlign w:val="center"/>
                </w:tcPr>
                <w:p>
                  <w:pPr>
                    <w:jc w:val="center"/>
                    <w:rPr>
                      <w:rFonts w:hint="default"/>
                      <w:color w:val="auto"/>
                      <w:szCs w:val="21"/>
                      <w:highlight w:val="none"/>
                      <w:lang w:val="en-US" w:eastAsia="zh-CN"/>
                    </w:rPr>
                  </w:pPr>
                </w:p>
              </w:tc>
              <w:tc>
                <w:tcPr>
                  <w:tcW w:w="1102" w:type="dxa"/>
                  <w:vMerge w:val="restart"/>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颗粒物</w:t>
                  </w:r>
                </w:p>
              </w:tc>
              <w:tc>
                <w:tcPr>
                  <w:tcW w:w="1388" w:type="dxa"/>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有组织</w:t>
                  </w:r>
                </w:p>
              </w:tc>
              <w:tc>
                <w:tcPr>
                  <w:tcW w:w="1161" w:type="dxa"/>
                  <w:noWrap w:val="0"/>
                  <w:vAlign w:val="center"/>
                </w:tcPr>
                <w:p>
                  <w:pPr>
                    <w:jc w:val="center"/>
                    <w:rPr>
                      <w:rFonts w:hint="default" w:hAnsi="宋体"/>
                      <w:color w:val="auto"/>
                      <w:kern w:val="0"/>
                      <w:szCs w:val="21"/>
                      <w:highlight w:val="none"/>
                      <w:lang w:val="en-US" w:eastAsia="zh-CN"/>
                    </w:rPr>
                  </w:pPr>
                  <w:r>
                    <w:rPr>
                      <w:rFonts w:hint="eastAsia" w:hAnsi="宋体"/>
                      <w:color w:val="auto"/>
                      <w:kern w:val="0"/>
                      <w:szCs w:val="21"/>
                      <w:highlight w:val="none"/>
                      <w:lang w:eastAsia="zh-CN"/>
                    </w:rPr>
                    <w:t>0.0947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02" w:type="dxa"/>
                  <w:vMerge w:val="continue"/>
                  <w:noWrap w:val="0"/>
                  <w:vAlign w:val="center"/>
                </w:tcPr>
                <w:p>
                  <w:pPr>
                    <w:jc w:val="center"/>
                    <w:rPr>
                      <w:color w:val="auto"/>
                    </w:rPr>
                  </w:pPr>
                </w:p>
              </w:tc>
              <w:tc>
                <w:tcPr>
                  <w:tcW w:w="1272" w:type="dxa"/>
                  <w:vMerge w:val="continue"/>
                  <w:noWrap w:val="0"/>
                  <w:vAlign w:val="center"/>
                </w:tcPr>
                <w:p>
                  <w:pPr>
                    <w:jc w:val="center"/>
                    <w:rPr>
                      <w:color w:val="auto"/>
                    </w:rPr>
                  </w:pPr>
                </w:p>
              </w:tc>
              <w:tc>
                <w:tcPr>
                  <w:tcW w:w="1094" w:type="dxa"/>
                  <w:vMerge w:val="continue"/>
                  <w:noWrap w:val="0"/>
                  <w:vAlign w:val="center"/>
                </w:tcPr>
                <w:p>
                  <w:pPr>
                    <w:jc w:val="center"/>
                    <w:rPr>
                      <w:color w:val="auto"/>
                    </w:rPr>
                  </w:pPr>
                </w:p>
              </w:tc>
              <w:tc>
                <w:tcPr>
                  <w:tcW w:w="1102" w:type="dxa"/>
                  <w:vMerge w:val="continue"/>
                  <w:noWrap w:val="0"/>
                  <w:vAlign w:val="center"/>
                </w:tcPr>
                <w:p>
                  <w:pPr>
                    <w:jc w:val="center"/>
                    <w:rPr>
                      <w:rFonts w:hint="eastAsia" w:hAnsi="宋体"/>
                      <w:color w:val="auto"/>
                      <w:kern w:val="0"/>
                      <w:szCs w:val="21"/>
                      <w:highlight w:val="none"/>
                      <w:lang w:eastAsia="zh-CN"/>
                    </w:rPr>
                  </w:pPr>
                </w:p>
              </w:tc>
              <w:tc>
                <w:tcPr>
                  <w:tcW w:w="1388" w:type="dxa"/>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无组织</w:t>
                  </w:r>
                </w:p>
              </w:tc>
              <w:tc>
                <w:tcPr>
                  <w:tcW w:w="1161" w:type="dxa"/>
                  <w:noWrap w:val="0"/>
                  <w:vAlign w:val="center"/>
                </w:tcPr>
                <w:p>
                  <w:pPr>
                    <w:jc w:val="center"/>
                    <w:rPr>
                      <w:rFonts w:hint="default" w:hAnsi="宋体"/>
                      <w:color w:val="auto"/>
                      <w:kern w:val="0"/>
                      <w:szCs w:val="21"/>
                      <w:highlight w:val="none"/>
                      <w:lang w:val="en-US" w:eastAsia="zh-CN"/>
                    </w:rPr>
                  </w:pPr>
                  <w:r>
                    <w:rPr>
                      <w:rFonts w:hint="eastAsia" w:hAnsi="宋体"/>
                      <w:color w:val="auto"/>
                      <w:kern w:val="0"/>
                      <w:szCs w:val="21"/>
                      <w:highlight w:val="none"/>
                      <w:lang w:val="en-US" w:eastAsia="zh-CN"/>
                    </w:rPr>
                    <w:t>0.2104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2" w:type="dxa"/>
                  <w:noWrap w:val="0"/>
                  <w:vAlign w:val="center"/>
                </w:tcPr>
                <w:p>
                  <w:pPr>
                    <w:jc w:val="center"/>
                    <w:rPr>
                      <w:rFonts w:hint="eastAsia"/>
                      <w:color w:val="auto"/>
                      <w:szCs w:val="21"/>
                      <w:lang w:val="en-US" w:eastAsia="zh-CN"/>
                    </w:rPr>
                  </w:pPr>
                  <w:r>
                    <w:rPr>
                      <w:rFonts w:hint="eastAsia" w:ascii="Times New Roman" w:hAnsi="宋体" w:eastAsia="宋体" w:cs="Times New Roman"/>
                      <w:color w:val="auto"/>
                      <w:kern w:val="0"/>
                      <w:szCs w:val="21"/>
                      <w:lang w:val="en-US" w:eastAsia="zh-CN"/>
                    </w:rPr>
                    <w:t>胶粉</w:t>
                  </w:r>
                </w:p>
              </w:tc>
              <w:tc>
                <w:tcPr>
                  <w:tcW w:w="1272" w:type="dxa"/>
                  <w:noWrap w:val="0"/>
                  <w:vAlign w:val="center"/>
                </w:tcPr>
                <w:p>
                  <w:pPr>
                    <w:jc w:val="center"/>
                    <w:rPr>
                      <w:rFonts w:hint="eastAsia"/>
                      <w:color w:val="auto"/>
                      <w:szCs w:val="21"/>
                      <w:lang w:val="en-US" w:eastAsia="zh-CN"/>
                    </w:rPr>
                  </w:pPr>
                  <w:r>
                    <w:rPr>
                      <w:rFonts w:hint="eastAsia" w:hAnsi="宋体" w:cs="Times New Roman"/>
                      <w:color w:val="auto"/>
                      <w:kern w:val="0"/>
                      <w:szCs w:val="21"/>
                      <w:lang w:val="en-US" w:eastAsia="zh-CN"/>
                    </w:rPr>
                    <w:t>2004</w:t>
                  </w:r>
                </w:p>
              </w:tc>
              <w:tc>
                <w:tcPr>
                  <w:tcW w:w="1094" w:type="dxa"/>
                  <w:vMerge w:val="restart"/>
                  <w:noWrap w:val="0"/>
                  <w:vAlign w:val="center"/>
                </w:tcPr>
                <w:p>
                  <w:pPr>
                    <w:jc w:val="center"/>
                    <w:rPr>
                      <w:rFonts w:hint="default"/>
                      <w:color w:val="auto"/>
                      <w:szCs w:val="21"/>
                      <w:lang w:val="en-US" w:eastAsia="zh-CN"/>
                    </w:rPr>
                  </w:pPr>
                  <w:r>
                    <w:rPr>
                      <w:rFonts w:hint="eastAsia"/>
                      <w:color w:val="auto"/>
                      <w:szCs w:val="21"/>
                      <w:lang w:val="en-US" w:eastAsia="zh-CN"/>
                    </w:rPr>
                    <w:t>固废</w:t>
                  </w:r>
                </w:p>
              </w:tc>
              <w:tc>
                <w:tcPr>
                  <w:tcW w:w="2490" w:type="dxa"/>
                  <w:gridSpan w:val="2"/>
                  <w:noWrap w:val="0"/>
                  <w:vAlign w:val="center"/>
                </w:tcPr>
                <w:p>
                  <w:pPr>
                    <w:jc w:val="center"/>
                    <w:rPr>
                      <w:rFonts w:hint="default" w:hAnsi="宋体"/>
                      <w:color w:val="auto"/>
                      <w:kern w:val="0"/>
                      <w:szCs w:val="21"/>
                      <w:highlight w:val="none"/>
                      <w:lang w:val="en-US" w:eastAsia="zh-CN"/>
                    </w:rPr>
                  </w:pPr>
                  <w:r>
                    <w:rPr>
                      <w:rFonts w:hint="eastAsia" w:hAnsi="宋体"/>
                      <w:color w:val="auto"/>
                      <w:kern w:val="0"/>
                      <w:szCs w:val="21"/>
                      <w:highlight w:val="none"/>
                      <w:lang w:val="en-US" w:eastAsia="zh-CN"/>
                    </w:rPr>
                    <w:t>不合格品</w:t>
                  </w:r>
                </w:p>
              </w:tc>
              <w:tc>
                <w:tcPr>
                  <w:tcW w:w="1161" w:type="dxa"/>
                  <w:noWrap w:val="0"/>
                  <w:vAlign w:val="center"/>
                </w:tcPr>
                <w:p>
                  <w:pPr>
                    <w:jc w:val="center"/>
                    <w:rPr>
                      <w:rFonts w:hint="default" w:hAnsi="宋体"/>
                      <w:color w:val="auto"/>
                      <w:kern w:val="0"/>
                      <w:szCs w:val="21"/>
                      <w:highlight w:val="none"/>
                      <w:lang w:val="en-US" w:eastAsia="zh-CN"/>
                    </w:rPr>
                  </w:pPr>
                  <w:r>
                    <w:rPr>
                      <w:rFonts w:hint="eastAsia" w:hAnsi="宋体"/>
                      <w:color w:val="auto"/>
                      <w:kern w:val="0"/>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102" w:type="dxa"/>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宋体" w:eastAsia="宋体" w:cs="Times New Roman"/>
                      <w:color w:val="auto"/>
                      <w:kern w:val="0"/>
                      <w:szCs w:val="21"/>
                      <w:lang w:val="en-US" w:eastAsia="zh-CN"/>
                    </w:rPr>
                    <w:t>橡胶填充剂</w:t>
                  </w:r>
                </w:p>
              </w:tc>
              <w:tc>
                <w:tcPr>
                  <w:tcW w:w="1272" w:type="dxa"/>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hAnsi="宋体" w:cs="Times New Roman"/>
                      <w:color w:val="auto"/>
                      <w:kern w:val="0"/>
                      <w:szCs w:val="21"/>
                      <w:lang w:val="en-US" w:eastAsia="zh-CN"/>
                    </w:rPr>
                    <w:t>2004</w:t>
                  </w:r>
                </w:p>
              </w:tc>
              <w:tc>
                <w:tcPr>
                  <w:tcW w:w="1094" w:type="dxa"/>
                  <w:vMerge w:val="continue"/>
                  <w:noWrap w:val="0"/>
                  <w:vAlign w:val="center"/>
                </w:tcPr>
                <w:p>
                  <w:pPr>
                    <w:jc w:val="center"/>
                    <w:rPr>
                      <w:rFonts w:hint="default"/>
                      <w:color w:val="auto"/>
                      <w:szCs w:val="21"/>
                      <w:lang w:val="en-US" w:eastAsia="zh-CN"/>
                    </w:rPr>
                  </w:pPr>
                </w:p>
              </w:tc>
              <w:tc>
                <w:tcPr>
                  <w:tcW w:w="2490" w:type="dxa"/>
                  <w:gridSpan w:val="2"/>
                  <w:noWrap w:val="0"/>
                  <w:vAlign w:val="center"/>
                </w:tcPr>
                <w:p>
                  <w:pPr>
                    <w:jc w:val="center"/>
                    <w:rPr>
                      <w:rFonts w:hint="default" w:hAnsi="宋体"/>
                      <w:color w:val="auto"/>
                      <w:kern w:val="0"/>
                      <w:szCs w:val="21"/>
                      <w:highlight w:val="none"/>
                      <w:lang w:val="en-US" w:eastAsia="zh-CN"/>
                    </w:rPr>
                  </w:pPr>
                  <w:r>
                    <w:rPr>
                      <w:rFonts w:hint="eastAsia" w:hAnsi="宋体"/>
                      <w:color w:val="auto"/>
                      <w:kern w:val="0"/>
                      <w:szCs w:val="21"/>
                      <w:highlight w:val="none"/>
                      <w:lang w:val="en-US" w:eastAsia="zh-CN"/>
                    </w:rPr>
                    <w:t>废包装袋</w:t>
                  </w:r>
                </w:p>
              </w:tc>
              <w:tc>
                <w:tcPr>
                  <w:tcW w:w="1161" w:type="dxa"/>
                  <w:noWrap w:val="0"/>
                  <w:vAlign w:val="center"/>
                </w:tcPr>
                <w:p>
                  <w:pPr>
                    <w:jc w:val="center"/>
                    <w:rPr>
                      <w:rFonts w:hint="default" w:hAnsi="宋体"/>
                      <w:color w:val="auto"/>
                      <w:kern w:val="0"/>
                      <w:szCs w:val="21"/>
                      <w:highlight w:val="none"/>
                      <w:lang w:val="en-US" w:eastAsia="zh-CN"/>
                    </w:rPr>
                  </w:pPr>
                  <w:r>
                    <w:rPr>
                      <w:rFonts w:hint="eastAsia" w:hAnsi="宋体"/>
                      <w:color w:val="auto"/>
                      <w:kern w:val="0"/>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102"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宋体" w:eastAsia="宋体" w:cs="Times New Roman"/>
                      <w:color w:val="auto"/>
                      <w:kern w:val="0"/>
                      <w:szCs w:val="21"/>
                      <w:lang w:val="en-US" w:eastAsia="zh-CN"/>
                    </w:rPr>
                    <w:t>石蜡</w:t>
                  </w:r>
                </w:p>
              </w:tc>
              <w:tc>
                <w:tcPr>
                  <w:tcW w:w="1272"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hAnsi="宋体" w:cs="Times New Roman"/>
                      <w:color w:val="auto"/>
                      <w:kern w:val="0"/>
                      <w:szCs w:val="21"/>
                      <w:lang w:val="en-US" w:eastAsia="zh-CN"/>
                    </w:rPr>
                    <w:t>2004</w:t>
                  </w:r>
                </w:p>
              </w:tc>
              <w:tc>
                <w:tcPr>
                  <w:tcW w:w="1094" w:type="dxa"/>
                  <w:vMerge w:val="continue"/>
                  <w:noWrap w:val="0"/>
                  <w:vAlign w:val="center"/>
                </w:tcPr>
                <w:p>
                  <w:pPr>
                    <w:jc w:val="center"/>
                    <w:rPr>
                      <w:rFonts w:hint="default"/>
                      <w:color w:val="auto"/>
                      <w:szCs w:val="21"/>
                      <w:lang w:val="en-US" w:eastAsia="zh-CN"/>
                    </w:rPr>
                  </w:pPr>
                </w:p>
              </w:tc>
              <w:tc>
                <w:tcPr>
                  <w:tcW w:w="2490" w:type="dxa"/>
                  <w:gridSpan w:val="2"/>
                  <w:noWrap w:val="0"/>
                  <w:vAlign w:val="center"/>
                </w:tcPr>
                <w:p>
                  <w:pPr>
                    <w:jc w:val="center"/>
                    <w:rPr>
                      <w:rFonts w:hint="eastAsia" w:hAnsi="宋体"/>
                      <w:color w:val="auto"/>
                      <w:kern w:val="0"/>
                      <w:szCs w:val="21"/>
                      <w:highlight w:val="none"/>
                      <w:lang w:val="en-US" w:eastAsia="zh-CN"/>
                    </w:rPr>
                  </w:pPr>
                  <w:r>
                    <w:rPr>
                      <w:rFonts w:hint="eastAsia" w:hAnsi="宋体"/>
                      <w:color w:val="auto"/>
                      <w:kern w:val="0"/>
                      <w:szCs w:val="21"/>
                      <w:highlight w:val="none"/>
                      <w:lang w:val="en-US" w:eastAsia="zh-CN"/>
                    </w:rPr>
                    <w:t>收集的粉尘</w:t>
                  </w:r>
                </w:p>
              </w:tc>
              <w:tc>
                <w:tcPr>
                  <w:tcW w:w="1161" w:type="dxa"/>
                  <w:noWrap w:val="0"/>
                  <w:vAlign w:val="center"/>
                </w:tcPr>
                <w:p>
                  <w:pPr>
                    <w:jc w:val="center"/>
                    <w:rPr>
                      <w:rFonts w:hint="default" w:hAnsi="宋体"/>
                      <w:color w:val="auto"/>
                      <w:kern w:val="0"/>
                      <w:szCs w:val="21"/>
                      <w:highlight w:val="none"/>
                      <w:lang w:val="en-US" w:eastAsia="zh-CN"/>
                    </w:rPr>
                  </w:pPr>
                  <w:r>
                    <w:rPr>
                      <w:rFonts w:hint="eastAsia" w:hAnsi="宋体"/>
                      <w:color w:val="auto"/>
                      <w:kern w:val="0"/>
                      <w:szCs w:val="21"/>
                      <w:highlight w:val="none"/>
                      <w:lang w:val="en-US" w:eastAsia="zh-CN"/>
                    </w:rPr>
                    <w:t>1.894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102" w:type="dxa"/>
                  <w:noWrap w:val="0"/>
                  <w:vAlign w:val="center"/>
                </w:tcPr>
                <w:p>
                  <w:pPr>
                    <w:adjustRightInd w:val="0"/>
                    <w:snapToGrid w:val="0"/>
                    <w:jc w:val="center"/>
                    <w:rPr>
                      <w:rFonts w:hint="eastAsia"/>
                      <w:color w:val="auto"/>
                      <w:szCs w:val="21"/>
                    </w:rPr>
                  </w:pPr>
                  <w:r>
                    <w:rPr>
                      <w:rFonts w:hint="eastAsia" w:ascii="Times New Roman" w:hAnsi="Times New Roman" w:cs="Times New Roman"/>
                      <w:b w:val="0"/>
                      <w:bCs/>
                      <w:color w:val="auto"/>
                      <w:kern w:val="0"/>
                      <w:sz w:val="21"/>
                      <w:szCs w:val="21"/>
                      <w:vertAlign w:val="baseline"/>
                      <w:lang w:val="en-US" w:eastAsia="zh-CN"/>
                    </w:rPr>
                    <w:t xml:space="preserve">  </w:t>
                  </w:r>
                  <w:r>
                    <w:rPr>
                      <w:rFonts w:hint="default" w:ascii="Times New Roman" w:hAnsi="Times New Roman" w:cs="Times New Roman"/>
                      <w:b w:val="0"/>
                      <w:bCs/>
                      <w:color w:val="auto"/>
                      <w:kern w:val="0"/>
                      <w:sz w:val="21"/>
                      <w:szCs w:val="21"/>
                      <w:vertAlign w:val="baseline"/>
                      <w:lang w:val="en-US" w:eastAsia="zh-CN"/>
                    </w:rPr>
                    <w:t>合计</w:t>
                  </w:r>
                </w:p>
              </w:tc>
              <w:tc>
                <w:tcPr>
                  <w:tcW w:w="1272" w:type="dxa"/>
                  <w:noWrap w:val="0"/>
                  <w:vAlign w:val="center"/>
                </w:tcPr>
                <w:p>
                  <w:pPr>
                    <w:adjustRightInd w:val="0"/>
                    <w:snapToGrid w:val="0"/>
                    <w:jc w:val="center"/>
                    <w:rPr>
                      <w:rFonts w:hint="default"/>
                      <w:color w:val="auto"/>
                      <w:szCs w:val="21"/>
                      <w:lang w:val="en-US" w:eastAsia="zh-CN"/>
                    </w:rPr>
                  </w:pPr>
                  <w:r>
                    <w:rPr>
                      <w:rFonts w:hint="eastAsia" w:hAnsi="宋体"/>
                      <w:color w:val="auto"/>
                      <w:kern w:val="0"/>
                      <w:szCs w:val="21"/>
                      <w:highlight w:val="none"/>
                      <w:lang w:val="en-US" w:eastAsia="zh-CN"/>
                    </w:rPr>
                    <w:t>12027.21</w:t>
                  </w:r>
                </w:p>
              </w:tc>
              <w:tc>
                <w:tcPr>
                  <w:tcW w:w="3584" w:type="dxa"/>
                  <w:gridSpan w:val="3"/>
                  <w:noWrap w:val="0"/>
                  <w:vAlign w:val="center"/>
                </w:tcPr>
                <w:p>
                  <w:pPr>
                    <w:jc w:val="center"/>
                    <w:rPr>
                      <w:rFonts w:hint="eastAsia" w:hAnsi="宋体"/>
                      <w:color w:val="auto"/>
                      <w:kern w:val="0"/>
                      <w:szCs w:val="21"/>
                      <w:highlight w:val="none"/>
                      <w:lang w:val="en-US" w:eastAsia="zh-CN"/>
                    </w:rPr>
                  </w:pPr>
                  <w:r>
                    <w:rPr>
                      <w:rFonts w:hint="default" w:hAnsi="宋体"/>
                      <w:color w:val="auto"/>
                      <w:kern w:val="0"/>
                      <w:szCs w:val="21"/>
                      <w:highlight w:val="none"/>
                      <w:lang w:val="en-US" w:eastAsia="zh-CN"/>
                    </w:rPr>
                    <w:t>合计</w:t>
                  </w:r>
                </w:p>
              </w:tc>
              <w:tc>
                <w:tcPr>
                  <w:tcW w:w="1161" w:type="dxa"/>
                  <w:noWrap w:val="0"/>
                  <w:vAlign w:val="center"/>
                </w:tcPr>
                <w:p>
                  <w:pPr>
                    <w:jc w:val="center"/>
                    <w:rPr>
                      <w:rFonts w:hint="default" w:hAnsi="宋体"/>
                      <w:color w:val="auto"/>
                      <w:kern w:val="0"/>
                      <w:szCs w:val="21"/>
                      <w:highlight w:val="none"/>
                      <w:lang w:val="en-US" w:eastAsia="zh-CN"/>
                    </w:rPr>
                  </w:pPr>
                  <w:r>
                    <w:rPr>
                      <w:rFonts w:hint="eastAsia" w:hAnsi="宋体"/>
                      <w:color w:val="auto"/>
                      <w:kern w:val="0"/>
                      <w:szCs w:val="21"/>
                      <w:highlight w:val="none"/>
                      <w:lang w:val="en-US" w:eastAsia="zh-CN"/>
                    </w:rPr>
                    <w:t>12027.21</w:t>
                  </w:r>
                </w:p>
              </w:tc>
            </w:tr>
          </w:tbl>
          <w:p>
            <w:pPr>
              <w:keepNext w:val="0"/>
              <w:keepLines w:val="0"/>
              <w:pageBreakBefore w:val="0"/>
              <w:widowControl w:val="0"/>
              <w:tabs>
                <w:tab w:val="left" w:pos="1180"/>
              </w:tabs>
              <w:kinsoku/>
              <w:wordWrap/>
              <w:overflowPunct/>
              <w:topLinePunct w:val="0"/>
              <w:autoSpaceDE/>
              <w:autoSpaceDN/>
              <w:bidi w:val="0"/>
              <w:adjustRightInd/>
              <w:snapToGrid/>
              <w:spacing w:before="313" w:beforeLines="100" w:line="360" w:lineRule="auto"/>
              <w:ind w:firstLine="482" w:firstLineChars="200"/>
              <w:jc w:val="left"/>
              <w:textAlignment w:val="auto"/>
              <w:rPr>
                <w:b/>
                <w:bCs/>
                <w:color w:val="auto"/>
                <w:sz w:val="24"/>
                <w:szCs w:val="24"/>
              </w:rPr>
            </w:pPr>
            <w:r>
              <w:rPr>
                <w:rFonts w:hint="eastAsia" w:cs="宋体"/>
                <w:b/>
                <w:bCs/>
                <w:color w:val="auto"/>
                <w:sz w:val="24"/>
                <w:szCs w:val="24"/>
                <w:lang w:val="en-US" w:eastAsia="zh-CN"/>
              </w:rPr>
              <w:t>7、</w:t>
            </w:r>
            <w:r>
              <w:rPr>
                <w:rFonts w:hint="eastAsia" w:cs="宋体"/>
                <w:b/>
                <w:bCs/>
                <w:color w:val="auto"/>
                <w:sz w:val="24"/>
                <w:szCs w:val="24"/>
              </w:rPr>
              <w:t>劳动定员及工作制度</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cs="宋体"/>
                <w:b/>
                <w:bCs/>
                <w:color w:val="auto"/>
                <w:sz w:val="24"/>
                <w:szCs w:val="24"/>
                <w:lang w:val="en-US" w:eastAsia="zh-CN"/>
              </w:rPr>
            </w:pPr>
            <w:r>
              <w:rPr>
                <w:rFonts w:hint="eastAsia" w:ascii="宋体" w:hAnsi="宋体" w:eastAsia="宋体" w:cs="宋体"/>
                <w:color w:val="auto"/>
                <w:sz w:val="24"/>
                <w:szCs w:val="24"/>
                <w:highlight w:val="none"/>
              </w:rPr>
              <w:t>本项目职工人数</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人，采用</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班</w:t>
            </w:r>
            <w:r>
              <w:rPr>
                <w:rFonts w:hint="eastAsia" w:ascii="宋体" w:hAnsi="宋体" w:eastAsia="宋体" w:cs="宋体"/>
                <w:color w:val="auto"/>
                <w:sz w:val="24"/>
                <w:szCs w:val="24"/>
                <w:highlight w:val="none"/>
                <w:lang w:val="en-US" w:eastAsia="zh-CN"/>
              </w:rPr>
              <w:t>8小时</w:t>
            </w:r>
            <w:r>
              <w:rPr>
                <w:rFonts w:hint="eastAsia" w:ascii="宋体" w:hAnsi="宋体" w:eastAsia="宋体" w:cs="宋体"/>
                <w:color w:val="auto"/>
                <w:sz w:val="24"/>
                <w:szCs w:val="24"/>
                <w:highlight w:val="none"/>
              </w:rPr>
              <w:t>工作制，</w:t>
            </w:r>
            <w:r>
              <w:rPr>
                <w:rFonts w:hint="default" w:ascii="宋体" w:hAnsi="宋体" w:eastAsia="宋体" w:cs="宋体"/>
                <w:color w:val="auto"/>
                <w:sz w:val="24"/>
                <w:szCs w:val="24"/>
                <w:highlight w:val="none"/>
                <w:lang w:val="en-US" w:eastAsia="zh-CN"/>
              </w:rPr>
              <w:t>每天工作</w:t>
            </w:r>
            <w:r>
              <w:rPr>
                <w:rFonts w:hint="eastAsia" w:ascii="宋体" w:hAnsi="宋体" w:eastAsia="宋体" w:cs="宋体"/>
                <w:color w:val="auto"/>
                <w:sz w:val="24"/>
                <w:szCs w:val="24"/>
                <w:highlight w:val="none"/>
                <w:lang w:val="en-US" w:eastAsia="zh-CN"/>
              </w:rPr>
              <w:t xml:space="preserve"> 24 </w:t>
            </w:r>
            <w:r>
              <w:rPr>
                <w:rFonts w:hint="default" w:ascii="宋体" w:hAnsi="宋体" w:eastAsia="宋体" w:cs="宋体"/>
                <w:color w:val="auto"/>
                <w:sz w:val="24"/>
                <w:szCs w:val="24"/>
                <w:highlight w:val="none"/>
                <w:lang w:val="en-US" w:eastAsia="zh-CN"/>
              </w:rPr>
              <w:t>h，年工作天数为</w:t>
            </w:r>
            <w:r>
              <w:rPr>
                <w:rFonts w:hint="eastAsia" w:ascii="宋体" w:hAnsi="宋体" w:eastAsia="宋体" w:cs="宋体"/>
                <w:color w:val="auto"/>
                <w:sz w:val="24"/>
                <w:szCs w:val="24"/>
                <w:highlight w:val="none"/>
                <w:lang w:val="en-US" w:eastAsia="zh-CN"/>
              </w:rPr>
              <w:t>300</w:t>
            </w:r>
            <w:r>
              <w:rPr>
                <w:rFonts w:hint="default" w:ascii="宋体" w:hAnsi="宋体" w:eastAsia="宋体" w:cs="宋体"/>
                <w:color w:val="auto"/>
                <w:sz w:val="24"/>
                <w:szCs w:val="24"/>
                <w:highlight w:val="none"/>
                <w:lang w:val="en-US" w:eastAsia="zh-CN"/>
              </w:rPr>
              <w:t>天。</w:t>
            </w:r>
            <w:r>
              <w:rPr>
                <w:rFonts w:hint="default" w:ascii="宋体" w:hAnsi="宋体" w:eastAsia="宋体" w:cs="宋体"/>
                <w:color w:val="auto"/>
                <w:sz w:val="24"/>
                <w:szCs w:val="24"/>
                <w:highlight w:val="none"/>
                <w:lang w:val="en-US" w:eastAsia="zh-CN"/>
              </w:rPr>
              <w:br w:type="textWrapping"/>
            </w:r>
            <w:r>
              <w:rPr>
                <w:rFonts w:hint="eastAsia" w:ascii="宋体" w:hAnsi="宋体" w:cs="宋体"/>
                <w:color w:val="auto"/>
                <w:sz w:val="24"/>
                <w:szCs w:val="24"/>
                <w:highlight w:val="none"/>
                <w:lang w:val="en-US" w:eastAsia="zh-CN"/>
              </w:rPr>
              <w:t xml:space="preserve">   </w:t>
            </w:r>
            <w:r>
              <w:rPr>
                <w:rFonts w:hint="eastAsia"/>
                <w:color w:val="auto"/>
                <w:lang w:val="en-US" w:eastAsia="zh-CN"/>
              </w:rPr>
              <w:t xml:space="preserve">  </w:t>
            </w:r>
            <w:r>
              <w:rPr>
                <w:rFonts w:hint="eastAsia" w:cs="宋体"/>
                <w:b/>
                <w:bCs/>
                <w:color w:val="auto"/>
                <w:sz w:val="24"/>
                <w:szCs w:val="24"/>
                <w:lang w:val="en-US" w:eastAsia="zh-CN"/>
              </w:rPr>
              <w:t>8、公用工程</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供水</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依托园区给水管道</w:t>
            </w:r>
            <w:r>
              <w:rPr>
                <w:rFonts w:hint="eastAsia" w:ascii="宋体" w:hAnsi="宋体" w:cs="宋体"/>
                <w:color w:val="auto"/>
                <w:sz w:val="24"/>
                <w:szCs w:val="24"/>
                <w:highlight w:val="none"/>
                <w:lang w:val="en-US" w:eastAsia="zh-CN"/>
              </w:rPr>
              <w:t>供水</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排水</w:t>
            </w:r>
            <w:r>
              <w:rPr>
                <w:rFonts w:hint="eastAsia" w:ascii="宋体" w:hAnsi="宋体" w:cs="宋体"/>
                <w:color w:val="auto"/>
                <w:sz w:val="24"/>
                <w:szCs w:val="24"/>
                <w:highlight w:val="none"/>
                <w:lang w:val="en-US" w:eastAsia="zh-CN"/>
              </w:rPr>
              <w:t>：项目实施</w:t>
            </w:r>
            <w:r>
              <w:rPr>
                <w:rFonts w:hint="eastAsia" w:ascii="宋体" w:hAnsi="宋体" w:eastAsia="宋体" w:cs="宋体"/>
                <w:color w:val="auto"/>
                <w:sz w:val="24"/>
                <w:szCs w:val="24"/>
                <w:highlight w:val="none"/>
                <w:lang w:val="en-US" w:eastAsia="zh-CN"/>
              </w:rPr>
              <w:t>雨污分流，雨水经雨水管网收集后进入园区雨水管网，生活污水经化粪池处理后排入园区污水管网，进入淮北蓝海水处理有限公司；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供电</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依托由园区供电管网供电</w:t>
            </w:r>
            <w:r>
              <w:rPr>
                <w:rFonts w:hint="eastAsia" w:ascii="宋体" w:hAnsi="宋体" w:eastAsia="宋体" w:cs="宋体"/>
                <w:color w:val="auto"/>
                <w:sz w:val="24"/>
                <w:szCs w:val="24"/>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ascii="宋体" w:hAnsi="宋体" w:cs="宋体"/>
                <w:color w:val="auto"/>
                <w:sz w:val="24"/>
                <w:szCs w:val="24"/>
                <w:highlight w:val="none"/>
                <w:lang w:val="en-US" w:eastAsia="zh-CN"/>
              </w:rPr>
              <w:t>（4）供汽：由淮北旺能环保能源有限公司供汽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消防系统</w:t>
            </w:r>
            <w:r>
              <w:rPr>
                <w:rFonts w:hint="eastAsia" w:ascii="宋体" w:hAnsi="宋体" w:eastAsia="宋体" w:cs="宋体"/>
                <w:color w:val="auto"/>
                <w:sz w:val="24"/>
                <w:szCs w:val="24"/>
                <w:highlight w:val="none"/>
                <w:lang w:val="en-US" w:eastAsia="zh-CN"/>
              </w:rPr>
              <w:tab/>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按照相关规定设置各类消防设施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1" w:hRule="atLeast"/>
          <w:jc w:val="center"/>
        </w:trPr>
        <w:tc>
          <w:tcPr>
            <w:tcW w:w="600" w:type="dxa"/>
            <w:vAlign w:val="center"/>
          </w:tcPr>
          <w:p>
            <w:pPr>
              <w:pStyle w:val="33"/>
              <w:adjustRightInd w:val="0"/>
              <w:snapToGrid w:val="0"/>
              <w:spacing w:before="0" w:beforeAutospacing="0" w:after="0" w:afterAutospacing="0"/>
              <w:jc w:val="center"/>
              <w:rPr>
                <w:rFonts w:cs="Times New Roman"/>
                <w:color w:val="auto"/>
                <w:sz w:val="21"/>
                <w:szCs w:val="21"/>
              </w:rPr>
            </w:pPr>
            <w:r>
              <w:rPr>
                <w:rFonts w:hint="eastAsia"/>
                <w:color w:val="auto"/>
                <w:kern w:val="2"/>
              </w:rPr>
              <w:t>工艺流程和产排污环节</w:t>
            </w:r>
          </w:p>
        </w:tc>
        <w:tc>
          <w:tcPr>
            <w:tcW w:w="8552" w:type="dxa"/>
          </w:tcPr>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1、工艺流程和产污环节</w:t>
            </w:r>
          </w:p>
          <w:p>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1.1</w:t>
            </w:r>
            <w:r>
              <w:rPr>
                <w:rFonts w:hint="eastAsia" w:ascii="宋体" w:hAnsi="宋体" w:eastAsia="宋体" w:cs="宋体"/>
                <w:color w:val="auto"/>
                <w:sz w:val="24"/>
                <w:szCs w:val="24"/>
                <w:highlight w:val="none"/>
                <w:lang w:val="en-US" w:eastAsia="zh-CN"/>
              </w:rPr>
              <w:t xml:space="preserve"> PP</w:t>
            </w:r>
            <w:r>
              <w:rPr>
                <w:rFonts w:hint="eastAsia" w:ascii="宋体" w:hAnsi="宋体" w:eastAsia="宋体" w:cs="宋体"/>
                <w:color w:val="auto"/>
                <w:sz w:val="24"/>
                <w:szCs w:val="24"/>
                <w:highlight w:val="none"/>
                <w:lang w:eastAsia="zh-CN"/>
              </w:rPr>
              <w:t>塑料型材（板材）生</w:t>
            </w:r>
            <w:r>
              <w:rPr>
                <w:rFonts w:hint="eastAsia" w:ascii="宋体" w:hAnsi="宋体" w:cs="宋体"/>
                <w:color w:val="auto"/>
                <w:sz w:val="24"/>
                <w:szCs w:val="24"/>
                <w:highlight w:val="none"/>
              </w:rPr>
              <w:t>产工艺和产污环节</w:t>
            </w:r>
            <w:r>
              <w:rPr>
                <w:rFonts w:hint="eastAsia" w:ascii="宋体" w:hAnsi="宋体" w:cs="宋体"/>
                <w:color w:val="auto"/>
                <w:sz w:val="24"/>
                <w:szCs w:val="24"/>
                <w:highlight w:val="none"/>
                <w:lang w:eastAsia="zh-CN"/>
              </w:rPr>
              <w:t>见图</w:t>
            </w:r>
            <w:r>
              <w:rPr>
                <w:rFonts w:hint="eastAsia" w:ascii="宋体" w:hAnsi="宋体" w:cs="宋体"/>
                <w:color w:val="auto"/>
                <w:sz w:val="24"/>
                <w:szCs w:val="24"/>
                <w:highlight w:val="none"/>
                <w:lang w:val="en-US" w:eastAsia="zh-CN"/>
              </w:rPr>
              <w:t>2-1。</w:t>
            </w:r>
          </w:p>
          <w:p>
            <w:pPr>
              <w:spacing w:line="360" w:lineRule="auto"/>
              <w:jc w:val="center"/>
              <w:rPr>
                <w:rFonts w:hint="eastAsia"/>
                <w:color w:val="auto"/>
                <w:lang w:eastAsia="zh-CN"/>
              </w:rPr>
            </w:pPr>
            <w:r>
              <w:rPr>
                <w:rFonts w:hint="eastAsia"/>
                <w:color w:val="auto"/>
                <w:lang w:eastAsia="zh-CN"/>
              </w:rPr>
              <w:drawing>
                <wp:inline distT="0" distB="0" distL="114300" distR="114300">
                  <wp:extent cx="4070350" cy="2696210"/>
                  <wp:effectExtent l="0" t="0" r="6350" b="889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9"/>
                          <a:stretch>
                            <a:fillRect/>
                          </a:stretch>
                        </pic:blipFill>
                        <pic:spPr>
                          <a:xfrm>
                            <a:off x="0" y="0"/>
                            <a:ext cx="4070350" cy="26962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color w:val="auto"/>
              </w:rPr>
            </w:pPr>
            <w:r>
              <w:rPr>
                <w:rFonts w:hint="eastAsia"/>
                <w:color w:val="auto"/>
              </w:rPr>
              <w:t>图</w:t>
            </w:r>
            <w:r>
              <w:rPr>
                <w:color w:val="auto"/>
              </w:rPr>
              <w:t xml:space="preserve">2-1  </w:t>
            </w:r>
            <w:r>
              <w:rPr>
                <w:rFonts w:hint="eastAsia"/>
                <w:color w:val="auto"/>
                <w:lang w:val="en-US" w:eastAsia="zh-CN"/>
              </w:rPr>
              <w:t>PP</w:t>
            </w:r>
            <w:r>
              <w:rPr>
                <w:rFonts w:hint="eastAsia" w:hAnsi="宋体"/>
                <w:color w:val="auto"/>
                <w:kern w:val="0"/>
                <w:szCs w:val="21"/>
                <w:lang w:eastAsia="zh-CN"/>
              </w:rPr>
              <w:t>塑料型材（板材）</w:t>
            </w:r>
            <w:r>
              <w:rPr>
                <w:rFonts w:hint="eastAsia"/>
                <w:color w:val="auto"/>
              </w:rPr>
              <w:t>生产工艺和产污环节图</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工艺说明：</w:t>
            </w:r>
          </w:p>
          <w:p>
            <w:pPr>
              <w:spacing w:line="360" w:lineRule="auto"/>
              <w:ind w:firstLine="480" w:firstLineChars="20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eastAsia="zh-CN"/>
              </w:rPr>
              <w:t>根据订单需求</w:t>
            </w:r>
            <w:r>
              <w:rPr>
                <w:rFonts w:hint="eastAsia" w:ascii="宋体" w:hAnsi="宋体" w:eastAsia="宋体" w:cs="宋体"/>
                <w:color w:val="auto"/>
                <w:sz w:val="24"/>
                <w:szCs w:val="24"/>
                <w:highlight w:val="none"/>
                <w:lang w:eastAsia="zh-CN"/>
              </w:rPr>
              <w:t>将</w:t>
            </w:r>
            <w:r>
              <w:rPr>
                <w:rFonts w:hint="eastAsia" w:ascii="宋体" w:hAnsi="宋体" w:cs="宋体"/>
                <w:color w:val="auto"/>
                <w:sz w:val="24"/>
                <w:szCs w:val="24"/>
                <w:highlight w:val="none"/>
                <w:lang w:eastAsia="zh-CN"/>
              </w:rPr>
              <w:t>原料尼龙颗粒、聚丙烯颗粒、色母颗粒</w:t>
            </w:r>
            <w:r>
              <w:rPr>
                <w:rFonts w:hint="eastAsia" w:ascii="宋体" w:hAnsi="宋体" w:eastAsia="宋体" w:cs="宋体"/>
                <w:color w:val="auto"/>
                <w:sz w:val="24"/>
                <w:szCs w:val="24"/>
                <w:highlight w:val="none"/>
                <w:lang w:eastAsia="zh-CN"/>
              </w:rPr>
              <w:t>(颗粒物粒径约</w:t>
            </w:r>
            <w:r>
              <w:rPr>
                <w:rFonts w:hint="eastAsia" w:ascii="宋体" w:hAnsi="宋体" w:cs="宋体"/>
                <w:color w:val="auto"/>
                <w:sz w:val="24"/>
                <w:szCs w:val="24"/>
                <w:highlight w:val="none"/>
                <w:lang w:val="en-US" w:eastAsia="zh-CN"/>
              </w:rPr>
              <w:t>3-5</w:t>
            </w:r>
            <w:r>
              <w:rPr>
                <w:rFonts w:hint="eastAsia" w:ascii="宋体" w:hAnsi="宋体" w:eastAsia="宋体" w:cs="宋体"/>
                <w:color w:val="auto"/>
                <w:sz w:val="24"/>
                <w:szCs w:val="24"/>
                <w:highlight w:val="none"/>
                <w:lang w:eastAsia="zh-CN"/>
              </w:rPr>
              <w:t>mm，在投料过程中不产生投料粉尘)</w:t>
            </w:r>
            <w:r>
              <w:rPr>
                <w:rFonts w:hint="eastAsia" w:ascii="宋体" w:hAnsi="宋体" w:cs="宋体"/>
                <w:color w:val="auto"/>
                <w:sz w:val="24"/>
                <w:szCs w:val="24"/>
                <w:highlight w:val="none"/>
                <w:lang w:eastAsia="zh-CN"/>
              </w:rPr>
              <w:t>同时由人工</w:t>
            </w:r>
            <w:r>
              <w:rPr>
                <w:rFonts w:hint="eastAsia" w:ascii="宋体" w:hAnsi="宋体" w:eastAsia="宋体" w:cs="宋体"/>
                <w:color w:val="auto"/>
                <w:sz w:val="24"/>
                <w:szCs w:val="24"/>
                <w:highlight w:val="none"/>
                <w:lang w:eastAsia="zh-CN"/>
              </w:rPr>
              <w:t>喂入螺杆挤出机，通过螺杆挤压、剪切和搅拌等作用，使</w:t>
            </w:r>
            <w:r>
              <w:rPr>
                <w:rFonts w:hint="eastAsia" w:ascii="宋体" w:hAnsi="宋体" w:cs="宋体"/>
                <w:color w:val="auto"/>
                <w:sz w:val="24"/>
                <w:szCs w:val="24"/>
                <w:highlight w:val="none"/>
                <w:lang w:eastAsia="zh-CN"/>
              </w:rPr>
              <w:t>原</w:t>
            </w:r>
            <w:r>
              <w:rPr>
                <w:rFonts w:hint="eastAsia" w:ascii="宋体" w:hAnsi="宋体" w:eastAsia="宋体" w:cs="宋体"/>
                <w:color w:val="auto"/>
                <w:sz w:val="24"/>
                <w:szCs w:val="24"/>
                <w:highlight w:val="none"/>
                <w:lang w:eastAsia="zh-CN"/>
              </w:rPr>
              <w:t>料受热塑化，加热温度在</w:t>
            </w:r>
            <w:r>
              <w:rPr>
                <w:rFonts w:hint="eastAsia" w:ascii="宋体" w:hAnsi="宋体" w:cs="宋体"/>
                <w:color w:val="auto"/>
                <w:sz w:val="24"/>
                <w:szCs w:val="24"/>
                <w:highlight w:val="none"/>
                <w:lang w:val="en-US" w:eastAsia="zh-CN"/>
              </w:rPr>
              <w:t>200</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左右</w:t>
            </w:r>
            <w:r>
              <w:rPr>
                <w:rFonts w:hint="eastAsia" w:ascii="宋体" w:hAnsi="宋体" w:eastAsia="宋体" w:cs="宋体"/>
                <w:color w:val="auto"/>
                <w:sz w:val="24"/>
                <w:szCs w:val="24"/>
                <w:highlight w:val="none"/>
                <w:lang w:eastAsia="zh-CN"/>
              </w:rPr>
              <w:t>，并由口型连续</w:t>
            </w:r>
            <w:r>
              <w:rPr>
                <w:rFonts w:hint="eastAsia" w:ascii="宋体" w:hAnsi="宋体" w:cs="宋体"/>
                <w:color w:val="auto"/>
                <w:sz w:val="24"/>
                <w:szCs w:val="24"/>
                <w:highlight w:val="none"/>
                <w:lang w:eastAsia="zh-CN"/>
              </w:rPr>
              <w:t>切割并</w:t>
            </w:r>
            <w:r>
              <w:rPr>
                <w:rFonts w:hint="eastAsia" w:ascii="宋体" w:hAnsi="宋体" w:eastAsia="宋体" w:cs="宋体"/>
                <w:color w:val="auto"/>
                <w:sz w:val="24"/>
                <w:szCs w:val="24"/>
                <w:highlight w:val="none"/>
                <w:lang w:eastAsia="zh-CN"/>
              </w:rPr>
              <w:t>挤出</w:t>
            </w:r>
            <w:r>
              <w:rPr>
                <w:rFonts w:hint="eastAsia" w:ascii="宋体" w:hAnsi="宋体" w:cs="宋体"/>
                <w:color w:val="auto"/>
                <w:sz w:val="24"/>
                <w:szCs w:val="24"/>
                <w:highlight w:val="none"/>
                <w:lang w:eastAsia="zh-CN"/>
              </w:rPr>
              <w:t>产</w:t>
            </w:r>
            <w:r>
              <w:rPr>
                <w:rFonts w:hint="eastAsia" w:ascii="宋体" w:hAnsi="宋体" w:eastAsia="宋体" w:cs="宋体"/>
                <w:color w:val="auto"/>
                <w:sz w:val="24"/>
                <w:szCs w:val="24"/>
                <w:highlight w:val="none"/>
                <w:lang w:eastAsia="zh-CN"/>
              </w:rPr>
              <w:t>品。该过程将会产生废气</w:t>
            </w:r>
            <w:r>
              <w:rPr>
                <w:rFonts w:hint="eastAsia" w:ascii="宋体" w:hAnsi="宋体" w:cs="宋体"/>
                <w:color w:val="auto"/>
                <w:sz w:val="24"/>
                <w:szCs w:val="24"/>
                <w:highlight w:val="none"/>
                <w:lang w:eastAsia="zh-CN"/>
              </w:rPr>
              <w:t>、噪声、固废。挤出后的产品温度较高，需经冷却水箱简接冷却，冷却水箱内冷却废水循环使用，不外排，定期补充损耗水量。成品经检验合格后进行包装入库，待外售。不合格产品经破碎机破碎后回用于生产。破碎机产生的颗粒物经布袋除尘器处理后与生产车间内无组织排放</w:t>
            </w:r>
            <w:r>
              <w:rPr>
                <w:rFonts w:hint="eastAsia" w:ascii="宋体" w:hAnsi="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PE</w:t>
            </w:r>
            <w:r>
              <w:rPr>
                <w:rFonts w:hint="eastAsia" w:ascii="宋体" w:hAnsi="宋体" w:eastAsia="宋体" w:cs="宋体"/>
                <w:color w:val="auto"/>
                <w:sz w:val="24"/>
                <w:szCs w:val="24"/>
                <w:highlight w:val="none"/>
                <w:lang w:eastAsia="zh-CN"/>
              </w:rPr>
              <w:t>塑料型材（板材）</w:t>
            </w:r>
            <w:r>
              <w:rPr>
                <w:rFonts w:hint="eastAsia" w:ascii="宋体" w:hAnsi="宋体" w:eastAsia="宋体" w:cs="宋体"/>
                <w:color w:val="auto"/>
                <w:sz w:val="24"/>
                <w:szCs w:val="24"/>
                <w:highlight w:val="none"/>
              </w:rPr>
              <w:t>生</w:t>
            </w:r>
            <w:r>
              <w:rPr>
                <w:rFonts w:hint="eastAsia" w:ascii="宋体" w:hAnsi="宋体" w:cs="宋体"/>
                <w:color w:val="auto"/>
                <w:sz w:val="24"/>
                <w:szCs w:val="24"/>
                <w:highlight w:val="none"/>
              </w:rPr>
              <w:t>产工艺和产污环节</w:t>
            </w:r>
            <w:r>
              <w:rPr>
                <w:rFonts w:hint="eastAsia" w:ascii="宋体" w:hAnsi="宋体" w:cs="宋体"/>
                <w:color w:val="auto"/>
                <w:sz w:val="24"/>
                <w:szCs w:val="24"/>
                <w:highlight w:val="none"/>
                <w:lang w:eastAsia="zh-CN"/>
              </w:rPr>
              <w:t>见图</w:t>
            </w:r>
            <w:r>
              <w:rPr>
                <w:rFonts w:hint="eastAsia" w:ascii="宋体" w:hAnsi="宋体" w:cs="宋体"/>
                <w:color w:val="auto"/>
                <w:sz w:val="24"/>
                <w:szCs w:val="24"/>
                <w:highlight w:val="none"/>
                <w:lang w:val="en-US" w:eastAsia="zh-CN"/>
              </w:rPr>
              <w:t>2-2。</w:t>
            </w:r>
          </w:p>
          <w:p>
            <w:pPr>
              <w:spacing w:line="360" w:lineRule="auto"/>
              <w:jc w:val="center"/>
              <w:rPr>
                <w:rFonts w:hint="eastAsia" w:eastAsia="宋体"/>
                <w:color w:val="auto"/>
                <w:lang w:eastAsia="zh-CN"/>
              </w:rPr>
            </w:pPr>
            <w:r>
              <w:rPr>
                <w:rFonts w:hint="eastAsia" w:eastAsia="宋体"/>
                <w:color w:val="auto"/>
                <w:lang w:eastAsia="zh-CN"/>
              </w:rPr>
              <w:drawing>
                <wp:inline distT="0" distB="0" distL="114300" distR="114300">
                  <wp:extent cx="4406900" cy="2819400"/>
                  <wp:effectExtent l="0" t="0" r="12700" b="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0"/>
                          <a:srcRect t="4726" b="5595"/>
                          <a:stretch>
                            <a:fillRect/>
                          </a:stretch>
                        </pic:blipFill>
                        <pic:spPr>
                          <a:xfrm>
                            <a:off x="0" y="0"/>
                            <a:ext cx="4406900" cy="2819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color w:val="auto"/>
              </w:rPr>
            </w:pPr>
            <w:r>
              <w:rPr>
                <w:rFonts w:hint="eastAsia"/>
                <w:color w:val="auto"/>
              </w:rPr>
              <w:t>图</w:t>
            </w:r>
            <w:r>
              <w:rPr>
                <w:color w:val="auto"/>
              </w:rPr>
              <w:t>2-</w:t>
            </w:r>
            <w:r>
              <w:rPr>
                <w:rFonts w:hint="eastAsia"/>
                <w:color w:val="auto"/>
                <w:lang w:val="en-US" w:eastAsia="zh-CN"/>
              </w:rPr>
              <w:t>2</w:t>
            </w:r>
            <w:r>
              <w:rPr>
                <w:color w:val="auto"/>
              </w:rPr>
              <w:t xml:space="preserve">  </w:t>
            </w:r>
            <w:r>
              <w:rPr>
                <w:rFonts w:hint="eastAsia"/>
                <w:color w:val="auto"/>
                <w:lang w:val="en-US" w:eastAsia="zh-CN"/>
              </w:rPr>
              <w:t>PE</w:t>
            </w:r>
            <w:r>
              <w:rPr>
                <w:rFonts w:hint="eastAsia" w:hAnsi="宋体"/>
                <w:color w:val="auto"/>
                <w:kern w:val="0"/>
                <w:szCs w:val="21"/>
                <w:lang w:eastAsia="zh-CN"/>
              </w:rPr>
              <w:t>塑料型材（板材）</w:t>
            </w:r>
            <w:r>
              <w:rPr>
                <w:rFonts w:hint="eastAsia"/>
                <w:color w:val="auto"/>
              </w:rPr>
              <w:t>生产工艺和产污环节图</w:t>
            </w:r>
          </w:p>
          <w:p>
            <w:pPr>
              <w:spacing w:line="360" w:lineRule="auto"/>
              <w:ind w:left="479" w:leftChars="228"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工艺说明：</w:t>
            </w:r>
          </w:p>
          <w:p>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eastAsia="zh-CN"/>
              </w:rPr>
              <w:t>根据订单需求将原料尼龙颗粒、聚乙烯、色母颗粒(颗粒物粒径约3-5mm，在投料过程中不产生投料粉尘)同时由人工喂入螺杆挤出机，通过螺杆挤压、剪切和搅拌等作用，使原料受热塑化，加热温度在200℃左右，并由口型连续切割并挤出产品。该过程将会产生废气、噪声、固废。挤出后的产品温度较高，需经冷却水箱简接冷却，冷却水箱内冷却废水循环使用，不外排，定期补充损耗水量。成品经检验合格后进行包装入库，待外售。不合格产品经破碎机破碎后回用于生产。破碎机产生的颗粒物经布袋除尘器处理后与生产车间内无组织排放。</w:t>
            </w:r>
          </w:p>
          <w:p>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1.3 </w:t>
            </w:r>
            <w:r>
              <w:rPr>
                <w:rFonts w:hint="eastAsia" w:ascii="宋体" w:hAnsi="宋体" w:cs="宋体"/>
                <w:color w:val="auto"/>
                <w:sz w:val="24"/>
                <w:szCs w:val="24"/>
                <w:highlight w:val="none"/>
                <w:lang w:eastAsia="zh-CN"/>
              </w:rPr>
              <w:t>新型外墙保温材料</w:t>
            </w:r>
            <w:r>
              <w:rPr>
                <w:rFonts w:hint="eastAsia" w:ascii="宋体" w:hAnsi="宋体" w:cs="宋体"/>
                <w:color w:val="auto"/>
                <w:sz w:val="24"/>
                <w:szCs w:val="24"/>
                <w:highlight w:val="none"/>
              </w:rPr>
              <w:t>生产工艺和产污环节</w:t>
            </w:r>
            <w:r>
              <w:rPr>
                <w:rFonts w:hint="eastAsia" w:ascii="宋体" w:hAnsi="宋体" w:cs="宋体"/>
                <w:color w:val="auto"/>
                <w:sz w:val="24"/>
                <w:szCs w:val="24"/>
                <w:highlight w:val="none"/>
                <w:lang w:eastAsia="zh-CN"/>
              </w:rPr>
              <w:t>见图</w:t>
            </w:r>
            <w:r>
              <w:rPr>
                <w:rFonts w:hint="eastAsia" w:ascii="宋体" w:hAnsi="宋体" w:cs="宋体"/>
                <w:color w:val="auto"/>
                <w:sz w:val="24"/>
                <w:szCs w:val="24"/>
                <w:highlight w:val="none"/>
                <w:lang w:val="en-US" w:eastAsia="zh-CN"/>
              </w:rPr>
              <w:t>2-3</w:t>
            </w:r>
          </w:p>
          <w:p>
            <w:pPr>
              <w:spacing w:line="360" w:lineRule="auto"/>
              <w:ind w:firstLine="420" w:firstLineChars="200"/>
              <w:jc w:val="center"/>
              <w:rPr>
                <w:rFonts w:hint="eastAsia" w:ascii="宋体" w:hAnsi="宋体" w:cs="宋体"/>
                <w:color w:val="auto"/>
                <w:sz w:val="24"/>
                <w:szCs w:val="24"/>
                <w:highlight w:val="none"/>
                <w:lang w:val="en-US" w:eastAsia="zh-CN"/>
              </w:rPr>
            </w:pPr>
            <w:r>
              <w:rPr>
                <w:color w:val="auto"/>
              </w:rPr>
              <w:drawing>
                <wp:inline distT="0" distB="0" distL="114300" distR="114300">
                  <wp:extent cx="3695065" cy="453390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695065" cy="4533900"/>
                          </a:xfrm>
                          <a:prstGeom prst="rect">
                            <a:avLst/>
                          </a:prstGeom>
                          <a:noFill/>
                          <a:ln>
                            <a:noFill/>
                          </a:ln>
                        </pic:spPr>
                      </pic:pic>
                    </a:graphicData>
                  </a:graphic>
                </wp:inline>
              </w:drawing>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工艺说明：</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①一次发泡：聚苯乙烯颗粒颗粒通过人工投入矩形料斗(颗粒物粒径约</w:t>
            </w:r>
            <w:r>
              <w:rPr>
                <w:rFonts w:hint="eastAsia" w:ascii="宋体" w:hAnsi="宋体" w:cs="宋体"/>
                <w:color w:val="auto"/>
                <w:sz w:val="24"/>
                <w:szCs w:val="24"/>
                <w:highlight w:val="none"/>
                <w:lang w:val="en-US" w:eastAsia="zh-CN"/>
              </w:rPr>
              <w:t>3-5</w:t>
            </w:r>
            <w:r>
              <w:rPr>
                <w:rFonts w:hint="eastAsia" w:ascii="宋体" w:hAnsi="宋体" w:eastAsia="宋体" w:cs="宋体"/>
                <w:color w:val="auto"/>
                <w:sz w:val="24"/>
                <w:szCs w:val="24"/>
                <w:highlight w:val="none"/>
                <w:lang w:eastAsia="zh-CN"/>
              </w:rPr>
              <w:t>mm，在投料过程中不产生投料粉尘)，颗粒物通过输送螺杆和自动计量定量输送至全封闭式不锈钢筒内。蒸汽加热（70-80℃）2-3min左右，聚苯乙烯颗粒颗粒开始发泡。该过程将会产生废气</w:t>
            </w:r>
            <w:r>
              <w:rPr>
                <w:rFonts w:hint="eastAsia" w:ascii="宋体" w:hAnsi="宋体" w:cs="宋体"/>
                <w:color w:val="auto"/>
                <w:sz w:val="24"/>
                <w:szCs w:val="24"/>
                <w:highlight w:val="none"/>
                <w:lang w:eastAsia="zh-CN"/>
              </w:rPr>
              <w:t>、噪声。</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②)熟化：发泡后的颗粒通过管道由风机输送至熟化料仓。熟化过程是将空气渗入聚苯乙烯颗粒颗粒内，使泡孔内、外压力平衡。以免泡孔坍塌，泡沫颗粒经一定的时间干燥，冷却和泡孔压力稳定而熟化成具有闭孔结构特征、有弹性的EPS泡沫颗粒。本项目采用自然熟化的方式，熟化时间为4h。</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③二次发泡：二次发泡工艺与一次发泡工艺相同，通过蒸汽进一步加热发泡，使颗粒内部的气孔继续膨胀，从而使泡沫颗粒得到需要的大小和更高的密度。该过程将会产生废气</w:t>
            </w:r>
            <w:r>
              <w:rPr>
                <w:rFonts w:hint="eastAsia" w:ascii="宋体" w:hAnsi="宋体" w:cs="宋体"/>
                <w:color w:val="auto"/>
                <w:sz w:val="24"/>
                <w:szCs w:val="24"/>
                <w:highlight w:val="none"/>
                <w:lang w:eastAsia="zh-CN"/>
              </w:rPr>
              <w:t>、噪声。</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④成型：熟化好的泡沫颗粒通过管道投入板材机，通过蒸汽（90~100℃）进行加热，约在20-60s的时间内，此时，泡沫颗粒再度软化，泡孔内的压力大于外面压力，颗粒物再度膨胀，并胀满颗粒间隙而结成整块，形成与模具</w:t>
            </w:r>
            <w:r>
              <w:rPr>
                <w:rFonts w:hint="eastAsia"/>
                <w:color w:val="auto"/>
                <w:lang w:eastAsia="zh-CN"/>
              </w:rPr>
              <w:t>（</w:t>
            </w:r>
            <w:r>
              <w:rPr>
                <w:rFonts w:hint="eastAsia" w:ascii="宋体" w:hAnsi="宋体" w:cs="宋体"/>
                <w:color w:val="auto"/>
                <w:sz w:val="24"/>
                <w:szCs w:val="24"/>
                <w:highlight w:val="none"/>
                <w:lang w:eastAsia="zh-CN"/>
              </w:rPr>
              <w:t>不使用脱模剂</w:t>
            </w:r>
            <w:r>
              <w:rPr>
                <w:rFonts w:hint="eastAsia"/>
                <w:color w:val="auto"/>
                <w:lang w:eastAsia="zh-CN"/>
              </w:rPr>
              <w:t>）</w:t>
            </w:r>
            <w:r>
              <w:rPr>
                <w:rFonts w:hint="eastAsia" w:ascii="宋体" w:hAnsi="宋体" w:eastAsia="宋体" w:cs="宋体"/>
                <w:color w:val="auto"/>
                <w:sz w:val="24"/>
                <w:szCs w:val="24"/>
                <w:highlight w:val="none"/>
                <w:lang w:eastAsia="zh-CN"/>
              </w:rPr>
              <w:t>相同的泡沫板。该过程将会产生废气</w:t>
            </w:r>
            <w:r>
              <w:rPr>
                <w:rFonts w:hint="eastAsia" w:ascii="宋体" w:hAnsi="宋体" w:cs="宋体"/>
                <w:color w:val="auto"/>
                <w:sz w:val="24"/>
                <w:szCs w:val="24"/>
                <w:highlight w:val="none"/>
                <w:lang w:eastAsia="zh-CN"/>
              </w:rPr>
              <w:t>、噪声。</w:t>
            </w:r>
          </w:p>
          <w:p>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⑤烘干：人工将脱模后的半成品搬运至烘干房，去除产品中的水分，烘干房使用蒸汽加热的方式，烘干时间为4h，温度保持在40-50℃。</w:t>
            </w:r>
            <w:r>
              <w:rPr>
                <w:rFonts w:hint="eastAsia" w:ascii="宋体" w:hAnsi="宋体" w:cs="宋体"/>
                <w:color w:val="auto"/>
                <w:sz w:val="24"/>
                <w:szCs w:val="24"/>
                <w:highlight w:val="none"/>
                <w:lang w:val="en-US" w:eastAsia="zh-CN"/>
              </w:rPr>
              <w:t xml:space="preserve">  </w:t>
            </w:r>
          </w:p>
          <w:p>
            <w:pPr>
              <w:spacing w:line="360" w:lineRule="auto"/>
              <w:ind w:firstLine="480" w:firstLineChars="200"/>
              <w:jc w:val="both"/>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 橡胶板</w:t>
            </w:r>
            <w:r>
              <w:rPr>
                <w:rFonts w:hint="eastAsia" w:ascii="宋体" w:hAnsi="宋体" w:cs="宋体"/>
                <w:color w:val="auto"/>
                <w:sz w:val="24"/>
                <w:szCs w:val="24"/>
                <w:highlight w:val="none"/>
              </w:rPr>
              <w:t>生产工艺和产污环节</w:t>
            </w:r>
            <w:r>
              <w:rPr>
                <w:rFonts w:hint="eastAsia" w:ascii="宋体" w:hAnsi="宋体" w:cs="宋体"/>
                <w:color w:val="auto"/>
                <w:sz w:val="24"/>
                <w:szCs w:val="24"/>
                <w:highlight w:val="none"/>
                <w:lang w:eastAsia="zh-CN"/>
              </w:rPr>
              <w:t>见图</w:t>
            </w:r>
            <w:r>
              <w:rPr>
                <w:rFonts w:hint="eastAsia" w:ascii="宋体" w:hAnsi="宋体" w:cs="宋体"/>
                <w:color w:val="auto"/>
                <w:sz w:val="24"/>
                <w:szCs w:val="24"/>
                <w:highlight w:val="none"/>
                <w:lang w:val="en-US" w:eastAsia="zh-CN"/>
              </w:rPr>
              <w:t>2-4。</w:t>
            </w:r>
          </w:p>
          <w:p>
            <w:pPr>
              <w:spacing w:line="360" w:lineRule="auto"/>
              <w:jc w:val="center"/>
              <w:rPr>
                <w:color w:val="auto"/>
              </w:rPr>
            </w:pPr>
            <w:r>
              <w:rPr>
                <w:rFonts w:hint="eastAsia" w:ascii="宋体" w:hAnsi="宋体" w:cs="宋体"/>
                <w:color w:val="auto"/>
                <w:sz w:val="24"/>
                <w:szCs w:val="24"/>
                <w:highlight w:val="none"/>
                <w:lang w:val="en-US" w:eastAsia="zh-CN"/>
              </w:rPr>
              <w:drawing>
                <wp:inline distT="0" distB="0" distL="114300" distR="114300">
                  <wp:extent cx="4222115" cy="2921635"/>
                  <wp:effectExtent l="0" t="0" r="6985" b="12065"/>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12"/>
                          <a:stretch>
                            <a:fillRect/>
                          </a:stretch>
                        </pic:blipFill>
                        <pic:spPr>
                          <a:xfrm>
                            <a:off x="0" y="0"/>
                            <a:ext cx="4222115" cy="2921635"/>
                          </a:xfrm>
                          <a:prstGeom prst="rect">
                            <a:avLst/>
                          </a:prstGeom>
                          <a:noFill/>
                          <a:ln>
                            <a:noFill/>
                          </a:ln>
                        </pic:spPr>
                      </pic:pic>
                    </a:graphicData>
                  </a:graphic>
                </wp:inline>
              </w:drawing>
            </w:r>
            <w:r>
              <w:rPr>
                <w:rFonts w:hint="eastAsia" w:ascii="宋体" w:hAnsi="宋体" w:cs="宋体"/>
                <w:color w:val="auto"/>
                <w:sz w:val="24"/>
                <w:szCs w:val="24"/>
                <w:highlight w:val="none"/>
                <w:lang w:val="en-US" w:eastAsia="zh-CN"/>
              </w:rPr>
              <w:br w:type="textWrapping"/>
            </w:r>
            <w:r>
              <w:rPr>
                <w:rFonts w:hint="eastAsia"/>
                <w:color w:val="auto"/>
              </w:rPr>
              <w:t>图</w:t>
            </w:r>
            <w:r>
              <w:rPr>
                <w:color w:val="auto"/>
              </w:rPr>
              <w:t>2-</w:t>
            </w:r>
            <w:r>
              <w:rPr>
                <w:rFonts w:hint="eastAsia"/>
                <w:color w:val="auto"/>
                <w:lang w:val="en-US" w:eastAsia="zh-CN"/>
              </w:rPr>
              <w:t>3</w:t>
            </w:r>
            <w:r>
              <w:rPr>
                <w:rFonts w:hint="eastAsia"/>
                <w:color w:val="auto"/>
              </w:rPr>
              <w:t xml:space="preserve">  </w:t>
            </w:r>
            <w:r>
              <w:rPr>
                <w:rFonts w:hint="eastAsia"/>
                <w:color w:val="auto"/>
                <w:lang w:eastAsia="zh-CN"/>
              </w:rPr>
              <w:t>橡胶板</w:t>
            </w:r>
            <w:r>
              <w:rPr>
                <w:rFonts w:hint="eastAsia"/>
                <w:color w:val="auto"/>
              </w:rPr>
              <w:t>生产工艺和产污环节图</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工艺说明：</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根据订单需求将原料胶粉、橡胶填充剂、石蜡同时由人工喂入螺杆挤出机，此过程将会产生投料粉尘，通过螺杆挤压、剪切和搅拌等作用，使原料受热塑化，加热温度在200℃左右，并由口型连续切割并挤出产品。该过程将会产生废气、噪声、固废。挤出后的产品温度较高，需经冷却水箱简接冷却，冷却水箱内冷却废水循环使用，不外排，定期补充损耗水量。成品经检验合格后进行包装入库，待外售。不合格产品经破碎机破碎后回用于生产。投料粉尘、破碎机产生的颗粒物经布袋除尘器处理后与生产车间内无组织排放。</w:t>
            </w:r>
            <w:r>
              <w:rPr>
                <w:rFonts w:hint="eastAsia" w:ascii="宋体" w:hAnsi="宋体" w:cs="宋体"/>
                <w:color w:val="auto"/>
                <w:sz w:val="24"/>
                <w:szCs w:val="24"/>
                <w:highlight w:val="none"/>
                <w:lang w:eastAsia="zh-CN"/>
              </w:rPr>
              <w:br w:type="textWrapping"/>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2 项目产排污环节一览表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color w:val="auto"/>
                <w:lang w:val="en-US" w:eastAsia="zh-CN"/>
              </w:rPr>
            </w:pPr>
            <w:r>
              <w:rPr>
                <w:rFonts w:hint="eastAsia"/>
                <w:color w:val="auto"/>
                <w:lang w:val="en-US" w:eastAsia="zh-CN"/>
              </w:rPr>
              <w:t>表2-7 产排污一览表</w:t>
            </w:r>
          </w:p>
          <w:tbl>
            <w:tblPr>
              <w:tblStyle w:val="36"/>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2014"/>
              <w:gridCol w:w="2126"/>
              <w:gridCol w:w="2075"/>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12" w:type="dxa"/>
                  <w:noWrap w:val="0"/>
                  <w:vAlign w:val="center"/>
                </w:tcPr>
                <w:p>
                  <w:pPr>
                    <w:adjustRightInd w:val="0"/>
                    <w:snapToGrid w:val="0"/>
                    <w:jc w:val="center"/>
                    <w:rPr>
                      <w:rFonts w:hint="eastAsia"/>
                      <w:color w:val="auto"/>
                      <w:lang w:eastAsia="zh-CN"/>
                    </w:rPr>
                  </w:pPr>
                  <w:r>
                    <w:rPr>
                      <w:rFonts w:hint="eastAsia"/>
                      <w:color w:val="auto"/>
                      <w:lang w:eastAsia="zh-CN"/>
                    </w:rPr>
                    <w:t>项目</w:t>
                  </w:r>
                </w:p>
              </w:tc>
              <w:tc>
                <w:tcPr>
                  <w:tcW w:w="2014" w:type="dxa"/>
                  <w:noWrap w:val="0"/>
                  <w:vAlign w:val="center"/>
                </w:tcPr>
                <w:p>
                  <w:pPr>
                    <w:adjustRightInd w:val="0"/>
                    <w:snapToGrid w:val="0"/>
                    <w:jc w:val="center"/>
                    <w:rPr>
                      <w:rFonts w:hint="eastAsia"/>
                      <w:color w:val="auto"/>
                      <w:lang w:eastAsia="zh-CN"/>
                    </w:rPr>
                  </w:pPr>
                  <w:r>
                    <w:rPr>
                      <w:rFonts w:hint="eastAsia"/>
                      <w:color w:val="auto"/>
                      <w:lang w:eastAsia="zh-CN"/>
                    </w:rPr>
                    <w:t>产污环节</w:t>
                  </w:r>
                </w:p>
              </w:tc>
              <w:tc>
                <w:tcPr>
                  <w:tcW w:w="2126" w:type="dxa"/>
                  <w:noWrap w:val="0"/>
                  <w:vAlign w:val="center"/>
                </w:tcPr>
                <w:p>
                  <w:pPr>
                    <w:adjustRightInd w:val="0"/>
                    <w:snapToGrid w:val="0"/>
                    <w:jc w:val="center"/>
                    <w:rPr>
                      <w:rFonts w:hint="eastAsia"/>
                      <w:color w:val="auto"/>
                      <w:lang w:eastAsia="zh-CN"/>
                    </w:rPr>
                  </w:pPr>
                  <w:r>
                    <w:rPr>
                      <w:rFonts w:hint="eastAsia"/>
                      <w:color w:val="auto"/>
                      <w:lang w:eastAsia="zh-CN"/>
                    </w:rPr>
                    <w:t>主要污染物</w:t>
                  </w:r>
                </w:p>
              </w:tc>
              <w:tc>
                <w:tcPr>
                  <w:tcW w:w="2075" w:type="dxa"/>
                  <w:noWrap w:val="0"/>
                  <w:vAlign w:val="center"/>
                </w:tcPr>
                <w:p>
                  <w:pPr>
                    <w:adjustRightInd w:val="0"/>
                    <w:snapToGrid w:val="0"/>
                    <w:jc w:val="center"/>
                    <w:rPr>
                      <w:rFonts w:hint="eastAsia"/>
                      <w:color w:val="auto"/>
                      <w:lang w:eastAsia="zh-CN"/>
                    </w:rPr>
                  </w:pPr>
                  <w:r>
                    <w:rPr>
                      <w:rFonts w:hint="eastAsia"/>
                      <w:color w:val="auto"/>
                      <w:lang w:eastAsia="zh-CN"/>
                    </w:rPr>
                    <w:t>治理措施</w:t>
                  </w:r>
                </w:p>
              </w:tc>
              <w:tc>
                <w:tcPr>
                  <w:tcW w:w="1611" w:type="dxa"/>
                  <w:noWrap w:val="0"/>
                  <w:vAlign w:val="center"/>
                </w:tcPr>
                <w:p>
                  <w:pPr>
                    <w:adjustRightInd w:val="0"/>
                    <w:snapToGrid w:val="0"/>
                    <w:jc w:val="center"/>
                    <w:rPr>
                      <w:rFonts w:hint="eastAsia"/>
                      <w:color w:val="auto"/>
                      <w:lang w:eastAsia="zh-CN"/>
                    </w:rPr>
                  </w:pPr>
                  <w:r>
                    <w:rPr>
                      <w:rFonts w:hint="eastAsia"/>
                      <w:color w:val="auto"/>
                      <w:lang w:eastAsia="zh-CN"/>
                    </w:rPr>
                    <w:t>污染物去向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51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hint="eastAsia"/>
                      <w:color w:val="auto"/>
                      <w:lang w:eastAsia="zh-CN"/>
                    </w:rPr>
                  </w:pPr>
                  <w:r>
                    <w:rPr>
                      <w:rFonts w:hint="eastAsia"/>
                      <w:color w:val="auto"/>
                      <w:lang w:eastAsia="zh-CN"/>
                    </w:rPr>
                    <w:t>废气</w:t>
                  </w:r>
                </w:p>
              </w:tc>
              <w:tc>
                <w:tcPr>
                  <w:tcW w:w="2014" w:type="dxa"/>
                  <w:noWrap w:val="0"/>
                  <w:vAlign w:val="center"/>
                </w:tcPr>
                <w:p>
                  <w:pPr>
                    <w:adjustRightInd w:val="0"/>
                    <w:snapToGrid w:val="0"/>
                    <w:jc w:val="center"/>
                    <w:rPr>
                      <w:rFonts w:hint="eastAsia"/>
                      <w:color w:val="auto"/>
                      <w:lang w:eastAsia="zh-CN"/>
                    </w:rPr>
                  </w:pPr>
                  <w:r>
                    <w:rPr>
                      <w:rFonts w:hint="eastAsia"/>
                      <w:color w:val="auto"/>
                      <w:lang w:eastAsia="zh-CN"/>
                    </w:rPr>
                    <w:t>热熔、挤出工序产生的废气</w:t>
                  </w:r>
                </w:p>
              </w:tc>
              <w:tc>
                <w:tcPr>
                  <w:tcW w:w="2126" w:type="dxa"/>
                  <w:noWrap w:val="0"/>
                  <w:vAlign w:val="center"/>
                </w:tcPr>
                <w:p>
                  <w:pPr>
                    <w:adjustRightInd w:val="0"/>
                    <w:snapToGrid w:val="0"/>
                    <w:jc w:val="center"/>
                    <w:rPr>
                      <w:rFonts w:hint="default"/>
                      <w:color w:val="auto"/>
                      <w:lang w:val="en-US" w:eastAsia="zh-CN"/>
                    </w:rPr>
                  </w:pPr>
                  <w:r>
                    <w:rPr>
                      <w:rFonts w:hint="eastAsia"/>
                      <w:color w:val="auto"/>
                      <w:lang w:eastAsia="zh-CN"/>
                    </w:rPr>
                    <w:t>非甲烷总烃</w:t>
                  </w:r>
                </w:p>
              </w:tc>
              <w:tc>
                <w:tcPr>
                  <w:tcW w:w="2075" w:type="dxa"/>
                  <w:noWrap w:val="0"/>
                  <w:vAlign w:val="center"/>
                </w:tcPr>
                <w:p>
                  <w:pPr>
                    <w:adjustRightInd w:val="0"/>
                    <w:snapToGrid w:val="0"/>
                    <w:jc w:val="center"/>
                    <w:rPr>
                      <w:rFonts w:hint="default"/>
                      <w:color w:val="auto"/>
                      <w:lang w:val="en-US" w:eastAsia="zh-CN"/>
                    </w:rPr>
                  </w:pPr>
                  <w:r>
                    <w:rPr>
                      <w:rFonts w:hint="eastAsia"/>
                      <w:color w:val="auto"/>
                      <w:lang w:eastAsia="zh-CN"/>
                    </w:rPr>
                    <w:t>活性炭吸附/脱附催化燃烧装置处理</w:t>
                  </w:r>
                </w:p>
              </w:tc>
              <w:tc>
                <w:tcPr>
                  <w:tcW w:w="1611" w:type="dxa"/>
                  <w:noWrap w:val="0"/>
                  <w:vAlign w:val="center"/>
                </w:tcPr>
                <w:p>
                  <w:pPr>
                    <w:adjustRightInd w:val="0"/>
                    <w:snapToGrid w:val="0"/>
                    <w:jc w:val="center"/>
                    <w:rPr>
                      <w:rFonts w:hint="eastAsia"/>
                      <w:color w:val="auto"/>
                      <w:lang w:val="en-US" w:eastAsia="zh-CN"/>
                    </w:rPr>
                  </w:pPr>
                  <w:r>
                    <w:rPr>
                      <w:rFonts w:hint="eastAsia"/>
                      <w:color w:val="auto"/>
                      <w:lang w:val="en-US" w:eastAsia="zh-CN"/>
                    </w:rPr>
                    <w:t>15</w:t>
                  </w:r>
                  <w:r>
                    <w:rPr>
                      <w:rFonts w:hint="eastAsia"/>
                      <w:color w:val="auto"/>
                      <w:lang w:eastAsia="zh-CN"/>
                    </w:rPr>
                    <w:t>m高排气筒达标排放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51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hint="eastAsia"/>
                      <w:color w:val="auto"/>
                      <w:lang w:eastAsia="zh-CN"/>
                    </w:rPr>
                  </w:pPr>
                </w:p>
              </w:tc>
              <w:tc>
                <w:tcPr>
                  <w:tcW w:w="2014" w:type="dxa"/>
                  <w:noWrap w:val="0"/>
                  <w:vAlign w:val="center"/>
                </w:tcPr>
                <w:p>
                  <w:pPr>
                    <w:adjustRightInd w:val="0"/>
                    <w:snapToGrid w:val="0"/>
                    <w:jc w:val="center"/>
                    <w:rPr>
                      <w:rFonts w:hint="eastAsia"/>
                      <w:color w:val="auto"/>
                      <w:lang w:eastAsia="zh-CN"/>
                    </w:rPr>
                  </w:pPr>
                  <w:r>
                    <w:rPr>
                      <w:rFonts w:hint="eastAsia"/>
                      <w:color w:val="auto"/>
                      <w:lang w:eastAsia="zh-CN"/>
                    </w:rPr>
                    <w:t>投料、破碎工序产生的废气</w:t>
                  </w:r>
                </w:p>
              </w:tc>
              <w:tc>
                <w:tcPr>
                  <w:tcW w:w="2126" w:type="dxa"/>
                  <w:noWrap w:val="0"/>
                  <w:vAlign w:val="center"/>
                </w:tcPr>
                <w:p>
                  <w:pPr>
                    <w:adjustRightInd w:val="0"/>
                    <w:snapToGrid w:val="0"/>
                    <w:jc w:val="center"/>
                    <w:rPr>
                      <w:rFonts w:hint="eastAsia"/>
                      <w:color w:val="auto"/>
                      <w:lang w:eastAsia="zh-CN"/>
                    </w:rPr>
                  </w:pPr>
                  <w:r>
                    <w:rPr>
                      <w:rFonts w:hint="eastAsia"/>
                      <w:color w:val="auto"/>
                      <w:lang w:eastAsia="zh-CN"/>
                    </w:rPr>
                    <w:t>颗粒物</w:t>
                  </w:r>
                </w:p>
              </w:tc>
              <w:tc>
                <w:tcPr>
                  <w:tcW w:w="2075" w:type="dxa"/>
                  <w:noWrap w:val="0"/>
                  <w:vAlign w:val="center"/>
                </w:tcPr>
                <w:p>
                  <w:pPr>
                    <w:adjustRightInd w:val="0"/>
                    <w:snapToGrid w:val="0"/>
                    <w:jc w:val="center"/>
                    <w:rPr>
                      <w:rFonts w:hint="default"/>
                      <w:color w:val="auto"/>
                      <w:lang w:val="en-US" w:eastAsia="zh-CN"/>
                    </w:rPr>
                  </w:pPr>
                  <w:r>
                    <w:rPr>
                      <w:rFonts w:hint="eastAsia"/>
                      <w:color w:val="auto"/>
                      <w:lang w:val="en-US" w:eastAsia="zh-CN"/>
                    </w:rPr>
                    <w:t>布袋除尘器</w:t>
                  </w:r>
                </w:p>
              </w:tc>
              <w:tc>
                <w:tcPr>
                  <w:tcW w:w="1611" w:type="dxa"/>
                  <w:noWrap w:val="0"/>
                  <w:vAlign w:val="center"/>
                </w:tcPr>
                <w:p>
                  <w:pPr>
                    <w:adjustRightInd w:val="0"/>
                    <w:snapToGrid w:val="0"/>
                    <w:jc w:val="center"/>
                    <w:rPr>
                      <w:rFonts w:hint="default"/>
                      <w:color w:val="auto"/>
                      <w:lang w:val="en-US" w:eastAsia="zh-CN"/>
                    </w:rPr>
                  </w:pPr>
                  <w:r>
                    <w:rPr>
                      <w:rFonts w:hint="eastAsia"/>
                      <w:color w:val="auto"/>
                      <w:lang w:val="en-US" w:eastAsia="zh-CN"/>
                    </w:rPr>
                    <w:t>15</w:t>
                  </w:r>
                  <w:r>
                    <w:rPr>
                      <w:rFonts w:hint="eastAsia"/>
                      <w:color w:val="auto"/>
                      <w:lang w:eastAsia="zh-CN"/>
                    </w:rPr>
                    <w:t>m高排气筒达标排放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512" w:type="dxa"/>
                  <w:noWrap w:val="0"/>
                  <w:vAlign w:val="center"/>
                </w:tcPr>
                <w:p>
                  <w:pPr>
                    <w:adjustRightInd w:val="0"/>
                    <w:snapToGrid w:val="0"/>
                    <w:jc w:val="center"/>
                    <w:rPr>
                      <w:rFonts w:hint="eastAsia"/>
                      <w:color w:val="auto"/>
                      <w:lang w:eastAsia="zh-CN"/>
                    </w:rPr>
                  </w:pPr>
                  <w:r>
                    <w:rPr>
                      <w:rFonts w:hint="eastAsia"/>
                      <w:color w:val="auto"/>
                      <w:lang w:eastAsia="zh-CN"/>
                    </w:rPr>
                    <w:t>废水</w:t>
                  </w:r>
                </w:p>
              </w:tc>
              <w:tc>
                <w:tcPr>
                  <w:tcW w:w="2014" w:type="dxa"/>
                  <w:noWrap w:val="0"/>
                  <w:vAlign w:val="center"/>
                </w:tcPr>
                <w:p>
                  <w:pPr>
                    <w:adjustRightInd w:val="0"/>
                    <w:snapToGrid w:val="0"/>
                    <w:jc w:val="center"/>
                    <w:rPr>
                      <w:rFonts w:hint="eastAsia"/>
                      <w:color w:val="auto"/>
                      <w:lang w:eastAsia="zh-CN"/>
                    </w:rPr>
                  </w:pPr>
                  <w:r>
                    <w:rPr>
                      <w:rFonts w:hint="eastAsia"/>
                      <w:color w:val="auto"/>
                      <w:lang w:eastAsia="zh-CN"/>
                    </w:rPr>
                    <w:t>生活污水</w:t>
                  </w:r>
                </w:p>
              </w:tc>
              <w:tc>
                <w:tcPr>
                  <w:tcW w:w="2126" w:type="dxa"/>
                  <w:noWrap w:val="0"/>
                  <w:vAlign w:val="center"/>
                </w:tcPr>
                <w:p>
                  <w:pPr>
                    <w:adjustRightInd w:val="0"/>
                    <w:snapToGrid w:val="0"/>
                    <w:jc w:val="center"/>
                    <w:rPr>
                      <w:rFonts w:hint="eastAsia"/>
                      <w:color w:val="auto"/>
                      <w:lang w:eastAsia="zh-CN"/>
                    </w:rPr>
                  </w:pPr>
                  <w:r>
                    <w:rPr>
                      <w:rFonts w:hint="eastAsia"/>
                      <w:color w:val="auto"/>
                      <w:lang w:eastAsia="zh-CN"/>
                    </w:rPr>
                    <w:t>COD、BOD5、SS、氨氮、动植物油</w:t>
                  </w:r>
                </w:p>
              </w:tc>
              <w:tc>
                <w:tcPr>
                  <w:tcW w:w="2075" w:type="dxa"/>
                  <w:noWrap w:val="0"/>
                  <w:vAlign w:val="center"/>
                </w:tcPr>
                <w:p>
                  <w:pPr>
                    <w:adjustRightInd w:val="0"/>
                    <w:snapToGrid w:val="0"/>
                    <w:jc w:val="center"/>
                    <w:rPr>
                      <w:rFonts w:hint="eastAsia"/>
                      <w:color w:val="auto"/>
                      <w:lang w:eastAsia="zh-CN"/>
                    </w:rPr>
                  </w:pPr>
                  <w:r>
                    <w:rPr>
                      <w:rFonts w:hint="eastAsia"/>
                      <w:color w:val="auto"/>
                      <w:lang w:eastAsia="zh-CN"/>
                    </w:rPr>
                    <w:t>化粪池</w:t>
                  </w:r>
                </w:p>
              </w:tc>
              <w:tc>
                <w:tcPr>
                  <w:tcW w:w="1611" w:type="dxa"/>
                  <w:noWrap w:val="0"/>
                  <w:vAlign w:val="center"/>
                </w:tcPr>
                <w:p>
                  <w:pPr>
                    <w:adjustRightInd w:val="0"/>
                    <w:snapToGrid w:val="0"/>
                    <w:jc w:val="center"/>
                    <w:rPr>
                      <w:rFonts w:hint="eastAsia"/>
                      <w:color w:val="auto"/>
                      <w:lang w:eastAsia="zh-CN"/>
                    </w:rPr>
                  </w:pPr>
                  <w:r>
                    <w:rPr>
                      <w:rFonts w:hint="eastAsia"/>
                      <w:color w:val="auto"/>
                      <w:lang w:eastAsia="zh-CN"/>
                    </w:rPr>
                    <w:t>排入淮北蓝海水处理有限公司集中处理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2" w:type="dxa"/>
                  <w:vMerge w:val="restart"/>
                  <w:noWrap w:val="0"/>
                  <w:vAlign w:val="center"/>
                </w:tcPr>
                <w:p>
                  <w:pPr>
                    <w:adjustRightInd w:val="0"/>
                    <w:snapToGrid w:val="0"/>
                    <w:jc w:val="center"/>
                    <w:rPr>
                      <w:rFonts w:hint="eastAsia"/>
                      <w:color w:val="auto"/>
                      <w:lang w:eastAsia="zh-CN"/>
                    </w:rPr>
                  </w:pPr>
                  <w:r>
                    <w:rPr>
                      <w:rFonts w:hint="eastAsia"/>
                      <w:color w:val="auto"/>
                      <w:lang w:eastAsia="zh-CN"/>
                    </w:rPr>
                    <w:t>固废</w:t>
                  </w:r>
                </w:p>
              </w:tc>
              <w:tc>
                <w:tcPr>
                  <w:tcW w:w="2014" w:type="dxa"/>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2126" w:type="dxa"/>
                  <w:noWrap w:val="0"/>
                  <w:vAlign w:val="center"/>
                </w:tcPr>
                <w:p>
                  <w:pPr>
                    <w:jc w:val="center"/>
                    <w:rPr>
                      <w:rFonts w:hint="eastAsia"/>
                      <w:color w:val="auto"/>
                      <w:highlight w:val="none"/>
                      <w:lang w:val="en-US" w:eastAsia="zh-CN"/>
                    </w:rPr>
                  </w:pPr>
                  <w:r>
                    <w:rPr>
                      <w:rFonts w:hint="eastAsia" w:ascii="Times New Roman" w:hAnsi="Times New Roman" w:cs="宋体"/>
                      <w:color w:val="auto"/>
                      <w:highlight w:val="none"/>
                      <w:lang w:val="en-US" w:eastAsia="zh-CN"/>
                    </w:rPr>
                    <w:t>废包装袋</w:t>
                  </w:r>
                </w:p>
              </w:tc>
              <w:tc>
                <w:tcPr>
                  <w:tcW w:w="3686" w:type="dxa"/>
                  <w:gridSpan w:val="2"/>
                  <w:noWrap w:val="0"/>
                  <w:vAlign w:val="center"/>
                </w:tcPr>
                <w:p>
                  <w:pPr>
                    <w:adjustRightInd w:val="0"/>
                    <w:snapToGrid w:val="0"/>
                    <w:jc w:val="center"/>
                    <w:rPr>
                      <w:rFonts w:hint="eastAsia"/>
                      <w:color w:val="auto"/>
                      <w:lang w:val="en-US" w:eastAsia="zh-CN"/>
                    </w:rPr>
                  </w:pPr>
                  <w:r>
                    <w:rPr>
                      <w:rFonts w:hint="eastAsia"/>
                      <w:color w:val="auto"/>
                      <w:lang w:val="en-US" w:eastAsia="zh-CN"/>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2" w:type="dxa"/>
                  <w:vMerge w:val="continue"/>
                  <w:noWrap w:val="0"/>
                  <w:vAlign w:val="center"/>
                </w:tcPr>
                <w:p>
                  <w:pPr>
                    <w:adjustRightInd w:val="0"/>
                    <w:snapToGrid w:val="0"/>
                    <w:jc w:val="center"/>
                    <w:rPr>
                      <w:rFonts w:hint="eastAsia"/>
                      <w:color w:val="auto"/>
                      <w:lang w:eastAsia="zh-CN"/>
                    </w:rPr>
                  </w:pPr>
                </w:p>
              </w:tc>
              <w:tc>
                <w:tcPr>
                  <w:tcW w:w="2014" w:type="dxa"/>
                  <w:noWrap w:val="0"/>
                  <w:vAlign w:val="center"/>
                </w:tcPr>
                <w:p>
                  <w:pPr>
                    <w:adjustRightInd w:val="0"/>
                    <w:snapToGrid w:val="0"/>
                    <w:jc w:val="center"/>
                    <w:rPr>
                      <w:rFonts w:hint="eastAsia"/>
                      <w:color w:val="auto"/>
                      <w:highlight w:val="none"/>
                      <w:lang w:eastAsia="zh-CN"/>
                    </w:rPr>
                  </w:pPr>
                  <w:r>
                    <w:rPr>
                      <w:rFonts w:hint="eastAsia"/>
                      <w:color w:val="auto"/>
                      <w:highlight w:val="none"/>
                      <w:lang w:val="en-US" w:eastAsia="zh-CN"/>
                    </w:rPr>
                    <w:t>/</w:t>
                  </w:r>
                </w:p>
              </w:tc>
              <w:tc>
                <w:tcPr>
                  <w:tcW w:w="2126" w:type="dxa"/>
                  <w:noWrap w:val="0"/>
                  <w:vAlign w:val="center"/>
                </w:tcPr>
                <w:p>
                  <w:pPr>
                    <w:jc w:val="center"/>
                    <w:rPr>
                      <w:rFonts w:hint="eastAsia"/>
                      <w:color w:val="auto"/>
                      <w:highlight w:val="none"/>
                      <w:lang w:val="en-US" w:eastAsia="zh-CN"/>
                    </w:rPr>
                  </w:pPr>
                  <w:r>
                    <w:rPr>
                      <w:rFonts w:hint="eastAsia" w:ascii="Times New Roman" w:hAnsi="Times New Roman" w:cs="宋体"/>
                      <w:color w:val="auto"/>
                      <w:highlight w:val="none"/>
                      <w:lang w:val="en-US" w:eastAsia="zh-CN"/>
                    </w:rPr>
                    <w:t>不合格品</w:t>
                  </w:r>
                </w:p>
              </w:tc>
              <w:tc>
                <w:tcPr>
                  <w:tcW w:w="3686" w:type="dxa"/>
                  <w:gridSpan w:val="2"/>
                  <w:noWrap w:val="0"/>
                  <w:vAlign w:val="center"/>
                </w:tcPr>
                <w:p>
                  <w:pPr>
                    <w:adjustRightInd w:val="0"/>
                    <w:snapToGrid w:val="0"/>
                    <w:jc w:val="center"/>
                    <w:rPr>
                      <w:rFonts w:hint="default"/>
                      <w:color w:val="auto"/>
                      <w:lang w:val="en-US" w:eastAsia="zh-CN"/>
                    </w:rPr>
                  </w:pPr>
                  <w:r>
                    <w:rPr>
                      <w:rFonts w:hint="eastAsia"/>
                      <w:color w:val="auto"/>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2" w:type="dxa"/>
                  <w:vMerge w:val="continue"/>
                  <w:noWrap w:val="0"/>
                  <w:vAlign w:val="center"/>
                </w:tcPr>
                <w:p>
                  <w:pPr>
                    <w:adjustRightInd w:val="0"/>
                    <w:snapToGrid w:val="0"/>
                    <w:jc w:val="center"/>
                    <w:rPr>
                      <w:rFonts w:hint="eastAsia"/>
                      <w:color w:val="auto"/>
                      <w:lang w:eastAsia="zh-CN"/>
                    </w:rPr>
                  </w:pPr>
                </w:p>
              </w:tc>
              <w:tc>
                <w:tcPr>
                  <w:tcW w:w="2014" w:type="dxa"/>
                  <w:noWrap w:val="0"/>
                  <w:vAlign w:val="center"/>
                </w:tcPr>
                <w:p>
                  <w:pPr>
                    <w:adjustRightInd w:val="0"/>
                    <w:snapToGrid w:val="0"/>
                    <w:jc w:val="center"/>
                    <w:rPr>
                      <w:rFonts w:hint="eastAsia"/>
                      <w:color w:val="auto"/>
                      <w:highlight w:val="none"/>
                      <w:lang w:val="en-US" w:eastAsia="zh-CN"/>
                    </w:rPr>
                  </w:pPr>
                  <w:r>
                    <w:rPr>
                      <w:rFonts w:hint="eastAsia"/>
                      <w:color w:val="auto"/>
                      <w:highlight w:val="none"/>
                      <w:lang w:val="en-US" w:eastAsia="zh-CN"/>
                    </w:rPr>
                    <w:t>废气处理</w:t>
                  </w:r>
                </w:p>
              </w:tc>
              <w:tc>
                <w:tcPr>
                  <w:tcW w:w="2126" w:type="dxa"/>
                  <w:noWrap w:val="0"/>
                  <w:vAlign w:val="center"/>
                </w:tcPr>
                <w:p>
                  <w:pPr>
                    <w:jc w:val="center"/>
                    <w:rPr>
                      <w:rFonts w:hint="eastAsia"/>
                      <w:color w:val="auto"/>
                      <w:highlight w:val="none"/>
                      <w:lang w:val="en-US" w:eastAsia="zh-CN"/>
                    </w:rPr>
                  </w:pPr>
                  <w:r>
                    <w:rPr>
                      <w:rFonts w:hint="eastAsia" w:cs="宋体"/>
                      <w:color w:val="auto"/>
                      <w:highlight w:val="none"/>
                      <w:lang w:val="en-US" w:eastAsia="zh-CN"/>
                    </w:rPr>
                    <w:t>除尘器收集的粉尘</w:t>
                  </w:r>
                </w:p>
              </w:tc>
              <w:tc>
                <w:tcPr>
                  <w:tcW w:w="3686" w:type="dxa"/>
                  <w:gridSpan w:val="2"/>
                  <w:noWrap w:val="0"/>
                  <w:vAlign w:val="center"/>
                </w:tcPr>
                <w:p>
                  <w:pPr>
                    <w:adjustRightInd w:val="0"/>
                    <w:snapToGrid w:val="0"/>
                    <w:jc w:val="center"/>
                    <w:rPr>
                      <w:rFonts w:hint="eastAsia"/>
                      <w:color w:val="auto"/>
                      <w:lang w:val="en-US" w:eastAsia="zh-CN"/>
                    </w:rPr>
                  </w:pPr>
                  <w:r>
                    <w:rPr>
                      <w:rFonts w:hint="eastAsia"/>
                      <w:color w:val="auto"/>
                      <w:lang w:val="en-US" w:eastAsia="zh-CN"/>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2" w:type="dxa"/>
                  <w:vMerge w:val="continue"/>
                  <w:noWrap w:val="0"/>
                  <w:vAlign w:val="center"/>
                </w:tcPr>
                <w:p>
                  <w:pPr>
                    <w:adjustRightInd w:val="0"/>
                    <w:snapToGrid w:val="0"/>
                    <w:jc w:val="center"/>
                    <w:rPr>
                      <w:rFonts w:hint="eastAsia"/>
                      <w:color w:val="auto"/>
                      <w:lang w:eastAsia="zh-CN"/>
                    </w:rPr>
                  </w:pPr>
                </w:p>
              </w:tc>
              <w:tc>
                <w:tcPr>
                  <w:tcW w:w="2014" w:type="dxa"/>
                  <w:vMerge w:val="restart"/>
                  <w:noWrap w:val="0"/>
                  <w:vAlign w:val="center"/>
                </w:tcPr>
                <w:p>
                  <w:pPr>
                    <w:adjustRightInd w:val="0"/>
                    <w:snapToGrid w:val="0"/>
                    <w:jc w:val="center"/>
                    <w:rPr>
                      <w:rFonts w:hint="eastAsia"/>
                      <w:color w:val="auto"/>
                      <w:highlight w:val="none"/>
                      <w:lang w:val="en-US" w:eastAsia="zh-CN"/>
                    </w:rPr>
                  </w:pPr>
                  <w:r>
                    <w:rPr>
                      <w:rFonts w:hint="eastAsia"/>
                      <w:color w:val="auto"/>
                      <w:highlight w:val="none"/>
                      <w:lang w:val="en-US" w:eastAsia="zh-CN"/>
                    </w:rPr>
                    <w:t>废气处理</w:t>
                  </w:r>
                </w:p>
              </w:tc>
              <w:tc>
                <w:tcPr>
                  <w:tcW w:w="2126" w:type="dxa"/>
                  <w:noWrap w:val="0"/>
                  <w:vAlign w:val="center"/>
                </w:tcPr>
                <w:p>
                  <w:pPr>
                    <w:jc w:val="center"/>
                    <w:rPr>
                      <w:rFonts w:hint="eastAsia"/>
                      <w:color w:val="auto"/>
                      <w:highlight w:val="none"/>
                      <w:lang w:val="en-US" w:eastAsia="zh-CN"/>
                    </w:rPr>
                  </w:pPr>
                  <w:r>
                    <w:rPr>
                      <w:rFonts w:hint="eastAsia" w:cs="宋体"/>
                      <w:color w:val="auto"/>
                      <w:highlight w:val="none"/>
                      <w:lang w:val="en-US" w:eastAsia="zh-CN"/>
                    </w:rPr>
                    <w:t>废活性炭</w:t>
                  </w:r>
                </w:p>
              </w:tc>
              <w:tc>
                <w:tcPr>
                  <w:tcW w:w="3686" w:type="dxa"/>
                  <w:gridSpan w:val="2"/>
                  <w:vMerge w:val="restart"/>
                  <w:noWrap w:val="0"/>
                  <w:vAlign w:val="center"/>
                </w:tcPr>
                <w:p>
                  <w:pPr>
                    <w:adjustRightInd w:val="0"/>
                    <w:snapToGrid w:val="0"/>
                    <w:jc w:val="center"/>
                    <w:rPr>
                      <w:rFonts w:hint="eastAsia"/>
                      <w:color w:val="auto"/>
                      <w:lang w:val="en-US" w:eastAsia="zh-CN"/>
                    </w:rPr>
                  </w:pPr>
                  <w:r>
                    <w:rPr>
                      <w:rFonts w:hint="eastAsia"/>
                      <w:color w:val="auto"/>
                      <w:lang w:val="en-US" w:eastAsia="zh-CN"/>
                    </w:rPr>
                    <w:t>定期交由有资质单位进行处理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2" w:type="dxa"/>
                  <w:vMerge w:val="continue"/>
                  <w:noWrap w:val="0"/>
                  <w:vAlign w:val="center"/>
                </w:tcPr>
                <w:p>
                  <w:pPr>
                    <w:adjustRightInd w:val="0"/>
                    <w:snapToGrid w:val="0"/>
                    <w:jc w:val="center"/>
                    <w:rPr>
                      <w:rFonts w:hint="eastAsia"/>
                      <w:color w:val="auto"/>
                      <w:lang w:eastAsia="zh-CN"/>
                    </w:rPr>
                  </w:pPr>
                </w:p>
              </w:tc>
              <w:tc>
                <w:tcPr>
                  <w:tcW w:w="2014" w:type="dxa"/>
                  <w:vMerge w:val="continue"/>
                  <w:noWrap w:val="0"/>
                  <w:vAlign w:val="center"/>
                </w:tcPr>
                <w:p>
                  <w:pPr>
                    <w:adjustRightInd w:val="0"/>
                    <w:snapToGrid w:val="0"/>
                    <w:jc w:val="center"/>
                    <w:rPr>
                      <w:rFonts w:hint="eastAsia"/>
                      <w:color w:val="auto"/>
                      <w:highlight w:val="none"/>
                      <w:lang w:val="en-US" w:eastAsia="zh-CN"/>
                    </w:rPr>
                  </w:pPr>
                </w:p>
              </w:tc>
              <w:tc>
                <w:tcPr>
                  <w:tcW w:w="2126" w:type="dxa"/>
                  <w:noWrap w:val="0"/>
                  <w:vAlign w:val="center"/>
                </w:tcPr>
                <w:p>
                  <w:pPr>
                    <w:jc w:val="center"/>
                    <w:rPr>
                      <w:rFonts w:hint="eastAsia"/>
                      <w:color w:val="auto"/>
                      <w:highlight w:val="none"/>
                      <w:lang w:val="en-US" w:eastAsia="zh-CN"/>
                    </w:rPr>
                  </w:pPr>
                  <w:r>
                    <w:rPr>
                      <w:rFonts w:hint="eastAsia" w:cs="宋体"/>
                      <w:color w:val="auto"/>
                      <w:highlight w:val="none"/>
                      <w:lang w:val="en-US" w:eastAsia="zh-CN"/>
                    </w:rPr>
                    <w:t>废催化剂</w:t>
                  </w:r>
                </w:p>
              </w:tc>
              <w:tc>
                <w:tcPr>
                  <w:tcW w:w="3686" w:type="dxa"/>
                  <w:gridSpan w:val="2"/>
                  <w:vMerge w:val="continue"/>
                  <w:noWrap w:val="0"/>
                  <w:vAlign w:val="center"/>
                </w:tcPr>
                <w:p>
                  <w:pPr>
                    <w:adjustRightInd w:val="0"/>
                    <w:snapToGrid w:val="0"/>
                    <w:jc w:val="center"/>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2" w:type="dxa"/>
                  <w:vMerge w:val="continue"/>
                  <w:noWrap w:val="0"/>
                  <w:vAlign w:val="center"/>
                </w:tcPr>
                <w:p>
                  <w:pPr>
                    <w:adjustRightInd w:val="0"/>
                    <w:snapToGrid w:val="0"/>
                    <w:jc w:val="center"/>
                    <w:rPr>
                      <w:rFonts w:hint="eastAsia"/>
                      <w:color w:val="auto"/>
                      <w:lang w:eastAsia="zh-CN"/>
                    </w:rPr>
                  </w:pPr>
                </w:p>
              </w:tc>
              <w:tc>
                <w:tcPr>
                  <w:tcW w:w="2014" w:type="dxa"/>
                  <w:vMerge w:val="restart"/>
                  <w:noWrap w:val="0"/>
                  <w:vAlign w:val="center"/>
                </w:tcPr>
                <w:p>
                  <w:pPr>
                    <w:adjustRightInd w:val="0"/>
                    <w:snapToGrid w:val="0"/>
                    <w:jc w:val="center"/>
                    <w:rPr>
                      <w:rFonts w:hint="eastAsia"/>
                      <w:color w:val="auto"/>
                      <w:highlight w:val="none"/>
                      <w:lang w:val="en-US" w:eastAsia="zh-CN"/>
                    </w:rPr>
                  </w:pPr>
                  <w:r>
                    <w:rPr>
                      <w:rFonts w:hint="eastAsia"/>
                      <w:color w:val="auto"/>
                      <w:highlight w:val="none"/>
                      <w:lang w:val="en-US" w:eastAsia="zh-CN"/>
                    </w:rPr>
                    <w:t>设备检修</w:t>
                  </w:r>
                </w:p>
              </w:tc>
              <w:tc>
                <w:tcPr>
                  <w:tcW w:w="2126" w:type="dxa"/>
                  <w:noWrap w:val="0"/>
                  <w:vAlign w:val="center"/>
                </w:tcPr>
                <w:p>
                  <w:pPr>
                    <w:jc w:val="center"/>
                    <w:rPr>
                      <w:rFonts w:hint="eastAsia"/>
                      <w:color w:val="auto"/>
                      <w:highlight w:val="none"/>
                      <w:lang w:val="en-US" w:eastAsia="zh-CN"/>
                    </w:rPr>
                  </w:pPr>
                  <w:r>
                    <w:rPr>
                      <w:rFonts w:hint="eastAsia" w:cs="宋体"/>
                      <w:color w:val="auto"/>
                      <w:highlight w:val="none"/>
                      <w:lang w:val="en-US" w:eastAsia="zh-CN"/>
                    </w:rPr>
                    <w:t>废机油</w:t>
                  </w:r>
                </w:p>
              </w:tc>
              <w:tc>
                <w:tcPr>
                  <w:tcW w:w="3686" w:type="dxa"/>
                  <w:gridSpan w:val="2"/>
                  <w:vMerge w:val="continue"/>
                  <w:noWrap w:val="0"/>
                  <w:vAlign w:val="center"/>
                </w:tcPr>
                <w:p>
                  <w:pPr>
                    <w:adjustRightInd w:val="0"/>
                    <w:snapToGrid w:val="0"/>
                    <w:jc w:val="center"/>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2" w:type="dxa"/>
                  <w:vMerge w:val="continue"/>
                  <w:noWrap w:val="0"/>
                  <w:vAlign w:val="center"/>
                </w:tcPr>
                <w:p>
                  <w:pPr>
                    <w:adjustRightInd w:val="0"/>
                    <w:snapToGrid w:val="0"/>
                    <w:jc w:val="center"/>
                    <w:rPr>
                      <w:rFonts w:hint="eastAsia"/>
                      <w:color w:val="auto"/>
                      <w:lang w:eastAsia="zh-CN"/>
                    </w:rPr>
                  </w:pPr>
                </w:p>
              </w:tc>
              <w:tc>
                <w:tcPr>
                  <w:tcW w:w="2014" w:type="dxa"/>
                  <w:vMerge w:val="continue"/>
                  <w:noWrap w:val="0"/>
                  <w:vAlign w:val="center"/>
                </w:tcPr>
                <w:p>
                  <w:pPr>
                    <w:adjustRightInd w:val="0"/>
                    <w:snapToGrid w:val="0"/>
                    <w:jc w:val="center"/>
                    <w:rPr>
                      <w:rFonts w:hint="eastAsia"/>
                      <w:color w:val="auto"/>
                      <w:highlight w:val="none"/>
                      <w:lang w:val="en-US" w:eastAsia="zh-CN"/>
                    </w:rPr>
                  </w:pPr>
                </w:p>
              </w:tc>
              <w:tc>
                <w:tcPr>
                  <w:tcW w:w="2126" w:type="dxa"/>
                  <w:noWrap w:val="0"/>
                  <w:vAlign w:val="center"/>
                </w:tcPr>
                <w:p>
                  <w:pPr>
                    <w:jc w:val="center"/>
                    <w:rPr>
                      <w:rFonts w:hint="eastAsia"/>
                      <w:color w:val="auto"/>
                      <w:highlight w:val="none"/>
                      <w:lang w:val="en-US" w:eastAsia="zh-CN"/>
                    </w:rPr>
                  </w:pPr>
                  <w:r>
                    <w:rPr>
                      <w:rFonts w:hint="eastAsia" w:cs="宋体"/>
                      <w:color w:val="auto"/>
                      <w:highlight w:val="none"/>
                      <w:lang w:val="en-US" w:eastAsia="zh-CN"/>
                    </w:rPr>
                    <w:t>废切削液</w:t>
                  </w:r>
                </w:p>
              </w:tc>
              <w:tc>
                <w:tcPr>
                  <w:tcW w:w="3686" w:type="dxa"/>
                  <w:gridSpan w:val="2"/>
                  <w:vMerge w:val="continue"/>
                  <w:noWrap w:val="0"/>
                  <w:vAlign w:val="center"/>
                </w:tcPr>
                <w:p>
                  <w:pPr>
                    <w:adjustRightInd w:val="0"/>
                    <w:snapToGrid w:val="0"/>
                    <w:jc w:val="center"/>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2" w:type="dxa"/>
                  <w:vMerge w:val="continue"/>
                  <w:noWrap w:val="0"/>
                  <w:vAlign w:val="center"/>
                </w:tcPr>
                <w:p>
                  <w:pPr>
                    <w:adjustRightInd w:val="0"/>
                    <w:snapToGrid w:val="0"/>
                    <w:jc w:val="center"/>
                    <w:rPr>
                      <w:rFonts w:hint="eastAsia"/>
                      <w:color w:val="auto"/>
                      <w:lang w:eastAsia="zh-CN"/>
                    </w:rPr>
                  </w:pPr>
                </w:p>
              </w:tc>
              <w:tc>
                <w:tcPr>
                  <w:tcW w:w="2014" w:type="dxa"/>
                  <w:vMerge w:val="continue"/>
                  <w:noWrap w:val="0"/>
                  <w:vAlign w:val="center"/>
                </w:tcPr>
                <w:p>
                  <w:pPr>
                    <w:adjustRightInd w:val="0"/>
                    <w:snapToGrid w:val="0"/>
                    <w:jc w:val="center"/>
                    <w:rPr>
                      <w:rFonts w:hint="eastAsia"/>
                      <w:color w:val="auto"/>
                      <w:highlight w:val="none"/>
                      <w:lang w:val="en-US" w:eastAsia="zh-CN"/>
                    </w:rPr>
                  </w:pPr>
                </w:p>
              </w:tc>
              <w:tc>
                <w:tcPr>
                  <w:tcW w:w="2126" w:type="dxa"/>
                  <w:noWrap w:val="0"/>
                  <w:vAlign w:val="center"/>
                </w:tcPr>
                <w:p>
                  <w:pPr>
                    <w:jc w:val="center"/>
                    <w:rPr>
                      <w:rFonts w:hint="eastAsia"/>
                      <w:color w:val="auto"/>
                      <w:highlight w:val="none"/>
                      <w:lang w:val="en-US" w:eastAsia="zh-CN"/>
                    </w:rPr>
                  </w:pPr>
                  <w:r>
                    <w:rPr>
                      <w:rFonts w:hint="eastAsia" w:cs="宋体"/>
                      <w:color w:val="auto"/>
                      <w:highlight w:val="none"/>
                      <w:lang w:val="en-US" w:eastAsia="zh-CN"/>
                    </w:rPr>
                    <w:t>废油桶</w:t>
                  </w:r>
                </w:p>
              </w:tc>
              <w:tc>
                <w:tcPr>
                  <w:tcW w:w="3686" w:type="dxa"/>
                  <w:gridSpan w:val="2"/>
                  <w:vMerge w:val="continue"/>
                  <w:noWrap w:val="0"/>
                  <w:vAlign w:val="center"/>
                </w:tcPr>
                <w:p>
                  <w:pPr>
                    <w:adjustRightInd w:val="0"/>
                    <w:snapToGrid w:val="0"/>
                    <w:jc w:val="center"/>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2" w:type="dxa"/>
                  <w:vMerge w:val="continue"/>
                  <w:noWrap w:val="0"/>
                  <w:vAlign w:val="center"/>
                </w:tcPr>
                <w:p>
                  <w:pPr>
                    <w:adjustRightInd w:val="0"/>
                    <w:snapToGrid w:val="0"/>
                    <w:jc w:val="center"/>
                    <w:rPr>
                      <w:rFonts w:hint="eastAsia"/>
                      <w:color w:val="auto"/>
                      <w:lang w:eastAsia="zh-CN"/>
                    </w:rPr>
                  </w:pPr>
                </w:p>
              </w:tc>
              <w:tc>
                <w:tcPr>
                  <w:tcW w:w="2014" w:type="dxa"/>
                  <w:vMerge w:val="continue"/>
                  <w:noWrap w:val="0"/>
                  <w:vAlign w:val="center"/>
                </w:tcPr>
                <w:p>
                  <w:pPr>
                    <w:adjustRightInd w:val="0"/>
                    <w:snapToGrid w:val="0"/>
                    <w:jc w:val="center"/>
                    <w:rPr>
                      <w:rFonts w:hint="eastAsia"/>
                      <w:color w:val="auto"/>
                      <w:highlight w:val="none"/>
                      <w:lang w:val="en-US" w:eastAsia="zh-CN"/>
                    </w:rPr>
                  </w:pPr>
                </w:p>
              </w:tc>
              <w:tc>
                <w:tcPr>
                  <w:tcW w:w="2126" w:type="dxa"/>
                  <w:noWrap w:val="0"/>
                  <w:vAlign w:val="center"/>
                </w:tcPr>
                <w:p>
                  <w:pPr>
                    <w:jc w:val="center"/>
                    <w:rPr>
                      <w:rFonts w:hint="eastAsia"/>
                      <w:color w:val="auto"/>
                      <w:highlight w:val="none"/>
                      <w:lang w:val="en-US" w:eastAsia="zh-CN"/>
                    </w:rPr>
                  </w:pPr>
                  <w:r>
                    <w:rPr>
                      <w:rFonts w:hint="eastAsia" w:cs="宋体"/>
                      <w:color w:val="auto"/>
                      <w:highlight w:val="none"/>
                      <w:lang w:val="en-US" w:eastAsia="zh-CN"/>
                    </w:rPr>
                    <w:t>废含油抹布</w:t>
                  </w:r>
                </w:p>
              </w:tc>
              <w:tc>
                <w:tcPr>
                  <w:tcW w:w="3686" w:type="dxa"/>
                  <w:gridSpan w:val="2"/>
                  <w:vMerge w:val="continue"/>
                  <w:noWrap w:val="0"/>
                  <w:vAlign w:val="center"/>
                </w:tcPr>
                <w:p>
                  <w:pPr>
                    <w:adjustRightInd w:val="0"/>
                    <w:snapToGrid w:val="0"/>
                    <w:jc w:val="center"/>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2" w:type="dxa"/>
                  <w:vMerge w:val="continue"/>
                  <w:noWrap w:val="0"/>
                  <w:vAlign w:val="center"/>
                </w:tcPr>
                <w:p>
                  <w:pPr>
                    <w:adjustRightInd w:val="0"/>
                    <w:snapToGrid w:val="0"/>
                    <w:jc w:val="center"/>
                    <w:rPr>
                      <w:rFonts w:hint="eastAsia"/>
                      <w:color w:val="auto"/>
                      <w:lang w:eastAsia="zh-CN"/>
                    </w:rPr>
                  </w:pPr>
                </w:p>
              </w:tc>
              <w:tc>
                <w:tcPr>
                  <w:tcW w:w="2014" w:type="dxa"/>
                  <w:noWrap w:val="0"/>
                  <w:vAlign w:val="center"/>
                </w:tcPr>
                <w:p>
                  <w:pPr>
                    <w:adjustRightInd w:val="0"/>
                    <w:snapToGrid w:val="0"/>
                    <w:jc w:val="center"/>
                    <w:rPr>
                      <w:rFonts w:hint="eastAsia"/>
                      <w:color w:val="auto"/>
                      <w:lang w:val="en-US" w:eastAsia="zh-CN"/>
                    </w:rPr>
                  </w:pPr>
                  <w:r>
                    <w:rPr>
                      <w:rFonts w:hint="eastAsia"/>
                      <w:color w:val="auto"/>
                      <w:lang w:val="en-US" w:eastAsia="zh-CN"/>
                    </w:rPr>
                    <w:t>员工生活</w:t>
                  </w:r>
                </w:p>
              </w:tc>
              <w:tc>
                <w:tcPr>
                  <w:tcW w:w="2126" w:type="dxa"/>
                  <w:noWrap w:val="0"/>
                  <w:vAlign w:val="center"/>
                </w:tcPr>
                <w:p>
                  <w:pPr>
                    <w:adjustRightInd w:val="0"/>
                    <w:snapToGrid w:val="0"/>
                    <w:jc w:val="center"/>
                    <w:rPr>
                      <w:rFonts w:hint="eastAsia"/>
                      <w:color w:val="auto"/>
                      <w:lang w:val="en-US" w:eastAsia="zh-CN"/>
                    </w:rPr>
                  </w:pPr>
                  <w:r>
                    <w:rPr>
                      <w:rFonts w:hint="eastAsia"/>
                      <w:color w:val="auto"/>
                      <w:lang w:val="en-US" w:eastAsia="zh-CN"/>
                    </w:rPr>
                    <w:t>生活垃圾</w:t>
                  </w:r>
                </w:p>
              </w:tc>
              <w:tc>
                <w:tcPr>
                  <w:tcW w:w="3686" w:type="dxa"/>
                  <w:gridSpan w:val="2"/>
                  <w:noWrap w:val="0"/>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委托环卫部门统一收集处置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2" w:type="dxa"/>
                  <w:vMerge w:val="restart"/>
                  <w:noWrap w:val="0"/>
                  <w:vAlign w:val="center"/>
                </w:tcPr>
                <w:p>
                  <w:pPr>
                    <w:adjustRightInd w:val="0"/>
                    <w:snapToGrid w:val="0"/>
                    <w:jc w:val="center"/>
                    <w:rPr>
                      <w:rFonts w:hint="eastAsia"/>
                      <w:color w:val="auto"/>
                      <w:lang w:val="en-US" w:eastAsia="zh-CN"/>
                    </w:rPr>
                  </w:pPr>
                  <w:r>
                    <w:rPr>
                      <w:rFonts w:hint="eastAsia"/>
                      <w:color w:val="auto"/>
                      <w:lang w:val="en-US" w:eastAsia="zh-CN"/>
                    </w:rPr>
                    <w:t>噪声</w:t>
                  </w:r>
                </w:p>
              </w:tc>
              <w:tc>
                <w:tcPr>
                  <w:tcW w:w="2014" w:type="dxa"/>
                  <w:noWrap w:val="0"/>
                  <w:vAlign w:val="center"/>
                </w:tcPr>
                <w:p>
                  <w:pPr>
                    <w:jc w:val="center"/>
                    <w:rPr>
                      <w:rFonts w:hint="eastAsia"/>
                      <w:color w:val="auto"/>
                      <w:lang w:val="en-US" w:eastAsia="zh-CN"/>
                    </w:rPr>
                  </w:pPr>
                  <w:r>
                    <w:rPr>
                      <w:rFonts w:hint="eastAsia"/>
                      <w:color w:val="auto"/>
                      <w:lang w:val="en-US" w:eastAsia="zh-CN"/>
                    </w:rPr>
                    <w:t>破碎机</w:t>
                  </w:r>
                </w:p>
              </w:tc>
              <w:tc>
                <w:tcPr>
                  <w:tcW w:w="2126" w:type="dxa"/>
                  <w:noWrap w:val="0"/>
                  <w:vAlign w:val="center"/>
                </w:tcPr>
                <w:p>
                  <w:pPr>
                    <w:adjustRightInd w:val="0"/>
                    <w:snapToGrid w:val="0"/>
                    <w:jc w:val="center"/>
                    <w:rPr>
                      <w:rFonts w:hint="eastAsia"/>
                      <w:color w:val="auto"/>
                      <w:lang w:val="en-US" w:eastAsia="zh-CN"/>
                    </w:rPr>
                  </w:pPr>
                  <w:r>
                    <w:rPr>
                      <w:rFonts w:hint="eastAsia"/>
                      <w:color w:val="auto"/>
                      <w:lang w:val="en-US" w:eastAsia="zh-CN"/>
                    </w:rPr>
                    <w:t>机械噪声</w:t>
                  </w:r>
                </w:p>
              </w:tc>
              <w:tc>
                <w:tcPr>
                  <w:tcW w:w="3686" w:type="dxa"/>
                  <w:gridSpan w:val="2"/>
                  <w:vMerge w:val="restart"/>
                  <w:noWrap w:val="0"/>
                  <w:vAlign w:val="center"/>
                </w:tcPr>
                <w:p>
                  <w:pPr>
                    <w:adjustRightInd w:val="0"/>
                    <w:snapToGrid w:val="0"/>
                    <w:jc w:val="center"/>
                    <w:rPr>
                      <w:rFonts w:hint="eastAsia"/>
                      <w:color w:val="auto"/>
                      <w:lang w:eastAsia="zh-CN"/>
                    </w:rPr>
                  </w:pPr>
                  <w:r>
                    <w:rPr>
                      <w:rFonts w:hint="eastAsia"/>
                      <w:color w:val="auto"/>
                      <w:lang w:eastAsia="zh-CN"/>
                    </w:rPr>
                    <w:t>选用低噪声设备、设置减震基础、厂房隔声、距离衰减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512" w:type="dxa"/>
                  <w:vMerge w:val="continue"/>
                  <w:noWrap w:val="0"/>
                  <w:vAlign w:val="center"/>
                </w:tcPr>
                <w:p>
                  <w:pPr>
                    <w:adjustRightInd w:val="0"/>
                    <w:snapToGrid w:val="0"/>
                    <w:jc w:val="center"/>
                    <w:rPr>
                      <w:rFonts w:hint="eastAsia"/>
                      <w:color w:val="auto"/>
                      <w:lang w:val="en-US" w:eastAsia="zh-CN"/>
                    </w:rPr>
                  </w:pPr>
                </w:p>
              </w:tc>
              <w:tc>
                <w:tcPr>
                  <w:tcW w:w="2014" w:type="dxa"/>
                  <w:noWrap w:val="0"/>
                  <w:vAlign w:val="center"/>
                </w:tcPr>
                <w:p>
                  <w:pPr>
                    <w:jc w:val="center"/>
                    <w:rPr>
                      <w:rFonts w:hint="eastAsia"/>
                      <w:color w:val="auto"/>
                      <w:lang w:val="en-US" w:eastAsia="zh-CN"/>
                    </w:rPr>
                  </w:pPr>
                  <w:r>
                    <w:rPr>
                      <w:rFonts w:hint="eastAsia"/>
                      <w:color w:val="auto"/>
                      <w:szCs w:val="21"/>
                      <w:lang w:val="en-US" w:eastAsia="zh-CN"/>
                    </w:rPr>
                    <w:t>螺杆挤出机</w:t>
                  </w:r>
                </w:p>
              </w:tc>
              <w:tc>
                <w:tcPr>
                  <w:tcW w:w="2126" w:type="dxa"/>
                  <w:noWrap w:val="0"/>
                  <w:vAlign w:val="center"/>
                </w:tcPr>
                <w:p>
                  <w:pPr>
                    <w:adjustRightInd w:val="0"/>
                    <w:snapToGrid w:val="0"/>
                    <w:jc w:val="center"/>
                    <w:rPr>
                      <w:rFonts w:hint="eastAsia"/>
                      <w:color w:val="auto"/>
                      <w:lang w:val="en-US" w:eastAsia="zh-CN"/>
                    </w:rPr>
                  </w:pPr>
                  <w:r>
                    <w:rPr>
                      <w:rFonts w:hint="eastAsia"/>
                      <w:color w:val="auto"/>
                      <w:lang w:val="en-US" w:eastAsia="zh-CN"/>
                    </w:rPr>
                    <w:t>机械噪声</w:t>
                  </w:r>
                </w:p>
              </w:tc>
              <w:tc>
                <w:tcPr>
                  <w:tcW w:w="3686" w:type="dxa"/>
                  <w:gridSpan w:val="2"/>
                  <w:vMerge w:val="continue"/>
                  <w:noWrap w:val="0"/>
                  <w:vAlign w:val="center"/>
                </w:tcPr>
                <w:p>
                  <w:pPr>
                    <w:adjustRightInd w:val="0"/>
                    <w:snapToGrid w:val="0"/>
                    <w:jc w:val="center"/>
                    <w:rPr>
                      <w:rFonts w:hint="eastAsia"/>
                      <w:color w:val="auto"/>
                      <w:lang w:eastAsia="zh-CN"/>
                    </w:rPr>
                  </w:pP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2、水平衡</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本项目用水种类如下：</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（1）生活用水</w:t>
            </w:r>
          </w:p>
          <w:p>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本项目劳动定员</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0人，年工作时间300天，根据《安徽省行业用水定额》（</w:t>
            </w:r>
            <w:r>
              <w:rPr>
                <w:rFonts w:hint="eastAsia" w:ascii="宋体" w:hAnsi="宋体" w:eastAsia="宋体" w:cs="宋体"/>
                <w:color w:val="auto"/>
                <w:sz w:val="24"/>
                <w:szCs w:val="24"/>
                <w:highlight w:val="none"/>
                <w:lang w:val="en-US" w:eastAsia="zh-CN"/>
              </w:rPr>
              <w:t>DB34/T 679-2019</w:t>
            </w:r>
            <w:r>
              <w:rPr>
                <w:rFonts w:hint="eastAsia" w:ascii="宋体" w:hAnsi="宋体" w:eastAsia="宋体" w:cs="宋体"/>
                <w:color w:val="auto"/>
                <w:sz w:val="24"/>
                <w:szCs w:val="24"/>
                <w:highlight w:val="none"/>
                <w:lang w:eastAsia="zh-CN"/>
              </w:rPr>
              <w:t>）中显示无食堂办公室用水为</w:t>
            </w:r>
            <w:r>
              <w:rPr>
                <w:rFonts w:hint="eastAsia" w:ascii="宋体" w:hAnsi="宋体" w:eastAsia="宋体" w:cs="宋体"/>
                <w:color w:val="auto"/>
                <w:sz w:val="24"/>
                <w:szCs w:val="24"/>
                <w:highlight w:val="none"/>
                <w:lang w:val="en-US" w:eastAsia="zh-CN"/>
              </w:rPr>
              <w:t>60</w:t>
            </w:r>
            <w:r>
              <w:rPr>
                <w:rFonts w:hint="eastAsia" w:ascii="宋体" w:hAnsi="宋体" w:eastAsia="宋体" w:cs="宋体"/>
                <w:color w:val="auto"/>
                <w:sz w:val="24"/>
                <w:szCs w:val="24"/>
                <w:highlight w:val="none"/>
                <w:lang w:eastAsia="zh-CN"/>
              </w:rPr>
              <w:t>L/（人·天），项目用水量约为</w:t>
            </w:r>
            <w:r>
              <w:rPr>
                <w:rFonts w:hint="eastAsia" w:ascii="宋体" w:hAnsi="宋体" w:eastAsia="宋体" w:cs="宋体"/>
                <w:color w:val="auto"/>
                <w:sz w:val="24"/>
                <w:szCs w:val="24"/>
                <w:highlight w:val="none"/>
                <w:lang w:val="en-US" w:eastAsia="zh-CN"/>
              </w:rPr>
              <w:t>360t</w:t>
            </w:r>
            <w:r>
              <w:rPr>
                <w:rFonts w:hint="eastAsia" w:ascii="宋体" w:hAnsi="宋体" w:eastAsia="宋体" w:cs="宋体"/>
                <w:color w:val="auto"/>
                <w:sz w:val="24"/>
                <w:szCs w:val="24"/>
                <w:highlight w:val="none"/>
                <w:lang w:eastAsia="zh-CN"/>
              </w:rPr>
              <w:t>/a，生活污水按80%计，生活污水产生量为</w:t>
            </w:r>
            <w:r>
              <w:rPr>
                <w:rFonts w:hint="eastAsia" w:ascii="宋体" w:hAnsi="宋体" w:eastAsia="宋体" w:cs="宋体"/>
                <w:color w:val="auto"/>
                <w:sz w:val="24"/>
                <w:szCs w:val="24"/>
                <w:highlight w:val="none"/>
                <w:lang w:val="en-US" w:eastAsia="zh-CN"/>
              </w:rPr>
              <w:t>288t</w:t>
            </w:r>
            <w:r>
              <w:rPr>
                <w:rFonts w:hint="eastAsia" w:ascii="宋体" w:hAnsi="宋体" w:eastAsia="宋体" w:cs="宋体"/>
                <w:color w:val="auto"/>
                <w:sz w:val="24"/>
                <w:szCs w:val="24"/>
                <w:highlight w:val="none"/>
                <w:lang w:eastAsia="zh-CN"/>
              </w:rPr>
              <w:t>/a，主要污染因子为COD、BOD</w:t>
            </w:r>
            <w:r>
              <w:rPr>
                <w:rFonts w:hint="eastAsia" w:ascii="宋体" w:hAnsi="宋体" w:eastAsia="宋体" w:cs="宋体"/>
                <w:color w:val="auto"/>
                <w:sz w:val="24"/>
                <w:szCs w:val="24"/>
                <w:highlight w:val="none"/>
                <w:vertAlign w:val="subscript"/>
                <w:lang w:eastAsia="zh-CN"/>
              </w:rPr>
              <w:t>5</w:t>
            </w:r>
            <w:r>
              <w:rPr>
                <w:rFonts w:hint="eastAsia" w:ascii="宋体" w:hAnsi="宋体" w:eastAsia="宋体" w:cs="宋体"/>
                <w:color w:val="auto"/>
                <w:sz w:val="24"/>
                <w:szCs w:val="24"/>
                <w:highlight w:val="none"/>
                <w:lang w:eastAsia="zh-CN"/>
              </w:rPr>
              <w:t>、SS、氨氮等。</w:t>
            </w:r>
            <w:r>
              <w:rPr>
                <w:rFonts w:hint="eastAsia" w:ascii="宋体" w:hAnsi="宋体" w:cs="宋体"/>
                <w:color w:val="auto"/>
                <w:sz w:val="24"/>
                <w:szCs w:val="24"/>
                <w:highlight w:val="none"/>
                <w:lang w:eastAsia="zh-CN"/>
              </w:rPr>
              <w:t>生活污水经化粪池处理后经园区污水管网接入淮北蓝海水处理有限公司进行处理。</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）冷却用水</w:t>
            </w:r>
          </w:p>
          <w:p>
            <w:pPr>
              <w:spacing w:line="360" w:lineRule="auto"/>
              <w:ind w:firstLine="480" w:firstLineChars="200"/>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eastAsia="zh-CN"/>
              </w:rPr>
              <w:t>本项目中</w:t>
            </w:r>
            <w:r>
              <w:rPr>
                <w:rFonts w:hint="eastAsia" w:ascii="宋体" w:hAnsi="宋体" w:eastAsia="宋体" w:cs="宋体"/>
                <w:color w:val="auto"/>
                <w:sz w:val="24"/>
                <w:szCs w:val="24"/>
                <w:highlight w:val="none"/>
                <w:lang w:val="en-US" w:eastAsia="zh-CN"/>
              </w:rPr>
              <w:t>PP塑料型材、PE塑料型材、PP塑料板材、PE塑料板材、橡胶板</w:t>
            </w:r>
            <w:r>
              <w:rPr>
                <w:rFonts w:hint="eastAsia" w:ascii="宋体" w:hAnsi="宋体" w:eastAsia="宋体" w:cs="宋体"/>
                <w:color w:val="auto"/>
                <w:sz w:val="24"/>
                <w:szCs w:val="24"/>
                <w:highlight w:val="none"/>
                <w:lang w:eastAsia="zh-CN"/>
              </w:rPr>
              <w:t>均需经冷却水箱冷却处理。水箱内水量为循环利用，不外排，水箱内</w:t>
            </w:r>
            <w:r>
              <w:rPr>
                <w:rFonts w:hint="eastAsia" w:ascii="宋体" w:hAnsi="宋体" w:cs="宋体"/>
                <w:color w:val="auto"/>
                <w:sz w:val="24"/>
                <w:szCs w:val="24"/>
                <w:highlight w:val="none"/>
                <w:lang w:eastAsia="zh-CN"/>
              </w:rPr>
              <w:t>循环</w:t>
            </w:r>
            <w:r>
              <w:rPr>
                <w:rFonts w:hint="eastAsia" w:ascii="宋体" w:hAnsi="宋体" w:eastAsia="宋体" w:cs="宋体"/>
                <w:color w:val="auto"/>
                <w:sz w:val="24"/>
                <w:szCs w:val="24"/>
                <w:highlight w:val="none"/>
                <w:lang w:eastAsia="zh-CN"/>
              </w:rPr>
              <w:t>水量约为</w:t>
            </w:r>
            <w:r>
              <w:rPr>
                <w:rFonts w:hint="eastAsia" w:ascii="宋体" w:hAnsi="宋体" w:cs="宋体"/>
                <w:color w:val="auto"/>
                <w:sz w:val="24"/>
                <w:szCs w:val="24"/>
                <w:highlight w:val="none"/>
                <w:lang w:val="en-US" w:eastAsia="zh-CN"/>
              </w:rPr>
              <w:t>3000</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vertAlign w:val="baseline"/>
                <w:lang w:val="en-US" w:eastAsia="zh-CN"/>
              </w:rPr>
              <w:t>，损耗量较少，定期补充即可。补充量约为</w:t>
            </w:r>
            <w:r>
              <w:rPr>
                <w:rFonts w:hint="eastAsia" w:ascii="宋体" w:hAnsi="宋体" w:cs="宋体"/>
                <w:color w:val="auto"/>
                <w:sz w:val="24"/>
                <w:szCs w:val="24"/>
                <w:highlight w:val="none"/>
                <w:vertAlign w:val="baseline"/>
                <w:lang w:val="en-US" w:eastAsia="zh-CN"/>
              </w:rPr>
              <w:t>3</w:t>
            </w:r>
            <w:r>
              <w:rPr>
                <w:rFonts w:hint="eastAsia" w:ascii="宋体" w:hAnsi="宋体" w:eastAsia="宋体" w:cs="宋体"/>
                <w:color w:val="auto"/>
                <w:sz w:val="24"/>
                <w:szCs w:val="24"/>
                <w:highlight w:val="none"/>
                <w:vertAlign w:val="baseline"/>
                <w:lang w:val="en-US" w:eastAsia="zh-CN"/>
              </w:rPr>
              <w:t>5</w:t>
            </w:r>
            <w:r>
              <w:rPr>
                <w:rFonts w:hint="eastAsia" w:ascii="宋体" w:hAnsi="宋体" w:cs="宋体"/>
                <w:color w:val="auto"/>
                <w:sz w:val="24"/>
                <w:szCs w:val="24"/>
                <w:highlight w:val="none"/>
                <w:vertAlign w:val="baseline"/>
                <w:lang w:val="en-US" w:eastAsia="zh-CN"/>
              </w:rPr>
              <w:t>0</w:t>
            </w:r>
            <w:r>
              <w:rPr>
                <w:rFonts w:hint="eastAsia" w:ascii="宋体" w:hAnsi="宋体" w:eastAsia="宋体" w:cs="宋体"/>
                <w:color w:val="auto"/>
                <w:sz w:val="24"/>
                <w:szCs w:val="24"/>
                <w:highlight w:val="none"/>
                <w:vertAlign w:val="baseline"/>
                <w:lang w:val="en-US" w:eastAsia="zh-CN"/>
              </w:rPr>
              <w:t>0m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vertAlign w:val="baseline"/>
                <w:lang w:val="en-US" w:eastAsia="zh-CN"/>
              </w:rPr>
              <w:t>/a。</w:t>
            </w:r>
            <w:r>
              <w:rPr>
                <w:rFonts w:hint="eastAsia" w:ascii="宋体" w:hAnsi="宋体" w:eastAsia="宋体" w:cs="宋体"/>
                <w:color w:val="auto"/>
                <w:sz w:val="24"/>
                <w:szCs w:val="24"/>
                <w:highlight w:val="none"/>
                <w:vertAlign w:val="baseline"/>
                <w:lang w:val="en-US" w:eastAsia="zh-CN"/>
              </w:rPr>
              <w:br w:type="textWrapping"/>
            </w:r>
            <w:r>
              <w:rPr>
                <w:rFonts w:hint="eastAsia" w:ascii="宋体" w:hAnsi="宋体" w:cs="宋体"/>
                <w:color w:val="auto"/>
                <w:sz w:val="24"/>
                <w:szCs w:val="24"/>
                <w:highlight w:val="none"/>
                <w:vertAlign w:val="baseline"/>
                <w:lang w:val="en-US" w:eastAsia="zh-CN"/>
              </w:rPr>
              <w:t xml:space="preserve">    （3）蒸汽冷凝水</w:t>
            </w:r>
            <w:r>
              <w:rPr>
                <w:rFonts w:hint="eastAsia" w:ascii="宋体" w:hAnsi="宋体" w:cs="宋体"/>
                <w:color w:val="auto"/>
                <w:sz w:val="24"/>
                <w:szCs w:val="24"/>
                <w:highlight w:val="none"/>
                <w:vertAlign w:val="baseline"/>
                <w:lang w:val="en-US" w:eastAsia="zh-CN"/>
              </w:rPr>
              <w:br w:type="textWrapping"/>
            </w:r>
            <w:r>
              <w:rPr>
                <w:rFonts w:hint="eastAsia" w:ascii="宋体" w:hAnsi="宋体" w:cs="宋体"/>
                <w:color w:val="auto"/>
                <w:sz w:val="24"/>
                <w:szCs w:val="24"/>
                <w:highlight w:val="none"/>
                <w:vertAlign w:val="baseline"/>
                <w:lang w:val="en-US" w:eastAsia="zh-CN"/>
              </w:rPr>
              <w:t xml:space="preserve">    本项目蒸汽年使用量约为6000m</w:t>
            </w:r>
            <w:r>
              <w:rPr>
                <w:rFonts w:hint="eastAsia" w:ascii="宋体" w:hAnsi="宋体" w:cs="宋体"/>
                <w:color w:val="auto"/>
                <w:sz w:val="24"/>
                <w:szCs w:val="24"/>
                <w:highlight w:val="none"/>
                <w:vertAlign w:val="superscript"/>
                <w:lang w:val="en-US" w:eastAsia="zh-CN"/>
              </w:rPr>
              <w:t>3</w:t>
            </w:r>
            <w:r>
              <w:rPr>
                <w:rFonts w:hint="eastAsia" w:ascii="宋体" w:hAnsi="宋体" w:cs="宋体"/>
                <w:color w:val="auto"/>
                <w:sz w:val="24"/>
                <w:szCs w:val="24"/>
                <w:highlight w:val="none"/>
                <w:vertAlign w:val="baseline"/>
                <w:lang w:val="en-US" w:eastAsia="zh-CN"/>
              </w:rPr>
              <w:t>/a，蒸汽冷凝水约为3000m</w:t>
            </w:r>
            <w:r>
              <w:rPr>
                <w:rFonts w:hint="eastAsia" w:ascii="宋体" w:hAnsi="宋体" w:cs="宋体"/>
                <w:color w:val="auto"/>
                <w:sz w:val="24"/>
                <w:szCs w:val="24"/>
                <w:highlight w:val="none"/>
                <w:vertAlign w:val="superscript"/>
                <w:lang w:val="en-US" w:eastAsia="zh-CN"/>
              </w:rPr>
              <w:t>3</w:t>
            </w:r>
            <w:r>
              <w:rPr>
                <w:rFonts w:hint="eastAsia" w:ascii="宋体" w:hAnsi="宋体" w:cs="宋体"/>
                <w:color w:val="auto"/>
                <w:sz w:val="24"/>
                <w:szCs w:val="24"/>
                <w:highlight w:val="none"/>
                <w:vertAlign w:val="baseline"/>
                <w:lang w:val="en-US" w:eastAsia="zh-CN"/>
              </w:rPr>
              <w:t>/a。冷凝水作为冷却用水的补充水使用，不外排。</w:t>
            </w:r>
          </w:p>
          <w:p>
            <w:pPr>
              <w:jc w:val="center"/>
              <w:rPr>
                <w:rFonts w:hint="eastAsia" w:eastAsia="宋体"/>
                <w:color w:val="auto"/>
                <w:lang w:eastAsia="zh-CN"/>
              </w:rPr>
            </w:pPr>
            <w:r>
              <w:rPr>
                <w:rFonts w:hint="eastAsia" w:eastAsia="宋体"/>
                <w:color w:val="auto"/>
                <w:lang w:eastAsia="zh-CN"/>
              </w:rPr>
              <w:drawing>
                <wp:inline distT="0" distB="0" distL="114300" distR="114300">
                  <wp:extent cx="5287645" cy="1683385"/>
                  <wp:effectExtent l="0" t="0" r="8255" b="1206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3"/>
                          <a:stretch>
                            <a:fillRect/>
                          </a:stretch>
                        </pic:blipFill>
                        <pic:spPr>
                          <a:xfrm>
                            <a:off x="0" y="0"/>
                            <a:ext cx="5287645" cy="1683385"/>
                          </a:xfrm>
                          <a:prstGeom prst="rect">
                            <a:avLst/>
                          </a:prstGeom>
                          <a:noFill/>
                          <a:ln>
                            <a:noFill/>
                          </a:ln>
                        </pic:spPr>
                      </pic:pic>
                    </a:graphicData>
                  </a:graphic>
                </wp:inline>
              </w:drawing>
            </w:r>
          </w:p>
          <w:p>
            <w:pPr>
              <w:adjustRightInd w:val="0"/>
              <w:snapToGrid w:val="0"/>
              <w:spacing w:beforeLines="50"/>
              <w:jc w:val="center"/>
              <w:rPr>
                <w:color w:val="auto"/>
              </w:rPr>
            </w:pPr>
            <w:r>
              <w:rPr>
                <w:rFonts w:hint="eastAsia"/>
                <w:color w:val="auto"/>
                <w:highlight w:val="none"/>
              </w:rPr>
              <w:t>图</w:t>
            </w:r>
            <w:r>
              <w:rPr>
                <w:color w:val="auto"/>
                <w:highlight w:val="none"/>
              </w:rPr>
              <w:t>2-</w:t>
            </w:r>
            <w:r>
              <w:rPr>
                <w:rFonts w:hint="eastAsia"/>
                <w:color w:val="auto"/>
                <w:highlight w:val="none"/>
                <w:lang w:val="en-US" w:eastAsia="zh-CN"/>
              </w:rPr>
              <w:t>2</w:t>
            </w:r>
            <w:r>
              <w:rPr>
                <w:color w:val="auto"/>
                <w:highlight w:val="none"/>
              </w:rPr>
              <w:t xml:space="preserve"> </w:t>
            </w:r>
            <w:r>
              <w:rPr>
                <w:rFonts w:hint="eastAsia"/>
                <w:color w:val="auto"/>
                <w:highlight w:val="none"/>
              </w:rPr>
              <w:t>本项目水平衡图</w:t>
            </w:r>
            <w:r>
              <w:rPr>
                <w:color w:val="auto"/>
                <w:highlight w:val="none"/>
              </w:rPr>
              <w:t xml:space="preserve">   </w:t>
            </w:r>
            <w:r>
              <w:rPr>
                <w:rFonts w:hint="eastAsia"/>
                <w:color w:val="auto"/>
                <w:highlight w:val="none"/>
              </w:rPr>
              <w:t>单位：</w:t>
            </w:r>
            <w:r>
              <w:rPr>
                <w:rFonts w:hint="eastAsia"/>
                <w:color w:val="auto"/>
                <w:highlight w:val="none"/>
                <w:lang w:val="en-US" w:eastAsia="zh-CN"/>
              </w:rPr>
              <w:t>t</w:t>
            </w:r>
            <w:r>
              <w:rPr>
                <w:color w:val="auto"/>
                <w:highlight w:val="none"/>
              </w:rPr>
              <w:t>/a</w:t>
            </w:r>
            <w:r>
              <w:rPr>
                <w:color w:val="auto"/>
                <w:highlight w:val="none"/>
              </w:rPr>
              <w:br w:type="textWrapp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4" w:hRule="atLeast"/>
          <w:jc w:val="center"/>
        </w:trPr>
        <w:tc>
          <w:tcPr>
            <w:tcW w:w="600" w:type="dxa"/>
            <w:tcBorders>
              <w:bottom w:val="single" w:color="auto" w:sz="8" w:space="0"/>
            </w:tcBorders>
            <w:vAlign w:val="center"/>
          </w:tcPr>
          <w:p>
            <w:pPr>
              <w:pStyle w:val="33"/>
              <w:adjustRightInd w:val="0"/>
              <w:snapToGrid w:val="0"/>
              <w:spacing w:before="0" w:beforeAutospacing="0" w:after="0" w:afterAutospacing="0"/>
              <w:jc w:val="center"/>
              <w:rPr>
                <w:rFonts w:cs="Times New Roman"/>
                <w:color w:val="auto"/>
                <w:sz w:val="21"/>
                <w:szCs w:val="21"/>
              </w:rPr>
            </w:pPr>
            <w:r>
              <w:rPr>
                <w:rFonts w:hint="eastAsia"/>
                <w:color w:val="auto"/>
                <w:kern w:val="2"/>
              </w:rPr>
              <w:t>与项目有关的原有环境污染问题</w:t>
            </w:r>
          </w:p>
        </w:tc>
        <w:tc>
          <w:tcPr>
            <w:tcW w:w="8552" w:type="dxa"/>
            <w:tcBorders>
              <w:bottom w:val="single" w:color="auto" w:sz="8" w:space="0"/>
            </w:tcBorders>
          </w:tcPr>
          <w:p>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jc w:val="left"/>
              <w:textAlignment w:val="auto"/>
              <w:rPr>
                <w:rFonts w:hint="default" w:ascii="宋体" w:hAnsi="宋体" w:cs="宋体"/>
                <w:color w:val="auto"/>
                <w:sz w:val="24"/>
                <w:szCs w:val="24"/>
                <w:lang w:val="en-US" w:eastAsia="zh-CN"/>
              </w:rPr>
            </w:pPr>
            <w:r>
              <w:rPr>
                <w:rFonts w:hint="eastAsia" w:ascii="宋体" w:hAnsi="宋体" w:cs="宋体"/>
                <w:color w:val="auto"/>
                <w:sz w:val="24"/>
                <w:szCs w:val="24"/>
                <w:lang w:eastAsia="zh-CN"/>
              </w:rPr>
              <w:t>本项目为新建项目，</w:t>
            </w:r>
            <w:r>
              <w:rPr>
                <w:rFonts w:hint="eastAsia" w:ascii="宋体" w:hAnsi="宋体"/>
                <w:bCs/>
                <w:color w:val="auto"/>
                <w:sz w:val="24"/>
              </w:rPr>
              <w:t>根据现场勘查，项目</w:t>
            </w:r>
            <w:r>
              <w:rPr>
                <w:rFonts w:hint="eastAsia" w:ascii="宋体" w:hAnsi="宋体"/>
                <w:bCs/>
                <w:color w:val="auto"/>
                <w:sz w:val="24"/>
                <w:lang w:eastAsia="zh-CN"/>
              </w:rPr>
              <w:t>租赁</w:t>
            </w:r>
            <w:r>
              <w:rPr>
                <w:rFonts w:hint="eastAsia" w:ascii="Times New Roman" w:hAnsi="Times New Roman" w:eastAsia="宋体" w:cs="Times New Roman"/>
                <w:color w:val="auto"/>
                <w:sz w:val="24"/>
                <w:shd w:val="clear" w:color="auto" w:fill="auto"/>
                <w:lang w:val="en-US" w:eastAsia="zh-CN"/>
              </w:rPr>
              <w:t>安徽省淮北市烈山区烈山经济开发区南区唐山路智能制造产业园二区4号厂房作为生产车间</w:t>
            </w:r>
            <w:r>
              <w:rPr>
                <w:rFonts w:hint="eastAsia" w:ascii="宋体" w:hAnsi="宋体"/>
                <w:bCs/>
                <w:color w:val="auto"/>
                <w:sz w:val="24"/>
              </w:rPr>
              <w:t>，厂房为新建</w:t>
            </w:r>
            <w:r>
              <w:rPr>
                <w:rFonts w:hint="eastAsia" w:ascii="宋体" w:hAnsi="宋体"/>
                <w:bCs/>
                <w:color w:val="auto"/>
                <w:sz w:val="24"/>
                <w:lang w:eastAsia="zh-CN"/>
              </w:rPr>
              <w:t>。前期已建设部分生产设备并进行试产，现经处罚后，厂区设备已撤离出厂。</w:t>
            </w:r>
            <w:r>
              <w:rPr>
                <w:rFonts w:hint="eastAsia" w:ascii="宋体" w:hAnsi="宋体"/>
                <w:bCs/>
                <w:color w:val="auto"/>
                <w:sz w:val="24"/>
              </w:rPr>
              <w:t>故不存在与项目有关的原有污染情况。</w:t>
            </w:r>
          </w:p>
          <w:p>
            <w:pPr>
              <w:pStyle w:val="10"/>
              <w:rPr>
                <w:rFonts w:hint="default"/>
                <w:color w:val="auto"/>
                <w:lang w:val="en-US" w:eastAsia="zh-CN"/>
              </w:rPr>
            </w:pPr>
          </w:p>
        </w:tc>
      </w:tr>
    </w:tbl>
    <w:p>
      <w:pPr>
        <w:pStyle w:val="33"/>
        <w:jc w:val="center"/>
        <w:rPr>
          <w:rFonts w:ascii="黑体" w:hAnsi="黑体" w:eastAsia="黑体" w:cs="Times New Roman"/>
          <w:snapToGrid w:val="0"/>
          <w:color w:val="auto"/>
          <w:sz w:val="36"/>
          <w:szCs w:val="36"/>
        </w:rPr>
        <w:sectPr>
          <w:pgSz w:w="11906" w:h="16838"/>
          <w:pgMar w:top="1701" w:right="1474" w:bottom="1134" w:left="1531" w:header="851" w:footer="851" w:gutter="0"/>
          <w:pgBorders>
            <w:top w:val="none" w:sz="0" w:space="0"/>
            <w:left w:val="none" w:sz="0" w:space="0"/>
            <w:bottom w:val="none" w:sz="0" w:space="0"/>
            <w:right w:val="none" w:sz="0" w:space="0"/>
          </w:pgBorders>
          <w:cols w:space="720" w:num="1"/>
          <w:docGrid w:linePitch="312" w:charSpace="0"/>
        </w:sectPr>
      </w:pPr>
    </w:p>
    <w:p>
      <w:pPr>
        <w:pStyle w:val="33"/>
        <w:jc w:val="center"/>
        <w:outlineLvl w:val="0"/>
        <w:rPr>
          <w:rFonts w:ascii="黑体" w:hAnsi="黑体" w:eastAsia="黑体" w:cs="Times New Roman"/>
          <w:snapToGrid w:val="0"/>
          <w:color w:val="auto"/>
          <w:sz w:val="30"/>
          <w:szCs w:val="30"/>
        </w:rPr>
      </w:pPr>
      <w:r>
        <w:rPr>
          <w:rFonts w:hint="eastAsia" w:ascii="黑体" w:hAnsi="黑体" w:eastAsia="黑体" w:cs="黑体"/>
          <w:snapToGrid w:val="0"/>
          <w:color w:val="auto"/>
          <w:sz w:val="30"/>
          <w:szCs w:val="30"/>
        </w:rPr>
        <w:t>三、区域环境质量现状、环境保护目标及评价标准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8" w:hRule="atLeast"/>
          <w:jc w:val="center"/>
        </w:trPr>
        <w:tc>
          <w:tcPr>
            <w:tcW w:w="800"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区域</w:t>
            </w:r>
          </w:p>
          <w:p>
            <w:pPr>
              <w:adjustRightInd w:val="0"/>
              <w:snapToGrid w:val="0"/>
              <w:jc w:val="center"/>
              <w:rPr>
                <w:rFonts w:ascii="宋体"/>
                <w:color w:val="auto"/>
                <w:sz w:val="24"/>
                <w:szCs w:val="24"/>
              </w:rPr>
            </w:pPr>
            <w:r>
              <w:rPr>
                <w:rFonts w:hint="eastAsia" w:ascii="宋体" w:hAnsi="宋体" w:cs="宋体"/>
                <w:color w:val="auto"/>
                <w:sz w:val="24"/>
                <w:szCs w:val="24"/>
              </w:rPr>
              <w:t>环境</w:t>
            </w:r>
          </w:p>
          <w:p>
            <w:pPr>
              <w:adjustRightInd w:val="0"/>
              <w:snapToGrid w:val="0"/>
              <w:jc w:val="center"/>
              <w:rPr>
                <w:rFonts w:ascii="宋体"/>
                <w:color w:val="auto"/>
                <w:sz w:val="24"/>
                <w:szCs w:val="24"/>
              </w:rPr>
            </w:pPr>
            <w:r>
              <w:rPr>
                <w:rFonts w:hint="eastAsia" w:ascii="宋体" w:hAnsi="宋体" w:cs="宋体"/>
                <w:color w:val="auto"/>
                <w:sz w:val="24"/>
                <w:szCs w:val="24"/>
              </w:rPr>
              <w:t>质量</w:t>
            </w:r>
          </w:p>
          <w:p>
            <w:pPr>
              <w:adjustRightInd w:val="0"/>
              <w:snapToGrid w:val="0"/>
              <w:jc w:val="center"/>
              <w:rPr>
                <w:rFonts w:ascii="宋体"/>
                <w:color w:val="auto"/>
                <w:kern w:val="0"/>
              </w:rPr>
            </w:pPr>
            <w:r>
              <w:rPr>
                <w:rFonts w:hint="eastAsia" w:ascii="宋体" w:hAnsi="宋体" w:cs="宋体"/>
                <w:color w:val="auto"/>
                <w:sz w:val="24"/>
                <w:szCs w:val="24"/>
              </w:rPr>
              <w:t>现状</w:t>
            </w:r>
          </w:p>
        </w:tc>
        <w:tc>
          <w:tcPr>
            <w:tcW w:w="8190" w:type="dxa"/>
            <w:vAlign w:val="center"/>
          </w:tcPr>
          <w:p>
            <w:pPr>
              <w:adjustRightInd w:val="0"/>
              <w:snapToGrid w:val="0"/>
              <w:spacing w:beforeLines="50" w:line="360" w:lineRule="auto"/>
              <w:jc w:val="left"/>
              <w:rPr>
                <w:rFonts w:ascii="宋体"/>
                <w:b/>
                <w:bCs/>
                <w:color w:val="auto"/>
                <w:sz w:val="24"/>
                <w:szCs w:val="24"/>
              </w:rPr>
            </w:pPr>
            <w:r>
              <w:rPr>
                <w:rFonts w:ascii="宋体" w:hAnsi="宋体" w:cs="宋体"/>
                <w:b/>
                <w:bCs/>
                <w:color w:val="auto"/>
                <w:sz w:val="24"/>
                <w:szCs w:val="24"/>
              </w:rPr>
              <w:t>3.1</w:t>
            </w:r>
            <w:r>
              <w:rPr>
                <w:rFonts w:hint="eastAsia" w:ascii="宋体" w:hAnsi="宋体" w:cs="宋体"/>
                <w:b/>
                <w:bCs/>
                <w:color w:val="auto"/>
                <w:sz w:val="24"/>
                <w:szCs w:val="24"/>
              </w:rPr>
              <w:t>环境空气质量现状调查与监测</w:t>
            </w:r>
          </w:p>
          <w:p>
            <w:pPr>
              <w:adjustRightInd w:val="0"/>
              <w:snapToGrid w:val="0"/>
              <w:spacing w:beforeLines="50" w:line="360" w:lineRule="auto"/>
              <w:ind w:firstLine="480" w:firstLineChars="200"/>
              <w:jc w:val="left"/>
              <w:rPr>
                <w:rFonts w:ascii="宋体"/>
                <w:color w:val="auto"/>
                <w:sz w:val="24"/>
                <w:szCs w:val="24"/>
              </w:rPr>
            </w:pPr>
            <w:r>
              <w:rPr>
                <w:rFonts w:ascii="宋体" w:hAnsi="宋体" w:cs="宋体"/>
                <w:color w:val="auto"/>
                <w:sz w:val="24"/>
                <w:szCs w:val="24"/>
              </w:rPr>
              <w:t>1</w:t>
            </w:r>
            <w:r>
              <w:rPr>
                <w:rFonts w:hint="eastAsia" w:ascii="宋体" w:hAnsi="宋体" w:cs="宋体"/>
                <w:color w:val="auto"/>
                <w:sz w:val="24"/>
                <w:szCs w:val="24"/>
              </w:rPr>
              <w:t>、大气环境</w:t>
            </w:r>
          </w:p>
          <w:p>
            <w:pPr>
              <w:autoSpaceDE w:val="0"/>
              <w:autoSpaceDN w:val="0"/>
              <w:adjustRightInd w:val="0"/>
              <w:snapToGrid w:val="0"/>
              <w:spacing w:line="360" w:lineRule="auto"/>
              <w:ind w:left="479" w:leftChars="228" w:firstLine="0" w:firstLineChars="0"/>
              <w:rPr>
                <w:rFonts w:hint="default" w:ascii="宋体" w:hAnsi="宋体" w:eastAsia="宋体" w:cs="宋体"/>
                <w:color w:val="auto"/>
                <w:sz w:val="24"/>
                <w:szCs w:val="24"/>
                <w:highlight w:val="none"/>
              </w:rPr>
            </w:pPr>
            <w:r>
              <w:rPr>
                <w:rFonts w:hint="default" w:ascii="宋体" w:hAnsi="宋体" w:eastAsia="宋体" w:cs="宋体"/>
                <w:color w:val="auto"/>
                <w:sz w:val="24"/>
                <w:szCs w:val="24"/>
                <w:highlight w:val="none"/>
              </w:rPr>
              <w:t>（1）基本污染物环境质量现状</w:t>
            </w:r>
          </w:p>
          <w:p>
            <w:pPr>
              <w:autoSpaceDE w:val="0"/>
              <w:autoSpaceDN w:val="0"/>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default" w:ascii="宋体" w:hAnsi="宋体" w:eastAsia="宋体" w:cs="宋体"/>
                <w:color w:val="auto"/>
                <w:sz w:val="24"/>
                <w:szCs w:val="24"/>
                <w:highlight w:val="none"/>
              </w:rPr>
              <w:t>根据《建设项目环境影响报告表编制技术指南（污染影响类）（试行）》要求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常规污染物引用与建设项目距离近的有效数据，包括近 3 年的规划环境影响评价的监测数据，国家、地方环境空气质量监测网数据或生态环境主管部门公开发布的质量数据等</w:t>
            </w:r>
            <w:r>
              <w:rPr>
                <w:rFonts w:hint="eastAsia" w:ascii="宋体" w:hAnsi="宋体" w:cs="宋体"/>
                <w:color w:val="auto"/>
                <w:sz w:val="24"/>
                <w:szCs w:val="24"/>
                <w:highlight w:val="none"/>
                <w:lang w:val="en-US" w:eastAsia="zh-CN"/>
              </w:rPr>
              <w:t>。</w:t>
            </w:r>
          </w:p>
          <w:p>
            <w:pP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rPr>
              <w:t>本次基本污染物环境质量现状数据选用淮北市生态环境局网站公开的202</w:t>
            </w:r>
            <w:r>
              <w:rPr>
                <w:rFonts w:hint="eastAsia" w:ascii="宋体" w:hAnsi="宋体" w:eastAsia="宋体" w:cs="宋体"/>
                <w:color w:val="auto"/>
                <w:sz w:val="24"/>
                <w:szCs w:val="24"/>
                <w:highlight w:val="none"/>
                <w:lang w:val="en-US" w:eastAsia="zh-CN"/>
              </w:rPr>
              <w:t>2</w:t>
            </w:r>
            <w:r>
              <w:rPr>
                <w:rFonts w:hint="default" w:ascii="宋体" w:hAnsi="宋体" w:eastAsia="宋体" w:cs="宋体"/>
                <w:color w:val="auto"/>
                <w:sz w:val="24"/>
                <w:szCs w:val="24"/>
                <w:highlight w:val="none"/>
              </w:rPr>
              <w:t>年环境质量公报</w:t>
            </w:r>
            <w:r>
              <w:rPr>
                <w:rFonts w:hint="eastAsia" w:ascii="宋体" w:hAnsi="宋体" w:eastAsia="宋体" w:cs="宋体"/>
                <w:color w:val="auto"/>
                <w:sz w:val="24"/>
                <w:szCs w:val="24"/>
                <w:highlight w:val="none"/>
                <w:lang w:eastAsia="zh-CN"/>
              </w:rPr>
              <w:t>，根据内容显示：</w:t>
            </w:r>
            <w:r>
              <w:rPr>
                <w:rFonts w:hint="eastAsia" w:ascii="宋体" w:hAnsi="宋体" w:eastAsia="宋体" w:cs="宋体"/>
                <w:color w:val="auto"/>
                <w:sz w:val="24"/>
                <w:szCs w:val="24"/>
                <w:highlight w:val="none"/>
              </w:rPr>
              <w:t>2022年，淮北市城市环境空气二氧化硫、二氧化氮、可吸入颗粒物、细颗粒物年均浓度分别为7微克/立方米、21微克/立方米、 70微克/立方米、42微克/立方米，一氧化碳日均值第95百分位浓度为1.0毫克/立方米、臭氧日最大8小时平均值第90百分位浓度为168微克/立方米。全市二氧化硫、二氧化氮年平均浓度均达到《环境空气质量标准》（GB3095-2012）一级标准要求；可吸入颗粒物年平均浓度均达到二级标准要求；一氧化碳日均值第95百分位数达到二级标准要求；细颗粒物年均浓度和臭氧日最大8小时平均值第90百分位数均超过二级标准要求</w:t>
            </w:r>
            <w:r>
              <w:rPr>
                <w:rFonts w:hint="eastAsia" w:ascii="宋体" w:hAnsi="宋体" w:cs="宋体"/>
                <w:color w:val="auto"/>
                <w:sz w:val="24"/>
                <w:szCs w:val="24"/>
                <w:highlight w:val="none"/>
                <w:lang w:eastAsia="zh-CN"/>
              </w:rPr>
              <w:t>。</w:t>
            </w:r>
          </w:p>
          <w:p>
            <w:pPr>
              <w:autoSpaceDE w:val="0"/>
              <w:autoSpaceDN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表</w:t>
            </w:r>
            <w:r>
              <w:rPr>
                <w:rFonts w:hint="eastAsia" w:ascii="宋体" w:hAnsi="宋体" w:cs="宋体"/>
                <w:color w:val="auto"/>
                <w:sz w:val="24"/>
                <w:szCs w:val="24"/>
                <w:highlight w:val="none"/>
                <w:lang w:val="en-US" w:eastAsia="zh-CN"/>
              </w:rPr>
              <w:t>3-1 2022 年淮北市环境空气基本污染物环境质量现状评价</w:t>
            </w:r>
          </w:p>
          <w:p>
            <w:pPr>
              <w:autoSpaceDE w:val="0"/>
              <w:autoSpaceDN w:val="0"/>
              <w:adjustRightInd w:val="0"/>
              <w:snapToGrid w:val="0"/>
              <w:spacing w:line="360" w:lineRule="auto"/>
              <w:jc w:val="center"/>
              <w:rPr>
                <w:rFonts w:hint="eastAsia" w:ascii="宋体" w:hAnsi="宋体" w:eastAsia="宋体" w:cs="宋体"/>
                <w:color w:val="auto"/>
                <w:sz w:val="24"/>
                <w:szCs w:val="24"/>
                <w:highlight w:val="none"/>
              </w:rPr>
            </w:pPr>
            <w:r>
              <w:rPr>
                <w:color w:val="auto"/>
              </w:rPr>
              <w:drawing>
                <wp:inline distT="0" distB="0" distL="114300" distR="114300">
                  <wp:extent cx="5061585" cy="1684655"/>
                  <wp:effectExtent l="0" t="0" r="5715"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061585" cy="1684655"/>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项目所在区域大气污染物年平均质量浓度中O3和PM2.5超标，其余四项指标则满足《环境空气质量标准》（GB3095-2012）及其修改单中二级标准的要求。环境空气属于不达标区。</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2</w:t>
            </w:r>
            <w:r>
              <w:rPr>
                <w:rFonts w:hint="eastAsia" w:ascii="宋体" w:hAnsi="宋体" w:cs="宋体"/>
                <w:color w:val="auto"/>
                <w:sz w:val="24"/>
                <w:szCs w:val="24"/>
              </w:rPr>
              <w:t>）特征污染物补充监测结果</w:t>
            </w:r>
          </w:p>
          <w:p>
            <w:pPr>
              <w:adjustRightInd w:val="0"/>
              <w:snapToGrid w:val="0"/>
              <w:spacing w:line="360" w:lineRule="auto"/>
              <w:ind w:firstLine="480" w:firstLineChars="200"/>
              <w:jc w:val="left"/>
              <w:rPr>
                <w:rFonts w:hint="eastAsia" w:ascii="宋体" w:hAnsi="宋体" w:cs="宋体"/>
                <w:color w:val="auto"/>
                <w:sz w:val="24"/>
                <w:szCs w:val="24"/>
                <w:lang w:val="en-US" w:eastAsia="zh-CN"/>
              </w:rPr>
            </w:pPr>
            <w:r>
              <w:rPr>
                <w:rFonts w:hint="eastAsia" w:ascii="宋体" w:hAnsi="宋体" w:cs="宋体"/>
                <w:color w:val="auto"/>
                <w:sz w:val="24"/>
                <w:szCs w:val="24"/>
                <w:lang w:eastAsia="zh-CN"/>
              </w:rPr>
              <w:t>项目</w:t>
            </w:r>
            <w:r>
              <w:rPr>
                <w:rFonts w:hint="eastAsia" w:ascii="宋体" w:hAnsi="宋体" w:cs="宋体"/>
                <w:color w:val="auto"/>
                <w:sz w:val="24"/>
                <w:szCs w:val="24"/>
                <w:lang w:val="en-US" w:eastAsia="zh-CN"/>
              </w:rPr>
              <w:t>位于安徽淮北烈山经济开发区南区唐山路智能制造产业园，其大气环境特征污染物主要为TSP。根据《建设项目环境影响报告表编制技术指南（污染影响类）（试行）》的数据引用要求：排放国家、地方环境空气质量标准中有标准限值要求的特征污染物时，引用建设项目周边 5 千米范围内近 3 年的现有监测数据，无相关数据的选择当季主导风向下风向 1 个点位补充不少于 3 天的监测数据。本项目引用《安徽恒驰新型建材有限公司年产40万吨绿色环保路面材料生产基地项目环境影响报告表》内容中委托安徽鑫程检测科技有限公司2023年3月20日至 2023年3月26日对安徽恒驰新型建材有限公司及代庄子的环境监测。</w:t>
            </w:r>
          </w:p>
          <w:p>
            <w:pPr>
              <w:adjustRightInd w:val="0"/>
              <w:snapToGri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lang w:eastAsia="zh-CN"/>
              </w:rPr>
              <w:t>符合项目建设地周围</w:t>
            </w:r>
            <w:r>
              <w:rPr>
                <w:rFonts w:hint="eastAsia" w:ascii="宋体" w:hAnsi="宋体" w:cs="宋体"/>
                <w:color w:val="auto"/>
                <w:sz w:val="24"/>
                <w:szCs w:val="24"/>
                <w:lang w:val="en-US" w:eastAsia="zh-CN"/>
              </w:rPr>
              <w:t xml:space="preserve">5000米的范围内有G1 </w:t>
            </w:r>
            <w:r>
              <w:rPr>
                <w:rFonts w:hint="eastAsia" w:ascii="宋体" w:hAnsi="宋体" w:cs="宋体"/>
                <w:color w:val="auto"/>
                <w:sz w:val="24"/>
                <w:szCs w:val="24"/>
                <w:lang w:eastAsia="zh-CN"/>
              </w:rPr>
              <w:t>安徽恒驰新型建材有限公司</w:t>
            </w:r>
            <w:r>
              <w:rPr>
                <w:rFonts w:hint="eastAsia" w:ascii="宋体" w:hAnsi="宋体" w:cs="宋体"/>
                <w:color w:val="auto"/>
                <w:sz w:val="24"/>
                <w:szCs w:val="24"/>
                <w:lang w:val="en-US" w:eastAsia="zh-CN"/>
              </w:rPr>
              <w:t xml:space="preserve">和G2 代庄子。其中项目建设地位于开发区内，其中G1 </w:t>
            </w:r>
            <w:r>
              <w:rPr>
                <w:rFonts w:hint="eastAsia" w:ascii="宋体" w:hAnsi="宋体" w:cs="宋体"/>
                <w:color w:val="auto"/>
                <w:sz w:val="24"/>
                <w:szCs w:val="24"/>
                <w:lang w:eastAsia="zh-CN"/>
              </w:rPr>
              <w:t>安徽恒驰新型建材有限公司</w:t>
            </w:r>
            <w:r>
              <w:rPr>
                <w:rFonts w:hint="eastAsia" w:ascii="宋体" w:hAnsi="宋体" w:cs="宋体"/>
                <w:color w:val="auto"/>
                <w:sz w:val="24"/>
                <w:szCs w:val="24"/>
                <w:lang w:val="en-US" w:eastAsia="zh-CN"/>
              </w:rPr>
              <w:t>距项目地约2000米，G2 代庄子距项目地约1400米，符合引用要求。</w:t>
            </w:r>
            <w:r>
              <w:rPr>
                <w:rFonts w:hint="eastAsia" w:ascii="宋体" w:hAnsi="宋体" w:cs="宋体"/>
                <w:color w:val="auto"/>
                <w:sz w:val="24"/>
                <w:szCs w:val="24"/>
              </w:rPr>
              <w:t>大气环境特征污染物检测具体数据见下表。</w:t>
            </w:r>
          </w:p>
          <w:p>
            <w:pPr>
              <w:adjustRightInd w:val="0"/>
              <w:snapToGrid w:val="0"/>
              <w:spacing w:line="360" w:lineRule="auto"/>
              <w:ind w:firstLine="480" w:firstLineChars="20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表3-2  环境空气中TSP检测结果一览表（浓度单位：mg/m</w:t>
            </w:r>
            <w:r>
              <w:rPr>
                <w:rFonts w:hint="eastAsia" w:ascii="宋体" w:hAnsi="宋体" w:cs="宋体"/>
                <w:color w:val="auto"/>
                <w:sz w:val="24"/>
                <w:szCs w:val="24"/>
                <w:highlight w:val="none"/>
                <w:vertAlign w:val="superscript"/>
                <w:lang w:val="en-US" w:eastAsia="zh-CN"/>
              </w:rPr>
              <w:t>3</w:t>
            </w:r>
            <w:r>
              <w:rPr>
                <w:rFonts w:hint="eastAsia" w:ascii="宋体" w:hAnsi="宋体" w:cs="宋体"/>
                <w:color w:val="auto"/>
                <w:sz w:val="24"/>
                <w:szCs w:val="24"/>
                <w:highlight w:val="none"/>
                <w:lang w:val="en-US" w:eastAsia="zh-CN"/>
              </w:rPr>
              <w:t>）</w:t>
            </w:r>
          </w:p>
          <w:tbl>
            <w:tblPr>
              <w:tblStyle w:val="36"/>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764"/>
              <w:gridCol w:w="765"/>
              <w:gridCol w:w="765"/>
              <w:gridCol w:w="765"/>
              <w:gridCol w:w="765"/>
              <w:gridCol w:w="765"/>
              <w:gridCol w:w="765"/>
              <w:gridCol w:w="765"/>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649" w:type="pct"/>
                  <w:gridSpan w:val="3"/>
                  <w:vMerge w:val="restart"/>
                  <w:tcBorders>
                    <w:top w:val="single" w:color="auto" w:sz="4" w:space="0"/>
                    <w:left w:val="single" w:color="auto" w:sz="4" w:space="0"/>
                    <w:right w:val="single" w:color="auto" w:sz="4" w:space="0"/>
                  </w:tcBorders>
                  <w:vAlign w:val="center"/>
                </w:tcPr>
                <w:p>
                  <w:pPr>
                    <w:kinsoku w:val="0"/>
                    <w:overflowPunct w:val="0"/>
                    <w:autoSpaceDE w:val="0"/>
                    <w:autoSpaceDN w:val="0"/>
                    <w:adjustRightInd w:val="0"/>
                    <w:snapToGrid w:val="0"/>
                    <w:jc w:val="center"/>
                    <w:rPr>
                      <w:rFonts w:hint="eastAsia"/>
                      <w:color w:val="auto"/>
                      <w:kern w:val="0"/>
                      <w:szCs w:val="21"/>
                      <w:lang w:eastAsia="zh-CN" w:bidi="ar"/>
                    </w:rPr>
                  </w:pPr>
                  <w:r>
                    <w:rPr>
                      <w:rFonts w:hint="eastAsia"/>
                      <w:color w:val="auto"/>
                      <w:kern w:val="0"/>
                      <w:szCs w:val="21"/>
                      <w:lang w:val="en-US" w:eastAsia="zh-CN" w:bidi="ar"/>
                    </w:rPr>
                    <w:t>监测点位</w:t>
                  </w:r>
                </w:p>
              </w:tc>
              <w:tc>
                <w:tcPr>
                  <w:tcW w:w="3350" w:type="pct"/>
                  <w:gridSpan w:val="7"/>
                  <w:tcBorders>
                    <w:top w:val="single" w:color="auto" w:sz="4" w:space="0"/>
                    <w:left w:val="single" w:color="auto" w:sz="4" w:space="0"/>
                    <w:right w:val="single" w:color="auto" w:sz="4" w:space="0"/>
                  </w:tcBorders>
                  <w:vAlign w:val="center"/>
                </w:tcPr>
                <w:p>
                  <w:pPr>
                    <w:kinsoku w:val="0"/>
                    <w:overflowPunct w:val="0"/>
                    <w:autoSpaceDE w:val="0"/>
                    <w:autoSpaceDN w:val="0"/>
                    <w:adjustRightInd w:val="0"/>
                    <w:snapToGrid w:val="0"/>
                    <w:jc w:val="center"/>
                    <w:rPr>
                      <w:rFonts w:hint="eastAsia"/>
                      <w:color w:val="auto"/>
                      <w:kern w:val="0"/>
                      <w:szCs w:val="21"/>
                      <w:lang w:eastAsia="zh-CN" w:bidi="ar"/>
                    </w:rPr>
                  </w:pPr>
                  <w:r>
                    <w:rPr>
                      <w:rFonts w:hint="eastAsia"/>
                      <w:color w:val="auto"/>
                      <w:kern w:val="0"/>
                      <w:szCs w:val="21"/>
                      <w:lang w:eastAsia="zh-CN" w:bidi="ar"/>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649" w:type="pct"/>
                  <w:gridSpan w:val="3"/>
                  <w:vMerge w:val="continue"/>
                  <w:tcBorders>
                    <w:left w:val="single" w:color="auto" w:sz="4" w:space="0"/>
                    <w:right w:val="single" w:color="auto" w:sz="4" w:space="0"/>
                  </w:tcBorders>
                  <w:vAlign w:val="center"/>
                </w:tcPr>
                <w:p>
                  <w:pPr>
                    <w:kinsoku w:val="0"/>
                    <w:overflowPunct w:val="0"/>
                    <w:autoSpaceDE w:val="0"/>
                    <w:autoSpaceDN w:val="0"/>
                    <w:adjustRightInd w:val="0"/>
                    <w:snapToGrid w:val="0"/>
                    <w:jc w:val="center"/>
                    <w:rPr>
                      <w:rFonts w:hint="eastAsia"/>
                      <w:color w:val="auto"/>
                      <w:kern w:val="0"/>
                      <w:szCs w:val="21"/>
                      <w:lang w:eastAsia="zh-CN" w:bidi="ar"/>
                    </w:rPr>
                  </w:pPr>
                </w:p>
              </w:tc>
              <w:tc>
                <w:tcPr>
                  <w:tcW w:w="478"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color w:val="auto"/>
                      <w:kern w:val="0"/>
                      <w:szCs w:val="21"/>
                      <w:lang w:val="en-US" w:eastAsia="zh-CN" w:bidi="ar"/>
                    </w:rPr>
                  </w:pPr>
                  <w:r>
                    <w:rPr>
                      <w:rFonts w:hint="default"/>
                      <w:color w:val="auto"/>
                      <w:kern w:val="0"/>
                      <w:szCs w:val="21"/>
                      <w:lang w:val="en-US" w:eastAsia="zh-CN" w:bidi="ar"/>
                    </w:rPr>
                    <w:t>3.20</w:t>
                  </w:r>
                </w:p>
              </w:tc>
              <w:tc>
                <w:tcPr>
                  <w:tcW w:w="478"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color w:val="auto"/>
                      <w:kern w:val="0"/>
                      <w:szCs w:val="21"/>
                      <w:lang w:val="en-US" w:eastAsia="zh-CN" w:bidi="ar"/>
                    </w:rPr>
                  </w:pPr>
                  <w:r>
                    <w:rPr>
                      <w:rFonts w:hint="default"/>
                      <w:color w:val="auto"/>
                      <w:kern w:val="0"/>
                      <w:szCs w:val="21"/>
                      <w:lang w:val="en-US" w:eastAsia="zh-CN" w:bidi="ar"/>
                    </w:rPr>
                    <w:t>3.2</w:t>
                  </w:r>
                  <w:r>
                    <w:rPr>
                      <w:rFonts w:hint="eastAsia"/>
                      <w:color w:val="auto"/>
                      <w:kern w:val="0"/>
                      <w:szCs w:val="21"/>
                      <w:lang w:val="en-US" w:eastAsia="zh-CN" w:bidi="ar"/>
                    </w:rPr>
                    <w:t>1</w:t>
                  </w:r>
                </w:p>
              </w:tc>
              <w:tc>
                <w:tcPr>
                  <w:tcW w:w="478"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color w:val="auto"/>
                      <w:kern w:val="0"/>
                      <w:szCs w:val="21"/>
                      <w:lang w:val="en-US" w:eastAsia="zh-CN" w:bidi="ar"/>
                    </w:rPr>
                  </w:pPr>
                  <w:r>
                    <w:rPr>
                      <w:rFonts w:hint="default"/>
                      <w:color w:val="auto"/>
                      <w:kern w:val="0"/>
                      <w:szCs w:val="21"/>
                      <w:lang w:val="en-US" w:eastAsia="zh-CN" w:bidi="ar"/>
                    </w:rPr>
                    <w:t>3.2</w:t>
                  </w:r>
                  <w:r>
                    <w:rPr>
                      <w:rFonts w:hint="eastAsia"/>
                      <w:color w:val="auto"/>
                      <w:kern w:val="0"/>
                      <w:szCs w:val="21"/>
                      <w:lang w:val="en-US" w:eastAsia="zh-CN" w:bidi="ar"/>
                    </w:rPr>
                    <w:t>2</w:t>
                  </w:r>
                </w:p>
              </w:tc>
              <w:tc>
                <w:tcPr>
                  <w:tcW w:w="478"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color w:val="auto"/>
                      <w:kern w:val="0"/>
                      <w:szCs w:val="21"/>
                      <w:lang w:val="en-US" w:eastAsia="zh-CN" w:bidi="ar"/>
                    </w:rPr>
                  </w:pPr>
                  <w:r>
                    <w:rPr>
                      <w:rFonts w:hint="default"/>
                      <w:color w:val="auto"/>
                      <w:kern w:val="0"/>
                      <w:szCs w:val="21"/>
                      <w:lang w:val="en-US" w:eastAsia="zh-CN" w:bidi="ar"/>
                    </w:rPr>
                    <w:t>3.2</w:t>
                  </w:r>
                  <w:r>
                    <w:rPr>
                      <w:rFonts w:hint="eastAsia"/>
                      <w:color w:val="auto"/>
                      <w:kern w:val="0"/>
                      <w:szCs w:val="21"/>
                      <w:lang w:val="en-US" w:eastAsia="zh-CN" w:bidi="ar"/>
                    </w:rPr>
                    <w:t>3</w:t>
                  </w:r>
                </w:p>
              </w:tc>
              <w:tc>
                <w:tcPr>
                  <w:tcW w:w="478"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color w:val="auto"/>
                      <w:kern w:val="0"/>
                      <w:szCs w:val="21"/>
                      <w:lang w:val="en-US" w:eastAsia="zh-CN" w:bidi="ar"/>
                    </w:rPr>
                  </w:pPr>
                  <w:r>
                    <w:rPr>
                      <w:rFonts w:hint="default"/>
                      <w:color w:val="auto"/>
                      <w:kern w:val="0"/>
                      <w:szCs w:val="21"/>
                      <w:lang w:val="en-US" w:eastAsia="zh-CN" w:bidi="ar"/>
                    </w:rPr>
                    <w:t>3.2</w:t>
                  </w:r>
                  <w:r>
                    <w:rPr>
                      <w:rFonts w:hint="eastAsia"/>
                      <w:color w:val="auto"/>
                      <w:kern w:val="0"/>
                      <w:szCs w:val="21"/>
                      <w:lang w:val="en-US" w:eastAsia="zh-CN" w:bidi="ar"/>
                    </w:rPr>
                    <w:t>4</w:t>
                  </w:r>
                </w:p>
              </w:tc>
              <w:tc>
                <w:tcPr>
                  <w:tcW w:w="478"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color w:val="auto"/>
                      <w:kern w:val="0"/>
                      <w:szCs w:val="21"/>
                      <w:lang w:val="en-US" w:eastAsia="zh-CN" w:bidi="ar"/>
                    </w:rPr>
                  </w:pPr>
                  <w:r>
                    <w:rPr>
                      <w:rFonts w:hint="default"/>
                      <w:color w:val="auto"/>
                      <w:kern w:val="0"/>
                      <w:szCs w:val="21"/>
                      <w:lang w:val="en-US" w:eastAsia="zh-CN" w:bidi="ar"/>
                    </w:rPr>
                    <w:t>3.2</w:t>
                  </w:r>
                  <w:r>
                    <w:rPr>
                      <w:rFonts w:hint="eastAsia"/>
                      <w:color w:val="auto"/>
                      <w:kern w:val="0"/>
                      <w:szCs w:val="21"/>
                      <w:lang w:val="en-US" w:eastAsia="zh-CN" w:bidi="ar"/>
                    </w:rPr>
                    <w:t>5</w:t>
                  </w:r>
                </w:p>
              </w:tc>
              <w:tc>
                <w:tcPr>
                  <w:tcW w:w="481"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color w:val="auto"/>
                      <w:kern w:val="0"/>
                      <w:szCs w:val="21"/>
                      <w:lang w:val="en-US" w:eastAsia="zh-CN" w:bidi="ar"/>
                    </w:rPr>
                  </w:pPr>
                  <w:r>
                    <w:rPr>
                      <w:rFonts w:hint="default"/>
                      <w:color w:val="auto"/>
                      <w:kern w:val="0"/>
                      <w:szCs w:val="21"/>
                      <w:lang w:val="en-US" w:eastAsia="zh-CN" w:bidi="ar"/>
                    </w:rPr>
                    <w:t>3.2</w:t>
                  </w:r>
                  <w:r>
                    <w:rPr>
                      <w:rFonts w:hint="eastAsia"/>
                      <w:color w:val="auto"/>
                      <w:kern w:val="0"/>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93" w:type="pct"/>
                  <w:tcBorders>
                    <w:top w:val="single" w:color="auto" w:sz="4" w:space="0"/>
                    <w:left w:val="single" w:color="auto" w:sz="4" w:space="0"/>
                    <w:right w:val="single" w:color="auto" w:sz="4" w:space="0"/>
                  </w:tcBorders>
                  <w:vAlign w:val="center"/>
                </w:tcPr>
                <w:p>
                  <w:pPr>
                    <w:kinsoku w:val="0"/>
                    <w:overflowPunct w:val="0"/>
                    <w:autoSpaceDE w:val="0"/>
                    <w:autoSpaceDN w:val="0"/>
                    <w:adjustRightInd w:val="0"/>
                    <w:snapToGrid w:val="0"/>
                    <w:jc w:val="center"/>
                    <w:rPr>
                      <w:color w:val="auto"/>
                      <w:sz w:val="22"/>
                      <w:szCs w:val="22"/>
                    </w:rPr>
                  </w:pPr>
                  <w:r>
                    <w:rPr>
                      <w:rFonts w:hint="eastAsia"/>
                      <w:color w:val="auto"/>
                      <w:sz w:val="22"/>
                      <w:szCs w:val="22"/>
                      <w:lang w:val="en-US" w:eastAsia="zh-CN"/>
                    </w:rPr>
                    <w:t xml:space="preserve">G1 </w:t>
                  </w:r>
                  <w:r>
                    <w:rPr>
                      <w:rFonts w:hint="eastAsia" w:ascii="宋体" w:hAnsi="宋体" w:cs="宋体"/>
                      <w:color w:val="auto"/>
                      <w:sz w:val="24"/>
                      <w:szCs w:val="24"/>
                      <w:lang w:eastAsia="zh-CN"/>
                    </w:rPr>
                    <w:t>安徽恒驰新型建材有限公司</w:t>
                  </w:r>
                </w:p>
              </w:tc>
              <w:tc>
                <w:tcPr>
                  <w:tcW w:w="477" w:type="pct"/>
                  <w:tcBorders>
                    <w:top w:val="single" w:color="auto" w:sz="4" w:space="0"/>
                    <w:left w:val="single" w:color="auto" w:sz="4" w:space="0"/>
                    <w:right w:val="single" w:color="auto" w:sz="4" w:space="0"/>
                  </w:tcBorders>
                  <w:vAlign w:val="center"/>
                </w:tcPr>
                <w:p>
                  <w:pPr>
                    <w:kinsoku w:val="0"/>
                    <w:overflowPunct w:val="0"/>
                    <w:autoSpaceDE w:val="0"/>
                    <w:autoSpaceDN w:val="0"/>
                    <w:adjustRightInd w:val="0"/>
                    <w:snapToGrid w:val="0"/>
                    <w:jc w:val="center"/>
                    <w:rPr>
                      <w:rFonts w:hint="default" w:eastAsia="宋体"/>
                      <w:color w:val="auto"/>
                      <w:sz w:val="22"/>
                      <w:szCs w:val="22"/>
                      <w:lang w:val="en-US" w:eastAsia="zh-CN"/>
                    </w:rPr>
                  </w:pPr>
                  <w:r>
                    <w:rPr>
                      <w:rFonts w:hint="eastAsia" w:cs="宋体"/>
                      <w:color w:val="auto"/>
                      <w:sz w:val="22"/>
                      <w:szCs w:val="22"/>
                      <w:lang w:val="en-US" w:eastAsia="zh-CN"/>
                    </w:rPr>
                    <w:t>TSP</w:t>
                  </w:r>
                </w:p>
              </w:tc>
              <w:tc>
                <w:tcPr>
                  <w:tcW w:w="478" w:type="pct"/>
                  <w:tcBorders>
                    <w:top w:val="single" w:color="auto" w:sz="4" w:space="0"/>
                    <w:left w:val="single" w:color="auto" w:sz="4" w:space="0"/>
                    <w:right w:val="single" w:color="auto" w:sz="4" w:space="0"/>
                  </w:tcBorders>
                  <w:vAlign w:val="center"/>
                </w:tcPr>
                <w:p>
                  <w:pPr>
                    <w:keepNext w:val="0"/>
                    <w:keepLines w:val="0"/>
                    <w:widowControl/>
                    <w:suppressLineNumbers w:val="0"/>
                    <w:jc w:val="center"/>
                    <w:rPr>
                      <w:rFonts w:hint="eastAsia" w:cs="宋体"/>
                      <w:color w:val="auto"/>
                      <w:sz w:val="22"/>
                      <w:szCs w:val="22"/>
                    </w:rPr>
                  </w:pPr>
                  <w:r>
                    <w:rPr>
                      <w:rFonts w:hint="eastAsia" w:ascii="宋体" w:hAnsi="宋体" w:cs="宋体"/>
                      <w:color w:val="auto"/>
                      <w:kern w:val="0"/>
                      <w:sz w:val="20"/>
                      <w:szCs w:val="20"/>
                      <w:lang w:val="en-US" w:eastAsia="zh-CN" w:bidi="ar"/>
                    </w:rPr>
                    <w:t>日均</w:t>
                  </w:r>
                  <w:r>
                    <w:rPr>
                      <w:rFonts w:hint="eastAsia" w:ascii="宋体" w:hAnsi="宋体" w:eastAsia="宋体" w:cs="宋体"/>
                      <w:color w:val="auto"/>
                      <w:kern w:val="0"/>
                      <w:sz w:val="20"/>
                      <w:szCs w:val="20"/>
                      <w:lang w:val="en-US" w:eastAsia="zh-CN" w:bidi="ar"/>
                    </w:rPr>
                    <w:t>值</w:t>
                  </w:r>
                </w:p>
              </w:tc>
              <w:tc>
                <w:tcPr>
                  <w:tcW w:w="4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kinsoku w:val="0"/>
                    <w:overflowPunct w:val="0"/>
                    <w:autoSpaceDE w:val="0"/>
                    <w:autoSpaceDN w:val="0"/>
                    <w:adjustRightInd w:val="0"/>
                    <w:snapToGrid w:val="0"/>
                    <w:jc w:val="center"/>
                    <w:rPr>
                      <w:rFonts w:hint="default" w:eastAsia="宋体"/>
                      <w:color w:val="auto"/>
                      <w:sz w:val="22"/>
                      <w:szCs w:val="22"/>
                      <w:lang w:val="en-US" w:eastAsia="zh-CN"/>
                    </w:rPr>
                  </w:pPr>
                  <w:r>
                    <w:rPr>
                      <w:rFonts w:hint="eastAsia"/>
                      <w:color w:val="auto"/>
                      <w:sz w:val="22"/>
                      <w:szCs w:val="22"/>
                      <w:lang w:val="en-US" w:eastAsia="zh-CN"/>
                    </w:rPr>
                    <w:t>150</w:t>
                  </w:r>
                </w:p>
              </w:tc>
              <w:tc>
                <w:tcPr>
                  <w:tcW w:w="4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kinsoku w:val="0"/>
                    <w:overflowPunct w:val="0"/>
                    <w:autoSpaceDE w:val="0"/>
                    <w:autoSpaceDN w:val="0"/>
                    <w:adjustRightInd w:val="0"/>
                    <w:snapToGrid w:val="0"/>
                    <w:jc w:val="center"/>
                    <w:rPr>
                      <w:rFonts w:hint="default" w:eastAsia="宋体"/>
                      <w:color w:val="auto"/>
                      <w:sz w:val="22"/>
                      <w:szCs w:val="22"/>
                      <w:lang w:val="en-US" w:eastAsia="zh-CN"/>
                    </w:rPr>
                  </w:pPr>
                  <w:r>
                    <w:rPr>
                      <w:rFonts w:hint="eastAsia"/>
                      <w:color w:val="auto"/>
                      <w:sz w:val="22"/>
                      <w:szCs w:val="22"/>
                      <w:lang w:val="en-US" w:eastAsia="zh-CN"/>
                    </w:rPr>
                    <w:t>134</w:t>
                  </w:r>
                </w:p>
              </w:tc>
              <w:tc>
                <w:tcPr>
                  <w:tcW w:w="4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kinsoku w:val="0"/>
                    <w:overflowPunct w:val="0"/>
                    <w:autoSpaceDE w:val="0"/>
                    <w:autoSpaceDN w:val="0"/>
                    <w:adjustRightInd w:val="0"/>
                    <w:snapToGrid w:val="0"/>
                    <w:jc w:val="center"/>
                    <w:rPr>
                      <w:rFonts w:hint="default" w:eastAsia="宋体"/>
                      <w:color w:val="auto"/>
                      <w:sz w:val="22"/>
                      <w:szCs w:val="22"/>
                      <w:lang w:val="en-US" w:eastAsia="zh-CN"/>
                    </w:rPr>
                  </w:pPr>
                  <w:r>
                    <w:rPr>
                      <w:rFonts w:hint="eastAsia"/>
                      <w:color w:val="auto"/>
                      <w:sz w:val="22"/>
                      <w:szCs w:val="22"/>
                      <w:lang w:val="en-US" w:eastAsia="zh-CN"/>
                    </w:rPr>
                    <w:t>136</w:t>
                  </w:r>
                </w:p>
              </w:tc>
              <w:tc>
                <w:tcPr>
                  <w:tcW w:w="4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kinsoku w:val="0"/>
                    <w:overflowPunct w:val="0"/>
                    <w:autoSpaceDE w:val="0"/>
                    <w:autoSpaceDN w:val="0"/>
                    <w:adjustRightInd w:val="0"/>
                    <w:snapToGrid w:val="0"/>
                    <w:jc w:val="center"/>
                    <w:rPr>
                      <w:rFonts w:hint="default" w:eastAsia="宋体"/>
                      <w:color w:val="auto"/>
                      <w:sz w:val="22"/>
                      <w:szCs w:val="22"/>
                      <w:lang w:val="en-US" w:eastAsia="zh-CN"/>
                    </w:rPr>
                  </w:pPr>
                  <w:r>
                    <w:rPr>
                      <w:rFonts w:hint="eastAsia"/>
                      <w:color w:val="auto"/>
                      <w:sz w:val="22"/>
                      <w:szCs w:val="22"/>
                      <w:lang w:val="en-US" w:eastAsia="zh-CN"/>
                    </w:rPr>
                    <w:t>139</w:t>
                  </w:r>
                </w:p>
              </w:tc>
              <w:tc>
                <w:tcPr>
                  <w:tcW w:w="4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kinsoku w:val="0"/>
                    <w:overflowPunct w:val="0"/>
                    <w:autoSpaceDE w:val="0"/>
                    <w:autoSpaceDN w:val="0"/>
                    <w:adjustRightInd w:val="0"/>
                    <w:snapToGrid w:val="0"/>
                    <w:jc w:val="center"/>
                    <w:rPr>
                      <w:rFonts w:hint="default" w:eastAsia="宋体"/>
                      <w:color w:val="auto"/>
                      <w:sz w:val="22"/>
                      <w:szCs w:val="22"/>
                      <w:lang w:val="en-US" w:eastAsia="zh-CN"/>
                    </w:rPr>
                  </w:pPr>
                  <w:r>
                    <w:rPr>
                      <w:rFonts w:hint="eastAsia"/>
                      <w:color w:val="auto"/>
                      <w:sz w:val="22"/>
                      <w:szCs w:val="22"/>
                      <w:lang w:val="en-US" w:eastAsia="zh-CN"/>
                    </w:rPr>
                    <w:t>147</w:t>
                  </w:r>
                </w:p>
              </w:tc>
              <w:tc>
                <w:tcPr>
                  <w:tcW w:w="47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kinsoku w:val="0"/>
                    <w:overflowPunct w:val="0"/>
                    <w:autoSpaceDE w:val="0"/>
                    <w:autoSpaceDN w:val="0"/>
                    <w:adjustRightInd w:val="0"/>
                    <w:snapToGrid w:val="0"/>
                    <w:jc w:val="center"/>
                    <w:rPr>
                      <w:rFonts w:hint="default" w:eastAsia="宋体"/>
                      <w:color w:val="auto"/>
                      <w:sz w:val="22"/>
                      <w:szCs w:val="22"/>
                      <w:lang w:val="en-US" w:eastAsia="zh-CN"/>
                    </w:rPr>
                  </w:pPr>
                  <w:r>
                    <w:rPr>
                      <w:rFonts w:hint="eastAsia"/>
                      <w:color w:val="auto"/>
                      <w:sz w:val="22"/>
                      <w:szCs w:val="22"/>
                      <w:lang w:val="en-US" w:eastAsia="zh-CN"/>
                    </w:rPr>
                    <w:t>154</w:t>
                  </w:r>
                </w:p>
              </w:tc>
              <w:tc>
                <w:tcPr>
                  <w:tcW w:w="48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kinsoku w:val="0"/>
                    <w:overflowPunct w:val="0"/>
                    <w:autoSpaceDE w:val="0"/>
                    <w:autoSpaceDN w:val="0"/>
                    <w:adjustRightInd w:val="0"/>
                    <w:snapToGrid w:val="0"/>
                    <w:jc w:val="center"/>
                    <w:rPr>
                      <w:rFonts w:hint="default" w:eastAsia="宋体" w:cs="宋体"/>
                      <w:color w:val="auto"/>
                      <w:sz w:val="22"/>
                      <w:szCs w:val="22"/>
                      <w:lang w:val="en-US" w:eastAsia="zh-CN"/>
                    </w:rPr>
                  </w:pPr>
                  <w:r>
                    <w:rPr>
                      <w:rFonts w:hint="eastAsia" w:cs="宋体"/>
                      <w:color w:val="auto"/>
                      <w:sz w:val="22"/>
                      <w:szCs w:val="22"/>
                      <w:lang w:val="en-US"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693" w:type="pct"/>
                  <w:tcBorders>
                    <w:left w:val="single" w:color="auto" w:sz="4" w:space="0"/>
                    <w:right w:val="single" w:color="auto" w:sz="4" w:space="0"/>
                  </w:tcBorders>
                  <w:vAlign w:val="center"/>
                </w:tcPr>
                <w:p>
                  <w:pPr>
                    <w:kinsoku w:val="0"/>
                    <w:overflowPunct w:val="0"/>
                    <w:autoSpaceDE w:val="0"/>
                    <w:autoSpaceDN w:val="0"/>
                    <w:adjustRightInd w:val="0"/>
                    <w:snapToGrid w:val="0"/>
                    <w:jc w:val="center"/>
                    <w:rPr>
                      <w:color w:val="auto"/>
                      <w:sz w:val="22"/>
                      <w:szCs w:val="22"/>
                    </w:rPr>
                  </w:pPr>
                  <w:r>
                    <w:rPr>
                      <w:rFonts w:hint="eastAsia"/>
                      <w:color w:val="auto"/>
                      <w:sz w:val="22"/>
                      <w:szCs w:val="22"/>
                      <w:lang w:val="en-US" w:eastAsia="zh-CN"/>
                    </w:rPr>
                    <w:t xml:space="preserve">G2 </w:t>
                  </w:r>
                  <w:r>
                    <w:rPr>
                      <w:rFonts w:hint="eastAsia" w:ascii="宋体" w:hAnsi="宋体" w:cs="宋体"/>
                      <w:color w:val="auto"/>
                      <w:sz w:val="24"/>
                      <w:szCs w:val="24"/>
                      <w:lang w:val="en-US" w:eastAsia="zh-CN"/>
                    </w:rPr>
                    <w:t>代庄子</w:t>
                  </w:r>
                </w:p>
              </w:tc>
              <w:tc>
                <w:tcPr>
                  <w:tcW w:w="477" w:type="pct"/>
                  <w:tcBorders>
                    <w:top w:val="single" w:color="auto" w:sz="4" w:space="0"/>
                    <w:left w:val="single" w:color="auto" w:sz="4" w:space="0"/>
                    <w:right w:val="single" w:color="auto" w:sz="4" w:space="0"/>
                  </w:tcBorders>
                  <w:vAlign w:val="center"/>
                </w:tcPr>
                <w:p>
                  <w:pPr>
                    <w:kinsoku w:val="0"/>
                    <w:overflowPunct w:val="0"/>
                    <w:autoSpaceDE w:val="0"/>
                    <w:autoSpaceDN w:val="0"/>
                    <w:adjustRightInd w:val="0"/>
                    <w:snapToGrid w:val="0"/>
                    <w:jc w:val="center"/>
                    <w:rPr>
                      <w:rFonts w:hint="default" w:eastAsia="宋体"/>
                      <w:color w:val="auto"/>
                      <w:sz w:val="22"/>
                      <w:szCs w:val="22"/>
                      <w:lang w:val="en-US" w:eastAsia="zh-CN"/>
                    </w:rPr>
                  </w:pPr>
                  <w:r>
                    <w:rPr>
                      <w:rFonts w:hint="eastAsia" w:cs="宋体"/>
                      <w:color w:val="auto"/>
                      <w:sz w:val="22"/>
                      <w:szCs w:val="22"/>
                      <w:lang w:val="en-US" w:eastAsia="zh-CN"/>
                    </w:rPr>
                    <w:t>TSP</w:t>
                  </w:r>
                </w:p>
              </w:tc>
              <w:tc>
                <w:tcPr>
                  <w:tcW w:w="478" w:type="pct"/>
                  <w:tcBorders>
                    <w:top w:val="single" w:color="auto" w:sz="4" w:space="0"/>
                    <w:left w:val="single" w:color="auto" w:sz="4" w:space="0"/>
                    <w:right w:val="single" w:color="auto" w:sz="4" w:space="0"/>
                  </w:tcBorders>
                  <w:vAlign w:val="center"/>
                </w:tcPr>
                <w:p>
                  <w:pPr>
                    <w:keepNext w:val="0"/>
                    <w:keepLines w:val="0"/>
                    <w:widowControl/>
                    <w:suppressLineNumbers w:val="0"/>
                    <w:jc w:val="center"/>
                    <w:rPr>
                      <w:color w:val="auto"/>
                    </w:rPr>
                  </w:pPr>
                  <w:r>
                    <w:rPr>
                      <w:rFonts w:hint="eastAsia" w:ascii="宋体" w:hAnsi="宋体" w:cs="宋体"/>
                      <w:color w:val="auto"/>
                      <w:kern w:val="0"/>
                      <w:sz w:val="20"/>
                      <w:szCs w:val="20"/>
                      <w:lang w:val="en-US" w:eastAsia="zh-CN" w:bidi="ar"/>
                    </w:rPr>
                    <w:t>日均</w:t>
                  </w:r>
                </w:p>
                <w:p>
                  <w:pPr>
                    <w:keepNext w:val="0"/>
                    <w:keepLines w:val="0"/>
                    <w:widowControl/>
                    <w:suppressLineNumbers w:val="0"/>
                    <w:jc w:val="center"/>
                    <w:rPr>
                      <w:rFonts w:hint="eastAsia" w:cs="宋体"/>
                      <w:color w:val="auto"/>
                      <w:sz w:val="22"/>
                      <w:szCs w:val="22"/>
                    </w:rPr>
                  </w:pPr>
                  <w:r>
                    <w:rPr>
                      <w:rFonts w:hint="eastAsia" w:ascii="宋体" w:hAnsi="宋体" w:eastAsia="宋体" w:cs="宋体"/>
                      <w:color w:val="auto"/>
                      <w:kern w:val="0"/>
                      <w:sz w:val="20"/>
                      <w:szCs w:val="20"/>
                      <w:lang w:val="en-US" w:eastAsia="zh-CN" w:bidi="ar"/>
                    </w:rPr>
                    <w:t>值</w:t>
                  </w:r>
                </w:p>
              </w:tc>
              <w:tc>
                <w:tcPr>
                  <w:tcW w:w="478"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eastAsia="宋体"/>
                      <w:color w:val="auto"/>
                      <w:sz w:val="22"/>
                      <w:szCs w:val="22"/>
                      <w:lang w:val="en-US" w:eastAsia="zh-CN"/>
                    </w:rPr>
                  </w:pPr>
                  <w:r>
                    <w:rPr>
                      <w:rFonts w:hint="eastAsia"/>
                      <w:color w:val="auto"/>
                      <w:sz w:val="22"/>
                      <w:szCs w:val="22"/>
                      <w:lang w:val="en-US" w:eastAsia="zh-CN"/>
                    </w:rPr>
                    <w:t>138</w:t>
                  </w:r>
                </w:p>
              </w:tc>
              <w:tc>
                <w:tcPr>
                  <w:tcW w:w="478"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eastAsia="宋体"/>
                      <w:color w:val="auto"/>
                      <w:sz w:val="22"/>
                      <w:szCs w:val="22"/>
                      <w:lang w:val="en-US" w:eastAsia="zh-CN"/>
                    </w:rPr>
                  </w:pPr>
                  <w:r>
                    <w:rPr>
                      <w:rFonts w:hint="eastAsia"/>
                      <w:color w:val="auto"/>
                      <w:sz w:val="22"/>
                      <w:szCs w:val="22"/>
                      <w:lang w:val="en-US" w:eastAsia="zh-CN"/>
                    </w:rPr>
                    <w:t>132</w:t>
                  </w:r>
                </w:p>
              </w:tc>
              <w:tc>
                <w:tcPr>
                  <w:tcW w:w="478"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eastAsia="宋体"/>
                      <w:color w:val="auto"/>
                      <w:sz w:val="22"/>
                      <w:szCs w:val="22"/>
                      <w:lang w:val="en-US" w:eastAsia="zh-CN"/>
                    </w:rPr>
                  </w:pPr>
                  <w:r>
                    <w:rPr>
                      <w:rFonts w:hint="eastAsia"/>
                      <w:color w:val="auto"/>
                      <w:sz w:val="22"/>
                      <w:szCs w:val="22"/>
                      <w:lang w:val="en-US" w:eastAsia="zh-CN"/>
                    </w:rPr>
                    <w:t>134</w:t>
                  </w:r>
                </w:p>
              </w:tc>
              <w:tc>
                <w:tcPr>
                  <w:tcW w:w="478"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eastAsia="宋体"/>
                      <w:color w:val="auto"/>
                      <w:sz w:val="22"/>
                      <w:szCs w:val="22"/>
                      <w:lang w:val="en-US" w:eastAsia="zh-CN"/>
                    </w:rPr>
                  </w:pPr>
                  <w:r>
                    <w:rPr>
                      <w:rFonts w:hint="eastAsia"/>
                      <w:color w:val="auto"/>
                      <w:sz w:val="22"/>
                      <w:szCs w:val="22"/>
                      <w:lang w:val="en-US" w:eastAsia="zh-CN"/>
                    </w:rPr>
                    <w:t>135</w:t>
                  </w:r>
                </w:p>
              </w:tc>
              <w:tc>
                <w:tcPr>
                  <w:tcW w:w="478"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eastAsia="宋体"/>
                      <w:color w:val="auto"/>
                      <w:sz w:val="22"/>
                      <w:szCs w:val="22"/>
                      <w:lang w:val="en-US" w:eastAsia="zh-CN"/>
                    </w:rPr>
                  </w:pPr>
                  <w:r>
                    <w:rPr>
                      <w:rFonts w:hint="eastAsia"/>
                      <w:color w:val="auto"/>
                      <w:sz w:val="22"/>
                      <w:szCs w:val="22"/>
                      <w:lang w:val="en-US" w:eastAsia="zh-CN"/>
                    </w:rPr>
                    <w:t>143</w:t>
                  </w:r>
                </w:p>
              </w:tc>
              <w:tc>
                <w:tcPr>
                  <w:tcW w:w="47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olor w:val="auto"/>
                      <w:kern w:val="0"/>
                      <w:lang w:val="en-US" w:eastAsia="zh-CN"/>
                    </w:rPr>
                  </w:pPr>
                  <w:r>
                    <w:rPr>
                      <w:rFonts w:hint="eastAsia"/>
                      <w:color w:val="auto"/>
                      <w:kern w:val="0"/>
                      <w:lang w:val="en-US" w:eastAsia="zh-CN"/>
                    </w:rPr>
                    <w:t>142</w:t>
                  </w:r>
                </w:p>
              </w:tc>
              <w:tc>
                <w:tcPr>
                  <w:tcW w:w="4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olor w:val="auto"/>
                      <w:kern w:val="0"/>
                      <w:lang w:val="en-US" w:eastAsia="zh-CN"/>
                    </w:rPr>
                  </w:pPr>
                  <w:r>
                    <w:rPr>
                      <w:rFonts w:hint="eastAsia"/>
                      <w:color w:val="auto"/>
                      <w:kern w:val="0"/>
                      <w:lang w:val="en-US" w:eastAsia="zh-CN"/>
                    </w:rPr>
                    <w:t>153</w:t>
                  </w:r>
                </w:p>
              </w:tc>
            </w:tr>
          </w:tbl>
          <w:p>
            <w:pPr>
              <w:keepNext w:val="0"/>
              <w:keepLines w:val="0"/>
              <w:pageBreakBefore w:val="0"/>
              <w:widowControl w:val="0"/>
              <w:kinsoku/>
              <w:wordWrap/>
              <w:overflowPunct/>
              <w:topLinePunct w:val="0"/>
              <w:autoSpaceDE/>
              <w:autoSpaceDN/>
              <w:bidi w:val="0"/>
              <w:adjustRightInd w:val="0"/>
              <w:snapToGrid/>
              <w:spacing w:before="313" w:beforeLines="100"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引用监测点位位置与本项目的地理位置图：</w:t>
            </w:r>
            <w:r>
              <w:rPr>
                <w:color w:val="auto"/>
              </w:rPr>
              <w:drawing>
                <wp:inline distT="0" distB="0" distL="114300" distR="114300">
                  <wp:extent cx="5055235" cy="3501390"/>
                  <wp:effectExtent l="0" t="0" r="1206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055235" cy="3501390"/>
                          </a:xfrm>
                          <a:prstGeom prst="rect">
                            <a:avLst/>
                          </a:prstGeom>
                          <a:noFill/>
                          <a:ln>
                            <a:noFill/>
                          </a:ln>
                        </pic:spPr>
                      </pic:pic>
                    </a:graphicData>
                  </a:graphic>
                </wp:inline>
              </w:drawing>
            </w:r>
            <w:r>
              <w:rPr>
                <w:rFonts w:hint="eastAsia" w:ascii="宋体" w:hAnsi="宋体" w:cs="宋体"/>
                <w:color w:val="auto"/>
                <w:sz w:val="24"/>
                <w:szCs w:val="24"/>
              </w:rPr>
              <w:br w:type="textWrapping"/>
            </w:r>
            <w:r>
              <w:rPr>
                <w:rFonts w:hint="eastAsia" w:ascii="宋体" w:hAnsi="宋体" w:cs="宋体"/>
                <w:color w:val="auto"/>
                <w:sz w:val="24"/>
                <w:szCs w:val="24"/>
                <w:lang w:val="en-US" w:eastAsia="zh-CN"/>
              </w:rPr>
              <w:t xml:space="preserve">        </w:t>
            </w:r>
            <w:r>
              <w:rPr>
                <w:rFonts w:hint="eastAsia" w:ascii="宋体" w:hAnsi="宋体" w:cs="宋体"/>
                <w:color w:val="auto"/>
                <w:sz w:val="21"/>
                <w:szCs w:val="21"/>
                <w:lang w:val="en-US" w:eastAsia="zh-CN"/>
              </w:rPr>
              <w:t xml:space="preserve"> 图3.1-1 大气环境现状质量监测点位与本项目位置对比图</w:t>
            </w:r>
            <w:r>
              <w:rPr>
                <w:rFonts w:hint="eastAsia" w:ascii="宋体" w:hAnsi="宋体" w:cs="宋体"/>
                <w:color w:val="auto"/>
                <w:sz w:val="24"/>
                <w:szCs w:val="24"/>
                <w:lang w:val="en-US" w:eastAsia="zh-CN"/>
              </w:rPr>
              <w:br w:type="textWrapping"/>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据上表监测数据表明项目所在区域特征污染物</w:t>
            </w:r>
            <w:r>
              <w:rPr>
                <w:rFonts w:hint="eastAsia" w:ascii="宋体" w:hAnsi="宋体" w:cs="宋体"/>
                <w:color w:val="auto"/>
                <w:sz w:val="24"/>
                <w:szCs w:val="24"/>
                <w:lang w:val="en-US" w:eastAsia="zh-CN"/>
              </w:rPr>
              <w:t>TSP</w:t>
            </w:r>
            <w:r>
              <w:rPr>
                <w:rFonts w:hint="eastAsia" w:ascii="宋体" w:hAnsi="宋体" w:cs="宋体"/>
                <w:color w:val="auto"/>
                <w:sz w:val="24"/>
                <w:szCs w:val="24"/>
              </w:rPr>
              <w:t>满足均满足《环境空气质量标准》（GB3095-2012）二级标准。</w:t>
            </w:r>
          </w:p>
          <w:p>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jc w:val="left"/>
              <w:textAlignment w:val="auto"/>
              <w:rPr>
                <w:rFonts w:ascii="宋体"/>
                <w:color w:val="auto"/>
                <w:sz w:val="24"/>
                <w:szCs w:val="24"/>
              </w:rPr>
            </w:pPr>
            <w:r>
              <w:rPr>
                <w:rFonts w:ascii="宋体" w:hAnsi="宋体" w:cs="宋体"/>
                <w:color w:val="auto"/>
                <w:sz w:val="24"/>
                <w:szCs w:val="24"/>
              </w:rPr>
              <w:t>2</w:t>
            </w:r>
            <w:r>
              <w:rPr>
                <w:rFonts w:hint="eastAsia" w:ascii="宋体" w:hAnsi="宋体" w:cs="宋体"/>
                <w:color w:val="auto"/>
                <w:sz w:val="24"/>
                <w:szCs w:val="24"/>
              </w:rPr>
              <w:t>、水环境质量</w:t>
            </w: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rPr>
              <w:t>本项目生活污水</w:t>
            </w:r>
            <w:r>
              <w:rPr>
                <w:rFonts w:hint="eastAsia" w:ascii="宋体" w:hAnsi="宋体" w:cs="宋体"/>
                <w:color w:val="auto"/>
                <w:sz w:val="24"/>
                <w:szCs w:val="24"/>
                <w:lang w:eastAsia="zh-CN"/>
              </w:rPr>
              <w:t>经化粪池处理后</w:t>
            </w:r>
            <w:r>
              <w:rPr>
                <w:rFonts w:hint="eastAsia" w:ascii="宋体" w:hAnsi="宋体" w:cs="宋体"/>
                <w:color w:val="auto"/>
                <w:sz w:val="24"/>
                <w:szCs w:val="24"/>
              </w:rPr>
              <w:t>排入</w:t>
            </w:r>
            <w:r>
              <w:rPr>
                <w:rFonts w:hint="eastAsia" w:ascii="宋体" w:hAnsi="宋体" w:cs="宋体"/>
                <w:color w:val="auto"/>
                <w:sz w:val="24"/>
                <w:szCs w:val="24"/>
                <w:lang w:eastAsia="zh-CN"/>
              </w:rPr>
              <w:t>园区</w:t>
            </w:r>
            <w:r>
              <w:rPr>
                <w:rFonts w:hint="eastAsia" w:ascii="宋体" w:hAnsi="宋体" w:cs="宋体"/>
                <w:color w:val="auto"/>
                <w:sz w:val="24"/>
                <w:szCs w:val="24"/>
              </w:rPr>
              <w:t>污水管网最终进入</w:t>
            </w:r>
            <w:r>
              <w:rPr>
                <w:rFonts w:hint="eastAsia" w:cs="宋体"/>
                <w:color w:val="auto"/>
                <w:sz w:val="24"/>
                <w:szCs w:val="24"/>
                <w:lang w:eastAsia="zh-CN"/>
              </w:rPr>
              <w:t>淮北蓝海水处理有限公司</w:t>
            </w:r>
            <w:r>
              <w:rPr>
                <w:rFonts w:hint="eastAsia" w:ascii="宋体" w:hAnsi="宋体" w:cs="宋体"/>
                <w:color w:val="auto"/>
                <w:sz w:val="24"/>
                <w:szCs w:val="24"/>
              </w:rPr>
              <w:t>进一步处理，尾水排入</w:t>
            </w:r>
            <w:r>
              <w:rPr>
                <w:rFonts w:hint="eastAsia" w:cs="宋体"/>
                <w:color w:val="auto"/>
                <w:sz w:val="24"/>
                <w:szCs w:val="24"/>
                <w:lang w:val="en-US" w:eastAsia="zh-CN"/>
              </w:rPr>
              <w:t>萧濉新河</w:t>
            </w:r>
            <w:r>
              <w:rPr>
                <w:rFonts w:hint="eastAsia" w:ascii="宋体" w:hAnsi="宋体" w:cs="宋体"/>
                <w:color w:val="auto"/>
                <w:sz w:val="24"/>
                <w:szCs w:val="24"/>
              </w:rPr>
              <w:t>。</w:t>
            </w:r>
            <w:r>
              <w:rPr>
                <w:rFonts w:hint="eastAsia" w:ascii="Times New Roman" w:hAnsi="Times New Roman" w:cs="Times New Roman"/>
                <w:i w:val="0"/>
                <w:iCs w:val="0"/>
                <w:caps w:val="0"/>
                <w:color w:val="auto"/>
                <w:spacing w:val="0"/>
                <w:kern w:val="0"/>
                <w:sz w:val="24"/>
                <w:szCs w:val="24"/>
                <w:highlight w:val="none"/>
                <w:shd w:val="clear" w:color="auto" w:fill="FFFFFF"/>
                <w:lang w:val="en-US" w:eastAsia="zh-CN" w:bidi="ar"/>
              </w:rPr>
              <w:t>地表水环境现状引用</w:t>
            </w:r>
            <w:r>
              <w:rPr>
                <w:color w:val="auto"/>
                <w:sz w:val="24"/>
                <w:highlight w:val="none"/>
              </w:rPr>
              <w:t>《202</w:t>
            </w:r>
            <w:r>
              <w:rPr>
                <w:rFonts w:hint="eastAsia"/>
                <w:color w:val="auto"/>
                <w:sz w:val="24"/>
                <w:highlight w:val="none"/>
                <w:lang w:val="en-US" w:eastAsia="zh-CN"/>
              </w:rPr>
              <w:t>2</w:t>
            </w:r>
            <w:r>
              <w:rPr>
                <w:color w:val="auto"/>
                <w:sz w:val="24"/>
                <w:highlight w:val="none"/>
              </w:rPr>
              <w:t>年度淮北市生态环境状况公报》</w:t>
            </w:r>
            <w:r>
              <w:rPr>
                <w:rFonts w:hint="eastAsia" w:ascii="宋体" w:hAnsi="宋体" w:eastAsia="宋体" w:cs="宋体"/>
                <w:color w:val="auto"/>
                <w:kern w:val="2"/>
                <w:sz w:val="24"/>
                <w:szCs w:val="24"/>
                <w:highlight w:val="none"/>
                <w:lang w:val="en-US" w:eastAsia="zh-CN" w:bidi="ar-SA"/>
              </w:rPr>
              <w:t>：我市4个国控出境断面中，浍河东坪集、澥河李大桥闸断面监测指标均值达到《地表水环境质量标准》（GB3838-2002）Ⅲ类水质要求（扣除氟化物本底）；沱河后常桥、</w:t>
            </w:r>
            <w:r>
              <w:rPr>
                <w:rFonts w:hint="eastAsia" w:cs="宋体"/>
                <w:color w:val="auto"/>
                <w:kern w:val="2"/>
                <w:sz w:val="24"/>
                <w:szCs w:val="24"/>
                <w:highlight w:val="none"/>
                <w:lang w:val="en-US" w:eastAsia="zh-CN" w:bidi="ar-SA"/>
              </w:rPr>
              <w:t>萧濉新河</w:t>
            </w:r>
            <w:r>
              <w:rPr>
                <w:rFonts w:hint="eastAsia" w:ascii="宋体" w:hAnsi="宋体" w:eastAsia="宋体" w:cs="宋体"/>
                <w:color w:val="auto"/>
                <w:kern w:val="2"/>
                <w:sz w:val="24"/>
                <w:szCs w:val="24"/>
                <w:highlight w:val="none"/>
                <w:lang w:val="en-US" w:eastAsia="zh-CN" w:bidi="ar-SA"/>
              </w:rPr>
              <w:t>符离闸断面监测指标均值达到《地表水环境质量标准》（GB3838-2002）Ⅳ类水质要求。</w:t>
            </w: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2022年，淮北市4个国家考核监测断面根据年均值分析，Ⅳ类水质断面占50%，Ⅲ类水质断面占50%，完成“十四五”规划2022年既定优良水体比例目标要求，较上一年优良水体比例无明显变化。</w:t>
            </w: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由上述可知，</w:t>
            </w:r>
            <w:r>
              <w:rPr>
                <w:rFonts w:hint="eastAsia" w:cs="宋体"/>
                <w:color w:val="auto"/>
                <w:kern w:val="2"/>
                <w:sz w:val="24"/>
                <w:szCs w:val="24"/>
                <w:highlight w:val="none"/>
                <w:lang w:val="en-US" w:eastAsia="zh-CN" w:bidi="ar-SA"/>
              </w:rPr>
              <w:t>萧濉新河</w:t>
            </w:r>
            <w:r>
              <w:rPr>
                <w:rFonts w:hint="eastAsia" w:ascii="宋体" w:hAnsi="宋体" w:eastAsia="宋体" w:cs="宋体"/>
                <w:color w:val="auto"/>
                <w:kern w:val="2"/>
                <w:sz w:val="24"/>
                <w:szCs w:val="24"/>
                <w:highlight w:val="none"/>
                <w:lang w:val="en-US" w:eastAsia="zh-CN" w:bidi="ar-SA"/>
              </w:rPr>
              <w:t>各断面各因子均可满足《地表水环境质量标准》（GB3838-2002）中Ⅳ类水质标准的要求，符合其水体功能区划。</w:t>
            </w:r>
          </w:p>
          <w:p>
            <w:pPr>
              <w:adjustRightInd w:val="0"/>
              <w:snapToGrid w:val="0"/>
              <w:spacing w:beforeLines="50" w:line="360" w:lineRule="auto"/>
              <w:ind w:firstLine="480" w:firstLineChars="200"/>
              <w:jc w:val="left"/>
              <w:rPr>
                <w:rFonts w:ascii="宋体"/>
                <w:color w:val="auto"/>
                <w:sz w:val="24"/>
                <w:szCs w:val="24"/>
              </w:rPr>
            </w:pPr>
            <w:r>
              <w:rPr>
                <w:rFonts w:ascii="宋体" w:hAnsi="宋体" w:cs="宋体"/>
                <w:color w:val="auto"/>
                <w:sz w:val="24"/>
                <w:szCs w:val="24"/>
              </w:rPr>
              <w:t>3</w:t>
            </w:r>
            <w:r>
              <w:rPr>
                <w:rFonts w:hint="eastAsia" w:ascii="宋体" w:hAnsi="宋体" w:cs="宋体"/>
                <w:color w:val="auto"/>
                <w:sz w:val="24"/>
                <w:szCs w:val="24"/>
              </w:rPr>
              <w:t>、声环境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rPr>
              <w:t>本项目厂界外周边</w:t>
            </w:r>
            <w:r>
              <w:rPr>
                <w:rFonts w:ascii="宋体" w:hAnsi="宋体" w:cs="宋体"/>
                <w:color w:val="auto"/>
                <w:sz w:val="24"/>
                <w:szCs w:val="24"/>
              </w:rPr>
              <w:t>50</w:t>
            </w:r>
            <w:r>
              <w:rPr>
                <w:rFonts w:hint="eastAsia" w:ascii="宋体" w:hAnsi="宋体" w:cs="宋体"/>
                <w:color w:val="auto"/>
                <w:sz w:val="24"/>
                <w:szCs w:val="24"/>
              </w:rPr>
              <w:t>米范围内无声环境保护目标。依据《建设项目环境影响报告表编制技术指南》（污染影响类）（试行），无需进行声环境现状检测。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本项目位于</w:t>
            </w:r>
            <w:r>
              <w:rPr>
                <w:rFonts w:hint="eastAsia" w:ascii="宋体" w:hAnsi="宋体" w:cs="宋体"/>
                <w:color w:val="auto"/>
                <w:sz w:val="24"/>
                <w:szCs w:val="24"/>
                <w:lang w:eastAsia="zh-CN"/>
              </w:rPr>
              <w:t>安徽淮北烈山经济开发区南区唐山路智能制造产业园</w:t>
            </w:r>
            <w:r>
              <w:rPr>
                <w:rFonts w:hint="eastAsia" w:ascii="宋体" w:hAnsi="宋体" w:eastAsia="宋体" w:cs="宋体"/>
                <w:color w:val="auto"/>
                <w:sz w:val="24"/>
                <w:szCs w:val="24"/>
              </w:rPr>
              <w:t>，不属于产业园区外建设项目新增用地，且用地范围内不含生态环境保护目标。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5</w:t>
            </w:r>
            <w:r>
              <w:rPr>
                <w:rFonts w:hint="eastAsia" w:ascii="Times New Roman" w:hAnsi="Times New Roman" w:eastAsia="宋体" w:cs="Times New Roman"/>
                <w:b w:val="0"/>
                <w:bCs w:val="0"/>
                <w:color w:val="auto"/>
                <w:sz w:val="24"/>
                <w:szCs w:val="24"/>
                <w:lang w:val="en-US" w:eastAsia="zh-CN"/>
              </w:rPr>
              <w:t>、电磁环境质量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eastAsia="宋体"/>
                <w:color w:val="auto"/>
                <w:lang w:val="en-US" w:eastAsia="zh-CN"/>
              </w:rPr>
            </w:pPr>
            <w:r>
              <w:rPr>
                <w:rFonts w:hint="eastAsia" w:ascii="Times New Roman" w:hAnsi="Times New Roman" w:eastAsia="宋体" w:cs="Times New Roman"/>
                <w:color w:val="auto"/>
                <w:sz w:val="24"/>
                <w:szCs w:val="24"/>
                <w:lang w:val="en-US" w:eastAsia="zh-CN"/>
              </w:rPr>
              <w:t>本项目不涉及电磁环境</w:t>
            </w:r>
            <w:r>
              <w:rPr>
                <w:color w:val="auto"/>
                <w:sz w:val="24"/>
              </w:rPr>
              <w:t>。</w:t>
            </w:r>
          </w:p>
          <w:p>
            <w:pPr>
              <w:adjustRightInd w:val="0"/>
              <w:snapToGrid w:val="0"/>
              <w:spacing w:line="360" w:lineRule="auto"/>
              <w:ind w:firstLine="420" w:firstLineChars="200"/>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2" w:hRule="atLeast"/>
          <w:jc w:val="center"/>
        </w:trPr>
        <w:tc>
          <w:tcPr>
            <w:tcW w:w="800"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环境</w:t>
            </w:r>
          </w:p>
          <w:p>
            <w:pPr>
              <w:adjustRightInd w:val="0"/>
              <w:snapToGrid w:val="0"/>
              <w:jc w:val="center"/>
              <w:rPr>
                <w:rFonts w:ascii="宋体"/>
                <w:color w:val="auto"/>
                <w:sz w:val="24"/>
                <w:szCs w:val="24"/>
              </w:rPr>
            </w:pPr>
            <w:r>
              <w:rPr>
                <w:rFonts w:hint="eastAsia" w:ascii="宋体" w:hAnsi="宋体" w:cs="宋体"/>
                <w:color w:val="auto"/>
                <w:sz w:val="24"/>
                <w:szCs w:val="24"/>
              </w:rPr>
              <w:t>保护</w:t>
            </w:r>
          </w:p>
          <w:p>
            <w:pPr>
              <w:adjustRightInd w:val="0"/>
              <w:snapToGrid w:val="0"/>
              <w:jc w:val="center"/>
              <w:rPr>
                <w:rFonts w:ascii="宋体"/>
                <w:color w:val="auto"/>
                <w:sz w:val="24"/>
                <w:szCs w:val="24"/>
              </w:rPr>
            </w:pPr>
            <w:r>
              <w:rPr>
                <w:rFonts w:hint="eastAsia" w:ascii="宋体" w:hAnsi="宋体" w:cs="宋体"/>
                <w:color w:val="auto"/>
                <w:sz w:val="24"/>
                <w:szCs w:val="24"/>
              </w:rPr>
              <w:t>目标</w:t>
            </w:r>
          </w:p>
        </w:tc>
        <w:tc>
          <w:tcPr>
            <w:tcW w:w="8190" w:type="dxa"/>
          </w:tcPr>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textAlignment w:val="auto"/>
              <w:rPr>
                <w:color w:val="auto"/>
                <w:szCs w:val="21"/>
                <w:lang w:bidi="ar"/>
              </w:rPr>
            </w:pPr>
            <w:r>
              <w:rPr>
                <w:rFonts w:hint="eastAsia" w:ascii="宋体" w:hAnsi="宋体" w:eastAsia="宋体" w:cs="宋体"/>
                <w:color w:val="auto"/>
                <w:kern w:val="2"/>
                <w:sz w:val="24"/>
                <w:szCs w:val="24"/>
                <w:lang w:val="en-US" w:eastAsia="zh-CN" w:bidi="ar-SA"/>
              </w:rPr>
              <w:t>本项目位于</w:t>
            </w:r>
            <w:r>
              <w:rPr>
                <w:rFonts w:hint="eastAsia" w:ascii="宋体" w:hAnsi="宋体" w:cs="宋体"/>
                <w:color w:val="auto"/>
                <w:kern w:val="2"/>
                <w:sz w:val="24"/>
                <w:szCs w:val="24"/>
                <w:lang w:val="en-US" w:eastAsia="zh-CN" w:bidi="ar-SA"/>
              </w:rPr>
              <w:t>安徽淮北烈山经济开发区南区唐山路智能制造产业园内</w:t>
            </w:r>
            <w:r>
              <w:rPr>
                <w:rFonts w:hint="eastAsia" w:ascii="宋体" w:hAnsi="宋体" w:eastAsia="宋体" w:cs="宋体"/>
                <w:color w:val="auto"/>
                <w:kern w:val="2"/>
                <w:sz w:val="24"/>
                <w:szCs w:val="24"/>
                <w:lang w:val="en-US" w:eastAsia="zh-CN" w:bidi="ar-SA"/>
              </w:rPr>
              <w:t>，项目地周边无自然保护区、风景名胜区和文物古迹等特殊保护对象，根据该项目特点及周围环境调查，环境保护对象为项目地周边的水、气、声环境，为保证建设项目所在地不因本项目建设而降低现状环境质量，</w:t>
            </w:r>
            <w:r>
              <w:rPr>
                <w:rFonts w:hint="eastAsia" w:ascii="宋体" w:hAnsi="宋体" w:cs="宋体"/>
                <w:color w:val="auto"/>
                <w:kern w:val="2"/>
                <w:sz w:val="24"/>
                <w:szCs w:val="24"/>
                <w:lang w:val="en-US" w:eastAsia="zh-CN" w:bidi="ar-SA"/>
              </w:rPr>
              <w:t>具体保护目标如下：</w:t>
            </w:r>
          </w:p>
          <w:p>
            <w:pPr>
              <w:pStyle w:val="78"/>
              <w:keepNext w:val="0"/>
              <w:keepLines w:val="0"/>
              <w:pageBreakBefore w:val="0"/>
              <w:widowControl/>
              <w:kinsoku/>
              <w:wordWrap/>
              <w:overflowPunct/>
              <w:topLinePunct w:val="0"/>
              <w:autoSpaceDE/>
              <w:autoSpaceDN/>
              <w:bidi w:val="0"/>
              <w:adjustRightInd w:val="0"/>
              <w:snapToGrid w:val="0"/>
              <w:spacing w:line="360" w:lineRule="auto"/>
              <w:ind w:firstLine="31680"/>
              <w:textAlignment w:val="auto"/>
              <w:rPr>
                <w:rFonts w:ascii="宋体"/>
                <w:color w:val="auto"/>
              </w:rPr>
            </w:pPr>
            <w:r>
              <w:rPr>
                <w:rFonts w:ascii="宋体" w:hAnsi="宋体" w:cs="宋体"/>
                <w:color w:val="auto"/>
              </w:rPr>
              <w:t>1</w:t>
            </w:r>
            <w:r>
              <w:rPr>
                <w:rFonts w:hint="eastAsia" w:ascii="宋体" w:hAnsi="宋体" w:cs="宋体"/>
                <w:color w:val="auto"/>
              </w:rPr>
              <w:t>、大气环境</w:t>
            </w:r>
          </w:p>
          <w:p>
            <w:pPr>
              <w:pStyle w:val="78"/>
              <w:spacing w:line="360" w:lineRule="auto"/>
              <w:ind w:firstLine="31680"/>
              <w:rPr>
                <w:rFonts w:ascii="宋体"/>
                <w:color w:val="auto"/>
              </w:rPr>
            </w:pPr>
            <w:r>
              <w:rPr>
                <w:rFonts w:hint="eastAsia" w:ascii="宋体" w:hAnsi="宋体" w:cs="宋体"/>
                <w:color w:val="auto"/>
              </w:rPr>
              <w:t>根据现场勘查，厂界外</w:t>
            </w:r>
            <w:r>
              <w:rPr>
                <w:rFonts w:ascii="宋体" w:hAnsi="宋体" w:cs="宋体"/>
                <w:color w:val="auto"/>
              </w:rPr>
              <w:t>500</w:t>
            </w:r>
            <w:r>
              <w:rPr>
                <w:rFonts w:hint="eastAsia" w:ascii="宋体" w:hAnsi="宋体" w:cs="宋体"/>
                <w:color w:val="auto"/>
              </w:rPr>
              <w:t>米范围内没有大气环境保护目标。</w:t>
            </w:r>
          </w:p>
          <w:p>
            <w:pPr>
              <w:pStyle w:val="78"/>
              <w:spacing w:line="360" w:lineRule="auto"/>
              <w:ind w:firstLine="31680"/>
              <w:rPr>
                <w:rFonts w:ascii="宋体"/>
                <w:color w:val="auto"/>
              </w:rPr>
            </w:pPr>
            <w:r>
              <w:rPr>
                <w:rFonts w:ascii="宋体" w:hAnsi="宋体" w:cs="宋体"/>
                <w:color w:val="auto"/>
              </w:rPr>
              <w:t>2</w:t>
            </w:r>
            <w:r>
              <w:rPr>
                <w:rFonts w:hint="eastAsia" w:ascii="宋体" w:hAnsi="宋体" w:cs="宋体"/>
                <w:color w:val="auto"/>
              </w:rPr>
              <w:t>、声环境</w:t>
            </w:r>
          </w:p>
          <w:p>
            <w:pPr>
              <w:pStyle w:val="78"/>
              <w:spacing w:line="360" w:lineRule="auto"/>
              <w:ind w:firstLine="31680"/>
              <w:rPr>
                <w:rFonts w:ascii="宋体"/>
                <w:color w:val="auto"/>
              </w:rPr>
            </w:pPr>
            <w:r>
              <w:rPr>
                <w:rFonts w:hint="eastAsia" w:ascii="宋体" w:hAnsi="宋体" w:cs="宋体"/>
                <w:color w:val="auto"/>
              </w:rPr>
              <w:t>根据现场勘查，厂界外</w:t>
            </w:r>
            <w:r>
              <w:rPr>
                <w:rFonts w:ascii="宋体" w:hAnsi="宋体" w:cs="宋体"/>
                <w:color w:val="auto"/>
              </w:rPr>
              <w:t>50</w:t>
            </w:r>
            <w:r>
              <w:rPr>
                <w:rFonts w:hint="eastAsia" w:ascii="宋体" w:hAnsi="宋体" w:cs="宋体"/>
                <w:color w:val="auto"/>
              </w:rPr>
              <w:t>米范围内没有声环境保护目标。</w:t>
            </w:r>
          </w:p>
          <w:p>
            <w:pPr>
              <w:pStyle w:val="78"/>
              <w:spacing w:line="360" w:lineRule="auto"/>
              <w:ind w:firstLine="31680"/>
              <w:rPr>
                <w:rFonts w:ascii="宋体"/>
                <w:color w:val="auto"/>
              </w:rPr>
            </w:pPr>
            <w:r>
              <w:rPr>
                <w:rFonts w:ascii="宋体" w:hAnsi="宋体" w:cs="宋体"/>
                <w:color w:val="auto"/>
              </w:rPr>
              <w:t>3</w:t>
            </w:r>
            <w:r>
              <w:rPr>
                <w:rFonts w:hint="eastAsia" w:ascii="宋体" w:hAnsi="宋体" w:cs="宋体"/>
                <w:color w:val="auto"/>
              </w:rPr>
              <w:t>、地表水环境</w:t>
            </w:r>
          </w:p>
          <w:p>
            <w:pPr>
              <w:spacing w:line="360" w:lineRule="auto"/>
              <w:ind w:firstLine="440" w:firstLineChars="200"/>
              <w:jc w:val="center"/>
              <w:rPr>
                <w:rFonts w:hAnsi="宋体"/>
                <w:color w:val="auto"/>
                <w:sz w:val="22"/>
                <w:szCs w:val="22"/>
              </w:rPr>
            </w:pPr>
            <w:r>
              <w:rPr>
                <w:rFonts w:hint="eastAsia" w:hAnsi="宋体" w:cs="宋体"/>
                <w:color w:val="auto"/>
                <w:sz w:val="22"/>
                <w:szCs w:val="22"/>
              </w:rPr>
              <w:t>表</w:t>
            </w:r>
            <w:r>
              <w:rPr>
                <w:rFonts w:hAnsi="宋体"/>
                <w:color w:val="auto"/>
                <w:sz w:val="22"/>
                <w:szCs w:val="22"/>
              </w:rPr>
              <w:t>3-</w:t>
            </w:r>
            <w:r>
              <w:rPr>
                <w:rFonts w:hint="eastAsia" w:hAnsi="宋体"/>
                <w:color w:val="auto"/>
                <w:sz w:val="22"/>
                <w:szCs w:val="22"/>
                <w:lang w:val="en-US" w:eastAsia="zh-CN"/>
              </w:rPr>
              <w:t>4</w:t>
            </w:r>
            <w:r>
              <w:rPr>
                <w:rFonts w:hAnsi="宋体"/>
                <w:color w:val="auto"/>
                <w:sz w:val="22"/>
                <w:szCs w:val="22"/>
              </w:rPr>
              <w:t xml:space="preserve">  </w:t>
            </w:r>
            <w:r>
              <w:rPr>
                <w:rFonts w:hint="eastAsia" w:hAnsi="宋体" w:cs="宋体"/>
                <w:color w:val="auto"/>
                <w:sz w:val="22"/>
                <w:szCs w:val="22"/>
              </w:rPr>
              <w:t>水环境保护目标一览表</w:t>
            </w:r>
          </w:p>
          <w:tbl>
            <w:tblPr>
              <w:tblStyle w:val="36"/>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7"/>
              <w:gridCol w:w="1472"/>
              <w:gridCol w:w="1473"/>
              <w:gridCol w:w="1390"/>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2"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color w:val="auto"/>
                      <w:sz w:val="22"/>
                      <w:szCs w:val="22"/>
                    </w:rPr>
                  </w:pPr>
                  <w:r>
                    <w:rPr>
                      <w:rFonts w:hint="eastAsia" w:cs="宋体"/>
                      <w:color w:val="auto"/>
                      <w:sz w:val="22"/>
                      <w:szCs w:val="22"/>
                    </w:rPr>
                    <w:t>环境要素</w:t>
                  </w:r>
                </w:p>
              </w:tc>
              <w:tc>
                <w:tcPr>
                  <w:tcW w:w="1472" w:type="dxa"/>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color w:val="auto"/>
                      <w:sz w:val="22"/>
                      <w:szCs w:val="22"/>
                    </w:rPr>
                  </w:pPr>
                  <w:r>
                    <w:rPr>
                      <w:rFonts w:hint="eastAsia" w:cs="宋体"/>
                      <w:color w:val="auto"/>
                      <w:sz w:val="22"/>
                      <w:szCs w:val="22"/>
                    </w:rPr>
                    <w:t>环境保护对象</w:t>
                  </w:r>
                </w:p>
                <w:p>
                  <w:pPr>
                    <w:kinsoku w:val="0"/>
                    <w:overflowPunct w:val="0"/>
                    <w:autoSpaceDE w:val="0"/>
                    <w:autoSpaceDN w:val="0"/>
                    <w:adjustRightInd w:val="0"/>
                    <w:snapToGrid w:val="0"/>
                    <w:jc w:val="center"/>
                    <w:rPr>
                      <w:color w:val="auto"/>
                      <w:sz w:val="22"/>
                      <w:szCs w:val="22"/>
                    </w:rPr>
                  </w:pPr>
                  <w:r>
                    <w:rPr>
                      <w:rFonts w:hint="eastAsia" w:cs="宋体"/>
                      <w:color w:val="auto"/>
                      <w:sz w:val="22"/>
                      <w:szCs w:val="22"/>
                    </w:rPr>
                    <w:t>名称</w:t>
                  </w:r>
                </w:p>
              </w:tc>
              <w:tc>
                <w:tcPr>
                  <w:tcW w:w="1473" w:type="dxa"/>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color w:val="auto"/>
                      <w:sz w:val="22"/>
                      <w:szCs w:val="22"/>
                    </w:rPr>
                  </w:pPr>
                  <w:r>
                    <w:rPr>
                      <w:rFonts w:hint="eastAsia" w:cs="宋体"/>
                      <w:color w:val="auto"/>
                      <w:sz w:val="22"/>
                      <w:szCs w:val="22"/>
                    </w:rPr>
                    <w:t>方位</w:t>
                  </w:r>
                  <w:r>
                    <w:rPr>
                      <w:color w:val="auto"/>
                      <w:sz w:val="22"/>
                      <w:szCs w:val="22"/>
                    </w:rPr>
                    <w:t>/</w:t>
                  </w:r>
                  <w:r>
                    <w:rPr>
                      <w:rFonts w:hint="eastAsia" w:cs="宋体"/>
                      <w:color w:val="auto"/>
                      <w:sz w:val="22"/>
                      <w:szCs w:val="22"/>
                    </w:rPr>
                    <w:t>距离</w:t>
                  </w:r>
                  <w:r>
                    <w:rPr>
                      <w:color w:val="auto"/>
                      <w:sz w:val="22"/>
                      <w:szCs w:val="22"/>
                    </w:rPr>
                    <w:t>(m)</w:t>
                  </w:r>
                </w:p>
              </w:tc>
              <w:tc>
                <w:tcPr>
                  <w:tcW w:w="1390" w:type="dxa"/>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color w:val="auto"/>
                      <w:sz w:val="22"/>
                      <w:szCs w:val="22"/>
                    </w:rPr>
                  </w:pPr>
                  <w:r>
                    <w:rPr>
                      <w:rFonts w:hint="eastAsia" w:cs="宋体"/>
                      <w:color w:val="auto"/>
                      <w:sz w:val="22"/>
                      <w:szCs w:val="22"/>
                    </w:rPr>
                    <w:t>规模</w:t>
                  </w:r>
                </w:p>
              </w:tc>
              <w:tc>
                <w:tcPr>
                  <w:tcW w:w="2535" w:type="dxa"/>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color w:val="auto"/>
                      <w:sz w:val="22"/>
                      <w:szCs w:val="22"/>
                    </w:rPr>
                  </w:pPr>
                  <w:r>
                    <w:rPr>
                      <w:rFonts w:hint="eastAsia" w:cs="宋体"/>
                      <w:color w:val="auto"/>
                      <w:sz w:val="22"/>
                      <w:szCs w:val="22"/>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0"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color w:val="auto"/>
                      <w:sz w:val="22"/>
                      <w:szCs w:val="22"/>
                    </w:rPr>
                  </w:pPr>
                  <w:r>
                    <w:rPr>
                      <w:rFonts w:hint="eastAsia" w:cs="宋体"/>
                      <w:color w:val="auto"/>
                      <w:sz w:val="22"/>
                      <w:szCs w:val="22"/>
                    </w:rPr>
                    <w:t>地表水</w:t>
                  </w:r>
                </w:p>
              </w:tc>
              <w:tc>
                <w:tcPr>
                  <w:tcW w:w="1472" w:type="dxa"/>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eastAsia" w:eastAsia="宋体"/>
                      <w:color w:val="auto"/>
                      <w:sz w:val="22"/>
                      <w:szCs w:val="22"/>
                      <w:lang w:eastAsia="zh-CN"/>
                    </w:rPr>
                  </w:pPr>
                  <w:r>
                    <w:rPr>
                      <w:rFonts w:hint="eastAsia" w:cs="宋体"/>
                      <w:color w:val="auto"/>
                      <w:sz w:val="22"/>
                      <w:szCs w:val="22"/>
                      <w:lang w:eastAsia="zh-CN"/>
                    </w:rPr>
                    <w:t>萧濉新河</w:t>
                  </w:r>
                </w:p>
              </w:tc>
              <w:tc>
                <w:tcPr>
                  <w:tcW w:w="1473" w:type="dxa"/>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color w:val="auto"/>
                      <w:sz w:val="22"/>
                      <w:szCs w:val="22"/>
                      <w:highlight w:val="none"/>
                    </w:rPr>
                  </w:pPr>
                  <w:r>
                    <w:rPr>
                      <w:rFonts w:hint="eastAsia" w:cs="宋体"/>
                      <w:color w:val="auto"/>
                      <w:sz w:val="22"/>
                      <w:szCs w:val="22"/>
                      <w:highlight w:val="none"/>
                      <w:lang w:eastAsia="zh-CN"/>
                    </w:rPr>
                    <w:t>东</w:t>
                  </w:r>
                  <w:r>
                    <w:rPr>
                      <w:rFonts w:hint="eastAsia" w:cs="宋体"/>
                      <w:color w:val="auto"/>
                      <w:sz w:val="22"/>
                      <w:szCs w:val="22"/>
                      <w:highlight w:val="none"/>
                      <w:lang w:val="en-US" w:eastAsia="zh-CN"/>
                    </w:rPr>
                    <w:t xml:space="preserve"> 2710</w:t>
                  </w:r>
                  <w:r>
                    <w:rPr>
                      <w:color w:val="auto"/>
                      <w:sz w:val="22"/>
                      <w:szCs w:val="22"/>
                      <w:highlight w:val="none"/>
                    </w:rPr>
                    <w:t>m</w:t>
                  </w:r>
                </w:p>
              </w:tc>
              <w:tc>
                <w:tcPr>
                  <w:tcW w:w="1390" w:type="dxa"/>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color w:val="auto"/>
                      <w:sz w:val="22"/>
                      <w:szCs w:val="22"/>
                    </w:rPr>
                  </w:pPr>
                  <w:r>
                    <w:rPr>
                      <w:rFonts w:hint="eastAsia" w:cs="宋体"/>
                      <w:color w:val="auto"/>
                      <w:sz w:val="22"/>
                      <w:szCs w:val="22"/>
                    </w:rPr>
                    <w:t>小型河流</w:t>
                  </w:r>
                </w:p>
              </w:tc>
              <w:tc>
                <w:tcPr>
                  <w:tcW w:w="2535" w:type="dxa"/>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eastAsia" w:eastAsia="宋体" w:cs="宋体"/>
                      <w:color w:val="auto"/>
                      <w:sz w:val="22"/>
                      <w:szCs w:val="22"/>
                      <w:lang w:eastAsia="zh-CN"/>
                    </w:rPr>
                  </w:pPr>
                  <w:r>
                    <w:rPr>
                      <w:rFonts w:hint="eastAsia" w:cs="宋体"/>
                      <w:color w:val="auto"/>
                      <w:sz w:val="22"/>
                      <w:szCs w:val="22"/>
                    </w:rPr>
                    <w:t>《地表水环境质量标准》</w:t>
                  </w:r>
                </w:p>
                <w:p>
                  <w:pPr>
                    <w:kinsoku w:val="0"/>
                    <w:overflowPunct w:val="0"/>
                    <w:autoSpaceDE w:val="0"/>
                    <w:autoSpaceDN w:val="0"/>
                    <w:adjustRightInd w:val="0"/>
                    <w:snapToGrid w:val="0"/>
                    <w:jc w:val="center"/>
                    <w:rPr>
                      <w:color w:val="auto"/>
                      <w:sz w:val="22"/>
                      <w:szCs w:val="22"/>
                    </w:rPr>
                  </w:pPr>
                  <w:r>
                    <w:rPr>
                      <w:rFonts w:hint="eastAsia" w:cs="宋体"/>
                      <w:color w:val="auto"/>
                      <w:sz w:val="22"/>
                      <w:szCs w:val="22"/>
                    </w:rPr>
                    <w:t>（</w:t>
                  </w:r>
                  <w:r>
                    <w:rPr>
                      <w:color w:val="auto"/>
                      <w:sz w:val="22"/>
                      <w:szCs w:val="22"/>
                    </w:rPr>
                    <w:t>GB3838-2002</w:t>
                  </w:r>
                  <w:r>
                    <w:rPr>
                      <w:rFonts w:hint="eastAsia" w:cs="宋体"/>
                      <w:color w:val="auto"/>
                      <w:sz w:val="22"/>
                      <w:szCs w:val="22"/>
                    </w:rPr>
                    <w:t>）</w:t>
                  </w:r>
                  <w:r>
                    <w:rPr>
                      <w:color w:val="auto"/>
                      <w:sz w:val="22"/>
                      <w:szCs w:val="22"/>
                    </w:rPr>
                    <w:t>IV</w:t>
                  </w:r>
                  <w:r>
                    <w:rPr>
                      <w:rFonts w:hint="eastAsia" w:cs="宋体"/>
                      <w:color w:val="auto"/>
                      <w:sz w:val="22"/>
                      <w:szCs w:val="22"/>
                    </w:rPr>
                    <w:t>类</w:t>
                  </w:r>
                </w:p>
              </w:tc>
            </w:tr>
          </w:tbl>
          <w:p>
            <w:pPr>
              <w:pStyle w:val="78"/>
              <w:keepNext w:val="0"/>
              <w:keepLines w:val="0"/>
              <w:pageBreakBefore w:val="0"/>
              <w:widowControl/>
              <w:kinsoku/>
              <w:wordWrap/>
              <w:overflowPunct/>
              <w:topLinePunct w:val="0"/>
              <w:autoSpaceDE/>
              <w:autoSpaceDN/>
              <w:bidi w:val="0"/>
              <w:adjustRightInd w:val="0"/>
              <w:snapToGrid w:val="0"/>
              <w:spacing w:before="313" w:beforeLines="100" w:line="360" w:lineRule="auto"/>
              <w:ind w:firstLine="31680"/>
              <w:textAlignment w:val="auto"/>
              <w:rPr>
                <w:rFonts w:ascii="宋体"/>
                <w:color w:val="auto"/>
              </w:rPr>
            </w:pPr>
            <w:r>
              <w:rPr>
                <w:rFonts w:ascii="宋体" w:hAnsi="宋体" w:cs="宋体"/>
                <w:color w:val="auto"/>
              </w:rPr>
              <w:t>4</w:t>
            </w:r>
            <w:r>
              <w:rPr>
                <w:rFonts w:hint="eastAsia" w:ascii="宋体" w:hAnsi="宋体" w:cs="宋体"/>
                <w:color w:val="auto"/>
              </w:rPr>
              <w:t>、地下水环境</w:t>
            </w:r>
          </w:p>
          <w:p>
            <w:pPr>
              <w:pStyle w:val="78"/>
              <w:spacing w:line="360" w:lineRule="auto"/>
              <w:ind w:firstLine="31680"/>
              <w:rPr>
                <w:rFonts w:hint="eastAsia" w:ascii="宋体" w:hAnsi="宋体" w:cs="宋体"/>
                <w:color w:val="auto"/>
              </w:rPr>
            </w:pPr>
            <w:r>
              <w:rPr>
                <w:rFonts w:hint="eastAsia" w:ascii="宋体" w:hAnsi="宋体" w:cs="宋体"/>
                <w:color w:val="auto"/>
              </w:rPr>
              <w:t>根据现场勘查，厂界外</w:t>
            </w:r>
            <w:r>
              <w:rPr>
                <w:rFonts w:ascii="宋体" w:hAnsi="宋体" w:cs="宋体"/>
                <w:color w:val="auto"/>
              </w:rPr>
              <w:t>500</w:t>
            </w:r>
            <w:r>
              <w:rPr>
                <w:rFonts w:hint="eastAsia" w:ascii="宋体" w:hAnsi="宋体" w:cs="宋体"/>
                <w:color w:val="auto"/>
              </w:rPr>
              <w:t>米范围内没有地下水集中式饮用水水源和热水、矿泉水、温泉等特殊地下水资源。</w:t>
            </w:r>
          </w:p>
          <w:p>
            <w:pPr>
              <w:pStyle w:val="78"/>
              <w:numPr>
                <w:ilvl w:val="0"/>
                <w:numId w:val="0"/>
              </w:numPr>
              <w:spacing w:line="360" w:lineRule="auto"/>
              <w:ind w:leftChars="0" w:firstLine="480" w:firstLineChars="200"/>
              <w:rPr>
                <w:rFonts w:hint="eastAsia" w:ascii="宋体" w:hAnsi="宋体" w:cs="宋体"/>
                <w:color w:val="auto"/>
                <w:lang w:val="en-US" w:eastAsia="zh-CN"/>
              </w:rPr>
            </w:pPr>
            <w:r>
              <w:rPr>
                <w:rFonts w:hint="eastAsia" w:ascii="宋体" w:hAnsi="宋体" w:cs="宋体"/>
                <w:color w:val="auto"/>
                <w:lang w:val="en-US" w:eastAsia="zh-CN"/>
              </w:rPr>
              <w:t>5、生态环境</w:t>
            </w:r>
          </w:p>
          <w:p>
            <w:pPr>
              <w:pStyle w:val="78"/>
              <w:numPr>
                <w:ilvl w:val="0"/>
                <w:numId w:val="0"/>
              </w:numPr>
              <w:spacing w:line="360" w:lineRule="auto"/>
              <w:ind w:leftChars="0" w:firstLine="480" w:firstLineChars="200"/>
              <w:rPr>
                <w:rFonts w:hint="eastAsia" w:ascii="宋体" w:hAnsi="宋体" w:eastAsia="宋体" w:cs="宋体"/>
                <w:color w:val="auto"/>
                <w:lang w:val="en-US" w:eastAsia="zh-CN"/>
              </w:rPr>
            </w:pPr>
            <w:r>
              <w:rPr>
                <w:color w:val="auto"/>
                <w:szCs w:val="21"/>
                <w:lang w:bidi="ar"/>
              </w:rPr>
              <w:t>本项目位于</w:t>
            </w:r>
            <w:r>
              <w:rPr>
                <w:rFonts w:hint="eastAsia" w:ascii="宋体" w:hAnsi="宋体" w:cs="宋体"/>
                <w:color w:val="auto"/>
                <w:kern w:val="2"/>
                <w:sz w:val="24"/>
                <w:szCs w:val="24"/>
                <w:lang w:val="en-US" w:eastAsia="zh-CN" w:bidi="ar-SA"/>
              </w:rPr>
              <w:t>安徽淮北烈山经济开发区南区唐山路智能制造产业园内</w:t>
            </w:r>
            <w:r>
              <w:rPr>
                <w:color w:val="auto"/>
                <w:szCs w:val="21"/>
                <w:lang w:bidi="ar"/>
              </w:rPr>
              <w:t>，不属于产业园区外建设项目新增用地</w:t>
            </w:r>
            <w:r>
              <w:rPr>
                <w:rFonts w:hint="eastAsia"/>
                <w:color w:val="auto"/>
                <w:szCs w:val="21"/>
                <w:lang w:eastAsia="zh-CN" w:bidi="ar"/>
              </w:rPr>
              <w:t>，</w:t>
            </w:r>
            <w:r>
              <w:rPr>
                <w:rFonts w:ascii="宋体" w:hAnsi="宋体" w:eastAsia="宋体" w:cs="宋体"/>
                <w:color w:val="auto"/>
                <w:sz w:val="24"/>
                <w:szCs w:val="24"/>
              </w:rPr>
              <w:t>用地范围内不涉及野生保护动植物等生态环境保护目标。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4" w:hRule="atLeast"/>
          <w:jc w:val="center"/>
        </w:trPr>
        <w:tc>
          <w:tcPr>
            <w:tcW w:w="800" w:type="dxa"/>
            <w:tcMar>
              <w:left w:w="28" w:type="dxa"/>
              <w:right w:w="28" w:type="dxa"/>
            </w:tcMar>
            <w:vAlign w:val="center"/>
          </w:tcPr>
          <w:p>
            <w:pPr>
              <w:adjustRightInd w:val="0"/>
              <w:snapToGrid w:val="0"/>
              <w:jc w:val="center"/>
              <w:rPr>
                <w:rFonts w:ascii="宋体"/>
                <w:color w:val="auto"/>
                <w:sz w:val="24"/>
                <w:szCs w:val="24"/>
              </w:rPr>
            </w:pPr>
            <w:r>
              <w:rPr>
                <w:rFonts w:hint="eastAsia" w:ascii="宋体" w:hAnsi="宋体" w:cs="宋体"/>
                <w:color w:val="auto"/>
                <w:sz w:val="24"/>
                <w:szCs w:val="24"/>
              </w:rPr>
              <w:t>污染</w:t>
            </w:r>
          </w:p>
          <w:p>
            <w:pPr>
              <w:adjustRightInd w:val="0"/>
              <w:snapToGrid w:val="0"/>
              <w:jc w:val="center"/>
              <w:rPr>
                <w:rFonts w:ascii="宋体"/>
                <w:color w:val="auto"/>
                <w:sz w:val="24"/>
                <w:szCs w:val="24"/>
              </w:rPr>
            </w:pPr>
            <w:r>
              <w:rPr>
                <w:rFonts w:hint="eastAsia" w:ascii="宋体" w:hAnsi="宋体" w:cs="宋体"/>
                <w:color w:val="auto"/>
                <w:sz w:val="24"/>
                <w:szCs w:val="24"/>
              </w:rPr>
              <w:t>物排</w:t>
            </w:r>
          </w:p>
          <w:p>
            <w:pPr>
              <w:adjustRightInd w:val="0"/>
              <w:snapToGrid w:val="0"/>
              <w:jc w:val="center"/>
              <w:rPr>
                <w:rFonts w:ascii="宋体"/>
                <w:color w:val="auto"/>
                <w:sz w:val="24"/>
                <w:szCs w:val="24"/>
              </w:rPr>
            </w:pPr>
            <w:r>
              <w:rPr>
                <w:rFonts w:hint="eastAsia" w:ascii="宋体" w:hAnsi="宋体" w:cs="宋体"/>
                <w:color w:val="auto"/>
                <w:sz w:val="24"/>
                <w:szCs w:val="24"/>
              </w:rPr>
              <w:t>放控</w:t>
            </w:r>
          </w:p>
          <w:p>
            <w:pPr>
              <w:adjustRightInd w:val="0"/>
              <w:snapToGrid w:val="0"/>
              <w:jc w:val="center"/>
              <w:rPr>
                <w:rFonts w:ascii="宋体"/>
                <w:color w:val="auto"/>
                <w:sz w:val="24"/>
                <w:szCs w:val="24"/>
              </w:rPr>
            </w:pPr>
            <w:r>
              <w:rPr>
                <w:rFonts w:hint="eastAsia" w:ascii="宋体" w:hAnsi="宋体" w:cs="宋体"/>
                <w:color w:val="auto"/>
                <w:sz w:val="24"/>
                <w:szCs w:val="24"/>
              </w:rPr>
              <w:t>制标</w:t>
            </w:r>
          </w:p>
          <w:p>
            <w:pPr>
              <w:adjustRightInd w:val="0"/>
              <w:snapToGrid w:val="0"/>
              <w:jc w:val="center"/>
              <w:rPr>
                <w:rFonts w:ascii="宋体"/>
                <w:color w:val="auto"/>
                <w:sz w:val="24"/>
                <w:szCs w:val="24"/>
              </w:rPr>
            </w:pPr>
            <w:r>
              <w:rPr>
                <w:rFonts w:hint="eastAsia" w:ascii="宋体" w:hAnsi="宋体" w:cs="宋体"/>
                <w:color w:val="auto"/>
                <w:sz w:val="24"/>
                <w:szCs w:val="24"/>
              </w:rPr>
              <w:t>准</w:t>
            </w:r>
          </w:p>
        </w:tc>
        <w:tc>
          <w:tcPr>
            <w:tcW w:w="8190" w:type="dxa"/>
          </w:tcPr>
          <w:p>
            <w:pPr>
              <w:pStyle w:val="78"/>
              <w:spacing w:beforeLines="100" w:line="360" w:lineRule="auto"/>
              <w:ind w:firstLine="31680"/>
              <w:rPr>
                <w:rFonts w:ascii="宋体"/>
                <w:color w:val="auto"/>
              </w:rPr>
            </w:pPr>
            <w:r>
              <w:rPr>
                <w:rFonts w:ascii="宋体" w:hAnsi="宋体" w:cs="宋体"/>
                <w:color w:val="auto"/>
              </w:rPr>
              <w:t>1</w:t>
            </w:r>
            <w:r>
              <w:rPr>
                <w:rFonts w:hint="eastAsia" w:ascii="宋体" w:hAnsi="宋体" w:cs="宋体"/>
                <w:color w:val="auto"/>
              </w:rPr>
              <w:t>、大气污染物排放标准</w:t>
            </w:r>
          </w:p>
          <w:p>
            <w:pPr>
              <w:pStyle w:val="78"/>
              <w:spacing w:line="360" w:lineRule="auto"/>
              <w:ind w:firstLine="31680"/>
              <w:rPr>
                <w:rFonts w:ascii="宋体"/>
                <w:color w:val="auto"/>
              </w:rPr>
            </w:pPr>
            <w:r>
              <w:rPr>
                <w:rFonts w:hint="eastAsia" w:ascii="宋体" w:hAnsi="宋体" w:cs="宋体"/>
                <w:color w:val="auto"/>
              </w:rPr>
              <w:t>本项目生产产生的废气</w:t>
            </w:r>
            <w:r>
              <w:rPr>
                <w:rFonts w:hint="eastAsia" w:ascii="宋体" w:hAnsi="宋体" w:cs="宋体"/>
                <w:color w:val="auto"/>
                <w:lang w:eastAsia="zh-CN"/>
              </w:rPr>
              <w:t>颗粒物、</w:t>
            </w:r>
            <w:r>
              <w:rPr>
                <w:rFonts w:hint="eastAsia" w:ascii="宋体" w:hAnsi="宋体" w:cs="宋体"/>
                <w:color w:val="auto"/>
              </w:rPr>
              <w:t>非甲烷总烃执行《</w:t>
            </w:r>
            <w:r>
              <w:rPr>
                <w:rFonts w:hint="eastAsia" w:ascii="宋体" w:hAnsi="宋体" w:cs="宋体"/>
                <w:color w:val="auto"/>
                <w:lang w:eastAsia="zh-CN"/>
              </w:rPr>
              <w:t>合成树脂工业污染物排放标准</w:t>
            </w:r>
            <w:r>
              <w:rPr>
                <w:rFonts w:hint="eastAsia" w:ascii="宋体" w:hAnsi="宋体" w:cs="宋体"/>
                <w:color w:val="auto"/>
              </w:rPr>
              <w:t>》（</w:t>
            </w:r>
            <w:r>
              <w:rPr>
                <w:rFonts w:hint="eastAsia" w:ascii="宋体" w:hAnsi="宋体" w:cs="宋体"/>
                <w:color w:val="auto"/>
                <w:lang w:eastAsia="zh-CN"/>
              </w:rPr>
              <w:t>GB 31572-2015</w:t>
            </w:r>
            <w:r>
              <w:rPr>
                <w:rFonts w:hint="eastAsia" w:ascii="宋体" w:hAnsi="宋体" w:cs="宋体"/>
                <w:color w:val="auto"/>
              </w:rPr>
              <w:t>）中</w:t>
            </w:r>
            <w:r>
              <w:rPr>
                <w:rFonts w:hint="eastAsia" w:ascii="宋体" w:hAnsi="宋体" w:cs="宋体"/>
                <w:color w:val="auto"/>
                <w:lang w:eastAsia="zh-CN"/>
              </w:rPr>
              <w:t>相关</w:t>
            </w:r>
            <w:r>
              <w:rPr>
                <w:rFonts w:hint="eastAsia" w:ascii="宋体" w:hAnsi="宋体" w:cs="宋体"/>
                <w:color w:val="auto"/>
              </w:rPr>
              <w:t>排放限值要求，厂区内挥发性有机物无组织排放执行《挥发性有机物无组织控制排放标准》（</w:t>
            </w:r>
            <w:r>
              <w:rPr>
                <w:rFonts w:ascii="宋体" w:hAnsi="宋体" w:cs="宋体"/>
                <w:color w:val="auto"/>
              </w:rPr>
              <w:t>GB37822-2019</w:t>
            </w:r>
            <w:r>
              <w:rPr>
                <w:rFonts w:hint="eastAsia" w:ascii="宋体" w:hAnsi="宋体" w:cs="宋体"/>
                <w:color w:val="auto"/>
              </w:rPr>
              <w:t>）附录</w:t>
            </w:r>
            <w:r>
              <w:rPr>
                <w:rFonts w:ascii="宋体" w:hAnsi="宋体" w:cs="宋体"/>
                <w:color w:val="auto"/>
              </w:rPr>
              <w:t>A</w:t>
            </w:r>
            <w:r>
              <w:rPr>
                <w:rFonts w:hint="eastAsia" w:ascii="宋体" w:hAnsi="宋体" w:cs="宋体"/>
                <w:color w:val="auto"/>
              </w:rPr>
              <w:t>中“表</w:t>
            </w:r>
            <w:r>
              <w:rPr>
                <w:rFonts w:ascii="宋体" w:hAnsi="宋体" w:cs="宋体"/>
                <w:color w:val="auto"/>
              </w:rPr>
              <w:t>A.1</w:t>
            </w:r>
            <w:r>
              <w:rPr>
                <w:rFonts w:hint="eastAsia" w:ascii="宋体" w:hAnsi="宋体" w:cs="宋体"/>
                <w:color w:val="auto"/>
              </w:rPr>
              <w:t>中限值”</w:t>
            </w:r>
            <w:r>
              <w:rPr>
                <w:rFonts w:hint="eastAsia" w:cs="宋体"/>
                <w:color w:val="auto"/>
                <w:spacing w:val="2"/>
                <w:sz w:val="24"/>
                <w:szCs w:val="24"/>
                <w:lang w:eastAsia="zh-CN"/>
              </w:rPr>
              <w:t>，</w:t>
            </w:r>
            <w:r>
              <w:rPr>
                <w:color w:val="auto"/>
                <w:sz w:val="24"/>
              </w:rPr>
              <w:t>具体如下：</w:t>
            </w:r>
          </w:p>
          <w:p>
            <w:pPr>
              <w:autoSpaceDE w:val="0"/>
              <w:autoSpaceDN w:val="0"/>
              <w:adjustRightInd w:val="0"/>
              <w:spacing w:line="360" w:lineRule="auto"/>
              <w:ind w:firstLine="440" w:firstLineChars="200"/>
              <w:jc w:val="center"/>
              <w:rPr>
                <w:color w:val="auto"/>
                <w:kern w:val="0"/>
              </w:rPr>
            </w:pPr>
            <w:r>
              <w:rPr>
                <w:rFonts w:hint="eastAsia" w:hAnsi="宋体" w:cs="宋体"/>
                <w:color w:val="auto"/>
                <w:sz w:val="22"/>
                <w:szCs w:val="22"/>
              </w:rPr>
              <w:t>表</w:t>
            </w:r>
            <w:r>
              <w:rPr>
                <w:rFonts w:hAnsi="宋体"/>
                <w:color w:val="auto"/>
                <w:sz w:val="22"/>
                <w:szCs w:val="22"/>
              </w:rPr>
              <w:t>3-</w:t>
            </w:r>
            <w:r>
              <w:rPr>
                <w:rFonts w:hint="eastAsia" w:hAnsi="宋体"/>
                <w:color w:val="auto"/>
                <w:sz w:val="22"/>
                <w:szCs w:val="22"/>
                <w:lang w:val="en-US" w:eastAsia="zh-CN"/>
              </w:rPr>
              <w:t>5</w:t>
            </w:r>
            <w:r>
              <w:rPr>
                <w:rFonts w:hAnsi="宋体"/>
                <w:color w:val="auto"/>
                <w:sz w:val="22"/>
                <w:szCs w:val="22"/>
              </w:rPr>
              <w:t xml:space="preserve"> </w:t>
            </w:r>
            <w:r>
              <w:rPr>
                <w:rFonts w:hint="eastAsia" w:hAnsi="宋体" w:cs="宋体"/>
                <w:color w:val="auto"/>
                <w:sz w:val="22"/>
                <w:szCs w:val="22"/>
              </w:rPr>
              <w:t>废气排放标准一览表</w:t>
            </w:r>
            <w:r>
              <w:rPr>
                <w:rFonts w:hAnsi="宋体"/>
                <w:color w:val="auto"/>
                <w:sz w:val="22"/>
                <w:szCs w:val="22"/>
              </w:rPr>
              <w:t xml:space="preserve">       </w:t>
            </w:r>
            <w:r>
              <w:rPr>
                <w:rFonts w:hint="eastAsia" w:hAnsi="宋体" w:cs="宋体"/>
                <w:color w:val="auto"/>
                <w:sz w:val="22"/>
                <w:szCs w:val="22"/>
              </w:rPr>
              <w:t>单位：</w:t>
            </w:r>
            <w:r>
              <w:rPr>
                <w:rFonts w:hAnsi="宋体"/>
                <w:color w:val="auto"/>
                <w:sz w:val="22"/>
                <w:szCs w:val="22"/>
              </w:rPr>
              <w:t xml:space="preserve"> mg/m</w:t>
            </w:r>
            <w:r>
              <w:rPr>
                <w:rFonts w:hAnsi="宋体"/>
                <w:color w:val="auto"/>
                <w:sz w:val="22"/>
                <w:szCs w:val="22"/>
                <w:vertAlign w:val="superscript"/>
              </w:rPr>
              <w:t>3</w:t>
            </w:r>
          </w:p>
          <w:tbl>
            <w:tblPr>
              <w:tblStyle w:val="36"/>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2"/>
              <w:gridCol w:w="1311"/>
              <w:gridCol w:w="1470"/>
              <w:gridCol w:w="1862"/>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0" w:hRule="atLeast"/>
                <w:jc w:val="center"/>
              </w:trPr>
              <w:tc>
                <w:tcPr>
                  <w:tcW w:w="763" w:type="pct"/>
                  <w:tcBorders>
                    <w:top w:val="single" w:color="auto" w:sz="4" w:space="0"/>
                    <w:left w:val="single" w:color="auto" w:sz="4" w:space="0"/>
                    <w:bottom w:val="single" w:color="auto" w:sz="4" w:space="0"/>
                    <w:right w:val="single" w:color="auto" w:sz="4" w:space="0"/>
                  </w:tcBorders>
                  <w:vAlign w:val="center"/>
                </w:tcPr>
                <w:p>
                  <w:pPr>
                    <w:pStyle w:val="84"/>
                    <w:rPr>
                      <w:color w:val="auto"/>
                      <w:sz w:val="22"/>
                      <w:szCs w:val="22"/>
                    </w:rPr>
                  </w:pPr>
                  <w:r>
                    <w:rPr>
                      <w:rFonts w:hint="eastAsia" w:cs="宋体"/>
                      <w:color w:val="auto"/>
                      <w:sz w:val="22"/>
                      <w:szCs w:val="22"/>
                    </w:rPr>
                    <w:t>污染源</w:t>
                  </w:r>
                </w:p>
              </w:tc>
              <w:tc>
                <w:tcPr>
                  <w:tcW w:w="825" w:type="pct"/>
                  <w:tcBorders>
                    <w:top w:val="single" w:color="auto" w:sz="4" w:space="0"/>
                    <w:left w:val="single" w:color="auto" w:sz="4" w:space="0"/>
                    <w:bottom w:val="single" w:color="auto" w:sz="4" w:space="0"/>
                    <w:right w:val="single" w:color="auto" w:sz="4" w:space="0"/>
                  </w:tcBorders>
                  <w:vAlign w:val="center"/>
                </w:tcPr>
                <w:p>
                  <w:pPr>
                    <w:pStyle w:val="84"/>
                    <w:rPr>
                      <w:color w:val="auto"/>
                      <w:sz w:val="22"/>
                      <w:szCs w:val="22"/>
                    </w:rPr>
                  </w:pPr>
                  <w:r>
                    <w:rPr>
                      <w:rFonts w:hint="eastAsia" w:cs="宋体"/>
                      <w:color w:val="auto"/>
                      <w:sz w:val="22"/>
                      <w:szCs w:val="22"/>
                    </w:rPr>
                    <w:t>污染物</w:t>
                  </w:r>
                </w:p>
              </w:tc>
              <w:tc>
                <w:tcPr>
                  <w:tcW w:w="926" w:type="pct"/>
                  <w:tcBorders>
                    <w:top w:val="single" w:color="auto" w:sz="4" w:space="0"/>
                    <w:left w:val="single" w:color="auto" w:sz="4" w:space="0"/>
                    <w:bottom w:val="single" w:color="auto" w:sz="4" w:space="0"/>
                    <w:right w:val="single" w:color="auto" w:sz="4" w:space="0"/>
                  </w:tcBorders>
                  <w:vAlign w:val="center"/>
                </w:tcPr>
                <w:p>
                  <w:pPr>
                    <w:pStyle w:val="84"/>
                    <w:rPr>
                      <w:color w:val="auto"/>
                      <w:sz w:val="22"/>
                      <w:szCs w:val="22"/>
                    </w:rPr>
                  </w:pPr>
                  <w:r>
                    <w:rPr>
                      <w:rFonts w:hint="eastAsia" w:cs="宋体"/>
                      <w:color w:val="auto"/>
                      <w:sz w:val="22"/>
                      <w:szCs w:val="22"/>
                      <w:lang w:eastAsia="zh-CN"/>
                    </w:rPr>
                    <w:t>特别</w:t>
                  </w:r>
                  <w:r>
                    <w:rPr>
                      <w:rFonts w:hint="eastAsia" w:cs="宋体"/>
                      <w:color w:val="auto"/>
                      <w:sz w:val="22"/>
                      <w:szCs w:val="22"/>
                    </w:rPr>
                    <w:t>排放限值</w:t>
                  </w:r>
                  <w:r>
                    <w:rPr>
                      <w:color w:val="auto"/>
                      <w:sz w:val="22"/>
                      <w:szCs w:val="22"/>
                    </w:rPr>
                    <w:t>mg/m</w:t>
                  </w:r>
                  <w:r>
                    <w:rPr>
                      <w:color w:val="auto"/>
                      <w:sz w:val="22"/>
                      <w:szCs w:val="22"/>
                      <w:vertAlign w:val="superscript"/>
                    </w:rPr>
                    <w:t>3</w:t>
                  </w:r>
                </w:p>
              </w:tc>
              <w:tc>
                <w:tcPr>
                  <w:tcW w:w="1173" w:type="pct"/>
                  <w:tcBorders>
                    <w:top w:val="single" w:color="auto" w:sz="4" w:space="0"/>
                    <w:left w:val="single" w:color="auto" w:sz="4" w:space="0"/>
                    <w:bottom w:val="single" w:color="auto" w:sz="4" w:space="0"/>
                    <w:right w:val="single" w:color="auto" w:sz="4" w:space="0"/>
                  </w:tcBorders>
                  <w:vAlign w:val="center"/>
                </w:tcPr>
                <w:p>
                  <w:pPr>
                    <w:pStyle w:val="84"/>
                    <w:rPr>
                      <w:color w:val="auto"/>
                      <w:sz w:val="22"/>
                      <w:szCs w:val="22"/>
                    </w:rPr>
                  </w:pPr>
                  <w:r>
                    <w:rPr>
                      <w:rFonts w:hint="eastAsia" w:cs="宋体"/>
                      <w:color w:val="auto"/>
                      <w:sz w:val="22"/>
                      <w:szCs w:val="22"/>
                    </w:rPr>
                    <w:t>无组织排放监控浓度限值</w:t>
                  </w:r>
                </w:p>
                <w:p>
                  <w:pPr>
                    <w:pStyle w:val="84"/>
                    <w:rPr>
                      <w:color w:val="auto"/>
                      <w:sz w:val="22"/>
                      <w:szCs w:val="22"/>
                    </w:rPr>
                  </w:pPr>
                  <w:r>
                    <w:rPr>
                      <w:color w:val="auto"/>
                      <w:sz w:val="22"/>
                      <w:szCs w:val="22"/>
                    </w:rPr>
                    <w:t>mg/m</w:t>
                  </w:r>
                  <w:r>
                    <w:rPr>
                      <w:color w:val="auto"/>
                      <w:sz w:val="22"/>
                      <w:szCs w:val="22"/>
                      <w:vertAlign w:val="superscript"/>
                    </w:rPr>
                    <w:t>3</w:t>
                  </w:r>
                </w:p>
              </w:tc>
              <w:tc>
                <w:tcPr>
                  <w:tcW w:w="1311" w:type="pct"/>
                  <w:tcBorders>
                    <w:top w:val="single" w:color="auto" w:sz="4" w:space="0"/>
                    <w:left w:val="single" w:color="auto" w:sz="4" w:space="0"/>
                    <w:bottom w:val="single" w:color="auto" w:sz="4" w:space="0"/>
                    <w:right w:val="single" w:color="auto" w:sz="4" w:space="0"/>
                  </w:tcBorders>
                  <w:vAlign w:val="center"/>
                </w:tcPr>
                <w:p>
                  <w:pPr>
                    <w:pStyle w:val="84"/>
                    <w:rPr>
                      <w:color w:val="auto"/>
                      <w:sz w:val="22"/>
                      <w:szCs w:val="22"/>
                    </w:rPr>
                  </w:pPr>
                  <w:r>
                    <w:rPr>
                      <w:rFonts w:hint="eastAsia" w:cs="宋体"/>
                      <w:color w:val="auto"/>
                      <w:sz w:val="22"/>
                      <w:szCs w:val="22"/>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763" w:type="pct"/>
                  <w:vMerge w:val="restart"/>
                  <w:tcBorders>
                    <w:top w:val="single" w:color="auto" w:sz="4" w:space="0"/>
                    <w:left w:val="single" w:color="auto" w:sz="4" w:space="0"/>
                    <w:right w:val="single" w:color="auto" w:sz="4" w:space="0"/>
                  </w:tcBorders>
                  <w:vAlign w:val="center"/>
                </w:tcPr>
                <w:p>
                  <w:pPr>
                    <w:pStyle w:val="84"/>
                    <w:rPr>
                      <w:rFonts w:hint="eastAsia" w:ascii="Times New Roman" w:hAnsi="Times New Roman" w:eastAsia="宋体" w:cs="Times New Roman"/>
                      <w:color w:val="auto"/>
                      <w:szCs w:val="21"/>
                      <w:lang w:eastAsia="zh-CN"/>
                    </w:rPr>
                  </w:pPr>
                  <w:r>
                    <w:rPr>
                      <w:rFonts w:hint="eastAsia" w:cs="Times New Roman"/>
                      <w:color w:val="auto"/>
                      <w:szCs w:val="21"/>
                      <w:lang w:eastAsia="zh-CN"/>
                    </w:rPr>
                    <w:t>挤出工序</w:t>
                  </w:r>
                </w:p>
              </w:tc>
              <w:tc>
                <w:tcPr>
                  <w:tcW w:w="825" w:type="pct"/>
                  <w:tcBorders>
                    <w:top w:val="single" w:color="auto" w:sz="4" w:space="0"/>
                    <w:left w:val="single" w:color="auto" w:sz="4" w:space="0"/>
                    <w:bottom w:val="single" w:color="auto" w:sz="4" w:space="0"/>
                    <w:right w:val="single" w:color="auto" w:sz="4" w:space="0"/>
                  </w:tcBorders>
                  <w:vAlign w:val="center"/>
                </w:tcPr>
                <w:p>
                  <w:pPr>
                    <w:pStyle w:val="84"/>
                    <w:rPr>
                      <w:rFonts w:hint="eastAsia" w:cs="Times New Roman"/>
                      <w:color w:val="auto"/>
                      <w:szCs w:val="21"/>
                      <w:lang w:eastAsia="zh-CN"/>
                    </w:rPr>
                  </w:pPr>
                  <w:r>
                    <w:rPr>
                      <w:rFonts w:hint="eastAsia" w:cs="Times New Roman"/>
                      <w:color w:val="auto"/>
                      <w:szCs w:val="21"/>
                      <w:lang w:eastAsia="zh-CN"/>
                    </w:rPr>
                    <w:t>非甲烷总烃</w:t>
                  </w:r>
                </w:p>
              </w:tc>
              <w:tc>
                <w:tcPr>
                  <w:tcW w:w="926" w:type="pct"/>
                  <w:tcBorders>
                    <w:top w:val="single" w:color="auto" w:sz="4" w:space="0"/>
                    <w:left w:val="single" w:color="auto" w:sz="4" w:space="0"/>
                    <w:bottom w:val="single" w:color="auto" w:sz="4" w:space="0"/>
                    <w:right w:val="single" w:color="auto" w:sz="4" w:space="0"/>
                  </w:tcBorders>
                  <w:vAlign w:val="center"/>
                </w:tcPr>
                <w:p>
                  <w:pPr>
                    <w:pStyle w:val="84"/>
                    <w:rPr>
                      <w:rFonts w:hint="default" w:cs="Times New Roman"/>
                      <w:color w:val="auto"/>
                      <w:szCs w:val="21"/>
                      <w:lang w:val="en-US" w:eastAsia="zh-CN"/>
                    </w:rPr>
                  </w:pPr>
                  <w:r>
                    <w:rPr>
                      <w:rFonts w:hint="eastAsia" w:cs="Times New Roman"/>
                      <w:color w:val="auto"/>
                      <w:szCs w:val="21"/>
                      <w:lang w:val="en-US" w:eastAsia="zh-CN"/>
                    </w:rPr>
                    <w:t>60</w:t>
                  </w:r>
                </w:p>
              </w:tc>
              <w:tc>
                <w:tcPr>
                  <w:tcW w:w="1173" w:type="pct"/>
                  <w:tcBorders>
                    <w:top w:val="single" w:color="auto" w:sz="4" w:space="0"/>
                    <w:left w:val="single" w:color="auto" w:sz="4" w:space="0"/>
                    <w:bottom w:val="single" w:color="auto" w:sz="4" w:space="0"/>
                    <w:right w:val="single" w:color="auto" w:sz="4" w:space="0"/>
                  </w:tcBorders>
                  <w:vAlign w:val="center"/>
                </w:tcPr>
                <w:p>
                  <w:pPr>
                    <w:pStyle w:val="84"/>
                    <w:rPr>
                      <w:rFonts w:hint="default" w:cs="Times New Roman"/>
                      <w:color w:val="auto"/>
                      <w:szCs w:val="21"/>
                      <w:lang w:val="en-US" w:eastAsia="zh-CN"/>
                    </w:rPr>
                  </w:pPr>
                  <w:r>
                    <w:rPr>
                      <w:rFonts w:hint="eastAsia" w:cs="Times New Roman"/>
                      <w:color w:val="auto"/>
                      <w:szCs w:val="21"/>
                      <w:lang w:val="en-US" w:eastAsia="zh-CN"/>
                    </w:rPr>
                    <w:t>4.0</w:t>
                  </w:r>
                </w:p>
              </w:tc>
              <w:tc>
                <w:tcPr>
                  <w:tcW w:w="1311" w:type="pct"/>
                  <w:vMerge w:val="restart"/>
                  <w:tcBorders>
                    <w:top w:val="single" w:color="auto" w:sz="4" w:space="0"/>
                    <w:left w:val="single" w:color="auto" w:sz="4" w:space="0"/>
                    <w:right w:val="single" w:color="auto" w:sz="4" w:space="0"/>
                  </w:tcBorders>
                  <w:vAlign w:val="center"/>
                </w:tcPr>
                <w:p>
                  <w:pPr>
                    <w:pStyle w:val="84"/>
                    <w:rPr>
                      <w:rFonts w:hint="eastAsia" w:cs="宋体"/>
                      <w:color w:val="auto"/>
                      <w:sz w:val="22"/>
                      <w:szCs w:val="22"/>
                    </w:rPr>
                  </w:pPr>
                  <w:r>
                    <w:rPr>
                      <w:rFonts w:hint="eastAsia" w:ascii="宋体" w:hAnsi="宋体" w:cs="宋体"/>
                      <w:color w:val="auto"/>
                    </w:rPr>
                    <w:t>《</w:t>
                  </w:r>
                  <w:r>
                    <w:rPr>
                      <w:rFonts w:hint="eastAsia" w:ascii="宋体" w:hAnsi="宋体" w:cs="宋体"/>
                      <w:color w:val="auto"/>
                      <w:lang w:eastAsia="zh-CN"/>
                    </w:rPr>
                    <w:t>合成树脂工业污染物排放标准</w:t>
                  </w:r>
                  <w:r>
                    <w:rPr>
                      <w:rFonts w:hint="eastAsia" w:ascii="宋体" w:hAnsi="宋体" w:cs="宋体"/>
                      <w:color w:val="auto"/>
                    </w:rPr>
                    <w:t>》（</w:t>
                  </w:r>
                  <w:r>
                    <w:rPr>
                      <w:rFonts w:hint="eastAsia" w:ascii="宋体" w:hAnsi="宋体" w:cs="宋体"/>
                      <w:color w:val="auto"/>
                      <w:lang w:eastAsia="zh-CN"/>
                    </w:rPr>
                    <w:t>GB 31572-2015</w:t>
                  </w:r>
                  <w:r>
                    <w:rPr>
                      <w:rFonts w:hint="eastAsia" w:ascii="宋体" w:hAnsi="宋体" w:cs="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63" w:type="pct"/>
                  <w:vMerge w:val="continue"/>
                  <w:tcBorders>
                    <w:left w:val="single" w:color="auto" w:sz="4" w:space="0"/>
                    <w:right w:val="single" w:color="auto" w:sz="4" w:space="0"/>
                  </w:tcBorders>
                  <w:vAlign w:val="center"/>
                </w:tcPr>
                <w:p>
                  <w:pPr>
                    <w:pStyle w:val="84"/>
                    <w:rPr>
                      <w:rFonts w:hint="eastAsia" w:cs="Times New Roman"/>
                      <w:color w:val="auto"/>
                      <w:szCs w:val="21"/>
                      <w:lang w:eastAsia="zh-CN"/>
                    </w:rPr>
                  </w:pPr>
                </w:p>
              </w:tc>
              <w:tc>
                <w:tcPr>
                  <w:tcW w:w="825" w:type="pct"/>
                  <w:tcBorders>
                    <w:top w:val="single" w:color="auto" w:sz="4" w:space="0"/>
                    <w:left w:val="single" w:color="auto" w:sz="4" w:space="0"/>
                    <w:bottom w:val="single" w:color="auto" w:sz="4" w:space="0"/>
                    <w:right w:val="single" w:color="auto" w:sz="4" w:space="0"/>
                  </w:tcBorders>
                  <w:vAlign w:val="center"/>
                </w:tcPr>
                <w:p>
                  <w:pPr>
                    <w:pStyle w:val="84"/>
                    <w:rPr>
                      <w:rFonts w:hint="eastAsia" w:cs="Times New Roman"/>
                      <w:color w:val="auto"/>
                      <w:szCs w:val="21"/>
                      <w:lang w:eastAsia="zh-CN"/>
                    </w:rPr>
                  </w:pPr>
                  <w:r>
                    <w:rPr>
                      <w:rFonts w:hint="eastAsia"/>
                      <w:color w:val="auto"/>
                      <w:lang w:val="en-US" w:eastAsia="zh-CN"/>
                    </w:rPr>
                    <w:t>苯乙烯</w:t>
                  </w:r>
                </w:p>
              </w:tc>
              <w:tc>
                <w:tcPr>
                  <w:tcW w:w="926" w:type="pct"/>
                  <w:tcBorders>
                    <w:top w:val="single" w:color="auto" w:sz="4" w:space="0"/>
                    <w:left w:val="single" w:color="auto" w:sz="4" w:space="0"/>
                    <w:bottom w:val="single" w:color="auto" w:sz="4" w:space="0"/>
                    <w:right w:val="single" w:color="auto" w:sz="4" w:space="0"/>
                  </w:tcBorders>
                  <w:vAlign w:val="center"/>
                </w:tcPr>
                <w:p>
                  <w:pPr>
                    <w:pStyle w:val="84"/>
                    <w:rPr>
                      <w:rFonts w:hint="eastAsia" w:cs="Times New Roman"/>
                      <w:color w:val="auto"/>
                      <w:szCs w:val="21"/>
                      <w:lang w:val="en-US" w:eastAsia="zh-CN"/>
                    </w:rPr>
                  </w:pPr>
                  <w:r>
                    <w:rPr>
                      <w:rFonts w:hint="eastAsia" w:cs="Times New Roman"/>
                      <w:color w:val="auto"/>
                      <w:szCs w:val="21"/>
                      <w:lang w:val="en-US" w:eastAsia="zh-CN"/>
                    </w:rPr>
                    <w:t>20</w:t>
                  </w:r>
                </w:p>
              </w:tc>
              <w:tc>
                <w:tcPr>
                  <w:tcW w:w="1173" w:type="pct"/>
                  <w:tcBorders>
                    <w:top w:val="single" w:color="auto" w:sz="4" w:space="0"/>
                    <w:left w:val="single" w:color="auto" w:sz="4" w:space="0"/>
                    <w:bottom w:val="single" w:color="auto" w:sz="4" w:space="0"/>
                    <w:right w:val="single" w:color="auto" w:sz="4" w:space="0"/>
                  </w:tcBorders>
                  <w:vAlign w:val="center"/>
                </w:tcPr>
                <w:p>
                  <w:pPr>
                    <w:pStyle w:val="84"/>
                    <w:rPr>
                      <w:rFonts w:hint="default" w:cs="Times New Roman"/>
                      <w:color w:val="auto"/>
                      <w:szCs w:val="21"/>
                      <w:lang w:val="en-US" w:eastAsia="zh-CN"/>
                    </w:rPr>
                  </w:pPr>
                  <w:r>
                    <w:rPr>
                      <w:rFonts w:hint="eastAsia" w:cs="Times New Roman"/>
                      <w:color w:val="auto"/>
                      <w:szCs w:val="21"/>
                      <w:lang w:val="en-US" w:eastAsia="zh-CN"/>
                    </w:rPr>
                    <w:t>/</w:t>
                  </w:r>
                </w:p>
              </w:tc>
              <w:tc>
                <w:tcPr>
                  <w:tcW w:w="1311" w:type="pct"/>
                  <w:vMerge w:val="continue"/>
                  <w:tcBorders>
                    <w:left w:val="single" w:color="auto" w:sz="4" w:space="0"/>
                    <w:right w:val="single" w:color="auto" w:sz="4" w:space="0"/>
                  </w:tcBorders>
                  <w:vAlign w:val="center"/>
                </w:tcPr>
                <w:p>
                  <w:pPr>
                    <w:pStyle w:val="84"/>
                    <w:rPr>
                      <w:rFonts w:hint="eastAsia"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763" w:type="pct"/>
                  <w:vMerge w:val="continue"/>
                  <w:tcBorders>
                    <w:left w:val="single" w:color="auto" w:sz="4" w:space="0"/>
                    <w:right w:val="single" w:color="auto" w:sz="4" w:space="0"/>
                  </w:tcBorders>
                  <w:vAlign w:val="center"/>
                </w:tcPr>
                <w:p>
                  <w:pPr>
                    <w:pStyle w:val="84"/>
                    <w:rPr>
                      <w:rFonts w:hint="eastAsia" w:cs="Times New Roman"/>
                      <w:color w:val="auto"/>
                      <w:szCs w:val="21"/>
                      <w:lang w:eastAsia="zh-CN"/>
                    </w:rPr>
                  </w:pPr>
                </w:p>
              </w:tc>
              <w:tc>
                <w:tcPr>
                  <w:tcW w:w="825" w:type="pct"/>
                  <w:tcBorders>
                    <w:top w:val="single" w:color="auto" w:sz="4" w:space="0"/>
                    <w:left w:val="single" w:color="auto" w:sz="4" w:space="0"/>
                    <w:bottom w:val="single" w:color="auto" w:sz="4" w:space="0"/>
                    <w:right w:val="single" w:color="auto" w:sz="4" w:space="0"/>
                  </w:tcBorders>
                  <w:vAlign w:val="center"/>
                </w:tcPr>
                <w:p>
                  <w:pPr>
                    <w:pStyle w:val="84"/>
                    <w:rPr>
                      <w:rFonts w:hint="eastAsia" w:cs="Times New Roman"/>
                      <w:color w:val="auto"/>
                      <w:szCs w:val="21"/>
                      <w:lang w:eastAsia="zh-CN"/>
                    </w:rPr>
                  </w:pPr>
                  <w:r>
                    <w:rPr>
                      <w:rFonts w:hint="eastAsia" w:cs="Times New Roman"/>
                      <w:color w:val="auto"/>
                      <w:szCs w:val="21"/>
                      <w:lang w:eastAsia="zh-CN"/>
                    </w:rPr>
                    <w:t>甲苯</w:t>
                  </w:r>
                </w:p>
              </w:tc>
              <w:tc>
                <w:tcPr>
                  <w:tcW w:w="926" w:type="pct"/>
                  <w:tcBorders>
                    <w:top w:val="single" w:color="auto" w:sz="4" w:space="0"/>
                    <w:left w:val="single" w:color="auto" w:sz="4" w:space="0"/>
                    <w:bottom w:val="single" w:color="auto" w:sz="4" w:space="0"/>
                    <w:right w:val="single" w:color="auto" w:sz="4" w:space="0"/>
                  </w:tcBorders>
                  <w:vAlign w:val="center"/>
                </w:tcPr>
                <w:p>
                  <w:pPr>
                    <w:pStyle w:val="84"/>
                    <w:rPr>
                      <w:rFonts w:hint="default" w:cs="Times New Roman"/>
                      <w:color w:val="auto"/>
                      <w:szCs w:val="21"/>
                      <w:lang w:val="en-US" w:eastAsia="zh-CN"/>
                    </w:rPr>
                  </w:pPr>
                  <w:r>
                    <w:rPr>
                      <w:rFonts w:hint="eastAsia" w:cs="Times New Roman"/>
                      <w:color w:val="auto"/>
                      <w:szCs w:val="21"/>
                      <w:lang w:val="en-US" w:eastAsia="zh-CN"/>
                    </w:rPr>
                    <w:t>8</w:t>
                  </w:r>
                </w:p>
              </w:tc>
              <w:tc>
                <w:tcPr>
                  <w:tcW w:w="1173" w:type="pct"/>
                  <w:tcBorders>
                    <w:top w:val="single" w:color="auto" w:sz="4" w:space="0"/>
                    <w:left w:val="single" w:color="auto" w:sz="4" w:space="0"/>
                    <w:bottom w:val="single" w:color="auto" w:sz="4" w:space="0"/>
                    <w:right w:val="single" w:color="auto" w:sz="4" w:space="0"/>
                  </w:tcBorders>
                  <w:vAlign w:val="center"/>
                </w:tcPr>
                <w:p>
                  <w:pPr>
                    <w:pStyle w:val="84"/>
                    <w:rPr>
                      <w:rFonts w:hint="default" w:cs="Times New Roman"/>
                      <w:color w:val="auto"/>
                      <w:szCs w:val="21"/>
                      <w:lang w:val="en-US" w:eastAsia="zh-CN"/>
                    </w:rPr>
                  </w:pPr>
                  <w:r>
                    <w:rPr>
                      <w:rFonts w:hint="eastAsia" w:cs="Times New Roman"/>
                      <w:color w:val="auto"/>
                      <w:szCs w:val="21"/>
                      <w:lang w:val="en-US" w:eastAsia="zh-CN"/>
                    </w:rPr>
                    <w:t>0.8</w:t>
                  </w:r>
                </w:p>
              </w:tc>
              <w:tc>
                <w:tcPr>
                  <w:tcW w:w="1311" w:type="pct"/>
                  <w:vMerge w:val="continue"/>
                  <w:tcBorders>
                    <w:left w:val="single" w:color="auto" w:sz="4" w:space="0"/>
                    <w:right w:val="single" w:color="auto" w:sz="4" w:space="0"/>
                  </w:tcBorders>
                  <w:vAlign w:val="center"/>
                </w:tcPr>
                <w:p>
                  <w:pPr>
                    <w:pStyle w:val="84"/>
                    <w:rPr>
                      <w:rFonts w:hint="eastAsia"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763" w:type="pct"/>
                  <w:vMerge w:val="continue"/>
                  <w:tcBorders>
                    <w:left w:val="single" w:color="auto" w:sz="4" w:space="0"/>
                    <w:bottom w:val="single" w:color="auto" w:sz="4" w:space="0"/>
                    <w:right w:val="single" w:color="auto" w:sz="4" w:space="0"/>
                  </w:tcBorders>
                  <w:vAlign w:val="center"/>
                </w:tcPr>
                <w:p>
                  <w:pPr>
                    <w:pStyle w:val="84"/>
                    <w:rPr>
                      <w:rFonts w:hint="eastAsia" w:cs="Times New Roman"/>
                      <w:color w:val="auto"/>
                      <w:szCs w:val="21"/>
                      <w:lang w:eastAsia="zh-CN"/>
                    </w:rPr>
                  </w:pPr>
                </w:p>
              </w:tc>
              <w:tc>
                <w:tcPr>
                  <w:tcW w:w="825" w:type="pct"/>
                  <w:tcBorders>
                    <w:top w:val="single" w:color="auto" w:sz="4" w:space="0"/>
                    <w:left w:val="single" w:color="auto" w:sz="4" w:space="0"/>
                    <w:bottom w:val="single" w:color="auto" w:sz="4" w:space="0"/>
                    <w:right w:val="single" w:color="auto" w:sz="4" w:space="0"/>
                  </w:tcBorders>
                  <w:vAlign w:val="center"/>
                </w:tcPr>
                <w:p>
                  <w:pPr>
                    <w:pStyle w:val="84"/>
                    <w:rPr>
                      <w:rFonts w:hint="eastAsia" w:cs="Times New Roman"/>
                      <w:color w:val="auto"/>
                      <w:szCs w:val="21"/>
                      <w:lang w:eastAsia="zh-CN"/>
                    </w:rPr>
                  </w:pPr>
                  <w:r>
                    <w:rPr>
                      <w:rFonts w:hint="eastAsia" w:cs="Times New Roman"/>
                      <w:color w:val="auto"/>
                      <w:szCs w:val="21"/>
                      <w:lang w:eastAsia="zh-CN"/>
                    </w:rPr>
                    <w:t>乙苯</w:t>
                  </w:r>
                </w:p>
              </w:tc>
              <w:tc>
                <w:tcPr>
                  <w:tcW w:w="926" w:type="pct"/>
                  <w:tcBorders>
                    <w:top w:val="single" w:color="auto" w:sz="4" w:space="0"/>
                    <w:left w:val="single" w:color="auto" w:sz="4" w:space="0"/>
                    <w:bottom w:val="single" w:color="auto" w:sz="4" w:space="0"/>
                    <w:right w:val="single" w:color="auto" w:sz="4" w:space="0"/>
                  </w:tcBorders>
                  <w:vAlign w:val="center"/>
                </w:tcPr>
                <w:p>
                  <w:pPr>
                    <w:pStyle w:val="84"/>
                    <w:rPr>
                      <w:rFonts w:hint="default" w:cs="Times New Roman"/>
                      <w:color w:val="auto"/>
                      <w:szCs w:val="21"/>
                      <w:lang w:val="en-US" w:eastAsia="zh-CN"/>
                    </w:rPr>
                  </w:pPr>
                  <w:r>
                    <w:rPr>
                      <w:rFonts w:hint="eastAsia" w:cs="Times New Roman"/>
                      <w:color w:val="auto"/>
                      <w:szCs w:val="21"/>
                      <w:lang w:val="en-US" w:eastAsia="zh-CN"/>
                    </w:rPr>
                    <w:t>50</w:t>
                  </w:r>
                </w:p>
              </w:tc>
              <w:tc>
                <w:tcPr>
                  <w:tcW w:w="1173" w:type="pct"/>
                  <w:tcBorders>
                    <w:top w:val="single" w:color="auto" w:sz="4" w:space="0"/>
                    <w:left w:val="single" w:color="auto" w:sz="4" w:space="0"/>
                    <w:bottom w:val="single" w:color="auto" w:sz="4" w:space="0"/>
                    <w:right w:val="single" w:color="auto" w:sz="4" w:space="0"/>
                  </w:tcBorders>
                  <w:vAlign w:val="center"/>
                </w:tcPr>
                <w:p>
                  <w:pPr>
                    <w:pStyle w:val="84"/>
                    <w:rPr>
                      <w:rFonts w:hint="default" w:cs="Times New Roman"/>
                      <w:color w:val="auto"/>
                      <w:szCs w:val="21"/>
                      <w:lang w:val="en-US" w:eastAsia="zh-CN"/>
                    </w:rPr>
                  </w:pPr>
                  <w:r>
                    <w:rPr>
                      <w:rFonts w:hint="eastAsia" w:cs="Times New Roman"/>
                      <w:color w:val="auto"/>
                      <w:szCs w:val="21"/>
                      <w:lang w:val="en-US" w:eastAsia="zh-CN"/>
                    </w:rPr>
                    <w:t>/</w:t>
                  </w:r>
                </w:p>
              </w:tc>
              <w:tc>
                <w:tcPr>
                  <w:tcW w:w="1311" w:type="pct"/>
                  <w:vMerge w:val="continue"/>
                  <w:tcBorders>
                    <w:left w:val="single" w:color="auto" w:sz="4" w:space="0"/>
                    <w:right w:val="single" w:color="auto" w:sz="4" w:space="0"/>
                  </w:tcBorders>
                  <w:vAlign w:val="center"/>
                </w:tcPr>
                <w:p>
                  <w:pPr>
                    <w:pStyle w:val="84"/>
                    <w:rPr>
                      <w:rFonts w:hint="eastAsia"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763" w:type="pct"/>
                  <w:tcBorders>
                    <w:top w:val="single" w:color="auto" w:sz="4" w:space="0"/>
                    <w:left w:val="single" w:color="auto" w:sz="4" w:space="0"/>
                    <w:right w:val="single" w:color="auto" w:sz="4" w:space="0"/>
                  </w:tcBorders>
                  <w:vAlign w:val="center"/>
                </w:tcPr>
                <w:p>
                  <w:pPr>
                    <w:pStyle w:val="84"/>
                    <w:rPr>
                      <w:rFonts w:hint="eastAsia" w:cs="Times New Roman"/>
                      <w:color w:val="auto"/>
                      <w:szCs w:val="21"/>
                      <w:lang w:eastAsia="zh-CN"/>
                    </w:rPr>
                  </w:pPr>
                  <w:r>
                    <w:rPr>
                      <w:rFonts w:hint="eastAsia" w:cs="Times New Roman"/>
                      <w:color w:val="auto"/>
                      <w:szCs w:val="21"/>
                      <w:lang w:eastAsia="zh-CN"/>
                    </w:rPr>
                    <w:t>投料、破碎工序</w:t>
                  </w:r>
                </w:p>
              </w:tc>
              <w:tc>
                <w:tcPr>
                  <w:tcW w:w="825" w:type="pct"/>
                  <w:tcBorders>
                    <w:top w:val="single" w:color="auto" w:sz="4" w:space="0"/>
                    <w:left w:val="single" w:color="auto" w:sz="4" w:space="0"/>
                    <w:right w:val="single" w:color="auto" w:sz="4" w:space="0"/>
                  </w:tcBorders>
                  <w:vAlign w:val="center"/>
                </w:tcPr>
                <w:p>
                  <w:pPr>
                    <w:pStyle w:val="84"/>
                    <w:rPr>
                      <w:rFonts w:hint="eastAsia" w:cs="Times New Roman"/>
                      <w:color w:val="auto"/>
                      <w:szCs w:val="21"/>
                      <w:lang w:eastAsia="zh-CN"/>
                    </w:rPr>
                  </w:pPr>
                  <w:r>
                    <w:rPr>
                      <w:rFonts w:hint="eastAsia"/>
                      <w:color w:val="auto"/>
                      <w:szCs w:val="21"/>
                    </w:rPr>
                    <w:t>颗粒物</w:t>
                  </w:r>
                </w:p>
              </w:tc>
              <w:tc>
                <w:tcPr>
                  <w:tcW w:w="926" w:type="pct"/>
                  <w:tcBorders>
                    <w:top w:val="single" w:color="auto" w:sz="4" w:space="0"/>
                    <w:left w:val="single" w:color="auto" w:sz="4" w:space="0"/>
                    <w:right w:val="single" w:color="auto" w:sz="4" w:space="0"/>
                  </w:tcBorders>
                  <w:vAlign w:val="center"/>
                </w:tcPr>
                <w:p>
                  <w:pPr>
                    <w:pStyle w:val="84"/>
                    <w:rPr>
                      <w:rFonts w:hint="eastAsia" w:cs="Times New Roman"/>
                      <w:color w:val="auto"/>
                      <w:szCs w:val="21"/>
                      <w:lang w:val="en-US" w:eastAsia="zh-CN"/>
                    </w:rPr>
                  </w:pPr>
                  <w:r>
                    <w:rPr>
                      <w:rFonts w:hint="eastAsia"/>
                      <w:color w:val="auto"/>
                      <w:szCs w:val="21"/>
                      <w:lang w:val="en-US" w:eastAsia="zh-CN"/>
                    </w:rPr>
                    <w:t>/</w:t>
                  </w:r>
                </w:p>
              </w:tc>
              <w:tc>
                <w:tcPr>
                  <w:tcW w:w="1173" w:type="pct"/>
                  <w:tcBorders>
                    <w:top w:val="single" w:color="auto" w:sz="4" w:space="0"/>
                    <w:left w:val="single" w:color="auto" w:sz="4" w:space="0"/>
                    <w:bottom w:val="single" w:color="auto" w:sz="4" w:space="0"/>
                    <w:right w:val="single" w:color="auto" w:sz="4" w:space="0"/>
                  </w:tcBorders>
                  <w:vAlign w:val="center"/>
                </w:tcPr>
                <w:p>
                  <w:pPr>
                    <w:pStyle w:val="84"/>
                    <w:rPr>
                      <w:rFonts w:hint="eastAsia" w:cs="Times New Roman"/>
                      <w:color w:val="auto"/>
                      <w:szCs w:val="21"/>
                      <w:lang w:val="en-US" w:eastAsia="zh-CN"/>
                    </w:rPr>
                  </w:pPr>
                  <w:r>
                    <w:rPr>
                      <w:rFonts w:hint="eastAsia"/>
                      <w:color w:val="auto"/>
                      <w:szCs w:val="21"/>
                    </w:rPr>
                    <w:t>1.0</w:t>
                  </w:r>
                </w:p>
              </w:tc>
              <w:tc>
                <w:tcPr>
                  <w:tcW w:w="1311" w:type="pct"/>
                  <w:vMerge w:val="continue"/>
                  <w:tcBorders>
                    <w:left w:val="single" w:color="auto" w:sz="4" w:space="0"/>
                    <w:right w:val="single" w:color="auto" w:sz="4" w:space="0"/>
                  </w:tcBorders>
                  <w:vAlign w:val="center"/>
                </w:tcPr>
                <w:p>
                  <w:pPr>
                    <w:pStyle w:val="84"/>
                    <w:rPr>
                      <w:rFonts w:hint="eastAsia" w:cs="宋体"/>
                      <w:color w:val="auto"/>
                      <w:sz w:val="22"/>
                      <w:szCs w:val="22"/>
                    </w:rPr>
                  </w:pP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40" w:firstLineChars="200"/>
              <w:jc w:val="center"/>
              <w:textAlignment w:val="auto"/>
              <w:rPr>
                <w:color w:val="auto"/>
                <w:sz w:val="22"/>
                <w:szCs w:val="22"/>
              </w:rPr>
            </w:pPr>
            <w:r>
              <w:rPr>
                <w:rFonts w:hint="eastAsia" w:hAnsi="宋体" w:cs="宋体"/>
                <w:color w:val="auto"/>
                <w:sz w:val="22"/>
                <w:szCs w:val="22"/>
              </w:rPr>
              <w:t>表</w:t>
            </w:r>
            <w:r>
              <w:rPr>
                <w:rFonts w:hAnsi="宋体"/>
                <w:color w:val="auto"/>
                <w:sz w:val="22"/>
                <w:szCs w:val="22"/>
              </w:rPr>
              <w:t>3-</w:t>
            </w:r>
            <w:r>
              <w:rPr>
                <w:rFonts w:hint="eastAsia" w:hAnsi="宋体"/>
                <w:color w:val="auto"/>
                <w:sz w:val="22"/>
                <w:szCs w:val="22"/>
                <w:lang w:val="en-US" w:eastAsia="zh-CN"/>
              </w:rPr>
              <w:t>6</w:t>
            </w:r>
            <w:r>
              <w:rPr>
                <w:rFonts w:hAnsi="宋体"/>
                <w:color w:val="auto"/>
                <w:sz w:val="22"/>
                <w:szCs w:val="22"/>
              </w:rPr>
              <w:t xml:space="preserve">  </w:t>
            </w:r>
            <w:r>
              <w:rPr>
                <w:rFonts w:hint="eastAsia" w:hAnsi="宋体" w:cs="宋体"/>
                <w:color w:val="auto"/>
                <w:sz w:val="22"/>
                <w:szCs w:val="22"/>
              </w:rPr>
              <w:t>挥发性有机物无组织控制排放标准</w:t>
            </w:r>
            <w:r>
              <w:rPr>
                <w:rFonts w:hAnsi="宋体"/>
                <w:color w:val="auto"/>
                <w:sz w:val="22"/>
                <w:szCs w:val="22"/>
              </w:rPr>
              <w:t xml:space="preserve">  </w:t>
            </w:r>
            <w:r>
              <w:rPr>
                <w:rFonts w:hint="eastAsia" w:hAnsi="宋体" w:cs="宋体"/>
                <w:color w:val="auto"/>
                <w:sz w:val="22"/>
                <w:szCs w:val="22"/>
              </w:rPr>
              <w:t>单位：</w:t>
            </w:r>
            <w:r>
              <w:rPr>
                <w:rFonts w:hAnsi="宋体"/>
                <w:color w:val="auto"/>
                <w:sz w:val="22"/>
                <w:szCs w:val="22"/>
              </w:rPr>
              <w:t>mg/m</w:t>
            </w:r>
            <w:r>
              <w:rPr>
                <w:rFonts w:hAnsi="宋体"/>
                <w:color w:val="auto"/>
                <w:sz w:val="22"/>
                <w:szCs w:val="22"/>
                <w:vertAlign w:val="superscript"/>
              </w:rPr>
              <w:t>3</w:t>
            </w:r>
          </w:p>
          <w:tbl>
            <w:tblPr>
              <w:tblStyle w:val="36"/>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617"/>
              <w:gridCol w:w="2767"/>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401" w:type="dxa"/>
                  <w:tcBorders>
                    <w:top w:val="single" w:color="auto" w:sz="4" w:space="0"/>
                    <w:left w:val="single" w:color="auto" w:sz="4" w:space="0"/>
                    <w:bottom w:val="single" w:color="auto" w:sz="4" w:space="0"/>
                    <w:right w:val="single" w:color="auto" w:sz="4" w:space="0"/>
                  </w:tcBorders>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color w:val="auto"/>
                      <w:sz w:val="22"/>
                      <w:szCs w:val="22"/>
                    </w:rPr>
                  </w:pPr>
                  <w:r>
                    <w:rPr>
                      <w:rFonts w:hint="eastAsia" w:cs="宋体"/>
                      <w:color w:val="auto"/>
                      <w:sz w:val="22"/>
                      <w:szCs w:val="22"/>
                    </w:rPr>
                    <w:t>污染物项目</w:t>
                  </w:r>
                </w:p>
              </w:tc>
              <w:tc>
                <w:tcPr>
                  <w:tcW w:w="161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color w:val="auto"/>
                      <w:sz w:val="22"/>
                      <w:szCs w:val="22"/>
                    </w:rPr>
                  </w:pPr>
                  <w:r>
                    <w:rPr>
                      <w:rFonts w:hint="eastAsia" w:cs="宋体"/>
                      <w:color w:val="auto"/>
                      <w:sz w:val="22"/>
                      <w:szCs w:val="22"/>
                    </w:rPr>
                    <w:t>特别排放限值</w:t>
                  </w:r>
                </w:p>
              </w:tc>
              <w:tc>
                <w:tcPr>
                  <w:tcW w:w="2767" w:type="dxa"/>
                  <w:tcBorders>
                    <w:top w:val="single" w:color="auto" w:sz="4" w:space="0"/>
                    <w:left w:val="single" w:color="auto" w:sz="4" w:space="0"/>
                    <w:bottom w:val="single" w:color="auto" w:sz="4" w:space="0"/>
                    <w:right w:val="single" w:color="auto" w:sz="4" w:space="0"/>
                  </w:tcBorders>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textAlignment w:val="auto"/>
                    <w:rPr>
                      <w:color w:val="auto"/>
                      <w:sz w:val="22"/>
                      <w:szCs w:val="22"/>
                    </w:rPr>
                  </w:pPr>
                  <w:r>
                    <w:rPr>
                      <w:rFonts w:hint="eastAsia" w:cs="宋体"/>
                      <w:color w:val="auto"/>
                      <w:sz w:val="22"/>
                      <w:szCs w:val="22"/>
                    </w:rPr>
                    <w:t>限值含义</w:t>
                  </w:r>
                </w:p>
              </w:tc>
              <w:tc>
                <w:tcPr>
                  <w:tcW w:w="2252" w:type="dxa"/>
                  <w:tcBorders>
                    <w:top w:val="single" w:color="auto" w:sz="4" w:space="0"/>
                    <w:left w:val="single" w:color="auto" w:sz="4" w:space="0"/>
                    <w:bottom w:val="single" w:color="auto" w:sz="4" w:space="0"/>
                    <w:right w:val="single" w:color="auto" w:sz="4" w:space="0"/>
                  </w:tcBorders>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textAlignment w:val="auto"/>
                    <w:rPr>
                      <w:color w:val="auto"/>
                      <w:sz w:val="22"/>
                      <w:szCs w:val="22"/>
                    </w:rPr>
                  </w:pPr>
                  <w:r>
                    <w:rPr>
                      <w:rFonts w:hint="eastAsia" w:cs="宋体"/>
                      <w:color w:val="auto"/>
                      <w:sz w:val="22"/>
                      <w:szCs w:val="22"/>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401" w:type="dxa"/>
                  <w:vMerge w:val="restart"/>
                  <w:tcBorders>
                    <w:top w:val="single" w:color="auto" w:sz="4" w:space="0"/>
                    <w:left w:val="single" w:color="auto" w:sz="4" w:space="0"/>
                    <w:bottom w:val="single" w:color="auto" w:sz="4" w:space="0"/>
                    <w:right w:val="single" w:color="auto" w:sz="4" w:space="0"/>
                  </w:tcBorders>
                  <w:vAlign w:val="center"/>
                </w:tcPr>
                <w:p>
                  <w:pPr>
                    <w:pStyle w:val="105"/>
                    <w:ind w:left="0" w:leftChars="0" w:firstLine="0" w:firstLineChars="0"/>
                    <w:jc w:val="center"/>
                    <w:rPr>
                      <w:color w:val="auto"/>
                      <w:sz w:val="22"/>
                      <w:szCs w:val="22"/>
                    </w:rPr>
                  </w:pPr>
                  <w:r>
                    <w:rPr>
                      <w:color w:val="auto"/>
                      <w:sz w:val="22"/>
                      <w:szCs w:val="22"/>
                    </w:rPr>
                    <w:t>NMHC</w:t>
                  </w:r>
                </w:p>
              </w:tc>
              <w:tc>
                <w:tcPr>
                  <w:tcW w:w="161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jc w:val="center"/>
                    <w:textAlignment w:val="auto"/>
                    <w:rPr>
                      <w:color w:val="auto"/>
                      <w:sz w:val="22"/>
                      <w:szCs w:val="22"/>
                    </w:rPr>
                  </w:pPr>
                  <w:r>
                    <w:rPr>
                      <w:color w:val="auto"/>
                      <w:sz w:val="22"/>
                      <w:szCs w:val="22"/>
                    </w:rPr>
                    <w:t>6</w:t>
                  </w:r>
                </w:p>
              </w:tc>
              <w:tc>
                <w:tcPr>
                  <w:tcW w:w="2767" w:type="dxa"/>
                  <w:tcBorders>
                    <w:top w:val="single" w:color="auto" w:sz="4" w:space="0"/>
                    <w:left w:val="single" w:color="auto" w:sz="4" w:space="0"/>
                    <w:bottom w:val="single" w:color="auto" w:sz="4" w:space="0"/>
                    <w:right w:val="single" w:color="auto" w:sz="4" w:space="0"/>
                  </w:tcBorders>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113" w:firstLine="0" w:firstLineChars="0"/>
                    <w:jc w:val="center"/>
                    <w:textAlignment w:val="auto"/>
                    <w:rPr>
                      <w:color w:val="auto"/>
                      <w:sz w:val="22"/>
                      <w:szCs w:val="22"/>
                    </w:rPr>
                  </w:pPr>
                  <w:r>
                    <w:rPr>
                      <w:rFonts w:hint="eastAsia" w:ascii="Times New Roman" w:hAnsi="Times New Roman" w:cs="宋体"/>
                      <w:color w:val="auto"/>
                      <w:sz w:val="22"/>
                      <w:szCs w:val="22"/>
                    </w:rPr>
                    <w:t>监控点处1 h平均浓度值</w:t>
                  </w:r>
                </w:p>
              </w:tc>
              <w:tc>
                <w:tcPr>
                  <w:tcW w:w="2252" w:type="dxa"/>
                  <w:vMerge w:val="restart"/>
                  <w:tcBorders>
                    <w:top w:val="single" w:color="auto" w:sz="4" w:space="0"/>
                    <w:left w:val="single" w:color="auto" w:sz="4" w:space="0"/>
                    <w:bottom w:val="single" w:color="auto" w:sz="4" w:space="0"/>
                    <w:right w:val="single" w:color="auto" w:sz="4" w:space="0"/>
                  </w:tcBorders>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color w:val="auto"/>
                    </w:rPr>
                  </w:pPr>
                  <w:r>
                    <w:rPr>
                      <w:rFonts w:hint="eastAsia"/>
                      <w:color w:val="auto"/>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401" w:type="dxa"/>
                  <w:vMerge w:val="continue"/>
                  <w:tcBorders>
                    <w:top w:val="single" w:color="auto" w:sz="4" w:space="0"/>
                    <w:left w:val="single" w:color="auto" w:sz="4" w:space="0"/>
                    <w:bottom w:val="single" w:color="auto" w:sz="4" w:space="0"/>
                    <w:right w:val="single" w:color="auto" w:sz="4" w:space="0"/>
                  </w:tcBorders>
                  <w:vAlign w:val="center"/>
                </w:tcPr>
                <w:p>
                  <w:pPr>
                    <w:pStyle w:val="105"/>
                    <w:rPr>
                      <w:color w:val="auto"/>
                      <w:sz w:val="22"/>
                      <w:szCs w:val="22"/>
                    </w:rPr>
                  </w:pPr>
                </w:p>
              </w:tc>
              <w:tc>
                <w:tcPr>
                  <w:tcW w:w="161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jc w:val="center"/>
                    <w:textAlignment w:val="auto"/>
                    <w:rPr>
                      <w:color w:val="auto"/>
                      <w:sz w:val="22"/>
                      <w:szCs w:val="22"/>
                    </w:rPr>
                  </w:pPr>
                  <w:r>
                    <w:rPr>
                      <w:color w:val="auto"/>
                      <w:sz w:val="22"/>
                      <w:szCs w:val="22"/>
                    </w:rPr>
                    <w:t>20</w:t>
                  </w:r>
                </w:p>
              </w:tc>
              <w:tc>
                <w:tcPr>
                  <w:tcW w:w="2767" w:type="dxa"/>
                  <w:tcBorders>
                    <w:top w:val="single" w:color="auto" w:sz="4" w:space="0"/>
                    <w:left w:val="single" w:color="auto" w:sz="4" w:space="0"/>
                    <w:bottom w:val="single" w:color="auto" w:sz="4" w:space="0"/>
                    <w:right w:val="single" w:color="auto" w:sz="4" w:space="0"/>
                  </w:tcBorders>
                  <w:vAlign w:val="center"/>
                </w:tcPr>
                <w:p>
                  <w:pPr>
                    <w:pStyle w:val="105"/>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color w:val="auto"/>
                      <w:sz w:val="22"/>
                      <w:szCs w:val="22"/>
                    </w:rPr>
                  </w:pPr>
                  <w:r>
                    <w:rPr>
                      <w:rFonts w:hint="eastAsia" w:ascii="Times New Roman" w:hAnsi="Times New Roman" w:cs="宋体"/>
                      <w:color w:val="auto"/>
                      <w:sz w:val="22"/>
                      <w:szCs w:val="22"/>
                    </w:rPr>
                    <w:t>监控点处任意一次浓度值</w:t>
                  </w:r>
                </w:p>
              </w:tc>
              <w:tc>
                <w:tcPr>
                  <w:tcW w:w="2252" w:type="dxa"/>
                  <w:vMerge w:val="continue"/>
                  <w:tcBorders>
                    <w:top w:val="single" w:color="auto" w:sz="4" w:space="0"/>
                    <w:left w:val="single" w:color="auto" w:sz="4" w:space="0"/>
                    <w:bottom w:val="single" w:color="auto" w:sz="4" w:space="0"/>
                    <w:right w:val="single" w:color="auto" w:sz="4" w:space="0"/>
                  </w:tcBorders>
                  <w:vAlign w:val="center"/>
                </w:tcPr>
                <w:p>
                  <w:pPr>
                    <w:pStyle w:val="105"/>
                    <w:rPr>
                      <w:color w:val="auto"/>
                    </w:rPr>
                  </w:pPr>
                </w:p>
              </w:tc>
            </w:tr>
          </w:tbl>
          <w:p>
            <w:pPr>
              <w:pStyle w:val="78"/>
              <w:keepNext w:val="0"/>
              <w:keepLines w:val="0"/>
              <w:pageBreakBefore w:val="0"/>
              <w:widowControl/>
              <w:kinsoku/>
              <w:wordWrap/>
              <w:overflowPunct/>
              <w:topLinePunct w:val="0"/>
              <w:autoSpaceDE/>
              <w:autoSpaceDN/>
              <w:bidi w:val="0"/>
              <w:adjustRightInd w:val="0"/>
              <w:snapToGrid w:val="0"/>
              <w:spacing w:before="313" w:beforeLines="100" w:line="360" w:lineRule="auto"/>
              <w:ind w:firstLine="31680"/>
              <w:textAlignment w:val="auto"/>
              <w:rPr>
                <w:rFonts w:ascii="宋体"/>
                <w:color w:val="auto"/>
              </w:rPr>
            </w:pPr>
            <w:r>
              <w:rPr>
                <w:rFonts w:ascii="宋体" w:hAnsi="宋体" w:cs="宋体"/>
                <w:color w:val="auto"/>
              </w:rPr>
              <w:t>2</w:t>
            </w:r>
            <w:r>
              <w:rPr>
                <w:rFonts w:hint="eastAsia" w:ascii="宋体" w:hAnsi="宋体" w:cs="宋体"/>
                <w:color w:val="auto"/>
              </w:rPr>
              <w:t>、废水</w:t>
            </w:r>
          </w:p>
          <w:p>
            <w:pPr>
              <w:pStyle w:val="78"/>
              <w:spacing w:line="360" w:lineRule="auto"/>
              <w:ind w:firstLine="31680"/>
              <w:jc w:val="both"/>
              <w:rPr>
                <w:rFonts w:ascii="宋体"/>
                <w:color w:val="auto"/>
              </w:rPr>
            </w:pPr>
            <w:r>
              <w:rPr>
                <w:rFonts w:hint="eastAsia" w:ascii="宋体" w:hAnsi="宋体" w:cs="宋体"/>
                <w:color w:val="auto"/>
              </w:rPr>
              <w:t>生活污水经化粪池预处理达《污水综合排放标准》（</w:t>
            </w:r>
            <w:r>
              <w:rPr>
                <w:rFonts w:ascii="宋体" w:hAnsi="宋体" w:cs="宋体"/>
                <w:color w:val="auto"/>
              </w:rPr>
              <w:t>GB8978-1996</w:t>
            </w:r>
            <w:r>
              <w:rPr>
                <w:rFonts w:hint="eastAsia" w:ascii="宋体" w:hAnsi="宋体" w:cs="宋体"/>
                <w:color w:val="auto"/>
              </w:rPr>
              <w:t>）表</w:t>
            </w:r>
            <w:r>
              <w:rPr>
                <w:rFonts w:ascii="宋体" w:hAnsi="宋体" w:cs="宋体"/>
                <w:color w:val="auto"/>
              </w:rPr>
              <w:t>4</w:t>
            </w:r>
            <w:r>
              <w:rPr>
                <w:rFonts w:hint="eastAsia" w:ascii="宋体" w:hAnsi="宋体" w:cs="宋体"/>
                <w:color w:val="auto"/>
              </w:rPr>
              <w:t>中三级标准及</w:t>
            </w:r>
            <w:r>
              <w:rPr>
                <w:rFonts w:hint="eastAsia" w:ascii="宋体" w:hAnsi="宋体" w:cs="宋体"/>
                <w:color w:val="auto"/>
                <w:lang w:eastAsia="zh-CN"/>
              </w:rPr>
              <w:t>淮北蓝海水处理有限公司</w:t>
            </w:r>
            <w:r>
              <w:rPr>
                <w:rFonts w:hint="eastAsia" w:ascii="宋体" w:hAnsi="宋体" w:cs="宋体"/>
                <w:color w:val="auto"/>
              </w:rPr>
              <w:t>接管限值后，排入</w:t>
            </w:r>
            <w:r>
              <w:rPr>
                <w:rFonts w:hint="eastAsia" w:ascii="宋体" w:hAnsi="宋体" w:cs="宋体"/>
                <w:color w:val="auto"/>
                <w:lang w:eastAsia="zh-CN"/>
              </w:rPr>
              <w:t>淮北蓝海水处理有限公司</w:t>
            </w:r>
            <w:r>
              <w:rPr>
                <w:rFonts w:hint="eastAsia" w:ascii="宋体" w:hAnsi="宋体" w:cs="宋体"/>
                <w:color w:val="auto"/>
              </w:rPr>
              <w:t>处理达《城镇污水处理厂污染物排放标准》（</w:t>
            </w:r>
            <w:r>
              <w:rPr>
                <w:rFonts w:ascii="宋体" w:hAnsi="宋体" w:cs="宋体"/>
                <w:color w:val="auto"/>
              </w:rPr>
              <w:t>GB18918-2002</w:t>
            </w:r>
            <w:r>
              <w:rPr>
                <w:rFonts w:hint="eastAsia" w:ascii="宋体" w:hAnsi="宋体" w:cs="宋体"/>
                <w:color w:val="auto"/>
              </w:rPr>
              <w:t>）表</w:t>
            </w:r>
            <w:r>
              <w:rPr>
                <w:rFonts w:ascii="宋体" w:hAnsi="宋体" w:cs="宋体"/>
                <w:color w:val="auto"/>
              </w:rPr>
              <w:t>1</w:t>
            </w:r>
            <w:r>
              <w:rPr>
                <w:rFonts w:hint="eastAsia" w:ascii="宋体" w:hAnsi="宋体" w:cs="宋体"/>
                <w:color w:val="auto"/>
              </w:rPr>
              <w:t>中一级标准</w:t>
            </w:r>
            <w:r>
              <w:rPr>
                <w:rFonts w:ascii="宋体" w:hAnsi="宋体" w:cs="宋体"/>
                <w:color w:val="auto"/>
              </w:rPr>
              <w:t>A</w:t>
            </w:r>
            <w:r>
              <w:rPr>
                <w:rFonts w:hint="eastAsia" w:ascii="宋体" w:hAnsi="宋体" w:cs="宋体"/>
                <w:color w:val="auto"/>
              </w:rPr>
              <w:t>标准后排入</w:t>
            </w:r>
            <w:r>
              <w:rPr>
                <w:rFonts w:hint="eastAsia" w:ascii="宋体" w:hAnsi="宋体" w:cs="宋体"/>
                <w:color w:val="auto"/>
                <w:lang w:eastAsia="zh-CN"/>
              </w:rPr>
              <w:t>萧濉新河</w:t>
            </w:r>
            <w:r>
              <w:rPr>
                <w:rFonts w:hint="eastAsia" w:ascii="宋体" w:hAnsi="宋体" w:cs="宋体"/>
                <w:color w:val="auto"/>
              </w:rPr>
              <w:t>。</w:t>
            </w:r>
          </w:p>
          <w:p>
            <w:pPr>
              <w:pStyle w:val="78"/>
              <w:spacing w:line="360" w:lineRule="auto"/>
              <w:ind w:firstLine="31680"/>
              <w:rPr>
                <w:rFonts w:ascii="宋体"/>
                <w:color w:val="auto"/>
              </w:rPr>
            </w:pPr>
            <w:r>
              <w:rPr>
                <w:rFonts w:hint="eastAsia" w:ascii="宋体" w:hAnsi="宋体" w:cs="宋体"/>
                <w:color w:val="auto"/>
              </w:rPr>
              <w:t>相关标准限值见表</w:t>
            </w:r>
            <w:r>
              <w:rPr>
                <w:rFonts w:ascii="宋体" w:hAnsi="宋体" w:cs="宋体"/>
                <w:color w:val="auto"/>
              </w:rPr>
              <w:t>3-</w:t>
            </w:r>
            <w:r>
              <w:rPr>
                <w:rFonts w:hint="eastAsia" w:ascii="宋体" w:hAnsi="宋体" w:cs="宋体"/>
                <w:color w:val="auto"/>
                <w:lang w:val="en-US" w:eastAsia="zh-CN"/>
              </w:rPr>
              <w:t>7</w:t>
            </w:r>
            <w:r>
              <w:rPr>
                <w:rFonts w:hint="eastAsia" w:ascii="宋体" w:hAnsi="宋体" w:cs="宋体"/>
                <w:color w:val="auto"/>
              </w:rPr>
              <w:t>。</w:t>
            </w:r>
          </w:p>
          <w:p>
            <w:pPr>
              <w:spacing w:line="360" w:lineRule="auto"/>
              <w:jc w:val="center"/>
              <w:rPr>
                <w:color w:val="auto"/>
                <w:sz w:val="22"/>
                <w:szCs w:val="22"/>
              </w:rPr>
            </w:pPr>
            <w:r>
              <w:rPr>
                <w:rFonts w:hint="eastAsia" w:cs="宋体"/>
                <w:color w:val="auto"/>
                <w:sz w:val="22"/>
                <w:szCs w:val="22"/>
              </w:rPr>
              <w:t>表</w:t>
            </w:r>
            <w:r>
              <w:rPr>
                <w:color w:val="auto"/>
                <w:sz w:val="22"/>
                <w:szCs w:val="22"/>
              </w:rPr>
              <w:t>3-</w:t>
            </w:r>
            <w:r>
              <w:rPr>
                <w:rFonts w:hint="eastAsia"/>
                <w:color w:val="auto"/>
                <w:sz w:val="22"/>
                <w:szCs w:val="22"/>
                <w:lang w:val="en-US" w:eastAsia="zh-CN"/>
              </w:rPr>
              <w:t>7</w:t>
            </w:r>
            <w:r>
              <w:rPr>
                <w:color w:val="auto"/>
                <w:sz w:val="22"/>
                <w:szCs w:val="22"/>
              </w:rPr>
              <w:t xml:space="preserve">  </w:t>
            </w:r>
            <w:r>
              <w:rPr>
                <w:rFonts w:hint="eastAsia" w:cs="宋体"/>
                <w:color w:val="auto"/>
                <w:sz w:val="22"/>
                <w:szCs w:val="22"/>
              </w:rPr>
              <w:t>废水排放标准</w:t>
            </w:r>
            <w:r>
              <w:rPr>
                <w:color w:val="auto"/>
                <w:sz w:val="22"/>
                <w:szCs w:val="22"/>
              </w:rPr>
              <w:t xml:space="preserve"> </w:t>
            </w:r>
            <w:r>
              <w:rPr>
                <w:rFonts w:hint="eastAsia" w:cs="宋体"/>
                <w:color w:val="auto"/>
                <w:sz w:val="22"/>
                <w:szCs w:val="22"/>
              </w:rPr>
              <w:t>单位：</w:t>
            </w:r>
            <w:r>
              <w:rPr>
                <w:color w:val="auto"/>
                <w:sz w:val="22"/>
                <w:szCs w:val="22"/>
              </w:rPr>
              <w:t>mg/L</w:t>
            </w:r>
            <w:r>
              <w:rPr>
                <w:rFonts w:hint="eastAsia" w:cs="宋体"/>
                <w:color w:val="auto"/>
                <w:sz w:val="22"/>
                <w:szCs w:val="22"/>
              </w:rPr>
              <w:t>，</w:t>
            </w:r>
            <w:r>
              <w:rPr>
                <w:color w:val="auto"/>
                <w:sz w:val="22"/>
                <w:szCs w:val="22"/>
              </w:rPr>
              <w:t>pH</w:t>
            </w:r>
            <w:r>
              <w:rPr>
                <w:rFonts w:hint="eastAsia" w:cs="宋体"/>
                <w:color w:val="auto"/>
                <w:sz w:val="22"/>
                <w:szCs w:val="22"/>
              </w:rPr>
              <w:t>无量纲</w:t>
            </w:r>
          </w:p>
          <w:tbl>
            <w:tblPr>
              <w:tblStyle w:val="36"/>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8"/>
              <w:gridCol w:w="803"/>
              <w:gridCol w:w="785"/>
              <w:gridCol w:w="723"/>
              <w:gridCol w:w="1045"/>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3808"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rFonts w:hint="eastAsia" w:cs="宋体"/>
                      <w:color w:val="auto"/>
                      <w:sz w:val="22"/>
                      <w:szCs w:val="22"/>
                    </w:rPr>
                    <w:t>执行标准</w:t>
                  </w:r>
                </w:p>
              </w:tc>
              <w:tc>
                <w:tcPr>
                  <w:tcW w:w="80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pH</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COD</w:t>
                  </w:r>
                </w:p>
              </w:tc>
              <w:tc>
                <w:tcPr>
                  <w:tcW w:w="72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SS</w:t>
                  </w:r>
                </w:p>
              </w:tc>
              <w:tc>
                <w:tcPr>
                  <w:tcW w:w="1045"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NH</w:t>
                  </w:r>
                  <w:r>
                    <w:rPr>
                      <w:color w:val="auto"/>
                      <w:sz w:val="22"/>
                      <w:szCs w:val="22"/>
                      <w:vertAlign w:val="subscript"/>
                    </w:rPr>
                    <w:t>3</w:t>
                  </w:r>
                  <w:r>
                    <w:rPr>
                      <w:color w:val="auto"/>
                      <w:sz w:val="22"/>
                      <w:szCs w:val="22"/>
                    </w:rPr>
                    <w:t>-N</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BOD</w:t>
                  </w:r>
                  <w:r>
                    <w:rPr>
                      <w:color w:val="auto"/>
                      <w:sz w:val="22"/>
                      <w:szCs w:val="22"/>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3808"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rFonts w:hint="eastAsia" w:cs="宋体"/>
                      <w:color w:val="auto"/>
                      <w:sz w:val="22"/>
                      <w:szCs w:val="22"/>
                    </w:rPr>
                    <w:t>（</w:t>
                  </w:r>
                  <w:r>
                    <w:rPr>
                      <w:color w:val="auto"/>
                      <w:sz w:val="22"/>
                      <w:szCs w:val="22"/>
                    </w:rPr>
                    <w:t>GB8978-1996</w:t>
                  </w:r>
                  <w:r>
                    <w:rPr>
                      <w:rFonts w:hint="eastAsia" w:cs="宋体"/>
                      <w:color w:val="auto"/>
                      <w:sz w:val="22"/>
                      <w:szCs w:val="22"/>
                    </w:rPr>
                    <w:t>）表</w:t>
                  </w:r>
                  <w:r>
                    <w:rPr>
                      <w:color w:val="auto"/>
                      <w:sz w:val="22"/>
                      <w:szCs w:val="22"/>
                    </w:rPr>
                    <w:t>4</w:t>
                  </w:r>
                  <w:r>
                    <w:rPr>
                      <w:rFonts w:hint="eastAsia" w:cs="宋体"/>
                      <w:color w:val="auto"/>
                      <w:sz w:val="22"/>
                      <w:szCs w:val="22"/>
                    </w:rPr>
                    <w:t>中三级标准</w:t>
                  </w:r>
                </w:p>
              </w:tc>
              <w:tc>
                <w:tcPr>
                  <w:tcW w:w="80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6</w:t>
                  </w:r>
                  <w:r>
                    <w:rPr>
                      <w:rFonts w:hint="eastAsia" w:cs="宋体"/>
                      <w:color w:val="auto"/>
                      <w:sz w:val="22"/>
                      <w:szCs w:val="22"/>
                    </w:rPr>
                    <w:t>～</w:t>
                  </w:r>
                  <w:r>
                    <w:rPr>
                      <w:color w:val="auto"/>
                      <w:sz w:val="22"/>
                      <w:szCs w:val="22"/>
                    </w:rPr>
                    <w:t>9</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500</w:t>
                  </w:r>
                </w:p>
              </w:tc>
              <w:tc>
                <w:tcPr>
                  <w:tcW w:w="72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400</w:t>
                  </w:r>
                </w:p>
              </w:tc>
              <w:tc>
                <w:tcPr>
                  <w:tcW w:w="1045"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3808"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red"/>
                    </w:rPr>
                  </w:pPr>
                  <w:r>
                    <w:rPr>
                      <w:rFonts w:hint="eastAsia" w:cs="宋体"/>
                      <w:color w:val="auto"/>
                      <w:sz w:val="22"/>
                      <w:szCs w:val="22"/>
                      <w:highlight w:val="none"/>
                    </w:rPr>
                    <w:t>污水处理厂接管限值</w:t>
                  </w:r>
                </w:p>
              </w:tc>
              <w:tc>
                <w:tcPr>
                  <w:tcW w:w="80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color w:val="auto"/>
                      <w:sz w:val="22"/>
                      <w:szCs w:val="22"/>
                      <w:highlight w:val="none"/>
                    </w:rPr>
                    <w:t>6</w:t>
                  </w:r>
                  <w:r>
                    <w:rPr>
                      <w:rFonts w:hint="eastAsia" w:cs="宋体"/>
                      <w:color w:val="auto"/>
                      <w:sz w:val="22"/>
                      <w:szCs w:val="22"/>
                      <w:highlight w:val="none"/>
                    </w:rPr>
                    <w:t>～</w:t>
                  </w:r>
                  <w:r>
                    <w:rPr>
                      <w:color w:val="auto"/>
                      <w:sz w:val="22"/>
                      <w:szCs w:val="22"/>
                      <w:highlight w:val="none"/>
                    </w:rPr>
                    <w:t>9</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color w:val="auto"/>
                      <w:sz w:val="22"/>
                      <w:szCs w:val="22"/>
                      <w:highlight w:val="none"/>
                    </w:rPr>
                    <w:t>4</w:t>
                  </w:r>
                  <w:r>
                    <w:rPr>
                      <w:rFonts w:hint="eastAsia"/>
                      <w:color w:val="auto"/>
                      <w:sz w:val="22"/>
                      <w:szCs w:val="22"/>
                      <w:highlight w:val="none"/>
                      <w:lang w:val="en-US" w:eastAsia="zh-CN"/>
                    </w:rPr>
                    <w:t>8</w:t>
                  </w:r>
                  <w:r>
                    <w:rPr>
                      <w:color w:val="auto"/>
                      <w:sz w:val="22"/>
                      <w:szCs w:val="22"/>
                      <w:highlight w:val="none"/>
                    </w:rPr>
                    <w:t>0</w:t>
                  </w:r>
                </w:p>
              </w:tc>
              <w:tc>
                <w:tcPr>
                  <w:tcW w:w="723"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310</w:t>
                  </w:r>
                </w:p>
              </w:tc>
              <w:tc>
                <w:tcPr>
                  <w:tcW w:w="1045"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 w:val="22"/>
                      <w:szCs w:val="22"/>
                      <w:highlight w:val="none"/>
                      <w:lang w:eastAsia="zh-CN"/>
                    </w:rPr>
                  </w:pPr>
                  <w:r>
                    <w:rPr>
                      <w:color w:val="auto"/>
                      <w:sz w:val="22"/>
                      <w:szCs w:val="22"/>
                      <w:highlight w:val="none"/>
                    </w:rPr>
                    <w:t>3</w:t>
                  </w:r>
                  <w:r>
                    <w:rPr>
                      <w:rFonts w:hint="eastAsia"/>
                      <w:color w:val="auto"/>
                      <w:sz w:val="22"/>
                      <w:szCs w:val="22"/>
                      <w:highlight w:val="none"/>
                      <w:lang w:val="en-US" w:eastAsia="zh-CN"/>
                    </w:rPr>
                    <w:t>5</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color w:val="auto"/>
                      <w:sz w:val="22"/>
                      <w:szCs w:val="22"/>
                      <w:highlight w:val="none"/>
                    </w:rPr>
                    <w:t>1</w:t>
                  </w:r>
                  <w:r>
                    <w:rPr>
                      <w:rFonts w:hint="eastAsia"/>
                      <w:color w:val="auto"/>
                      <w:sz w:val="22"/>
                      <w:szCs w:val="22"/>
                      <w:highlight w:val="none"/>
                      <w:lang w:val="en-US" w:eastAsia="zh-CN"/>
                    </w:rPr>
                    <w:t>2</w:t>
                  </w:r>
                  <w:r>
                    <w:rPr>
                      <w:color w:val="auto"/>
                      <w:sz w:val="22"/>
                      <w:szCs w:val="22"/>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3808"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rFonts w:hint="eastAsia" w:cs="宋体"/>
                      <w:color w:val="auto"/>
                      <w:sz w:val="22"/>
                      <w:szCs w:val="22"/>
                    </w:rPr>
                    <w:t>（</w:t>
                  </w:r>
                  <w:r>
                    <w:rPr>
                      <w:color w:val="auto"/>
                      <w:sz w:val="22"/>
                      <w:szCs w:val="22"/>
                    </w:rPr>
                    <w:t>GB18918-2002</w:t>
                  </w:r>
                  <w:r>
                    <w:rPr>
                      <w:rFonts w:hint="eastAsia" w:cs="宋体"/>
                      <w:color w:val="auto"/>
                      <w:sz w:val="22"/>
                      <w:szCs w:val="22"/>
                    </w:rPr>
                    <w:t>）表</w:t>
                  </w:r>
                  <w:r>
                    <w:rPr>
                      <w:color w:val="auto"/>
                      <w:sz w:val="22"/>
                      <w:szCs w:val="22"/>
                    </w:rPr>
                    <w:t>1</w:t>
                  </w:r>
                  <w:r>
                    <w:rPr>
                      <w:rFonts w:hint="eastAsia" w:cs="宋体"/>
                      <w:color w:val="auto"/>
                      <w:sz w:val="22"/>
                      <w:szCs w:val="22"/>
                    </w:rPr>
                    <w:t>中一级</w:t>
                  </w:r>
                  <w:r>
                    <w:rPr>
                      <w:color w:val="auto"/>
                      <w:sz w:val="22"/>
                      <w:szCs w:val="22"/>
                    </w:rPr>
                    <w:t>A</w:t>
                  </w:r>
                  <w:r>
                    <w:rPr>
                      <w:rFonts w:hint="eastAsia" w:cs="宋体"/>
                      <w:color w:val="auto"/>
                      <w:sz w:val="22"/>
                      <w:szCs w:val="22"/>
                    </w:rPr>
                    <w:t>标准</w:t>
                  </w:r>
                </w:p>
              </w:tc>
              <w:tc>
                <w:tcPr>
                  <w:tcW w:w="80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6</w:t>
                  </w:r>
                  <w:r>
                    <w:rPr>
                      <w:rFonts w:hint="eastAsia" w:cs="宋体"/>
                      <w:color w:val="auto"/>
                      <w:sz w:val="22"/>
                      <w:szCs w:val="22"/>
                    </w:rPr>
                    <w:t>～</w:t>
                  </w:r>
                  <w:r>
                    <w:rPr>
                      <w:color w:val="auto"/>
                      <w:sz w:val="22"/>
                      <w:szCs w:val="22"/>
                    </w:rPr>
                    <w:t>9</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50</w:t>
                  </w:r>
                </w:p>
              </w:tc>
              <w:tc>
                <w:tcPr>
                  <w:tcW w:w="72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10</w:t>
                  </w:r>
                </w:p>
              </w:tc>
              <w:tc>
                <w:tcPr>
                  <w:tcW w:w="1045"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8</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rPr>
                  </w:pPr>
                  <w:r>
                    <w:rPr>
                      <w:color w:val="auto"/>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3808"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本项目执行标准</w:t>
                  </w:r>
                </w:p>
              </w:tc>
              <w:tc>
                <w:tcPr>
                  <w:tcW w:w="80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color w:val="auto"/>
                      <w:sz w:val="22"/>
                      <w:szCs w:val="22"/>
                      <w:highlight w:val="none"/>
                    </w:rPr>
                    <w:t>6</w:t>
                  </w:r>
                  <w:r>
                    <w:rPr>
                      <w:rFonts w:hint="eastAsia" w:cs="宋体"/>
                      <w:color w:val="auto"/>
                      <w:sz w:val="22"/>
                      <w:szCs w:val="22"/>
                      <w:highlight w:val="none"/>
                    </w:rPr>
                    <w:t>～</w:t>
                  </w:r>
                  <w:r>
                    <w:rPr>
                      <w:color w:val="auto"/>
                      <w:sz w:val="22"/>
                      <w:szCs w:val="22"/>
                      <w:highlight w:val="none"/>
                    </w:rPr>
                    <w:t>9</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color w:val="auto"/>
                      <w:sz w:val="22"/>
                      <w:szCs w:val="22"/>
                      <w:highlight w:val="none"/>
                    </w:rPr>
                    <w:t>4</w:t>
                  </w:r>
                  <w:r>
                    <w:rPr>
                      <w:rFonts w:hint="eastAsia"/>
                      <w:color w:val="auto"/>
                      <w:sz w:val="22"/>
                      <w:szCs w:val="22"/>
                      <w:highlight w:val="none"/>
                      <w:lang w:val="en-US" w:eastAsia="zh-CN"/>
                    </w:rPr>
                    <w:t>8</w:t>
                  </w:r>
                  <w:r>
                    <w:rPr>
                      <w:color w:val="auto"/>
                      <w:sz w:val="22"/>
                      <w:szCs w:val="22"/>
                      <w:highlight w:val="none"/>
                    </w:rPr>
                    <w:t>0</w:t>
                  </w:r>
                </w:p>
              </w:tc>
              <w:tc>
                <w:tcPr>
                  <w:tcW w:w="72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olor w:val="auto"/>
                      <w:sz w:val="22"/>
                      <w:szCs w:val="22"/>
                      <w:highlight w:val="none"/>
                      <w:lang w:val="en-US" w:eastAsia="zh-CN"/>
                    </w:rPr>
                    <w:t>31</w:t>
                  </w:r>
                  <w:r>
                    <w:rPr>
                      <w:color w:val="auto"/>
                      <w:sz w:val="22"/>
                      <w:szCs w:val="22"/>
                      <w:highlight w:val="none"/>
                    </w:rPr>
                    <w:t>0</w:t>
                  </w:r>
                </w:p>
              </w:tc>
              <w:tc>
                <w:tcPr>
                  <w:tcW w:w="1045"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 w:val="22"/>
                      <w:szCs w:val="22"/>
                      <w:highlight w:val="none"/>
                      <w:lang w:eastAsia="zh-CN"/>
                    </w:rPr>
                  </w:pPr>
                  <w:r>
                    <w:rPr>
                      <w:color w:val="auto"/>
                      <w:sz w:val="22"/>
                      <w:szCs w:val="22"/>
                      <w:highlight w:val="none"/>
                    </w:rPr>
                    <w:t>3</w:t>
                  </w:r>
                  <w:r>
                    <w:rPr>
                      <w:rFonts w:hint="eastAsia"/>
                      <w:color w:val="auto"/>
                      <w:sz w:val="22"/>
                      <w:szCs w:val="22"/>
                      <w:highlight w:val="none"/>
                      <w:lang w:val="en-US" w:eastAsia="zh-CN"/>
                    </w:rPr>
                    <w:t>5</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color w:val="auto"/>
                      <w:sz w:val="22"/>
                      <w:szCs w:val="22"/>
                      <w:highlight w:val="none"/>
                    </w:rPr>
                    <w:t>1</w:t>
                  </w:r>
                  <w:r>
                    <w:rPr>
                      <w:rFonts w:hint="eastAsia"/>
                      <w:color w:val="auto"/>
                      <w:sz w:val="22"/>
                      <w:szCs w:val="22"/>
                      <w:highlight w:val="none"/>
                      <w:lang w:val="en-US" w:eastAsia="zh-CN"/>
                    </w:rPr>
                    <w:t>2</w:t>
                  </w:r>
                  <w:r>
                    <w:rPr>
                      <w:color w:val="auto"/>
                      <w:sz w:val="22"/>
                      <w:szCs w:val="22"/>
                      <w:highlight w:val="none"/>
                    </w:rPr>
                    <w:t>0</w:t>
                  </w:r>
                </w:p>
              </w:tc>
            </w:tr>
          </w:tbl>
          <w:p>
            <w:pPr>
              <w:adjustRightInd w:val="0"/>
              <w:snapToGrid w:val="0"/>
              <w:spacing w:beforeLines="100" w:line="360" w:lineRule="auto"/>
              <w:ind w:firstLine="480" w:firstLineChars="200"/>
              <w:jc w:val="left"/>
              <w:rPr>
                <w:rFonts w:ascii="宋体"/>
                <w:color w:val="auto"/>
                <w:sz w:val="24"/>
                <w:szCs w:val="24"/>
              </w:rPr>
            </w:pPr>
            <w:r>
              <w:rPr>
                <w:rFonts w:ascii="宋体" w:hAnsi="宋体" w:cs="宋体"/>
                <w:color w:val="auto"/>
                <w:sz w:val="24"/>
                <w:szCs w:val="24"/>
              </w:rPr>
              <w:t>3</w:t>
            </w:r>
            <w:r>
              <w:rPr>
                <w:rFonts w:hint="eastAsia" w:ascii="宋体" w:hAnsi="宋体" w:cs="宋体"/>
                <w:color w:val="auto"/>
                <w:sz w:val="24"/>
                <w:szCs w:val="24"/>
              </w:rPr>
              <w:t>、噪声排放标准</w:t>
            </w:r>
          </w:p>
          <w:p>
            <w:pPr>
              <w:adjustRightInd w:val="0"/>
              <w:snapToGrid w:val="0"/>
              <w:spacing w:line="360" w:lineRule="auto"/>
              <w:ind w:firstLine="480" w:firstLineChars="200"/>
              <w:jc w:val="left"/>
              <w:rPr>
                <w:rFonts w:ascii="宋体"/>
                <w:color w:val="auto"/>
                <w:sz w:val="24"/>
                <w:szCs w:val="24"/>
              </w:rPr>
            </w:pPr>
            <w:r>
              <w:rPr>
                <w:rFonts w:hint="eastAsia" w:ascii="宋体" w:hAnsi="宋体" w:cs="宋体"/>
                <w:color w:val="auto"/>
                <w:sz w:val="24"/>
                <w:szCs w:val="24"/>
              </w:rPr>
              <w:t>项目运营期噪声执行《工业企业厂界环境噪声排放标准》（</w:t>
            </w:r>
            <w:r>
              <w:rPr>
                <w:rFonts w:ascii="宋体" w:hAnsi="宋体" w:cs="宋体"/>
                <w:color w:val="auto"/>
                <w:sz w:val="24"/>
                <w:szCs w:val="24"/>
              </w:rPr>
              <w:t>GB12348-2008</w:t>
            </w:r>
            <w:r>
              <w:rPr>
                <w:rFonts w:hint="eastAsia" w:ascii="宋体" w:hAnsi="宋体" w:cs="宋体"/>
                <w:color w:val="auto"/>
                <w:sz w:val="24"/>
                <w:szCs w:val="24"/>
              </w:rPr>
              <w:t>）中</w:t>
            </w:r>
            <w:r>
              <w:rPr>
                <w:rFonts w:ascii="宋体" w:hAnsi="宋体" w:cs="宋体"/>
                <w:color w:val="auto"/>
                <w:sz w:val="24"/>
                <w:szCs w:val="24"/>
              </w:rPr>
              <w:t>3</w:t>
            </w:r>
            <w:r>
              <w:rPr>
                <w:rFonts w:hint="eastAsia" w:ascii="宋体" w:hAnsi="宋体" w:cs="宋体"/>
                <w:color w:val="auto"/>
                <w:sz w:val="24"/>
                <w:szCs w:val="24"/>
              </w:rPr>
              <w:t>类标准。其标准限值见表</w:t>
            </w:r>
            <w:r>
              <w:rPr>
                <w:rFonts w:ascii="宋体" w:hAnsi="宋体" w:cs="宋体"/>
                <w:color w:val="auto"/>
                <w:sz w:val="24"/>
                <w:szCs w:val="24"/>
              </w:rPr>
              <w:t>3-</w:t>
            </w:r>
            <w:r>
              <w:rPr>
                <w:rFonts w:hint="eastAsia" w:ascii="宋体" w:hAnsi="宋体" w:cs="宋体"/>
                <w:color w:val="auto"/>
                <w:sz w:val="24"/>
                <w:szCs w:val="24"/>
                <w:lang w:val="en-US" w:eastAsia="zh-CN"/>
              </w:rPr>
              <w:t>8</w:t>
            </w:r>
            <w:r>
              <w:rPr>
                <w:rFonts w:hint="eastAsia" w:ascii="宋体" w:hAnsi="宋体" w:cs="宋体"/>
                <w:color w:val="auto"/>
                <w:sz w:val="24"/>
                <w:szCs w:val="24"/>
              </w:rPr>
              <w:t>。</w:t>
            </w:r>
          </w:p>
          <w:p>
            <w:pPr>
              <w:spacing w:line="360" w:lineRule="auto"/>
              <w:ind w:firstLine="440" w:firstLineChars="200"/>
              <w:jc w:val="center"/>
              <w:rPr>
                <w:color w:val="auto"/>
                <w:sz w:val="24"/>
                <w:szCs w:val="24"/>
              </w:rPr>
            </w:pPr>
            <w:r>
              <w:rPr>
                <w:rFonts w:hint="eastAsia" w:cs="宋体"/>
                <w:color w:val="auto"/>
                <w:sz w:val="22"/>
                <w:szCs w:val="22"/>
              </w:rPr>
              <w:t>表</w:t>
            </w:r>
            <w:r>
              <w:rPr>
                <w:color w:val="auto"/>
                <w:sz w:val="22"/>
                <w:szCs w:val="22"/>
              </w:rPr>
              <w:t>3-</w:t>
            </w:r>
            <w:r>
              <w:rPr>
                <w:rFonts w:hint="eastAsia"/>
                <w:color w:val="auto"/>
                <w:sz w:val="22"/>
                <w:szCs w:val="22"/>
                <w:lang w:val="en-US" w:eastAsia="zh-CN"/>
              </w:rPr>
              <w:t>8</w:t>
            </w:r>
            <w:r>
              <w:rPr>
                <w:color w:val="auto"/>
                <w:sz w:val="22"/>
                <w:szCs w:val="22"/>
              </w:rPr>
              <w:t xml:space="preserve">  </w:t>
            </w:r>
            <w:r>
              <w:rPr>
                <w:rFonts w:hint="eastAsia" w:cs="宋体"/>
                <w:color w:val="auto"/>
                <w:sz w:val="22"/>
                <w:szCs w:val="22"/>
              </w:rPr>
              <w:t>厂界噪声排放限值</w:t>
            </w:r>
            <w:r>
              <w:rPr>
                <w:color w:val="auto"/>
                <w:sz w:val="22"/>
                <w:szCs w:val="22"/>
              </w:rPr>
              <w:t xml:space="preserve"> </w:t>
            </w:r>
            <w:r>
              <w:rPr>
                <w:rFonts w:hint="eastAsia" w:cs="宋体"/>
                <w:color w:val="auto"/>
                <w:sz w:val="22"/>
                <w:szCs w:val="22"/>
              </w:rPr>
              <w:t>单位：</w:t>
            </w:r>
            <w:r>
              <w:rPr>
                <w:color w:val="auto"/>
                <w:sz w:val="22"/>
                <w:szCs w:val="22"/>
              </w:rPr>
              <w:t>GB</w:t>
            </w:r>
            <w:r>
              <w:rPr>
                <w:rFonts w:hint="eastAsia" w:cs="宋体"/>
                <w:color w:val="auto"/>
                <w:sz w:val="22"/>
                <w:szCs w:val="22"/>
              </w:rPr>
              <w:t>（</w:t>
            </w:r>
            <w:r>
              <w:rPr>
                <w:color w:val="auto"/>
                <w:sz w:val="22"/>
                <w:szCs w:val="22"/>
              </w:rPr>
              <w:t>A</w:t>
            </w:r>
            <w:r>
              <w:rPr>
                <w:rFonts w:hint="eastAsia" w:cs="宋体"/>
                <w:color w:val="auto"/>
                <w:sz w:val="22"/>
                <w:szCs w:val="22"/>
              </w:rPr>
              <w:t>）</w:t>
            </w:r>
          </w:p>
          <w:tbl>
            <w:tblPr>
              <w:tblStyle w:val="36"/>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7"/>
              <w:gridCol w:w="2410"/>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2967"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lang w:val="zh-CN"/>
                    </w:rPr>
                  </w:pPr>
                  <w:r>
                    <w:rPr>
                      <w:rFonts w:hint="eastAsia" w:cs="宋体"/>
                      <w:color w:val="auto"/>
                      <w:sz w:val="22"/>
                      <w:szCs w:val="22"/>
                      <w:lang w:val="zh-CN"/>
                    </w:rPr>
                    <w:t>声环境功能区类别</w:t>
                  </w:r>
                </w:p>
              </w:tc>
              <w:tc>
                <w:tcPr>
                  <w:tcW w:w="2410" w:type="dxa"/>
                  <w:tcBorders>
                    <w:top w:val="single" w:color="auto" w:sz="4" w:space="0"/>
                    <w:left w:val="single" w:color="auto" w:sz="4" w:space="0"/>
                    <w:bottom w:val="single" w:color="auto" w:sz="4" w:space="0"/>
                    <w:right w:val="single" w:color="auto" w:sz="4" w:space="0"/>
                  </w:tcBorders>
                  <w:vAlign w:val="center"/>
                </w:tcPr>
                <w:p>
                  <w:pPr>
                    <w:ind w:firstLine="440" w:firstLineChars="200"/>
                    <w:jc w:val="center"/>
                    <w:rPr>
                      <w:color w:val="auto"/>
                      <w:sz w:val="22"/>
                      <w:szCs w:val="22"/>
                      <w:lang w:val="zh-CN"/>
                    </w:rPr>
                  </w:pPr>
                  <w:r>
                    <w:rPr>
                      <w:rFonts w:hint="eastAsia" w:cs="宋体"/>
                      <w:color w:val="auto"/>
                      <w:sz w:val="22"/>
                      <w:szCs w:val="22"/>
                      <w:lang w:val="zh-CN"/>
                    </w:rPr>
                    <w:t>昼间</w:t>
                  </w:r>
                </w:p>
              </w:tc>
              <w:tc>
                <w:tcPr>
                  <w:tcW w:w="2622" w:type="dxa"/>
                  <w:tcBorders>
                    <w:top w:val="single" w:color="auto" w:sz="4" w:space="0"/>
                    <w:left w:val="single" w:color="auto" w:sz="4" w:space="0"/>
                    <w:bottom w:val="single" w:color="auto" w:sz="4" w:space="0"/>
                    <w:right w:val="single" w:color="auto" w:sz="4" w:space="0"/>
                  </w:tcBorders>
                  <w:vAlign w:val="center"/>
                </w:tcPr>
                <w:p>
                  <w:pPr>
                    <w:ind w:firstLine="440" w:firstLineChars="200"/>
                    <w:jc w:val="center"/>
                    <w:rPr>
                      <w:color w:val="auto"/>
                      <w:sz w:val="22"/>
                      <w:szCs w:val="22"/>
                      <w:lang w:val="zh-CN"/>
                    </w:rPr>
                  </w:pPr>
                  <w:r>
                    <w:rPr>
                      <w:rFonts w:hint="eastAsia" w:cs="宋体"/>
                      <w:color w:val="auto"/>
                      <w:sz w:val="22"/>
                      <w:szCs w:val="22"/>
                      <w:lang w:val="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2967"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lang w:val="zh-CN"/>
                    </w:rPr>
                  </w:pPr>
                  <w:r>
                    <w:rPr>
                      <w:color w:val="auto"/>
                      <w:sz w:val="22"/>
                      <w:szCs w:val="22"/>
                    </w:rPr>
                    <w:t>3</w:t>
                  </w:r>
                  <w:r>
                    <w:rPr>
                      <w:rFonts w:hint="eastAsia" w:cs="宋体"/>
                      <w:color w:val="auto"/>
                      <w:sz w:val="22"/>
                      <w:szCs w:val="22"/>
                      <w:lang w:val="zh-CN"/>
                    </w:rPr>
                    <w:t>类</w:t>
                  </w:r>
                </w:p>
              </w:tc>
              <w:tc>
                <w:tcPr>
                  <w:tcW w:w="2410" w:type="dxa"/>
                  <w:tcBorders>
                    <w:top w:val="single" w:color="auto" w:sz="4" w:space="0"/>
                    <w:left w:val="single" w:color="auto" w:sz="4" w:space="0"/>
                    <w:bottom w:val="single" w:color="auto" w:sz="4" w:space="0"/>
                    <w:right w:val="single" w:color="auto" w:sz="4" w:space="0"/>
                  </w:tcBorders>
                  <w:vAlign w:val="center"/>
                </w:tcPr>
                <w:p>
                  <w:pPr>
                    <w:ind w:firstLine="440" w:firstLineChars="200"/>
                    <w:jc w:val="center"/>
                    <w:rPr>
                      <w:color w:val="auto"/>
                      <w:sz w:val="22"/>
                      <w:szCs w:val="22"/>
                      <w:lang w:val="zh-CN"/>
                    </w:rPr>
                  </w:pPr>
                  <w:r>
                    <w:rPr>
                      <w:color w:val="auto"/>
                      <w:sz w:val="22"/>
                      <w:szCs w:val="22"/>
                      <w:lang w:val="zh-CN"/>
                    </w:rPr>
                    <w:t>6</w:t>
                  </w:r>
                  <w:r>
                    <w:rPr>
                      <w:color w:val="auto"/>
                      <w:sz w:val="22"/>
                      <w:szCs w:val="22"/>
                    </w:rPr>
                    <w:t>5</w:t>
                  </w:r>
                </w:p>
              </w:tc>
              <w:tc>
                <w:tcPr>
                  <w:tcW w:w="2622" w:type="dxa"/>
                  <w:tcBorders>
                    <w:top w:val="single" w:color="auto" w:sz="4" w:space="0"/>
                    <w:left w:val="single" w:color="auto" w:sz="4" w:space="0"/>
                    <w:bottom w:val="single" w:color="auto" w:sz="4" w:space="0"/>
                    <w:right w:val="single" w:color="auto" w:sz="4" w:space="0"/>
                  </w:tcBorders>
                  <w:vAlign w:val="center"/>
                </w:tcPr>
                <w:p>
                  <w:pPr>
                    <w:ind w:firstLine="440" w:firstLineChars="200"/>
                    <w:jc w:val="center"/>
                    <w:rPr>
                      <w:color w:val="auto"/>
                      <w:sz w:val="22"/>
                      <w:szCs w:val="22"/>
                      <w:lang w:val="zh-CN"/>
                    </w:rPr>
                  </w:pPr>
                  <w:r>
                    <w:rPr>
                      <w:color w:val="auto"/>
                      <w:sz w:val="22"/>
                      <w:szCs w:val="22"/>
                      <w:lang w:val="zh-CN"/>
                    </w:rPr>
                    <w:t>5</w:t>
                  </w:r>
                  <w:r>
                    <w:rPr>
                      <w:color w:val="auto"/>
                      <w:sz w:val="22"/>
                      <w:szCs w:val="22"/>
                    </w:rPr>
                    <w:t>5</w:t>
                  </w:r>
                </w:p>
              </w:tc>
            </w:tr>
          </w:tbl>
          <w:p>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jc w:val="left"/>
              <w:textAlignment w:val="auto"/>
              <w:rPr>
                <w:rFonts w:ascii="宋体"/>
                <w:color w:val="auto"/>
                <w:sz w:val="24"/>
                <w:szCs w:val="24"/>
              </w:rPr>
            </w:pPr>
            <w:r>
              <w:rPr>
                <w:rFonts w:ascii="宋体" w:hAnsi="宋体" w:cs="宋体"/>
                <w:color w:val="auto"/>
                <w:sz w:val="24"/>
                <w:szCs w:val="24"/>
              </w:rPr>
              <w:t>4</w:t>
            </w:r>
            <w:r>
              <w:rPr>
                <w:rFonts w:hint="eastAsia" w:ascii="宋体" w:hAnsi="宋体" w:cs="宋体"/>
                <w:color w:val="auto"/>
                <w:sz w:val="24"/>
                <w:szCs w:val="24"/>
              </w:rPr>
              <w:t>、固废控制标准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color w:val="auto"/>
                <w:sz w:val="24"/>
                <w:szCs w:val="24"/>
              </w:rPr>
            </w:pPr>
            <w:r>
              <w:rPr>
                <w:rFonts w:hint="eastAsia" w:ascii="宋体" w:hAnsi="宋体" w:cs="宋体"/>
                <w:color w:val="auto"/>
                <w:sz w:val="24"/>
                <w:szCs w:val="24"/>
              </w:rPr>
              <w:t>一般工业固体废物参照执行《一般工业固体废物贮存和填埋污染控制标准》（</w:t>
            </w:r>
            <w:r>
              <w:rPr>
                <w:rFonts w:ascii="宋体" w:hAnsi="宋体" w:cs="宋体"/>
                <w:color w:val="auto"/>
                <w:sz w:val="24"/>
                <w:szCs w:val="24"/>
              </w:rPr>
              <w:t>GB18599-2020</w:t>
            </w:r>
            <w:r>
              <w:rPr>
                <w:rFonts w:hint="eastAsia" w:ascii="宋体" w:hAnsi="宋体" w:cs="宋体"/>
                <w:color w:val="auto"/>
                <w:sz w:val="24"/>
                <w:szCs w:val="24"/>
              </w:rPr>
              <w:t>）。固废</w:t>
            </w:r>
            <w:r>
              <w:rPr>
                <w:rFonts w:hint="eastAsia" w:ascii="宋体" w:hAnsi="宋体" w:cs="宋体"/>
                <w:color w:val="auto"/>
                <w:sz w:val="24"/>
                <w:szCs w:val="24"/>
                <w:lang w:eastAsia="zh-CN"/>
              </w:rPr>
              <w:t>参照</w:t>
            </w:r>
            <w:r>
              <w:rPr>
                <w:rFonts w:hint="eastAsia"/>
                <w:color w:val="auto"/>
                <w:sz w:val="24"/>
                <w:highlight w:val="none"/>
                <w:lang w:eastAsia="zh-CN"/>
              </w:rPr>
              <w:t>《</w:t>
            </w:r>
            <w:r>
              <w:rPr>
                <w:rFonts w:hint="eastAsia"/>
                <w:color w:val="auto"/>
                <w:sz w:val="24"/>
                <w:highlight w:val="none"/>
              </w:rPr>
              <w:t>中华人民共和国固体废物污染环境防治法</w:t>
            </w:r>
            <w:r>
              <w:rPr>
                <w:rFonts w:hint="eastAsia"/>
                <w:color w:val="auto"/>
                <w:sz w:val="24"/>
                <w:szCs w:val="32"/>
                <w:highlight w:val="none"/>
                <w:lang w:eastAsia="zh-CN"/>
              </w:rPr>
              <w:t>》</w:t>
            </w:r>
            <w:r>
              <w:rPr>
                <w:rFonts w:hint="eastAsia"/>
                <w:color w:val="auto"/>
                <w:sz w:val="24"/>
                <w:szCs w:val="32"/>
                <w:highlight w:val="none"/>
                <w:lang w:val="en-US" w:eastAsia="zh-CN"/>
              </w:rPr>
              <w:t>2020年修订版相关要求。</w:t>
            </w:r>
            <w:r>
              <w:rPr>
                <w:rFonts w:hint="default" w:ascii="Times New Roman" w:hAnsi="Times New Roman" w:cs="Times New Roman"/>
                <w:color w:val="auto"/>
                <w:sz w:val="24"/>
                <w:szCs w:val="24"/>
              </w:rPr>
              <w:t>危险废物按《危险废物贮存污染控制标准》（GB18597-20</w:t>
            </w:r>
            <w:r>
              <w:rPr>
                <w:rFonts w:hint="eastAsia"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8" w:hRule="atLeast"/>
          <w:jc w:val="center"/>
        </w:trPr>
        <w:tc>
          <w:tcPr>
            <w:tcW w:w="800"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总量</w:t>
            </w:r>
          </w:p>
          <w:p>
            <w:pPr>
              <w:adjustRightInd w:val="0"/>
              <w:snapToGrid w:val="0"/>
              <w:jc w:val="center"/>
              <w:rPr>
                <w:rFonts w:ascii="宋体"/>
                <w:color w:val="auto"/>
                <w:sz w:val="24"/>
                <w:szCs w:val="24"/>
              </w:rPr>
            </w:pPr>
            <w:r>
              <w:rPr>
                <w:rFonts w:hint="eastAsia" w:ascii="宋体" w:hAnsi="宋体" w:cs="宋体"/>
                <w:color w:val="auto"/>
                <w:sz w:val="24"/>
                <w:szCs w:val="24"/>
              </w:rPr>
              <w:t>控制</w:t>
            </w:r>
          </w:p>
          <w:p>
            <w:pPr>
              <w:adjustRightInd w:val="0"/>
              <w:snapToGrid w:val="0"/>
              <w:jc w:val="center"/>
              <w:rPr>
                <w:rFonts w:ascii="宋体"/>
                <w:color w:val="auto"/>
                <w:kern w:val="0"/>
              </w:rPr>
            </w:pPr>
            <w:r>
              <w:rPr>
                <w:rFonts w:hint="eastAsia" w:ascii="宋体" w:hAnsi="宋体" w:cs="宋体"/>
                <w:color w:val="auto"/>
                <w:sz w:val="24"/>
                <w:szCs w:val="24"/>
              </w:rPr>
              <w:t>指标</w:t>
            </w:r>
          </w:p>
        </w:tc>
        <w:tc>
          <w:tcPr>
            <w:tcW w:w="8190" w:type="dxa"/>
          </w:tcPr>
          <w:p>
            <w:pPr>
              <w:adjustRightInd w:val="0"/>
              <w:snapToGrid w:val="0"/>
              <w:spacing w:beforeLines="50" w:line="360" w:lineRule="auto"/>
              <w:ind w:firstLine="480" w:firstLineChars="200"/>
              <w:jc w:val="left"/>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1</w:t>
            </w:r>
            <w:r>
              <w:rPr>
                <w:rFonts w:hint="eastAsia" w:ascii="宋体" w:hAnsi="宋体" w:cs="宋体"/>
                <w:color w:val="auto"/>
                <w:sz w:val="24"/>
                <w:szCs w:val="24"/>
              </w:rPr>
              <w:t>）废气</w:t>
            </w:r>
          </w:p>
          <w:p>
            <w:pPr>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rPr>
              <w:t>《关于进一步加强建设项目新增大气主要污染物总量指标管理工作的通知》（安徽省环保厅（皖环发【</w:t>
            </w:r>
            <w:r>
              <w:rPr>
                <w:rFonts w:ascii="宋体" w:hAnsi="宋体" w:cs="宋体"/>
                <w:color w:val="auto"/>
                <w:sz w:val="24"/>
                <w:szCs w:val="24"/>
              </w:rPr>
              <w:t>2017</w:t>
            </w:r>
            <w:r>
              <w:rPr>
                <w:rFonts w:hint="eastAsia" w:ascii="宋体" w:hAnsi="宋体" w:cs="宋体"/>
                <w:color w:val="auto"/>
                <w:sz w:val="24"/>
                <w:szCs w:val="24"/>
              </w:rPr>
              <w:t>】</w:t>
            </w:r>
            <w:r>
              <w:rPr>
                <w:rFonts w:ascii="宋体" w:hAnsi="宋体" w:cs="宋体"/>
                <w:color w:val="auto"/>
                <w:sz w:val="24"/>
                <w:szCs w:val="24"/>
              </w:rPr>
              <w:t>19</w:t>
            </w:r>
            <w:r>
              <w:rPr>
                <w:rFonts w:hint="eastAsia" w:ascii="宋体" w:hAnsi="宋体" w:cs="宋体"/>
                <w:color w:val="auto"/>
                <w:sz w:val="24"/>
                <w:szCs w:val="24"/>
              </w:rPr>
              <w:t>号）），总量控制因子为：氮氧化物（</w:t>
            </w:r>
            <w:r>
              <w:rPr>
                <w:rFonts w:ascii="宋体" w:hAnsi="宋体" w:cs="宋体"/>
                <w:color w:val="auto"/>
                <w:sz w:val="24"/>
                <w:szCs w:val="24"/>
              </w:rPr>
              <w:t>NOx</w:t>
            </w:r>
            <w:r>
              <w:rPr>
                <w:rFonts w:hint="eastAsia" w:ascii="宋体" w:hAnsi="宋体" w:cs="宋体"/>
                <w:color w:val="auto"/>
                <w:sz w:val="24"/>
                <w:szCs w:val="24"/>
              </w:rPr>
              <w:t>）、二氧化硫（</w:t>
            </w:r>
            <w:r>
              <w:rPr>
                <w:rFonts w:ascii="宋体" w:hAnsi="宋体" w:cs="宋体"/>
                <w:color w:val="auto"/>
                <w:sz w:val="24"/>
                <w:szCs w:val="24"/>
              </w:rPr>
              <w:t>SO2</w:t>
            </w:r>
            <w:r>
              <w:rPr>
                <w:rFonts w:hint="eastAsia" w:ascii="宋体" w:hAnsi="宋体" w:cs="宋体"/>
                <w:color w:val="auto"/>
                <w:sz w:val="24"/>
                <w:szCs w:val="24"/>
              </w:rPr>
              <w:t>）、烟（粉）尘和挥发性有机物（</w:t>
            </w:r>
            <w:r>
              <w:rPr>
                <w:rFonts w:ascii="宋体" w:hAnsi="宋体" w:cs="宋体"/>
                <w:color w:val="auto"/>
                <w:sz w:val="24"/>
                <w:szCs w:val="24"/>
              </w:rPr>
              <w:t>VOCs</w:t>
            </w:r>
            <w:r>
              <w:rPr>
                <w:rFonts w:hint="eastAsia" w:ascii="宋体" w:hAnsi="宋体" w:cs="宋体"/>
                <w:color w:val="auto"/>
                <w:sz w:val="24"/>
                <w:szCs w:val="24"/>
              </w:rPr>
              <w:t>）</w:t>
            </w:r>
            <w:r>
              <w:rPr>
                <w:rFonts w:ascii="宋体" w:hAnsi="宋体" w:cs="宋体"/>
                <w:color w:val="auto"/>
                <w:sz w:val="24"/>
                <w:szCs w:val="24"/>
              </w:rPr>
              <w:t>4</w:t>
            </w:r>
            <w:r>
              <w:rPr>
                <w:rFonts w:hint="eastAsia" w:ascii="宋体" w:hAnsi="宋体" w:cs="宋体"/>
                <w:color w:val="auto"/>
                <w:sz w:val="24"/>
                <w:szCs w:val="24"/>
              </w:rPr>
              <w:t>项指标。</w:t>
            </w:r>
            <w:r>
              <w:rPr>
                <w:rFonts w:hint="eastAsia" w:ascii="宋体" w:hAnsi="宋体" w:cs="宋体"/>
                <w:color w:val="auto"/>
                <w:sz w:val="24"/>
                <w:szCs w:val="24"/>
              </w:rPr>
              <w:br w:type="textWrapping"/>
            </w:r>
            <w:r>
              <w:rPr>
                <w:rFonts w:hint="eastAsia" w:ascii="宋体" w:hAnsi="宋体" w:cs="宋体"/>
                <w:color w:val="auto"/>
                <w:sz w:val="24"/>
                <w:szCs w:val="24"/>
                <w:lang w:val="en-US" w:eastAsia="zh-CN"/>
              </w:rPr>
              <w:t xml:space="preserve">    </w:t>
            </w:r>
            <w:r>
              <w:rPr>
                <w:rFonts w:hint="eastAsia" w:cs="Times New Roman"/>
                <w:color w:val="auto"/>
                <w:sz w:val="24"/>
                <w:szCs w:val="24"/>
                <w:lang w:val="en-US" w:eastAsia="zh-CN"/>
              </w:rPr>
              <w:t>根据《安徽省环保厅关于进一步加强建设项目新增大气主要污染物总量指标管理工作的通知》皖环发〔2017〕19号文件：三、大气主要污染物总量指标实行区域内等量或倍量削减替代。上年度空气质量不达标的城市，相应污染物指标应执行“倍量替代”。其中，上年度PM2.5不达标的城市，新增SO2、NOx和VOCs指标均要执行“倍量替代”。上年度PM10不达标的城市，新增烟（粉）尘指标要执行“倍量替代”。达到超低排放标准的新建火电项目</w:t>
            </w:r>
            <w:r>
              <w:rPr>
                <w:rFonts w:hint="eastAsia" w:cs="Times New Roman"/>
                <w:color w:val="auto"/>
                <w:sz w:val="24"/>
                <w:szCs w:val="24"/>
                <w:highlight w:val="none"/>
                <w:lang w:val="en-US" w:eastAsia="zh-CN"/>
              </w:rPr>
              <w:t>无需执行“倍量替代”。项目所在区域为淮北市，上年度环境空气质量不达标，新增大气污染物指标需执行“倍量替代。</w:t>
            </w:r>
          </w:p>
          <w:p>
            <w:pPr>
              <w:adjustRightInd w:val="0"/>
              <w:snapToGrid w:val="0"/>
              <w:spacing w:line="360" w:lineRule="auto"/>
              <w:ind w:firstLine="480" w:firstLineChars="200"/>
              <w:jc w:val="left"/>
              <w:rPr>
                <w:rFonts w:hint="default" w:ascii="宋体" w:eastAsia="宋体"/>
                <w:color w:val="auto"/>
                <w:sz w:val="24"/>
                <w:szCs w:val="24"/>
                <w:highlight w:val="none"/>
                <w:lang w:val="en-US" w:eastAsia="zh-CN"/>
              </w:rPr>
            </w:pPr>
            <w:r>
              <w:rPr>
                <w:rFonts w:hint="eastAsia" w:ascii="宋体" w:hAnsi="宋体" w:cs="宋体"/>
                <w:color w:val="auto"/>
                <w:sz w:val="24"/>
                <w:szCs w:val="24"/>
                <w:highlight w:val="none"/>
              </w:rPr>
              <w:t>本项目大气污染物总量控制指标为</w:t>
            </w:r>
            <w:r>
              <w:rPr>
                <w:rFonts w:hint="eastAsia" w:ascii="宋体" w:hAnsi="宋体" w:cs="宋体"/>
                <w:color w:val="auto"/>
                <w:sz w:val="24"/>
                <w:szCs w:val="24"/>
                <w:highlight w:val="none"/>
                <w:lang w:eastAsia="zh-CN"/>
              </w:rPr>
              <w:t>颗粒物：0.0947t</w:t>
            </w:r>
            <w:r>
              <w:rPr>
                <w:rFonts w:ascii="宋体" w:hAnsi="宋体" w:cs="宋体"/>
                <w:color w:val="auto"/>
                <w:sz w:val="24"/>
                <w:szCs w:val="24"/>
                <w:highlight w:val="none"/>
              </w:rPr>
              <w:t>/a</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挥发性有机物（</w:t>
            </w:r>
            <w:r>
              <w:rPr>
                <w:rFonts w:ascii="宋体" w:hAnsi="宋体" w:cs="宋体"/>
                <w:color w:val="auto"/>
                <w:sz w:val="24"/>
                <w:szCs w:val="24"/>
                <w:highlight w:val="none"/>
              </w:rPr>
              <w:t>VOCs</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1.802</w:t>
            </w:r>
            <w:r>
              <w:rPr>
                <w:rFonts w:hint="eastAsia" w:ascii="宋体" w:hAnsi="宋体" w:cs="宋体"/>
                <w:color w:val="auto"/>
                <w:sz w:val="24"/>
                <w:szCs w:val="24"/>
                <w:highlight w:val="none"/>
                <w:lang w:eastAsia="zh-CN"/>
              </w:rPr>
              <w:t>t</w:t>
            </w:r>
            <w:r>
              <w:rPr>
                <w:rFonts w:ascii="宋体" w:hAnsi="宋体" w:cs="宋体"/>
                <w:color w:val="auto"/>
                <w:sz w:val="24"/>
                <w:szCs w:val="24"/>
                <w:highlight w:val="none"/>
              </w:rPr>
              <w:t>/a</w:t>
            </w:r>
            <w:r>
              <w:rPr>
                <w:rStyle w:val="80"/>
                <w:rFonts w:hint="eastAsia" w:ascii="Times New Roman" w:hAnsi="Times New Roman" w:eastAsia="宋体" w:cs="宋体"/>
                <w:b w:val="0"/>
                <w:bCs w:val="0"/>
                <w:color w:val="auto"/>
                <w:highlight w:val="none"/>
                <w:lang w:val="en-US"/>
              </w:rPr>
              <w:t>。</w:t>
            </w:r>
          </w:p>
          <w:p>
            <w:pPr>
              <w:adjustRightInd w:val="0"/>
              <w:snapToGrid w:val="0"/>
              <w:spacing w:beforeLines="50" w:line="360" w:lineRule="auto"/>
              <w:ind w:firstLine="480" w:firstLineChars="200"/>
              <w:jc w:val="left"/>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2</w:t>
            </w:r>
            <w:r>
              <w:rPr>
                <w:rFonts w:hint="eastAsia" w:ascii="宋体" w:hAnsi="宋体" w:cs="宋体"/>
                <w:color w:val="auto"/>
                <w:sz w:val="24"/>
                <w:szCs w:val="24"/>
              </w:rPr>
              <w:t>）废水</w:t>
            </w:r>
          </w:p>
          <w:p>
            <w:pPr>
              <w:adjustRightInd w:val="0"/>
              <w:snapToGrid w:val="0"/>
              <w:spacing w:line="360" w:lineRule="auto"/>
              <w:ind w:firstLine="480" w:firstLineChars="200"/>
              <w:jc w:val="left"/>
              <w:rPr>
                <w:color w:val="auto"/>
                <w:sz w:val="24"/>
                <w:szCs w:val="24"/>
              </w:rPr>
            </w:pPr>
            <w:r>
              <w:rPr>
                <w:rFonts w:hint="eastAsia" w:ascii="宋体" w:hAnsi="宋体" w:cs="宋体"/>
                <w:color w:val="auto"/>
                <w:sz w:val="24"/>
                <w:szCs w:val="24"/>
              </w:rPr>
              <w:t>由于本项目废水经化粪池预处理接管至</w:t>
            </w:r>
            <w:r>
              <w:rPr>
                <w:rFonts w:hint="eastAsia" w:ascii="宋体" w:hAnsi="宋体" w:cs="宋体"/>
                <w:color w:val="auto"/>
                <w:sz w:val="24"/>
                <w:szCs w:val="24"/>
                <w:lang w:eastAsia="zh-CN"/>
              </w:rPr>
              <w:t>淮北蓝海水处理有限公司</w:t>
            </w:r>
            <w:r>
              <w:rPr>
                <w:rFonts w:hint="eastAsia" w:ascii="宋体" w:hAnsi="宋体" w:cs="宋体"/>
                <w:color w:val="auto"/>
                <w:sz w:val="24"/>
                <w:szCs w:val="24"/>
              </w:rPr>
              <w:t>。因此，本项目</w:t>
            </w:r>
            <w:r>
              <w:rPr>
                <w:rFonts w:ascii="宋体" w:hAnsi="宋体" w:cs="宋体"/>
                <w:color w:val="auto"/>
                <w:sz w:val="24"/>
                <w:szCs w:val="24"/>
              </w:rPr>
              <w:t>COD</w:t>
            </w:r>
            <w:r>
              <w:rPr>
                <w:rFonts w:hint="eastAsia" w:ascii="宋体" w:hAnsi="宋体" w:cs="宋体"/>
                <w:color w:val="auto"/>
                <w:sz w:val="24"/>
                <w:szCs w:val="24"/>
              </w:rPr>
              <w:t>、</w:t>
            </w:r>
            <w:r>
              <w:rPr>
                <w:rFonts w:ascii="宋体" w:hAnsi="宋体" w:cs="宋体"/>
                <w:color w:val="auto"/>
                <w:sz w:val="24"/>
                <w:szCs w:val="24"/>
              </w:rPr>
              <w:t>NH3-N</w:t>
            </w:r>
            <w:r>
              <w:rPr>
                <w:rFonts w:hint="eastAsia" w:ascii="宋体" w:hAnsi="宋体" w:cs="宋体"/>
                <w:color w:val="auto"/>
                <w:sz w:val="24"/>
                <w:szCs w:val="24"/>
              </w:rPr>
              <w:t>总量控制指标统一纳入</w:t>
            </w:r>
            <w:r>
              <w:rPr>
                <w:rFonts w:hint="eastAsia" w:ascii="宋体" w:hAnsi="宋体" w:cs="宋体"/>
                <w:color w:val="auto"/>
                <w:sz w:val="24"/>
                <w:szCs w:val="24"/>
                <w:lang w:eastAsia="zh-CN"/>
              </w:rPr>
              <w:t>淮北蓝海水处理有限公司</w:t>
            </w:r>
            <w:r>
              <w:rPr>
                <w:rFonts w:hint="eastAsia" w:ascii="宋体" w:hAnsi="宋体" w:cs="宋体"/>
                <w:color w:val="auto"/>
                <w:sz w:val="24"/>
                <w:szCs w:val="24"/>
              </w:rPr>
              <w:t>总量，无需另行申请总量指标。</w:t>
            </w:r>
          </w:p>
        </w:tc>
      </w:tr>
    </w:tbl>
    <w:p>
      <w:pPr>
        <w:pStyle w:val="33"/>
        <w:keepNext w:val="0"/>
        <w:keepLines w:val="0"/>
        <w:pageBreakBefore w:val="0"/>
        <w:widowControl/>
        <w:kinsoku/>
        <w:wordWrap/>
        <w:overflowPunct/>
        <w:topLinePunct w:val="0"/>
        <w:autoSpaceDE/>
        <w:autoSpaceDN/>
        <w:bidi w:val="0"/>
        <w:adjustRightInd/>
        <w:snapToGrid/>
        <w:jc w:val="center"/>
        <w:textAlignment w:val="auto"/>
        <w:outlineLvl w:val="0"/>
        <w:rPr>
          <w:rFonts w:ascii="黑体" w:hAnsi="黑体" w:eastAsia="黑体" w:cs="Times New Roman"/>
          <w:snapToGrid w:val="0"/>
          <w:color w:val="auto"/>
          <w:sz w:val="30"/>
          <w:szCs w:val="30"/>
        </w:rPr>
      </w:pPr>
      <w:r>
        <w:rPr>
          <w:rFonts w:ascii="黑体" w:hAnsi="黑体" w:eastAsia="黑体" w:cs="Times New Roman"/>
          <w:snapToGrid w:val="0"/>
          <w:color w:val="auto"/>
          <w:sz w:val="36"/>
          <w:szCs w:val="36"/>
        </w:rPr>
        <w:br w:type="page"/>
      </w:r>
      <w:r>
        <w:rPr>
          <w:rFonts w:hint="eastAsia" w:ascii="黑体" w:hAnsi="黑体" w:eastAsia="黑体" w:cs="黑体"/>
          <w:snapToGrid w:val="0"/>
          <w:color w:val="auto"/>
          <w:sz w:val="30"/>
          <w:szCs w:val="30"/>
        </w:rPr>
        <w:t>四、主要环境影响和保护措施</w:t>
      </w:r>
    </w:p>
    <w:tbl>
      <w:tblPr>
        <w:tblStyle w:val="36"/>
        <w:tblW w:w="89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753" w:type="dxa"/>
            <w:tcBorders>
              <w:top w:val="single" w:color="auto" w:sz="8" w:space="0"/>
            </w:tcBorders>
            <w:tcMar>
              <w:left w:w="28" w:type="dxa"/>
              <w:right w:w="28" w:type="dxa"/>
            </w:tcMar>
            <w:vAlign w:val="center"/>
          </w:tcPr>
          <w:p>
            <w:pPr>
              <w:pStyle w:val="33"/>
              <w:adjustRightInd w:val="0"/>
              <w:snapToGrid w:val="0"/>
              <w:spacing w:before="0" w:beforeAutospacing="0" w:after="0" w:afterAutospacing="0"/>
              <w:jc w:val="center"/>
              <w:rPr>
                <w:rFonts w:cs="Times New Roman"/>
                <w:color w:val="auto"/>
                <w:kern w:val="2"/>
              </w:rPr>
            </w:pPr>
            <w:r>
              <w:rPr>
                <w:rFonts w:hint="eastAsia"/>
                <w:color w:val="auto"/>
                <w:kern w:val="2"/>
              </w:rPr>
              <w:t>施工</w:t>
            </w:r>
          </w:p>
          <w:p>
            <w:pPr>
              <w:pStyle w:val="33"/>
              <w:adjustRightInd w:val="0"/>
              <w:snapToGrid w:val="0"/>
              <w:spacing w:before="0" w:beforeAutospacing="0" w:after="0" w:afterAutospacing="0"/>
              <w:jc w:val="center"/>
              <w:rPr>
                <w:rFonts w:cs="Times New Roman"/>
                <w:color w:val="auto"/>
                <w:kern w:val="2"/>
              </w:rPr>
            </w:pPr>
            <w:r>
              <w:rPr>
                <w:rFonts w:hint="eastAsia"/>
                <w:color w:val="auto"/>
                <w:kern w:val="2"/>
              </w:rPr>
              <w:t>期环</w:t>
            </w:r>
          </w:p>
          <w:p>
            <w:pPr>
              <w:pStyle w:val="33"/>
              <w:adjustRightInd w:val="0"/>
              <w:snapToGrid w:val="0"/>
              <w:spacing w:before="0" w:beforeAutospacing="0" w:after="0" w:afterAutospacing="0"/>
              <w:jc w:val="center"/>
              <w:rPr>
                <w:rFonts w:cs="Times New Roman"/>
                <w:color w:val="auto"/>
                <w:kern w:val="2"/>
              </w:rPr>
            </w:pPr>
            <w:r>
              <w:rPr>
                <w:rFonts w:hint="eastAsia"/>
                <w:color w:val="auto"/>
                <w:kern w:val="2"/>
              </w:rPr>
              <w:t>境保</w:t>
            </w:r>
          </w:p>
          <w:p>
            <w:pPr>
              <w:pStyle w:val="33"/>
              <w:adjustRightInd w:val="0"/>
              <w:snapToGrid w:val="0"/>
              <w:spacing w:before="0" w:beforeAutospacing="0" w:after="0" w:afterAutospacing="0"/>
              <w:jc w:val="center"/>
              <w:rPr>
                <w:rFonts w:cs="Times New Roman"/>
                <w:color w:val="auto"/>
                <w:kern w:val="2"/>
              </w:rPr>
            </w:pPr>
            <w:r>
              <w:rPr>
                <w:rFonts w:hint="eastAsia"/>
                <w:color w:val="auto"/>
                <w:kern w:val="2"/>
              </w:rPr>
              <w:t>护措</w:t>
            </w:r>
          </w:p>
          <w:p>
            <w:pPr>
              <w:pStyle w:val="33"/>
              <w:adjustRightInd w:val="0"/>
              <w:snapToGrid w:val="0"/>
              <w:spacing w:before="0" w:beforeAutospacing="0" w:after="0" w:afterAutospacing="0"/>
              <w:jc w:val="center"/>
              <w:rPr>
                <w:rFonts w:cs="Times New Roman"/>
                <w:color w:val="auto"/>
                <w:kern w:val="2"/>
              </w:rPr>
            </w:pPr>
            <w:r>
              <w:rPr>
                <w:rFonts w:hint="eastAsia"/>
                <w:color w:val="auto"/>
                <w:kern w:val="2"/>
              </w:rPr>
              <w:t>施</w:t>
            </w:r>
          </w:p>
        </w:tc>
        <w:tc>
          <w:tcPr>
            <w:tcW w:w="8246" w:type="dxa"/>
            <w:tcBorders>
              <w:top w:val="single" w:color="auto" w:sz="8" w:space="0"/>
            </w:tcBorders>
            <w:vAlign w:val="center"/>
          </w:tcPr>
          <w:p>
            <w:pPr>
              <w:spacing w:line="360" w:lineRule="auto"/>
              <w:ind w:firstLine="480" w:firstLineChars="200"/>
              <w:rPr>
                <w:rFonts w:hint="default" w:ascii="宋体" w:eastAsia="宋体"/>
                <w:color w:val="auto"/>
                <w:sz w:val="24"/>
                <w:szCs w:val="24"/>
                <w:lang w:val="en-US" w:eastAsia="zh-CN"/>
              </w:rPr>
            </w:pPr>
            <w:r>
              <w:rPr>
                <w:rFonts w:hint="eastAsia" w:ascii="宋体"/>
                <w:color w:val="auto"/>
                <w:sz w:val="24"/>
                <w:szCs w:val="24"/>
                <w:lang w:eastAsia="zh-CN"/>
              </w:rPr>
              <w:t>根据现场勘查，厂房为项目建设单位租赁园区已建成厂房，仅涉及</w:t>
            </w:r>
            <w:r>
              <w:rPr>
                <w:rFonts w:hint="eastAsia" w:ascii="宋体" w:hAnsi="宋体" w:cs="宋体"/>
                <w:color w:val="auto"/>
                <w:sz w:val="24"/>
                <w:szCs w:val="24"/>
                <w:lang w:eastAsia="zh-CN"/>
              </w:rPr>
              <w:t>生产设备及环保设施的安装，随着设备的安装完成其影响一并消失。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4" w:hRule="atLeast"/>
          <w:jc w:val="center"/>
        </w:trPr>
        <w:tc>
          <w:tcPr>
            <w:tcW w:w="753" w:type="dxa"/>
            <w:tcBorders>
              <w:bottom w:val="single" w:color="auto" w:sz="8" w:space="0"/>
            </w:tcBorders>
            <w:tcMar>
              <w:left w:w="28" w:type="dxa"/>
              <w:right w:w="28" w:type="dxa"/>
            </w:tcMar>
            <w:vAlign w:val="center"/>
          </w:tcPr>
          <w:p>
            <w:pPr>
              <w:adjustRightInd w:val="0"/>
              <w:snapToGrid w:val="0"/>
              <w:jc w:val="center"/>
              <w:rPr>
                <w:color w:val="auto"/>
                <w:highlight w:val="none"/>
              </w:rPr>
            </w:pPr>
          </w:p>
          <w:p>
            <w:pPr>
              <w:pStyle w:val="33"/>
              <w:adjustRightInd w:val="0"/>
              <w:snapToGrid w:val="0"/>
              <w:spacing w:before="0" w:beforeAutospacing="0" w:after="0" w:afterAutospacing="0"/>
              <w:jc w:val="center"/>
              <w:rPr>
                <w:rFonts w:cs="Times New Roman"/>
                <w:color w:val="auto"/>
                <w:kern w:val="2"/>
                <w:highlight w:val="none"/>
              </w:rPr>
            </w:pPr>
          </w:p>
          <w:p>
            <w:pPr>
              <w:pStyle w:val="33"/>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运营</w:t>
            </w:r>
          </w:p>
          <w:p>
            <w:pPr>
              <w:pStyle w:val="33"/>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期环</w:t>
            </w:r>
          </w:p>
          <w:p>
            <w:pPr>
              <w:pStyle w:val="33"/>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境影</w:t>
            </w:r>
          </w:p>
          <w:p>
            <w:pPr>
              <w:pStyle w:val="33"/>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响和</w:t>
            </w:r>
          </w:p>
          <w:p>
            <w:pPr>
              <w:pStyle w:val="33"/>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保护</w:t>
            </w:r>
          </w:p>
          <w:p>
            <w:pPr>
              <w:pStyle w:val="33"/>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措施</w:t>
            </w:r>
          </w:p>
          <w:p>
            <w:pPr>
              <w:pStyle w:val="33"/>
              <w:adjustRightInd w:val="0"/>
              <w:snapToGrid w:val="0"/>
              <w:spacing w:before="0" w:beforeAutospacing="0" w:after="0" w:afterAutospacing="0"/>
              <w:jc w:val="center"/>
              <w:rPr>
                <w:rFonts w:cs="Times New Roman"/>
                <w:color w:val="auto"/>
                <w:kern w:val="2"/>
                <w:highlight w:val="none"/>
              </w:rPr>
            </w:pPr>
          </w:p>
          <w:p>
            <w:pPr>
              <w:pStyle w:val="33"/>
              <w:adjustRightInd w:val="0"/>
              <w:snapToGrid w:val="0"/>
              <w:spacing w:before="0" w:beforeAutospacing="0" w:after="0" w:afterAutospacing="0"/>
              <w:jc w:val="center"/>
              <w:rPr>
                <w:rFonts w:cs="Times New Roman"/>
                <w:color w:val="auto"/>
                <w:kern w:val="2"/>
                <w:highlight w:val="none"/>
              </w:rPr>
            </w:pPr>
          </w:p>
          <w:p>
            <w:pPr>
              <w:pStyle w:val="4"/>
              <w:ind w:left="31680"/>
              <w:rPr>
                <w:color w:val="auto"/>
                <w:highlight w:val="none"/>
              </w:rPr>
            </w:pPr>
          </w:p>
          <w:p>
            <w:pPr>
              <w:pStyle w:val="4"/>
              <w:ind w:left="31680"/>
              <w:rPr>
                <w:color w:val="auto"/>
                <w:highlight w:val="none"/>
              </w:rPr>
            </w:pPr>
          </w:p>
          <w:p>
            <w:pPr>
              <w:pStyle w:val="4"/>
              <w:ind w:left="31680"/>
              <w:rPr>
                <w:color w:val="auto"/>
                <w:highlight w:val="none"/>
              </w:rPr>
            </w:pPr>
          </w:p>
          <w:p>
            <w:pPr>
              <w:pStyle w:val="4"/>
              <w:ind w:left="31680"/>
              <w:rPr>
                <w:color w:val="auto"/>
                <w:highlight w:val="none"/>
              </w:rPr>
            </w:pPr>
          </w:p>
          <w:p>
            <w:pPr>
              <w:pStyle w:val="4"/>
              <w:ind w:left="31680"/>
              <w:rPr>
                <w:color w:val="auto"/>
                <w:highlight w:val="none"/>
              </w:rPr>
            </w:pPr>
          </w:p>
          <w:p>
            <w:pPr>
              <w:pStyle w:val="4"/>
              <w:ind w:left="31680"/>
              <w:rPr>
                <w:color w:val="auto"/>
                <w:highlight w:val="none"/>
              </w:rPr>
            </w:pPr>
          </w:p>
        </w:tc>
        <w:tc>
          <w:tcPr>
            <w:tcW w:w="8246" w:type="dxa"/>
            <w:tcBorders>
              <w:bottom w:val="single" w:color="auto" w:sz="8" w:space="0"/>
            </w:tcBorders>
            <w:vAlign w:val="center"/>
          </w:tcPr>
          <w:p>
            <w:pPr>
              <w:pStyle w:val="8"/>
              <w:spacing w:beforeLines="50" w:after="0" w:line="360" w:lineRule="auto"/>
              <w:ind w:firstLine="480" w:firstLineChars="200"/>
              <w:rPr>
                <w:rStyle w:val="80"/>
                <w:rFonts w:ascii="Times New Roman" w:hAnsi="Times New Roman" w:cs="Times New Roman"/>
                <w:b w:val="0"/>
                <w:bCs w:val="0"/>
                <w:color w:val="auto"/>
                <w:highlight w:val="none"/>
              </w:rPr>
            </w:pPr>
            <w:r>
              <w:rPr>
                <w:rStyle w:val="80"/>
                <w:rFonts w:ascii="Times New Roman" w:hAnsi="Times New Roman" w:cs="Times New Roman"/>
                <w:b w:val="0"/>
                <w:bCs w:val="0"/>
                <w:color w:val="auto"/>
                <w:highlight w:val="none"/>
              </w:rPr>
              <w:t>1</w:t>
            </w:r>
            <w:r>
              <w:rPr>
                <w:rStyle w:val="80"/>
                <w:rFonts w:hint="eastAsia" w:ascii="Times New Roman" w:hAnsi="Times New Roman" w:cs="Times New Roman"/>
                <w:b w:val="0"/>
                <w:bCs w:val="0"/>
                <w:color w:val="auto"/>
                <w:highlight w:val="none"/>
                <w:lang w:val="en-US"/>
              </w:rPr>
              <w:t>、</w:t>
            </w:r>
            <w:r>
              <w:rPr>
                <w:rStyle w:val="80"/>
                <w:rFonts w:hint="eastAsia" w:ascii="Times New Roman" w:hAnsi="Times New Roman" w:cs="宋体"/>
                <w:b w:val="0"/>
                <w:bCs w:val="0"/>
                <w:color w:val="auto"/>
                <w:highlight w:val="none"/>
              </w:rPr>
              <w:t>水环境影响及保护措施</w:t>
            </w:r>
          </w:p>
          <w:p>
            <w:pPr>
              <w:keepNext/>
              <w:keepLines/>
              <w:spacing w:line="360" w:lineRule="auto"/>
              <w:ind w:left="719" w:leftChars="228" w:hanging="240" w:hangingChars="100"/>
              <w:outlineLvl w:val="3"/>
              <w:rPr>
                <w:rStyle w:val="80"/>
                <w:b w:val="0"/>
                <w:bCs w:val="0"/>
                <w:color w:val="auto"/>
                <w:highlight w:val="none"/>
              </w:rPr>
            </w:pPr>
            <w:r>
              <w:rPr>
                <w:rStyle w:val="80"/>
                <w:rFonts w:hint="eastAsia"/>
                <w:b w:val="0"/>
                <w:bCs w:val="0"/>
                <w:color w:val="auto"/>
                <w:highlight w:val="none"/>
              </w:rPr>
              <w:t>本项目污水产生主要为</w:t>
            </w:r>
            <w:r>
              <w:rPr>
                <w:rStyle w:val="80"/>
                <w:rFonts w:hint="eastAsia" w:cs="宋体"/>
                <w:b w:val="0"/>
                <w:bCs w:val="0"/>
                <w:color w:val="auto"/>
                <w:highlight w:val="none"/>
              </w:rPr>
              <w:t>生活污水，无生产废水产生。</w:t>
            </w:r>
          </w:p>
          <w:p>
            <w:pPr>
              <w:numPr>
                <w:ilvl w:val="0"/>
                <w:numId w:val="0"/>
              </w:num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本项目用水种类如下：</w:t>
            </w:r>
          </w:p>
          <w:p>
            <w:pPr>
              <w:numPr>
                <w:ilvl w:val="0"/>
                <w:numId w:val="6"/>
              </w:numPr>
              <w:spacing w:line="360" w:lineRule="auto"/>
              <w:ind w:left="719" w:leftChars="228" w:hanging="240" w:hangingChars="100"/>
              <w:rPr>
                <w:rStyle w:val="80"/>
                <w:rFonts w:hint="eastAsia" w:cs="宋体"/>
                <w:b w:val="0"/>
                <w:bCs w:val="0"/>
                <w:color w:val="auto"/>
                <w:highlight w:val="none"/>
              </w:rPr>
            </w:pPr>
            <w:r>
              <w:rPr>
                <w:rStyle w:val="80"/>
                <w:rFonts w:hint="eastAsia" w:cs="宋体"/>
                <w:b w:val="0"/>
                <w:bCs w:val="0"/>
                <w:color w:val="auto"/>
                <w:highlight w:val="none"/>
              </w:rPr>
              <w:t>生活污水</w:t>
            </w:r>
          </w:p>
          <w:p>
            <w:pPr>
              <w:spacing w:line="360" w:lineRule="auto"/>
              <w:ind w:firstLine="480" w:firstLineChars="200"/>
              <w:rPr>
                <w:rFonts w:hint="eastAsia" w:ascii="宋体" w:hAnsi="宋体" w:eastAsia="宋体" w:cs="宋体"/>
                <w:color w:val="auto"/>
                <w:sz w:val="24"/>
                <w:szCs w:val="24"/>
                <w:highlight w:val="none"/>
                <w:lang w:val="en-US" w:eastAsia="zh-CN"/>
              </w:rPr>
            </w:pPr>
            <w:r>
              <w:rPr>
                <w:rStyle w:val="80"/>
                <w:rFonts w:hint="eastAsia" w:cs="宋体"/>
                <w:b w:val="0"/>
                <w:bCs w:val="0"/>
                <w:color w:val="auto"/>
                <w:highlight w:val="none"/>
              </w:rPr>
              <w:t>生活污水</w:t>
            </w:r>
            <w:r>
              <w:rPr>
                <w:rFonts w:hint="eastAsia" w:ascii="宋体" w:hAnsi="宋体" w:cs="宋体"/>
                <w:color w:val="auto"/>
                <w:sz w:val="24"/>
                <w:szCs w:val="24"/>
                <w:highlight w:val="none"/>
              </w:rPr>
              <w:t>本项目劳动定员</w:t>
            </w:r>
            <w:r>
              <w:rPr>
                <w:rFonts w:hint="eastAsia" w:ascii="宋体" w:hAnsi="宋体" w:cs="宋体"/>
                <w:color w:val="auto"/>
                <w:sz w:val="24"/>
                <w:szCs w:val="24"/>
                <w:highlight w:val="none"/>
                <w:lang w:val="en-US" w:eastAsia="zh-CN"/>
              </w:rPr>
              <w:t>2</w:t>
            </w:r>
            <w:r>
              <w:rPr>
                <w:rFonts w:ascii="宋体" w:hAnsi="宋体" w:cs="宋体"/>
                <w:color w:val="auto"/>
                <w:sz w:val="24"/>
                <w:szCs w:val="24"/>
                <w:highlight w:val="none"/>
              </w:rPr>
              <w:t>0</w:t>
            </w:r>
            <w:r>
              <w:rPr>
                <w:rFonts w:hint="eastAsia" w:ascii="宋体" w:hAnsi="宋体" w:cs="宋体"/>
                <w:color w:val="auto"/>
                <w:sz w:val="24"/>
                <w:szCs w:val="24"/>
                <w:highlight w:val="none"/>
              </w:rPr>
              <w:t>人，年工作时间</w:t>
            </w:r>
            <w:r>
              <w:rPr>
                <w:rFonts w:ascii="宋体" w:hAnsi="宋体" w:cs="宋体"/>
                <w:color w:val="auto"/>
                <w:sz w:val="24"/>
                <w:szCs w:val="24"/>
                <w:highlight w:val="none"/>
              </w:rPr>
              <w:t>300</w:t>
            </w:r>
            <w:r>
              <w:rPr>
                <w:rFonts w:hint="eastAsia" w:ascii="宋体" w:hAnsi="宋体" w:cs="宋体"/>
                <w:color w:val="auto"/>
                <w:sz w:val="24"/>
                <w:szCs w:val="24"/>
                <w:highlight w:val="none"/>
              </w:rPr>
              <w:t>天，</w:t>
            </w:r>
            <w:r>
              <w:rPr>
                <w:rFonts w:hint="eastAsia" w:ascii="宋体" w:hAnsi="宋体" w:cs="宋体"/>
                <w:color w:val="auto"/>
                <w:sz w:val="24"/>
                <w:szCs w:val="24"/>
                <w:highlight w:val="none"/>
                <w:lang w:eastAsia="zh-CN"/>
              </w:rPr>
              <w:t>根据《安徽省行业用水定额》（</w:t>
            </w:r>
            <w:r>
              <w:rPr>
                <w:rFonts w:hint="eastAsia" w:ascii="宋体" w:hAnsi="宋体" w:cs="宋体"/>
                <w:color w:val="auto"/>
                <w:sz w:val="24"/>
                <w:szCs w:val="24"/>
                <w:highlight w:val="none"/>
                <w:lang w:val="en-US" w:eastAsia="zh-CN"/>
              </w:rPr>
              <w:t>DB34/T 679-2019</w:t>
            </w:r>
            <w:r>
              <w:rPr>
                <w:rFonts w:hint="eastAsia" w:ascii="宋体" w:hAnsi="宋体" w:cs="宋体"/>
                <w:color w:val="auto"/>
                <w:sz w:val="24"/>
                <w:szCs w:val="24"/>
                <w:highlight w:val="none"/>
                <w:lang w:eastAsia="zh-CN"/>
              </w:rPr>
              <w:t>）中显示无食堂办公室用水为</w:t>
            </w:r>
            <w:r>
              <w:rPr>
                <w:rFonts w:hint="eastAsia" w:ascii="宋体" w:hAnsi="宋体" w:cs="宋体"/>
                <w:color w:val="auto"/>
                <w:sz w:val="24"/>
                <w:szCs w:val="24"/>
                <w:highlight w:val="none"/>
                <w:lang w:val="en-US" w:eastAsia="zh-CN"/>
              </w:rPr>
              <w:t>60</w:t>
            </w:r>
            <w:r>
              <w:rPr>
                <w:rFonts w:ascii="宋体" w:hAnsi="宋体" w:cs="宋体"/>
                <w:color w:val="auto"/>
                <w:sz w:val="24"/>
                <w:szCs w:val="24"/>
                <w:highlight w:val="none"/>
              </w:rPr>
              <w:t>L/</w:t>
            </w:r>
            <w:r>
              <w:rPr>
                <w:rFonts w:hint="eastAsia" w:ascii="宋体" w:hAnsi="宋体" w:cs="宋体"/>
                <w:color w:val="auto"/>
                <w:sz w:val="24"/>
                <w:szCs w:val="24"/>
                <w:highlight w:val="none"/>
              </w:rPr>
              <w:t>（人·天），</w:t>
            </w:r>
            <w:r>
              <w:rPr>
                <w:rFonts w:hint="eastAsia" w:ascii="宋体" w:hAnsi="宋体" w:cs="宋体"/>
                <w:color w:val="auto"/>
                <w:sz w:val="24"/>
                <w:szCs w:val="24"/>
                <w:highlight w:val="none"/>
                <w:lang w:eastAsia="zh-CN"/>
              </w:rPr>
              <w:t>项目</w:t>
            </w:r>
            <w:r>
              <w:rPr>
                <w:rFonts w:hint="eastAsia" w:ascii="宋体" w:hAnsi="宋体" w:cs="宋体"/>
                <w:color w:val="auto"/>
                <w:sz w:val="24"/>
                <w:szCs w:val="24"/>
                <w:highlight w:val="none"/>
              </w:rPr>
              <w:t>用水量约为</w:t>
            </w:r>
            <w:r>
              <w:rPr>
                <w:rFonts w:hint="eastAsia" w:ascii="宋体" w:hAnsi="宋体" w:cs="宋体"/>
                <w:color w:val="auto"/>
                <w:sz w:val="24"/>
                <w:szCs w:val="24"/>
                <w:highlight w:val="none"/>
                <w:lang w:val="en-US" w:eastAsia="zh-CN"/>
              </w:rPr>
              <w:t>360t</w:t>
            </w:r>
            <w:r>
              <w:rPr>
                <w:rFonts w:ascii="宋体" w:hAnsi="宋体" w:cs="宋体"/>
                <w:color w:val="auto"/>
                <w:sz w:val="24"/>
                <w:szCs w:val="24"/>
                <w:highlight w:val="none"/>
              </w:rPr>
              <w:t>/a</w:t>
            </w:r>
            <w:r>
              <w:rPr>
                <w:rFonts w:hint="eastAsia" w:ascii="宋体" w:hAnsi="宋体" w:cs="宋体"/>
                <w:color w:val="auto"/>
                <w:sz w:val="24"/>
                <w:szCs w:val="24"/>
                <w:highlight w:val="none"/>
              </w:rPr>
              <w:t>，生活污水按</w:t>
            </w:r>
            <w:r>
              <w:rPr>
                <w:rFonts w:ascii="宋体" w:hAnsi="宋体" w:cs="宋体"/>
                <w:color w:val="auto"/>
                <w:sz w:val="24"/>
                <w:szCs w:val="24"/>
                <w:highlight w:val="none"/>
              </w:rPr>
              <w:t>80%</w:t>
            </w:r>
            <w:r>
              <w:rPr>
                <w:rFonts w:hint="eastAsia" w:ascii="宋体" w:hAnsi="宋体" w:cs="宋体"/>
                <w:color w:val="auto"/>
                <w:sz w:val="24"/>
                <w:szCs w:val="24"/>
                <w:highlight w:val="none"/>
              </w:rPr>
              <w:t>计，生活污水产生量为</w:t>
            </w:r>
            <w:r>
              <w:rPr>
                <w:rFonts w:hint="eastAsia" w:ascii="宋体" w:hAnsi="宋体" w:cs="宋体"/>
                <w:color w:val="auto"/>
                <w:sz w:val="24"/>
                <w:szCs w:val="24"/>
                <w:highlight w:val="none"/>
                <w:lang w:val="en-US" w:eastAsia="zh-CN"/>
              </w:rPr>
              <w:t>288t</w:t>
            </w:r>
            <w:r>
              <w:rPr>
                <w:rFonts w:ascii="宋体" w:hAnsi="宋体" w:cs="宋体"/>
                <w:color w:val="auto"/>
                <w:sz w:val="24"/>
                <w:szCs w:val="24"/>
                <w:highlight w:val="none"/>
              </w:rPr>
              <w:t>/a</w:t>
            </w:r>
            <w:r>
              <w:rPr>
                <w:rStyle w:val="80"/>
                <w:rFonts w:hint="eastAsia" w:cs="宋体"/>
                <w:b w:val="0"/>
                <w:bCs w:val="0"/>
                <w:color w:val="auto"/>
                <w:highlight w:val="none"/>
              </w:rPr>
              <w:t>。生活污水经化粪池处理，处理后排入园区污水管网进入淮北蓝海水处理有限公司处理，处理后排入萧濉新河。</w:t>
            </w:r>
            <w:r>
              <w:rPr>
                <w:rStyle w:val="80"/>
                <w:rFonts w:hint="eastAsia" w:cs="宋体"/>
                <w:b w:val="0"/>
                <w:bCs w:val="0"/>
                <w:color w:val="auto"/>
                <w:highlight w:val="none"/>
              </w:rPr>
              <w:br w:type="textWrapping"/>
            </w:r>
            <w:r>
              <w:rPr>
                <w:rStyle w:val="80"/>
                <w:rFonts w:hint="eastAsia" w:cs="宋体"/>
                <w:b w:val="0"/>
                <w:bCs w:val="0"/>
                <w:color w:val="auto"/>
                <w:highlight w:val="none"/>
                <w:lang w:val="en-US"/>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）冷却用水</w:t>
            </w:r>
          </w:p>
          <w:p>
            <w:pPr>
              <w:spacing w:line="360" w:lineRule="auto"/>
              <w:ind w:firstLine="480" w:firstLineChars="200"/>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eastAsia="zh-CN"/>
              </w:rPr>
              <w:t>本项目中</w:t>
            </w:r>
            <w:r>
              <w:rPr>
                <w:rFonts w:hint="eastAsia" w:ascii="宋体" w:hAnsi="宋体" w:eastAsia="宋体" w:cs="宋体"/>
                <w:color w:val="auto"/>
                <w:sz w:val="24"/>
                <w:szCs w:val="24"/>
                <w:highlight w:val="none"/>
                <w:lang w:val="en-US" w:eastAsia="zh-CN"/>
              </w:rPr>
              <w:t>PP塑料型材、PE塑料型材、PP塑料板材、PE塑料板材、橡胶板</w:t>
            </w:r>
            <w:r>
              <w:rPr>
                <w:rFonts w:hint="eastAsia" w:ascii="宋体" w:hAnsi="宋体" w:eastAsia="宋体" w:cs="宋体"/>
                <w:color w:val="auto"/>
                <w:sz w:val="24"/>
                <w:szCs w:val="24"/>
                <w:highlight w:val="none"/>
                <w:lang w:eastAsia="zh-CN"/>
              </w:rPr>
              <w:t>均需经冷却水箱冷却处理。水箱内水量为循环利用，不外排，水量约为</w:t>
            </w:r>
            <w:r>
              <w:rPr>
                <w:rFonts w:hint="eastAsia" w:ascii="宋体" w:hAnsi="宋体" w:eastAsia="宋体" w:cs="宋体"/>
                <w:color w:val="auto"/>
                <w:sz w:val="24"/>
                <w:szCs w:val="24"/>
                <w:highlight w:val="none"/>
                <w:lang w:val="en-US" w:eastAsia="zh-CN"/>
              </w:rPr>
              <w:t>15m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vertAlign w:val="baseline"/>
                <w:lang w:val="en-US" w:eastAsia="zh-CN"/>
              </w:rPr>
              <w:t>，损耗量较少，定期补充即可。补充量约为450m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vertAlign w:val="baseline"/>
                <w:lang w:val="en-US" w:eastAsia="zh-CN"/>
              </w:rPr>
              <w:t>/a。</w:t>
            </w:r>
            <w:r>
              <w:rPr>
                <w:rFonts w:hint="eastAsia" w:ascii="宋体" w:hAnsi="宋体" w:cs="宋体"/>
                <w:color w:val="auto"/>
                <w:sz w:val="24"/>
                <w:szCs w:val="24"/>
                <w:highlight w:val="none"/>
                <w:vertAlign w:val="baseline"/>
                <w:lang w:val="en-US" w:eastAsia="zh-CN"/>
              </w:rPr>
              <w:t>（3）蒸汽冷凝水</w:t>
            </w:r>
            <w:r>
              <w:rPr>
                <w:rFonts w:hint="eastAsia" w:ascii="宋体" w:hAnsi="宋体" w:cs="宋体"/>
                <w:color w:val="auto"/>
                <w:sz w:val="24"/>
                <w:szCs w:val="24"/>
                <w:highlight w:val="none"/>
                <w:vertAlign w:val="baseline"/>
                <w:lang w:val="en-US" w:eastAsia="zh-CN"/>
              </w:rPr>
              <w:br w:type="textWrapping"/>
            </w:r>
            <w:r>
              <w:rPr>
                <w:rFonts w:hint="eastAsia" w:ascii="宋体" w:hAnsi="宋体" w:cs="宋体"/>
                <w:color w:val="auto"/>
                <w:sz w:val="24"/>
                <w:szCs w:val="24"/>
                <w:highlight w:val="none"/>
                <w:vertAlign w:val="baseline"/>
                <w:lang w:val="en-US" w:eastAsia="zh-CN"/>
              </w:rPr>
              <w:t xml:space="preserve">    （3）蒸汽冷凝水</w:t>
            </w:r>
            <w:r>
              <w:rPr>
                <w:rFonts w:hint="eastAsia" w:ascii="宋体" w:hAnsi="宋体" w:cs="宋体"/>
                <w:color w:val="auto"/>
                <w:sz w:val="24"/>
                <w:szCs w:val="24"/>
                <w:highlight w:val="none"/>
                <w:vertAlign w:val="baseline"/>
                <w:lang w:val="en-US" w:eastAsia="zh-CN"/>
              </w:rPr>
              <w:br w:type="textWrapping"/>
            </w:r>
            <w:r>
              <w:rPr>
                <w:rFonts w:hint="eastAsia" w:ascii="宋体" w:hAnsi="宋体" w:cs="宋体"/>
                <w:color w:val="auto"/>
                <w:sz w:val="24"/>
                <w:szCs w:val="24"/>
                <w:highlight w:val="none"/>
                <w:vertAlign w:val="baseline"/>
                <w:lang w:val="en-US" w:eastAsia="zh-CN"/>
              </w:rPr>
              <w:t xml:space="preserve">    本项目蒸汽年使用量约为6000m</w:t>
            </w:r>
            <w:r>
              <w:rPr>
                <w:rFonts w:hint="eastAsia" w:ascii="宋体" w:hAnsi="宋体" w:cs="宋体"/>
                <w:color w:val="auto"/>
                <w:sz w:val="24"/>
                <w:szCs w:val="24"/>
                <w:highlight w:val="none"/>
                <w:vertAlign w:val="superscript"/>
                <w:lang w:val="en-US" w:eastAsia="zh-CN"/>
              </w:rPr>
              <w:t>3</w:t>
            </w:r>
            <w:r>
              <w:rPr>
                <w:rFonts w:hint="eastAsia" w:ascii="宋体" w:hAnsi="宋体" w:cs="宋体"/>
                <w:color w:val="auto"/>
                <w:sz w:val="24"/>
                <w:szCs w:val="24"/>
                <w:highlight w:val="none"/>
                <w:vertAlign w:val="baseline"/>
                <w:lang w:val="en-US" w:eastAsia="zh-CN"/>
              </w:rPr>
              <w:t>/a，蒸汽冷凝水约为3000m</w:t>
            </w:r>
            <w:r>
              <w:rPr>
                <w:rFonts w:hint="eastAsia" w:ascii="宋体" w:hAnsi="宋体" w:cs="宋体"/>
                <w:color w:val="auto"/>
                <w:sz w:val="24"/>
                <w:szCs w:val="24"/>
                <w:highlight w:val="none"/>
                <w:vertAlign w:val="superscript"/>
                <w:lang w:val="en-US" w:eastAsia="zh-CN"/>
              </w:rPr>
              <w:t>3</w:t>
            </w:r>
            <w:r>
              <w:rPr>
                <w:rFonts w:hint="eastAsia" w:ascii="宋体" w:hAnsi="宋体" w:cs="宋体"/>
                <w:color w:val="auto"/>
                <w:sz w:val="24"/>
                <w:szCs w:val="24"/>
                <w:highlight w:val="none"/>
                <w:vertAlign w:val="baseline"/>
                <w:lang w:val="en-US" w:eastAsia="zh-CN"/>
              </w:rPr>
              <w:t>/a。冷凝水作为冷却用水的补充水使用，不外排。</w:t>
            </w:r>
          </w:p>
          <w:p>
            <w:pPr>
              <w:keepNext/>
              <w:keepLines/>
              <w:spacing w:line="360" w:lineRule="auto"/>
              <w:ind w:firstLine="480" w:firstLineChars="200"/>
              <w:jc w:val="left"/>
              <w:outlineLvl w:val="3"/>
              <w:rPr>
                <w:rFonts w:hint="eastAsia" w:hAnsi="宋体" w:cs="宋体"/>
                <w:color w:val="auto"/>
                <w:sz w:val="24"/>
                <w:szCs w:val="24"/>
                <w:highlight w:val="none"/>
              </w:rPr>
            </w:pPr>
            <w:r>
              <w:rPr>
                <w:rFonts w:hint="eastAsia" w:hAnsi="宋体" w:cs="宋体"/>
                <w:color w:val="auto"/>
                <w:sz w:val="24"/>
                <w:szCs w:val="24"/>
                <w:highlight w:val="none"/>
              </w:rPr>
              <w:t>废水产排情况见下表。</w:t>
            </w:r>
          </w:p>
          <w:p>
            <w:pPr>
              <w:adjustRightInd w:val="0"/>
              <w:snapToGrid w:val="0"/>
              <w:spacing w:line="360" w:lineRule="auto"/>
              <w:jc w:val="center"/>
              <w:rPr>
                <w:color w:val="auto"/>
                <w:sz w:val="24"/>
                <w:szCs w:val="24"/>
                <w:highlight w:val="none"/>
              </w:rPr>
            </w:pPr>
            <w:r>
              <w:rPr>
                <w:rFonts w:hint="eastAsia" w:cs="宋体"/>
                <w:color w:val="auto"/>
                <w:sz w:val="22"/>
                <w:szCs w:val="22"/>
                <w:highlight w:val="none"/>
              </w:rPr>
              <w:t>表</w:t>
            </w:r>
            <w:r>
              <w:rPr>
                <w:color w:val="auto"/>
                <w:sz w:val="22"/>
                <w:szCs w:val="22"/>
                <w:highlight w:val="none"/>
              </w:rPr>
              <w:t xml:space="preserve">4-1 </w:t>
            </w:r>
            <w:r>
              <w:rPr>
                <w:rFonts w:hint="eastAsia" w:cs="宋体"/>
                <w:color w:val="auto"/>
                <w:sz w:val="22"/>
                <w:szCs w:val="22"/>
                <w:highlight w:val="none"/>
              </w:rPr>
              <w:t>本项目废水产排情况汇总一览表</w:t>
            </w:r>
          </w:p>
          <w:tbl>
            <w:tblPr>
              <w:tblStyle w:val="36"/>
              <w:tblW w:w="8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854"/>
              <w:gridCol w:w="926"/>
              <w:gridCol w:w="1044"/>
              <w:gridCol w:w="1056"/>
              <w:gridCol w:w="1223"/>
              <w:gridCol w:w="1085"/>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73" w:type="pct"/>
                  <w:vMerge w:val="restar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r>
                    <w:rPr>
                      <w:rFonts w:hint="default" w:ascii="Times New Roman" w:hAnsi="Times New Roman" w:eastAsia="宋体" w:cs="宋体"/>
                      <w:color w:val="auto"/>
                      <w:sz w:val="22"/>
                      <w:szCs w:val="22"/>
                      <w:highlight w:val="none"/>
                      <w:lang w:val="en-US" w:eastAsia="zh-CN"/>
                    </w:rPr>
                    <w:t>类别</w:t>
                  </w:r>
                </w:p>
              </w:tc>
              <w:tc>
                <w:tcPr>
                  <w:tcW w:w="528" w:type="pct"/>
                  <w:vMerge w:val="restar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cs="宋体"/>
                      <w:color w:val="auto"/>
                      <w:sz w:val="22"/>
                      <w:szCs w:val="22"/>
                      <w:highlight w:val="none"/>
                    </w:rPr>
                    <w:t>排放量</w:t>
                  </w:r>
                  <w:r>
                    <w:rPr>
                      <w:rFonts w:hint="eastAsia"/>
                      <w:color w:val="auto"/>
                      <w:sz w:val="22"/>
                      <w:szCs w:val="22"/>
                      <w:highlight w:val="none"/>
                      <w:lang w:val="en-US" w:eastAsia="zh-CN"/>
                    </w:rPr>
                    <w:t>t</w:t>
                  </w:r>
                  <w:r>
                    <w:rPr>
                      <w:color w:val="auto"/>
                      <w:sz w:val="22"/>
                      <w:szCs w:val="22"/>
                      <w:highlight w:val="none"/>
                    </w:rPr>
                    <w:t>/a</w:t>
                  </w:r>
                </w:p>
              </w:tc>
              <w:tc>
                <w:tcPr>
                  <w:tcW w:w="573" w:type="pct"/>
                  <w:vMerge w:val="restar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r>
                    <w:rPr>
                      <w:rFonts w:hint="default" w:ascii="Times New Roman" w:hAnsi="Times New Roman" w:eastAsia="宋体" w:cs="宋体"/>
                      <w:color w:val="auto"/>
                      <w:sz w:val="22"/>
                      <w:szCs w:val="22"/>
                      <w:highlight w:val="none"/>
                      <w:lang w:val="en-US" w:eastAsia="zh-CN"/>
                    </w:rPr>
                    <w:t>污染物种类</w:t>
                  </w:r>
                </w:p>
              </w:tc>
              <w:tc>
                <w:tcPr>
                  <w:tcW w:w="1299" w:type="pct"/>
                  <w:gridSpan w:val="2"/>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r>
                    <w:rPr>
                      <w:rFonts w:hint="default" w:ascii="Times New Roman" w:hAnsi="Times New Roman" w:eastAsia="宋体" w:cs="宋体"/>
                      <w:color w:val="auto"/>
                      <w:sz w:val="22"/>
                      <w:szCs w:val="22"/>
                      <w:highlight w:val="none"/>
                      <w:lang w:val="en-US" w:eastAsia="zh-CN"/>
                    </w:rPr>
                    <w:t>产生情况</w:t>
                  </w:r>
                </w:p>
              </w:tc>
              <w:tc>
                <w:tcPr>
                  <w:tcW w:w="757" w:type="pct"/>
                  <w:vMerge w:val="restar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lang w:val="en-US" w:eastAsia="zh-CN"/>
                    </w:rPr>
                  </w:pPr>
                  <w:r>
                    <w:rPr>
                      <w:rFonts w:hint="default" w:ascii="Times New Roman" w:hAnsi="Times New Roman" w:eastAsia="宋体" w:cs="宋体"/>
                      <w:color w:val="auto"/>
                      <w:sz w:val="22"/>
                      <w:szCs w:val="22"/>
                      <w:highlight w:val="none"/>
                      <w:lang w:val="en-US" w:eastAsia="zh-CN"/>
                    </w:rPr>
                    <w:t>治理</w:t>
                  </w:r>
                </w:p>
                <w:p>
                  <w:pPr>
                    <w:adjustRightInd w:val="0"/>
                    <w:snapToGrid w:val="0"/>
                    <w:jc w:val="center"/>
                    <w:rPr>
                      <w:rFonts w:hint="default" w:ascii="Times New Roman" w:hAnsi="Times New Roman" w:eastAsia="宋体" w:cs="宋体"/>
                      <w:color w:val="auto"/>
                      <w:sz w:val="22"/>
                      <w:szCs w:val="22"/>
                      <w:highlight w:val="none"/>
                      <w:lang w:val="en-US" w:eastAsia="zh-CN"/>
                    </w:rPr>
                  </w:pPr>
                  <w:r>
                    <w:rPr>
                      <w:rFonts w:hint="default" w:ascii="Times New Roman" w:hAnsi="Times New Roman" w:eastAsia="宋体" w:cs="宋体"/>
                      <w:color w:val="auto"/>
                      <w:sz w:val="22"/>
                      <w:szCs w:val="22"/>
                      <w:highlight w:val="none"/>
                      <w:lang w:val="en-US" w:eastAsia="zh-CN"/>
                    </w:rPr>
                    <w:t>措施</w:t>
                  </w:r>
                </w:p>
              </w:tc>
              <w:tc>
                <w:tcPr>
                  <w:tcW w:w="1367" w:type="pct"/>
                  <w:gridSpan w:val="2"/>
                  <w:tcBorders>
                    <w:tl2br w:val="nil"/>
                    <w:tr2bl w:val="nil"/>
                  </w:tcBorders>
                  <w:noWrap w:val="0"/>
                  <w:vAlign w:val="center"/>
                </w:tcPr>
                <w:p>
                  <w:pPr>
                    <w:adjustRightInd w:val="0"/>
                    <w:snapToGrid w:val="0"/>
                    <w:jc w:val="center"/>
                    <w:rPr>
                      <w:rFonts w:hint="eastAsia" w:cs="宋体"/>
                      <w:color w:val="auto"/>
                      <w:sz w:val="22"/>
                      <w:szCs w:val="22"/>
                      <w:highlight w:val="none"/>
                      <w:lang w:val="en-US" w:eastAsia="zh-CN"/>
                    </w:rPr>
                  </w:pPr>
                  <w:r>
                    <w:rPr>
                      <w:rFonts w:hint="eastAsia" w:cs="宋体"/>
                      <w:color w:val="auto"/>
                      <w:sz w:val="22"/>
                      <w:szCs w:val="22"/>
                      <w:highlight w:val="none"/>
                      <w:lang w:val="en-US" w:eastAsia="zh-CN"/>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473" w:type="pct"/>
                  <w:vMerge w:val="continue"/>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p>
              </w:tc>
              <w:tc>
                <w:tcPr>
                  <w:tcW w:w="528" w:type="pct"/>
                  <w:vMerge w:val="continue"/>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p>
              </w:tc>
              <w:tc>
                <w:tcPr>
                  <w:tcW w:w="573" w:type="pct"/>
                  <w:vMerge w:val="continue"/>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p>
              </w:tc>
              <w:tc>
                <w:tcPr>
                  <w:tcW w:w="646"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r>
                    <w:rPr>
                      <w:rFonts w:hint="default" w:ascii="Times New Roman" w:hAnsi="Times New Roman" w:eastAsia="宋体" w:cs="宋体"/>
                      <w:color w:val="auto"/>
                      <w:sz w:val="22"/>
                      <w:szCs w:val="22"/>
                      <w:highlight w:val="none"/>
                      <w:lang w:val="en-US" w:eastAsia="zh-CN"/>
                    </w:rPr>
                    <w:t>浓度</w:t>
                  </w:r>
                  <w:r>
                    <w:rPr>
                      <w:rFonts w:hint="eastAsia" w:ascii="Times New Roman" w:hAnsi="Times New Roman" w:eastAsia="宋体" w:cs="宋体"/>
                      <w:color w:val="auto"/>
                      <w:sz w:val="22"/>
                      <w:szCs w:val="22"/>
                      <w:highlight w:val="none"/>
                      <w:lang w:val="en-US" w:eastAsia="zh-CN"/>
                    </w:rPr>
                    <w:t>（</w:t>
                  </w:r>
                  <w:r>
                    <w:rPr>
                      <w:rFonts w:hint="default" w:ascii="Times New Roman" w:hAnsi="Times New Roman" w:eastAsia="宋体" w:cs="宋体"/>
                      <w:color w:val="auto"/>
                      <w:sz w:val="22"/>
                      <w:szCs w:val="22"/>
                      <w:highlight w:val="none"/>
                      <w:lang w:val="en-US" w:eastAsia="zh-CN"/>
                    </w:rPr>
                    <w:t>mg/L</w:t>
                  </w:r>
                  <w:r>
                    <w:rPr>
                      <w:rFonts w:hint="eastAsia" w:ascii="Times New Roman" w:hAnsi="Times New Roman" w:eastAsia="宋体" w:cs="宋体"/>
                      <w:color w:val="auto"/>
                      <w:sz w:val="22"/>
                      <w:szCs w:val="22"/>
                      <w:highlight w:val="none"/>
                      <w:lang w:val="en-US" w:eastAsia="zh-CN"/>
                    </w:rPr>
                    <w:t>）</w:t>
                  </w:r>
                </w:p>
              </w:tc>
              <w:tc>
                <w:tcPr>
                  <w:tcW w:w="653"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lang w:val="en-US" w:eastAsia="zh-CN"/>
                    </w:rPr>
                    <w:t>产生</w:t>
                  </w:r>
                  <w:r>
                    <w:rPr>
                      <w:rFonts w:hint="default" w:ascii="Times New Roman" w:hAnsi="Times New Roman" w:eastAsia="宋体" w:cs="宋体"/>
                      <w:color w:val="auto"/>
                      <w:sz w:val="22"/>
                      <w:szCs w:val="22"/>
                      <w:highlight w:val="none"/>
                      <w:lang w:val="en-US" w:eastAsia="zh-CN"/>
                    </w:rPr>
                    <w:t>量</w:t>
                  </w:r>
                  <w:r>
                    <w:rPr>
                      <w:rFonts w:hint="eastAsia" w:ascii="Times New Roman" w:hAnsi="Times New Roman" w:eastAsia="宋体" w:cs="宋体"/>
                      <w:color w:val="auto"/>
                      <w:sz w:val="22"/>
                      <w:szCs w:val="22"/>
                      <w:highlight w:val="none"/>
                      <w:lang w:val="en-US" w:eastAsia="zh-CN"/>
                    </w:rPr>
                    <w:t>（</w:t>
                  </w:r>
                  <w:r>
                    <w:rPr>
                      <w:rFonts w:hint="default" w:ascii="Times New Roman" w:hAnsi="Times New Roman" w:eastAsia="宋体" w:cs="宋体"/>
                      <w:color w:val="auto"/>
                      <w:sz w:val="22"/>
                      <w:szCs w:val="22"/>
                      <w:highlight w:val="none"/>
                      <w:lang w:val="en-US" w:eastAsia="zh-CN"/>
                    </w:rPr>
                    <w:t>t/a</w:t>
                  </w:r>
                  <w:r>
                    <w:rPr>
                      <w:rFonts w:hint="eastAsia" w:ascii="Times New Roman" w:hAnsi="Times New Roman" w:eastAsia="宋体" w:cs="宋体"/>
                      <w:color w:val="auto"/>
                      <w:sz w:val="22"/>
                      <w:szCs w:val="22"/>
                      <w:highlight w:val="none"/>
                      <w:lang w:val="en-US" w:eastAsia="zh-CN"/>
                    </w:rPr>
                    <w:t>）</w:t>
                  </w:r>
                </w:p>
              </w:tc>
              <w:tc>
                <w:tcPr>
                  <w:tcW w:w="757" w:type="pct"/>
                  <w:vMerge w:val="continue"/>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lang w:val="en-US" w:eastAsia="zh-CN"/>
                    </w:rPr>
                  </w:pPr>
                </w:p>
              </w:tc>
              <w:tc>
                <w:tcPr>
                  <w:tcW w:w="671"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lang w:val="en-US" w:eastAsia="zh-CN"/>
                    </w:rPr>
                  </w:pPr>
                  <w:r>
                    <w:rPr>
                      <w:rFonts w:hint="default" w:ascii="Times New Roman" w:hAnsi="Times New Roman" w:eastAsia="宋体" w:cs="宋体"/>
                      <w:color w:val="auto"/>
                      <w:sz w:val="22"/>
                      <w:szCs w:val="22"/>
                      <w:highlight w:val="none"/>
                      <w:lang w:val="en-US" w:eastAsia="zh-CN"/>
                    </w:rPr>
                    <w:t>浓度</w:t>
                  </w:r>
                </w:p>
                <w:p>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eastAsia="宋体" w:cs="宋体"/>
                      <w:color w:val="auto"/>
                      <w:sz w:val="22"/>
                      <w:szCs w:val="22"/>
                      <w:highlight w:val="none"/>
                      <w:lang w:val="en-US" w:eastAsia="zh-CN"/>
                    </w:rPr>
                    <w:t>（</w:t>
                  </w:r>
                  <w:r>
                    <w:rPr>
                      <w:rFonts w:hint="default" w:ascii="Times New Roman" w:hAnsi="Times New Roman" w:eastAsia="宋体" w:cs="宋体"/>
                      <w:color w:val="auto"/>
                      <w:sz w:val="22"/>
                      <w:szCs w:val="22"/>
                      <w:highlight w:val="none"/>
                      <w:lang w:val="en-US" w:eastAsia="zh-CN"/>
                    </w:rPr>
                    <w:t>mg/L</w:t>
                  </w:r>
                  <w:r>
                    <w:rPr>
                      <w:rFonts w:hint="eastAsia" w:ascii="Times New Roman" w:hAnsi="Times New Roman" w:eastAsia="宋体" w:cs="宋体"/>
                      <w:color w:val="auto"/>
                      <w:sz w:val="22"/>
                      <w:szCs w:val="22"/>
                      <w:highlight w:val="none"/>
                      <w:lang w:val="en-US" w:eastAsia="zh-CN"/>
                    </w:rPr>
                    <w:t>）</w:t>
                  </w:r>
                </w:p>
              </w:tc>
              <w:tc>
                <w:tcPr>
                  <w:tcW w:w="695"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lang w:val="en-US" w:eastAsia="zh-CN"/>
                    </w:rPr>
                  </w:pPr>
                  <w:r>
                    <w:rPr>
                      <w:rFonts w:hint="default" w:ascii="Times New Roman" w:hAnsi="Times New Roman" w:eastAsia="宋体" w:cs="宋体"/>
                      <w:color w:val="auto"/>
                      <w:sz w:val="22"/>
                      <w:szCs w:val="22"/>
                      <w:highlight w:val="none"/>
                      <w:lang w:val="en-US" w:eastAsia="zh-CN"/>
                    </w:rPr>
                    <w:t>排放量</w:t>
                  </w:r>
                  <w:r>
                    <w:rPr>
                      <w:rFonts w:hint="eastAsia" w:ascii="Times New Roman" w:hAnsi="Times New Roman" w:eastAsia="宋体" w:cs="宋体"/>
                      <w:color w:val="auto"/>
                      <w:sz w:val="22"/>
                      <w:szCs w:val="22"/>
                      <w:highlight w:val="none"/>
                      <w:lang w:val="en-US" w:eastAsia="zh-CN"/>
                    </w:rPr>
                    <w:t>（</w:t>
                  </w:r>
                  <w:r>
                    <w:rPr>
                      <w:rFonts w:hint="default" w:ascii="Times New Roman" w:hAnsi="Times New Roman" w:eastAsia="宋体" w:cs="宋体"/>
                      <w:color w:val="auto"/>
                      <w:sz w:val="22"/>
                      <w:szCs w:val="22"/>
                      <w:highlight w:val="none"/>
                      <w:lang w:val="en-US" w:eastAsia="zh-CN"/>
                    </w:rPr>
                    <w:t>t/a</w:t>
                  </w:r>
                  <w:r>
                    <w:rPr>
                      <w:rFonts w:hint="eastAsia" w:ascii="Times New Roman" w:hAnsi="Times New Roman" w:eastAsia="宋体" w:cs="宋体"/>
                      <w:color w:val="auto"/>
                      <w:sz w:val="22"/>
                      <w:szCs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73" w:type="pct"/>
                  <w:vMerge w:val="restar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lang w:val="en-US" w:eastAsia="zh-CN"/>
                    </w:rPr>
                  </w:pPr>
                  <w:r>
                    <w:rPr>
                      <w:rFonts w:hint="default" w:ascii="Times New Roman" w:hAnsi="Times New Roman" w:eastAsia="宋体" w:cs="宋体"/>
                      <w:color w:val="auto"/>
                      <w:sz w:val="22"/>
                      <w:szCs w:val="22"/>
                      <w:highlight w:val="none"/>
                      <w:lang w:val="en-US" w:eastAsia="zh-CN"/>
                    </w:rPr>
                    <w:t>生活</w:t>
                  </w:r>
                </w:p>
                <w:p>
                  <w:pPr>
                    <w:adjustRightInd w:val="0"/>
                    <w:snapToGrid w:val="0"/>
                    <w:jc w:val="center"/>
                    <w:rPr>
                      <w:rFonts w:hint="default" w:ascii="Times New Roman" w:hAnsi="Times New Roman" w:eastAsia="宋体" w:cs="宋体"/>
                      <w:color w:val="auto"/>
                      <w:sz w:val="22"/>
                      <w:szCs w:val="22"/>
                      <w:highlight w:val="none"/>
                    </w:rPr>
                  </w:pPr>
                  <w:r>
                    <w:rPr>
                      <w:rFonts w:hint="default" w:ascii="Times New Roman" w:hAnsi="Times New Roman" w:eastAsia="宋体" w:cs="宋体"/>
                      <w:color w:val="auto"/>
                      <w:sz w:val="22"/>
                      <w:szCs w:val="22"/>
                      <w:highlight w:val="none"/>
                      <w:lang w:val="en-US" w:eastAsia="zh-CN"/>
                    </w:rPr>
                    <w:t>污水</w:t>
                  </w:r>
                </w:p>
              </w:tc>
              <w:tc>
                <w:tcPr>
                  <w:tcW w:w="528" w:type="pct"/>
                  <w:vMerge w:val="restar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宋体" w:hAnsi="宋体" w:cs="宋体"/>
                      <w:color w:val="auto"/>
                      <w:sz w:val="24"/>
                      <w:szCs w:val="24"/>
                      <w:lang w:val="en-US" w:eastAsia="zh-CN"/>
                    </w:rPr>
                    <w:t>288</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r>
                    <w:rPr>
                      <w:rFonts w:hint="default" w:ascii="Times New Roman" w:hAnsi="Times New Roman" w:eastAsia="宋体" w:cs="宋体"/>
                      <w:color w:val="auto"/>
                      <w:sz w:val="22"/>
                      <w:szCs w:val="22"/>
                      <w:highlight w:val="none"/>
                      <w:lang w:val="en-US" w:eastAsia="zh-CN"/>
                    </w:rPr>
                    <w:t>COD</w:t>
                  </w:r>
                </w:p>
              </w:tc>
              <w:tc>
                <w:tcPr>
                  <w:tcW w:w="646"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red"/>
                      <w:lang w:val="en-US" w:eastAsia="zh-CN"/>
                    </w:rPr>
                  </w:pPr>
                  <w:r>
                    <w:rPr>
                      <w:rFonts w:hint="default" w:ascii="Times New Roman" w:hAnsi="Times New Roman" w:cs="Times New Roman"/>
                      <w:color w:val="auto"/>
                      <w:sz w:val="21"/>
                      <w:szCs w:val="21"/>
                      <w:lang w:val="en-US" w:eastAsia="zh-CN"/>
                    </w:rPr>
                    <w:t>300</w:t>
                  </w:r>
                </w:p>
              </w:tc>
              <w:tc>
                <w:tcPr>
                  <w:tcW w:w="653" w:type="pct"/>
                  <w:tcBorders>
                    <w:tl2br w:val="nil"/>
                    <w:tr2bl w:val="nil"/>
                  </w:tcBorders>
                  <w:noWrap w:val="0"/>
                  <w:vAlign w:val="center"/>
                </w:tcPr>
                <w:p>
                  <w:pPr>
                    <w:adjustRightInd w:val="0"/>
                    <w:snapToGrid w:val="0"/>
                    <w:jc w:val="both"/>
                    <w:rPr>
                      <w:rFonts w:hint="default" w:ascii="Times New Roman" w:hAnsi="Times New Roman" w:eastAsia="宋体" w:cs="宋体"/>
                      <w:color w:val="auto"/>
                      <w:sz w:val="22"/>
                      <w:szCs w:val="22"/>
                      <w:highlight w:val="none"/>
                      <w:lang w:val="en-US" w:eastAsia="zh-CN"/>
                    </w:rPr>
                  </w:pPr>
                  <w:r>
                    <w:rPr>
                      <w:rFonts w:hint="eastAsia" w:cs="宋体"/>
                      <w:color w:val="auto"/>
                      <w:sz w:val="22"/>
                      <w:szCs w:val="22"/>
                      <w:highlight w:val="none"/>
                      <w:lang w:val="en-US" w:eastAsia="zh-CN"/>
                    </w:rPr>
                    <w:t xml:space="preserve"> 0.0864  </w:t>
                  </w:r>
                </w:p>
              </w:tc>
              <w:tc>
                <w:tcPr>
                  <w:tcW w:w="757" w:type="pct"/>
                  <w:vMerge w:val="restart"/>
                  <w:tcBorders>
                    <w:tl2br w:val="nil"/>
                    <w:tr2bl w:val="nil"/>
                  </w:tcBorders>
                  <w:noWrap w:val="0"/>
                  <w:vAlign w:val="center"/>
                </w:tcPr>
                <w:p>
                  <w:pPr>
                    <w:adjustRightInd w:val="0"/>
                    <w:snapToGrid w:val="0"/>
                    <w:jc w:val="center"/>
                    <w:rPr>
                      <w:rFonts w:hint="eastAsia" w:ascii="Times New Roman" w:hAnsi="Times New Roman" w:eastAsia="宋体" w:cs="宋体"/>
                      <w:color w:val="auto"/>
                      <w:sz w:val="22"/>
                      <w:szCs w:val="22"/>
                      <w:highlight w:val="none"/>
                      <w:lang w:val="en-US" w:eastAsia="zh-CN"/>
                    </w:rPr>
                  </w:pPr>
                  <w:r>
                    <w:rPr>
                      <w:rFonts w:hint="eastAsia" w:cs="宋体"/>
                      <w:color w:val="auto"/>
                      <w:sz w:val="22"/>
                      <w:szCs w:val="22"/>
                      <w:highlight w:val="none"/>
                      <w:lang w:val="en-US" w:eastAsia="zh-CN"/>
                    </w:rPr>
                    <w:t>化粪池</w:t>
                  </w:r>
                </w:p>
              </w:tc>
              <w:tc>
                <w:tcPr>
                  <w:tcW w:w="67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宋体"/>
                      <w:color w:val="auto"/>
                      <w:sz w:val="22"/>
                      <w:szCs w:val="22"/>
                      <w:highlight w:val="none"/>
                      <w:lang w:val="en-US" w:eastAsia="zh-CN"/>
                    </w:rPr>
                  </w:pPr>
                  <w:r>
                    <w:rPr>
                      <w:rFonts w:hint="default" w:ascii="Times New Roman" w:hAnsi="Times New Roman" w:cs="Times New Roman"/>
                      <w:color w:val="auto"/>
                      <w:sz w:val="21"/>
                      <w:szCs w:val="21"/>
                      <w:lang w:val="en-US" w:eastAsia="zh-CN"/>
                    </w:rPr>
                    <w:t>255</w:t>
                  </w:r>
                </w:p>
              </w:tc>
              <w:tc>
                <w:tcPr>
                  <w:tcW w:w="695"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cs="宋体"/>
                      <w:color w:val="auto"/>
                      <w:sz w:val="22"/>
                      <w:szCs w:val="22"/>
                      <w:highlight w:val="none"/>
                      <w:lang w:val="en-US" w:eastAsia="zh-CN"/>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73" w:type="pct"/>
                  <w:vMerge w:val="continue"/>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p>
              </w:tc>
              <w:tc>
                <w:tcPr>
                  <w:tcW w:w="528" w:type="pct"/>
                  <w:vMerge w:val="continue"/>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r>
                    <w:rPr>
                      <w:rFonts w:hint="default" w:ascii="Times New Roman" w:hAnsi="Times New Roman" w:eastAsia="宋体" w:cs="宋体"/>
                      <w:color w:val="auto"/>
                      <w:sz w:val="22"/>
                      <w:szCs w:val="22"/>
                      <w:highlight w:val="none"/>
                      <w:lang w:val="en-US" w:eastAsia="zh-CN"/>
                    </w:rPr>
                    <w:t>BOD</w:t>
                  </w:r>
                  <w:r>
                    <w:rPr>
                      <w:rFonts w:hint="eastAsia" w:ascii="Times New Roman" w:hAnsi="Times New Roman" w:eastAsia="宋体" w:cs="宋体"/>
                      <w:color w:val="auto"/>
                      <w:sz w:val="22"/>
                      <w:szCs w:val="22"/>
                      <w:highlight w:val="none"/>
                      <w:vertAlign w:val="subscript"/>
                      <w:lang w:val="en-US" w:eastAsia="zh-CN"/>
                    </w:rPr>
                    <w:t>5</w:t>
                  </w:r>
                </w:p>
              </w:tc>
              <w:tc>
                <w:tcPr>
                  <w:tcW w:w="646"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red"/>
                      <w:lang w:val="en-US" w:eastAsia="zh-CN"/>
                    </w:rPr>
                  </w:pPr>
                  <w:r>
                    <w:rPr>
                      <w:rFonts w:hint="default" w:ascii="Times New Roman" w:hAnsi="Times New Roman" w:cs="Times New Roman"/>
                      <w:color w:val="auto"/>
                      <w:sz w:val="21"/>
                      <w:szCs w:val="21"/>
                      <w:lang w:val="en-US" w:eastAsia="zh-CN"/>
                    </w:rPr>
                    <w:t>150</w:t>
                  </w:r>
                </w:p>
              </w:tc>
              <w:tc>
                <w:tcPr>
                  <w:tcW w:w="653" w:type="pct"/>
                  <w:tcBorders>
                    <w:tl2br w:val="nil"/>
                    <w:tr2bl w:val="nil"/>
                  </w:tcBorders>
                  <w:noWrap w:val="0"/>
                  <w:vAlign w:val="center"/>
                </w:tcPr>
                <w:p>
                  <w:pPr>
                    <w:adjustRightInd w:val="0"/>
                    <w:snapToGrid w:val="0"/>
                    <w:jc w:val="both"/>
                    <w:rPr>
                      <w:rFonts w:hint="default" w:ascii="Times New Roman" w:hAnsi="Times New Roman" w:eastAsia="宋体" w:cs="宋体"/>
                      <w:color w:val="auto"/>
                      <w:sz w:val="22"/>
                      <w:szCs w:val="22"/>
                      <w:highlight w:val="none"/>
                      <w:lang w:val="en-US" w:eastAsia="zh-CN"/>
                    </w:rPr>
                  </w:pPr>
                  <w:r>
                    <w:rPr>
                      <w:rFonts w:hint="eastAsia" w:cs="宋体"/>
                      <w:color w:val="auto"/>
                      <w:sz w:val="22"/>
                      <w:szCs w:val="22"/>
                      <w:highlight w:val="none"/>
                      <w:lang w:val="en-US" w:eastAsia="zh-CN"/>
                    </w:rPr>
                    <w:t xml:space="preserve"> 0.0432 </w:t>
                  </w:r>
                </w:p>
              </w:tc>
              <w:tc>
                <w:tcPr>
                  <w:tcW w:w="757" w:type="pct"/>
                  <w:vMerge w:val="continue"/>
                  <w:tcBorders>
                    <w:tl2br w:val="nil"/>
                    <w:tr2bl w:val="nil"/>
                  </w:tcBorders>
                  <w:noWrap w:val="0"/>
                  <w:vAlign w:val="center"/>
                </w:tcPr>
                <w:p>
                  <w:pPr>
                    <w:adjustRightInd w:val="0"/>
                    <w:snapToGrid w:val="0"/>
                    <w:jc w:val="center"/>
                    <w:rPr>
                      <w:rFonts w:hint="eastAsia" w:ascii="Times New Roman" w:hAnsi="Times New Roman" w:eastAsia="宋体" w:cs="宋体"/>
                      <w:color w:val="auto"/>
                      <w:sz w:val="22"/>
                      <w:szCs w:val="22"/>
                      <w:highlight w:val="none"/>
                      <w:lang w:val="en-US" w:eastAsia="zh-CN"/>
                    </w:rPr>
                  </w:pPr>
                </w:p>
              </w:tc>
              <w:tc>
                <w:tcPr>
                  <w:tcW w:w="67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宋体"/>
                      <w:color w:val="auto"/>
                      <w:sz w:val="22"/>
                      <w:szCs w:val="22"/>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r>
                    <w:rPr>
                      <w:rFonts w:hint="eastAsia" w:cs="Times New Roman"/>
                      <w:i w:val="0"/>
                      <w:color w:val="auto"/>
                      <w:kern w:val="0"/>
                      <w:sz w:val="21"/>
                      <w:szCs w:val="21"/>
                      <w:highlight w:val="none"/>
                      <w:u w:val="none"/>
                      <w:lang w:val="en-US" w:eastAsia="zh-CN" w:bidi="ar"/>
                    </w:rPr>
                    <w:t>20</w:t>
                  </w:r>
                </w:p>
              </w:tc>
              <w:tc>
                <w:tcPr>
                  <w:tcW w:w="695"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cs="宋体"/>
                      <w:color w:val="auto"/>
                      <w:sz w:val="22"/>
                      <w:szCs w:val="22"/>
                      <w:highlight w:val="none"/>
                      <w:lang w:val="en-US" w:eastAsia="zh-CN"/>
                    </w:rPr>
                    <w:t>0.03456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473" w:type="pct"/>
                  <w:vMerge w:val="continue"/>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p>
              </w:tc>
              <w:tc>
                <w:tcPr>
                  <w:tcW w:w="528" w:type="pct"/>
                  <w:vMerge w:val="continue"/>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r>
                    <w:rPr>
                      <w:rFonts w:hint="default" w:ascii="Times New Roman" w:hAnsi="Times New Roman" w:eastAsia="宋体" w:cs="宋体"/>
                      <w:color w:val="auto"/>
                      <w:sz w:val="22"/>
                      <w:szCs w:val="22"/>
                      <w:highlight w:val="none"/>
                      <w:lang w:val="en-US" w:eastAsia="zh-CN"/>
                    </w:rPr>
                    <w:t>SS</w:t>
                  </w:r>
                </w:p>
              </w:tc>
              <w:tc>
                <w:tcPr>
                  <w:tcW w:w="646"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red"/>
                      <w:lang w:val="en-US" w:eastAsia="zh-CN"/>
                    </w:rPr>
                  </w:pPr>
                  <w:r>
                    <w:rPr>
                      <w:rFonts w:hint="default" w:ascii="Times New Roman" w:hAnsi="Times New Roman" w:cs="Times New Roman"/>
                      <w:color w:val="auto"/>
                      <w:sz w:val="21"/>
                      <w:szCs w:val="21"/>
                      <w:lang w:val="en-US" w:eastAsia="zh-CN"/>
                    </w:rPr>
                    <w:t>200</w:t>
                  </w:r>
                </w:p>
              </w:tc>
              <w:tc>
                <w:tcPr>
                  <w:tcW w:w="653"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cs="宋体"/>
                      <w:color w:val="auto"/>
                      <w:sz w:val="22"/>
                      <w:szCs w:val="22"/>
                      <w:highlight w:val="none"/>
                      <w:lang w:val="en-US" w:eastAsia="zh-CN"/>
                    </w:rPr>
                    <w:t xml:space="preserve">0.0576   </w:t>
                  </w:r>
                </w:p>
              </w:tc>
              <w:tc>
                <w:tcPr>
                  <w:tcW w:w="757" w:type="pct"/>
                  <w:vMerge w:val="continue"/>
                  <w:tcBorders>
                    <w:tl2br w:val="nil"/>
                    <w:tr2bl w:val="nil"/>
                  </w:tcBorders>
                  <w:noWrap w:val="0"/>
                  <w:vAlign w:val="center"/>
                </w:tcPr>
                <w:p>
                  <w:pPr>
                    <w:adjustRightInd w:val="0"/>
                    <w:snapToGrid w:val="0"/>
                    <w:jc w:val="center"/>
                    <w:rPr>
                      <w:rFonts w:hint="eastAsia" w:ascii="Times New Roman" w:hAnsi="Times New Roman" w:eastAsia="宋体" w:cs="宋体"/>
                      <w:color w:val="auto"/>
                      <w:sz w:val="22"/>
                      <w:szCs w:val="22"/>
                      <w:highlight w:val="none"/>
                      <w:lang w:val="en-US" w:eastAsia="zh-CN"/>
                    </w:rPr>
                  </w:pPr>
                </w:p>
              </w:tc>
              <w:tc>
                <w:tcPr>
                  <w:tcW w:w="67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宋体"/>
                      <w:color w:val="auto"/>
                      <w:sz w:val="22"/>
                      <w:szCs w:val="22"/>
                      <w:highlight w:val="none"/>
                      <w:lang w:val="en-US" w:eastAsia="zh-CN"/>
                    </w:rPr>
                  </w:pPr>
                  <w:r>
                    <w:rPr>
                      <w:rFonts w:hint="eastAsia" w:cs="Times New Roman"/>
                      <w:i w:val="0"/>
                      <w:color w:val="auto"/>
                      <w:kern w:val="0"/>
                      <w:sz w:val="21"/>
                      <w:szCs w:val="21"/>
                      <w:highlight w:val="none"/>
                      <w:u w:val="none"/>
                      <w:lang w:val="en-US" w:eastAsia="zh-CN" w:bidi="ar"/>
                    </w:rPr>
                    <w:t>140</w:t>
                  </w:r>
                </w:p>
              </w:tc>
              <w:tc>
                <w:tcPr>
                  <w:tcW w:w="695"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cs="宋体"/>
                      <w:color w:val="auto"/>
                      <w:sz w:val="22"/>
                      <w:szCs w:val="22"/>
                      <w:highlight w:val="none"/>
                      <w:lang w:val="en-US" w:eastAsia="zh-CN"/>
                    </w:rPr>
                    <w:t>0.04032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473" w:type="pct"/>
                  <w:vMerge w:val="continue"/>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p>
              </w:tc>
              <w:tc>
                <w:tcPr>
                  <w:tcW w:w="528" w:type="pct"/>
                  <w:vMerge w:val="continue"/>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rPr>
                  </w:pPr>
                  <w:r>
                    <w:rPr>
                      <w:rFonts w:hint="default" w:ascii="Times New Roman" w:hAnsi="Times New Roman" w:eastAsia="宋体" w:cs="宋体"/>
                      <w:color w:val="auto"/>
                      <w:sz w:val="22"/>
                      <w:szCs w:val="22"/>
                      <w:highlight w:val="none"/>
                      <w:lang w:val="en-US" w:eastAsia="zh-CN"/>
                    </w:rPr>
                    <w:t>NH</w:t>
                  </w:r>
                  <w:r>
                    <w:rPr>
                      <w:rFonts w:hint="default" w:ascii="Times New Roman" w:hAnsi="Times New Roman" w:eastAsia="宋体" w:cs="宋体"/>
                      <w:color w:val="auto"/>
                      <w:sz w:val="22"/>
                      <w:szCs w:val="22"/>
                      <w:highlight w:val="none"/>
                      <w:vertAlign w:val="subscript"/>
                      <w:lang w:val="en-US" w:eastAsia="zh-CN"/>
                    </w:rPr>
                    <w:t>3</w:t>
                  </w:r>
                  <w:r>
                    <w:rPr>
                      <w:rFonts w:hint="default" w:ascii="Times New Roman" w:hAnsi="Times New Roman" w:eastAsia="宋体" w:cs="宋体"/>
                      <w:color w:val="auto"/>
                      <w:sz w:val="22"/>
                      <w:szCs w:val="22"/>
                      <w:highlight w:val="none"/>
                      <w:lang w:val="en-US" w:eastAsia="zh-CN"/>
                    </w:rPr>
                    <w:t>-H</w:t>
                  </w:r>
                </w:p>
              </w:tc>
              <w:tc>
                <w:tcPr>
                  <w:tcW w:w="646"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red"/>
                      <w:lang w:val="en-US" w:eastAsia="zh-CN"/>
                    </w:rPr>
                  </w:pPr>
                  <w:r>
                    <w:rPr>
                      <w:rFonts w:hint="eastAsia" w:ascii="Times New Roman" w:hAnsi="Times New Roman" w:cs="Times New Roman"/>
                      <w:color w:val="auto"/>
                      <w:sz w:val="21"/>
                      <w:szCs w:val="21"/>
                      <w:lang w:val="en-US" w:eastAsia="zh-CN"/>
                    </w:rPr>
                    <w:t>30</w:t>
                  </w:r>
                </w:p>
              </w:tc>
              <w:tc>
                <w:tcPr>
                  <w:tcW w:w="653" w:type="pct"/>
                  <w:tcBorders>
                    <w:tl2br w:val="nil"/>
                    <w:tr2bl w:val="nil"/>
                  </w:tcBorders>
                  <w:noWrap w:val="0"/>
                  <w:vAlign w:val="center"/>
                </w:tcPr>
                <w:p>
                  <w:pPr>
                    <w:adjustRightInd w:val="0"/>
                    <w:snapToGrid w:val="0"/>
                    <w:jc w:val="left"/>
                    <w:rPr>
                      <w:rFonts w:hint="default" w:ascii="Times New Roman" w:hAnsi="Times New Roman" w:eastAsia="宋体" w:cs="宋体"/>
                      <w:color w:val="auto"/>
                      <w:sz w:val="22"/>
                      <w:szCs w:val="22"/>
                      <w:highlight w:val="none"/>
                      <w:lang w:val="en-US" w:eastAsia="zh-CN"/>
                    </w:rPr>
                  </w:pPr>
                  <w:r>
                    <w:rPr>
                      <w:rFonts w:hint="eastAsia" w:cs="宋体"/>
                      <w:color w:val="auto"/>
                      <w:sz w:val="22"/>
                      <w:szCs w:val="22"/>
                      <w:highlight w:val="none"/>
                      <w:lang w:val="en-US" w:eastAsia="zh-CN"/>
                    </w:rPr>
                    <w:t xml:space="preserve">0.00864   </w:t>
                  </w:r>
                </w:p>
              </w:tc>
              <w:tc>
                <w:tcPr>
                  <w:tcW w:w="757" w:type="pct"/>
                  <w:vMerge w:val="continue"/>
                  <w:tcBorders>
                    <w:tl2br w:val="nil"/>
                    <w:tr2bl w:val="nil"/>
                  </w:tcBorders>
                  <w:noWrap w:val="0"/>
                  <w:vAlign w:val="center"/>
                </w:tcPr>
                <w:p>
                  <w:pPr>
                    <w:adjustRightInd w:val="0"/>
                    <w:snapToGrid w:val="0"/>
                    <w:jc w:val="center"/>
                    <w:rPr>
                      <w:rFonts w:hint="eastAsia" w:ascii="Times New Roman" w:hAnsi="Times New Roman" w:eastAsia="宋体" w:cs="宋体"/>
                      <w:color w:val="auto"/>
                      <w:sz w:val="22"/>
                      <w:szCs w:val="22"/>
                      <w:highlight w:val="none"/>
                      <w:lang w:val="en-US" w:eastAsia="zh-CN"/>
                    </w:rPr>
                  </w:pPr>
                </w:p>
              </w:tc>
              <w:tc>
                <w:tcPr>
                  <w:tcW w:w="67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宋体"/>
                      <w:color w:val="auto"/>
                      <w:sz w:val="22"/>
                      <w:szCs w:val="22"/>
                      <w:highlight w:val="none"/>
                      <w:lang w:val="en-US" w:eastAsia="zh-CN"/>
                    </w:rPr>
                  </w:pPr>
                  <w:r>
                    <w:rPr>
                      <w:rFonts w:hint="eastAsia" w:cs="Times New Roman"/>
                      <w:i w:val="0"/>
                      <w:color w:val="auto"/>
                      <w:kern w:val="0"/>
                      <w:sz w:val="21"/>
                      <w:szCs w:val="21"/>
                      <w:highlight w:val="none"/>
                      <w:u w:val="none"/>
                      <w:lang w:val="en-US" w:eastAsia="zh-CN" w:bidi="ar"/>
                    </w:rPr>
                    <w:t>28.5</w:t>
                  </w:r>
                </w:p>
              </w:tc>
              <w:tc>
                <w:tcPr>
                  <w:tcW w:w="695" w:type="pct"/>
                  <w:tcBorders>
                    <w:tl2br w:val="nil"/>
                    <w:tr2bl w:val="nil"/>
                  </w:tcBorders>
                  <w:noWrap w:val="0"/>
                  <w:vAlign w:val="center"/>
                </w:tcPr>
                <w:p>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cs="宋体"/>
                      <w:color w:val="auto"/>
                      <w:sz w:val="22"/>
                      <w:szCs w:val="22"/>
                      <w:highlight w:val="none"/>
                      <w:lang w:val="en-US" w:eastAsia="zh-CN"/>
                    </w:rPr>
                    <w:t>0.008208</w:t>
                  </w:r>
                </w:p>
              </w:tc>
            </w:tr>
          </w:tbl>
          <w:p>
            <w:pPr>
              <w:spacing w:line="360" w:lineRule="auto"/>
              <w:ind w:firstLine="480" w:firstLineChars="200"/>
              <w:rPr>
                <w:rStyle w:val="80"/>
                <w:rFonts w:hint="eastAsia" w:ascii="Times New Roman" w:hAnsi="Times New Roman" w:cs="宋体"/>
                <w:b w:val="0"/>
                <w:bCs w:val="0"/>
                <w:color w:val="auto"/>
                <w:highlight w:val="none"/>
              </w:rPr>
            </w:pPr>
          </w:p>
          <w:p>
            <w:pPr>
              <w:spacing w:line="360" w:lineRule="auto"/>
              <w:ind w:firstLine="480" w:firstLineChars="200"/>
              <w:rPr>
                <w:rStyle w:val="80"/>
                <w:rFonts w:hint="eastAsia" w:ascii="Times New Roman" w:hAnsi="Times New Roman" w:cs="宋体"/>
                <w:b w:val="0"/>
                <w:bCs w:val="0"/>
                <w:color w:val="auto"/>
                <w:highlight w:val="none"/>
              </w:rPr>
            </w:pPr>
            <w:r>
              <w:rPr>
                <w:rStyle w:val="80"/>
                <w:rFonts w:hint="eastAsia" w:ascii="Times New Roman" w:hAnsi="Times New Roman" w:cs="宋体"/>
                <w:b w:val="0"/>
                <w:bCs w:val="0"/>
                <w:color w:val="auto"/>
                <w:highlight w:val="none"/>
              </w:rPr>
              <w:t>由上表可知，本项目运营期间废水排放能够同时满足</w:t>
            </w:r>
            <w:r>
              <w:rPr>
                <w:rStyle w:val="80"/>
                <w:rFonts w:hint="eastAsia" w:cs="宋体"/>
                <w:b w:val="0"/>
                <w:bCs w:val="0"/>
                <w:color w:val="auto"/>
                <w:highlight w:val="none"/>
              </w:rPr>
              <w:t>淮北蓝海水处理有限公司</w:t>
            </w:r>
            <w:r>
              <w:rPr>
                <w:rStyle w:val="80"/>
                <w:rFonts w:hint="eastAsia" w:ascii="Times New Roman" w:hAnsi="Times New Roman" w:cs="宋体"/>
                <w:b w:val="0"/>
                <w:bCs w:val="0"/>
                <w:color w:val="auto"/>
                <w:highlight w:val="none"/>
              </w:rPr>
              <w:t>接管限值及《污水综合排放标准》（GB8978- 1996）表 4 中三级标准。</w:t>
            </w:r>
          </w:p>
          <w:p>
            <w:pPr>
              <w:spacing w:line="360" w:lineRule="auto"/>
              <w:ind w:firstLine="480" w:firstLineChars="200"/>
              <w:rPr>
                <w:rStyle w:val="80"/>
                <w:b w:val="0"/>
                <w:bCs w:val="0"/>
                <w:color w:val="auto"/>
                <w:highlight w:val="none"/>
              </w:rPr>
            </w:pPr>
            <w:r>
              <w:rPr>
                <w:rStyle w:val="80"/>
                <w:rFonts w:hint="eastAsia" w:ascii="Times New Roman" w:hAnsi="Times New Roman" w:cs="宋体"/>
                <w:b w:val="0"/>
                <w:bCs w:val="0"/>
                <w:color w:val="auto"/>
                <w:highlight w:val="none"/>
              </w:rPr>
              <w:t>本</w:t>
            </w:r>
            <w:r>
              <w:rPr>
                <w:rStyle w:val="80"/>
                <w:rFonts w:hint="eastAsia" w:cs="宋体"/>
                <w:b w:val="0"/>
                <w:bCs w:val="0"/>
                <w:color w:val="auto"/>
                <w:highlight w:val="none"/>
              </w:rPr>
              <w:t>项目废水间接排放口基本情况表见表。</w:t>
            </w:r>
          </w:p>
          <w:p>
            <w:pPr>
              <w:adjustRightInd w:val="0"/>
              <w:snapToGrid w:val="0"/>
              <w:spacing w:line="360" w:lineRule="auto"/>
              <w:jc w:val="center"/>
              <w:rPr>
                <w:color w:val="auto"/>
                <w:sz w:val="24"/>
                <w:szCs w:val="24"/>
                <w:highlight w:val="none"/>
              </w:rPr>
            </w:pPr>
            <w:r>
              <w:rPr>
                <w:rFonts w:hint="eastAsia" w:cs="宋体"/>
                <w:color w:val="auto"/>
                <w:sz w:val="22"/>
                <w:szCs w:val="22"/>
                <w:highlight w:val="none"/>
              </w:rPr>
              <w:t>表</w:t>
            </w:r>
            <w:r>
              <w:rPr>
                <w:color w:val="auto"/>
                <w:sz w:val="22"/>
                <w:szCs w:val="22"/>
                <w:highlight w:val="none"/>
              </w:rPr>
              <w:t xml:space="preserve">4-2  </w:t>
            </w:r>
            <w:r>
              <w:rPr>
                <w:rFonts w:hint="eastAsia" w:cs="宋体"/>
                <w:color w:val="auto"/>
                <w:sz w:val="22"/>
                <w:szCs w:val="22"/>
                <w:highlight w:val="none"/>
              </w:rPr>
              <w:t>废水间接排放口基本情况表</w:t>
            </w:r>
          </w:p>
          <w:tbl>
            <w:tblPr>
              <w:tblStyle w:val="36"/>
              <w:tblW w:w="8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36"/>
              <w:gridCol w:w="736"/>
              <w:gridCol w:w="742"/>
              <w:gridCol w:w="736"/>
              <w:gridCol w:w="615"/>
              <w:gridCol w:w="671"/>
              <w:gridCol w:w="701"/>
              <w:gridCol w:w="736"/>
              <w:gridCol w:w="736"/>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42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序号</w:t>
                  </w:r>
                </w:p>
              </w:tc>
              <w:tc>
                <w:tcPr>
                  <w:tcW w:w="7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排放口编号</w:t>
                  </w:r>
                </w:p>
              </w:tc>
              <w:tc>
                <w:tcPr>
                  <w:tcW w:w="147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排放口地理坐标</w:t>
                  </w:r>
                </w:p>
              </w:tc>
              <w:tc>
                <w:tcPr>
                  <w:tcW w:w="7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废水排放量</w:t>
                  </w:r>
                  <w:r>
                    <w:rPr>
                      <w:color w:val="auto"/>
                      <w:sz w:val="22"/>
                      <w:szCs w:val="22"/>
                      <w:highlight w:val="none"/>
                    </w:rPr>
                    <w:t>/</w:t>
                  </w:r>
                  <w:r>
                    <w:rPr>
                      <w:rFonts w:hint="eastAsia" w:cs="宋体"/>
                      <w:color w:val="auto"/>
                      <w:sz w:val="22"/>
                      <w:szCs w:val="22"/>
                      <w:highlight w:val="none"/>
                    </w:rPr>
                    <w:t>（万</w:t>
                  </w:r>
                  <w:r>
                    <w:rPr>
                      <w:color w:val="auto"/>
                      <w:sz w:val="22"/>
                      <w:szCs w:val="22"/>
                      <w:highlight w:val="none"/>
                    </w:rPr>
                    <w:t>t/a</w:t>
                  </w:r>
                  <w:r>
                    <w:rPr>
                      <w:rFonts w:hint="eastAsia" w:cs="宋体"/>
                      <w:color w:val="auto"/>
                      <w:sz w:val="22"/>
                      <w:szCs w:val="22"/>
                      <w:highlight w:val="none"/>
                    </w:rPr>
                    <w:t>）</w:t>
                  </w:r>
                </w:p>
              </w:tc>
              <w:tc>
                <w:tcPr>
                  <w:tcW w:w="61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排放去向</w:t>
                  </w:r>
                </w:p>
              </w:tc>
              <w:tc>
                <w:tcPr>
                  <w:tcW w:w="67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排放规律</w:t>
                  </w:r>
                </w:p>
              </w:tc>
              <w:tc>
                <w:tcPr>
                  <w:tcW w:w="70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间歇排放时段</w:t>
                  </w:r>
                </w:p>
              </w:tc>
              <w:tc>
                <w:tcPr>
                  <w:tcW w:w="277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jc w:val="center"/>
              </w:trPr>
              <w:tc>
                <w:tcPr>
                  <w:tcW w:w="42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73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经度</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纬度</w:t>
                  </w:r>
                </w:p>
              </w:tc>
              <w:tc>
                <w:tcPr>
                  <w:tcW w:w="73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61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名称</w:t>
                  </w:r>
                </w:p>
              </w:tc>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污染物种类</w:t>
                  </w:r>
                </w:p>
              </w:tc>
              <w:tc>
                <w:tcPr>
                  <w:tcW w:w="13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国家或地方污染物排放标准浓度</w:t>
                  </w:r>
                  <w:r>
                    <w:rPr>
                      <w:color w:val="auto"/>
                      <w:sz w:val="22"/>
                      <w:szCs w:val="22"/>
                      <w:highlight w:val="none"/>
                    </w:rPr>
                    <w:t>/</w:t>
                  </w:r>
                  <w:r>
                    <w:rPr>
                      <w:rFonts w:hint="eastAsia" w:cs="宋体"/>
                      <w:color w:val="auto"/>
                      <w:sz w:val="22"/>
                      <w:szCs w:val="22"/>
                      <w:highlight w:val="none"/>
                    </w:rPr>
                    <w:t>（</w:t>
                  </w:r>
                  <w:r>
                    <w:rPr>
                      <w:color w:val="auto"/>
                      <w:sz w:val="22"/>
                      <w:szCs w:val="22"/>
                      <w:highlight w:val="none"/>
                    </w:rPr>
                    <w:t>mg/L</w:t>
                  </w:r>
                  <w:r>
                    <w:rPr>
                      <w:rFonts w:hint="eastAsia"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jc w:val="center"/>
              </w:trPr>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color w:val="auto"/>
                      <w:sz w:val="22"/>
                      <w:szCs w:val="22"/>
                      <w:highlight w:val="none"/>
                    </w:rPr>
                    <w:t>1</w:t>
                  </w:r>
                </w:p>
              </w:tc>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color w:val="auto"/>
                      <w:sz w:val="22"/>
                      <w:szCs w:val="22"/>
                      <w:highlight w:val="none"/>
                    </w:rPr>
                    <w:t>DW001</w:t>
                  </w:r>
                </w:p>
              </w:tc>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color w:val="auto"/>
                      <w:sz w:val="22"/>
                      <w:szCs w:val="22"/>
                      <w:highlight w:val="none"/>
                      <w:lang w:val="en-US" w:eastAsia="zh-CN"/>
                    </w:rPr>
                  </w:pPr>
                  <w:r>
                    <w:rPr>
                      <w:rFonts w:hint="default"/>
                      <w:color w:val="auto"/>
                      <w:sz w:val="22"/>
                      <w:szCs w:val="22"/>
                      <w:highlight w:val="none"/>
                      <w:lang w:val="en-US" w:eastAsia="zh-CN"/>
                    </w:rPr>
                    <w:t>116.845799025</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color w:val="auto"/>
                      <w:sz w:val="22"/>
                      <w:szCs w:val="22"/>
                      <w:highlight w:val="none"/>
                      <w:lang w:val="en-US" w:eastAsia="zh-CN"/>
                    </w:rPr>
                  </w:pPr>
                  <w:r>
                    <w:rPr>
                      <w:rFonts w:hint="default"/>
                      <w:color w:val="auto"/>
                      <w:sz w:val="22"/>
                      <w:szCs w:val="22"/>
                      <w:highlight w:val="none"/>
                      <w:lang w:val="en-US" w:eastAsia="zh-CN"/>
                    </w:rPr>
                    <w:t>33.810734973</w:t>
                  </w:r>
                </w:p>
              </w:tc>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olor w:val="auto"/>
                      <w:sz w:val="22"/>
                      <w:szCs w:val="22"/>
                      <w:highlight w:val="red"/>
                      <w:lang w:val="en-US" w:eastAsia="zh-CN"/>
                    </w:rPr>
                  </w:pPr>
                  <w:r>
                    <w:rPr>
                      <w:rFonts w:hint="eastAsia"/>
                      <w:color w:val="auto"/>
                      <w:sz w:val="22"/>
                      <w:szCs w:val="22"/>
                      <w:highlight w:val="none"/>
                      <w:lang w:val="en-US" w:eastAsia="zh-CN"/>
                    </w:rPr>
                    <w:t>0.0288</w:t>
                  </w:r>
                </w:p>
              </w:tc>
              <w:tc>
                <w:tcPr>
                  <w:tcW w:w="6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lang w:eastAsia="zh-CN"/>
                    </w:rPr>
                    <w:t>园区</w:t>
                  </w:r>
                  <w:r>
                    <w:rPr>
                      <w:rFonts w:hint="eastAsia" w:cs="宋体"/>
                      <w:color w:val="auto"/>
                      <w:sz w:val="22"/>
                      <w:szCs w:val="22"/>
                      <w:highlight w:val="none"/>
                    </w:rPr>
                    <w:t>管网</w:t>
                  </w:r>
                </w:p>
              </w:tc>
              <w:tc>
                <w:tcPr>
                  <w:tcW w:w="67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间断排放</w:t>
                  </w:r>
                </w:p>
              </w:tc>
              <w:tc>
                <w:tcPr>
                  <w:tcW w:w="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color w:val="auto"/>
                      <w:sz w:val="22"/>
                      <w:szCs w:val="22"/>
                      <w:highlight w:val="none"/>
                    </w:rPr>
                    <w:t>--</w:t>
                  </w:r>
                </w:p>
              </w:tc>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color w:val="auto"/>
                      <w:sz w:val="22"/>
                      <w:szCs w:val="22"/>
                      <w:highlight w:val="none"/>
                      <w:lang w:eastAsia="zh-CN"/>
                    </w:rPr>
                  </w:pPr>
                  <w:r>
                    <w:rPr>
                      <w:rFonts w:hint="eastAsia" w:cs="宋体"/>
                      <w:color w:val="auto"/>
                      <w:sz w:val="22"/>
                      <w:szCs w:val="22"/>
                      <w:highlight w:val="none"/>
                      <w:lang w:eastAsia="zh-CN"/>
                    </w:rPr>
                    <w:t>淮北蓝海水处理有限公司</w:t>
                  </w:r>
                </w:p>
              </w:tc>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color w:val="auto"/>
                      <w:sz w:val="22"/>
                      <w:szCs w:val="22"/>
                      <w:highlight w:val="none"/>
                    </w:rPr>
                    <w:t>COD</w:t>
                  </w:r>
                  <w:r>
                    <w:rPr>
                      <w:rFonts w:hint="eastAsia" w:cs="宋体"/>
                      <w:color w:val="auto"/>
                      <w:sz w:val="22"/>
                      <w:szCs w:val="22"/>
                      <w:highlight w:val="none"/>
                    </w:rPr>
                    <w:t>、氨氮、</w:t>
                  </w:r>
                  <w:r>
                    <w:rPr>
                      <w:color w:val="auto"/>
                      <w:sz w:val="22"/>
                      <w:szCs w:val="22"/>
                      <w:highlight w:val="none"/>
                    </w:rPr>
                    <w:t>SS</w:t>
                  </w:r>
                  <w:r>
                    <w:rPr>
                      <w:rFonts w:hint="eastAsia" w:cs="宋体"/>
                      <w:color w:val="auto"/>
                      <w:sz w:val="22"/>
                      <w:szCs w:val="22"/>
                      <w:highlight w:val="none"/>
                    </w:rPr>
                    <w:t>、</w:t>
                  </w:r>
                  <w:r>
                    <w:rPr>
                      <w:color w:val="auto"/>
                      <w:sz w:val="22"/>
                      <w:szCs w:val="22"/>
                      <w:highlight w:val="none"/>
                    </w:rPr>
                    <w:t>BOD</w:t>
                  </w:r>
                  <w:r>
                    <w:rPr>
                      <w:color w:val="auto"/>
                      <w:sz w:val="22"/>
                      <w:szCs w:val="22"/>
                      <w:highlight w:val="none"/>
                      <w:vertAlign w:val="subscript"/>
                    </w:rPr>
                    <w:t>5</w:t>
                  </w:r>
                </w:p>
              </w:tc>
              <w:tc>
                <w:tcPr>
                  <w:tcW w:w="13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color w:val="auto"/>
                      <w:sz w:val="22"/>
                      <w:szCs w:val="22"/>
                      <w:highlight w:val="none"/>
                      <w:lang w:val="en-US" w:eastAsia="zh-CN"/>
                    </w:rPr>
                  </w:pPr>
                  <w:r>
                    <w:rPr>
                      <w:color w:val="auto"/>
                      <w:sz w:val="22"/>
                      <w:szCs w:val="22"/>
                      <w:highlight w:val="none"/>
                    </w:rPr>
                    <w:t>COD</w:t>
                  </w:r>
                  <w:r>
                    <w:rPr>
                      <w:rFonts w:hint="eastAsia" w:cs="宋体"/>
                      <w:color w:val="auto"/>
                      <w:sz w:val="22"/>
                      <w:szCs w:val="22"/>
                      <w:highlight w:val="none"/>
                    </w:rPr>
                    <w:t>：</w:t>
                  </w:r>
                  <w:r>
                    <w:rPr>
                      <w:color w:val="auto"/>
                      <w:sz w:val="22"/>
                      <w:szCs w:val="22"/>
                      <w:highlight w:val="none"/>
                    </w:rPr>
                    <w:t>50</w:t>
                  </w:r>
                  <w:r>
                    <w:rPr>
                      <w:rFonts w:hint="eastAsia" w:cs="宋体"/>
                      <w:color w:val="auto"/>
                      <w:sz w:val="22"/>
                      <w:szCs w:val="22"/>
                      <w:highlight w:val="none"/>
                    </w:rPr>
                    <w:t>，</w:t>
                  </w:r>
                  <w:r>
                    <w:rPr>
                      <w:color w:val="auto"/>
                      <w:sz w:val="22"/>
                      <w:szCs w:val="22"/>
                      <w:highlight w:val="none"/>
                    </w:rPr>
                    <w:t>SS</w:t>
                  </w:r>
                  <w:r>
                    <w:rPr>
                      <w:rFonts w:hint="eastAsia" w:cs="宋体"/>
                      <w:color w:val="auto"/>
                      <w:sz w:val="22"/>
                      <w:szCs w:val="22"/>
                      <w:highlight w:val="none"/>
                    </w:rPr>
                    <w:t>：</w:t>
                  </w:r>
                  <w:r>
                    <w:rPr>
                      <w:color w:val="auto"/>
                      <w:sz w:val="22"/>
                      <w:szCs w:val="22"/>
                      <w:highlight w:val="none"/>
                    </w:rPr>
                    <w:t>10</w:t>
                  </w:r>
                  <w:r>
                    <w:rPr>
                      <w:rFonts w:hint="eastAsia" w:cs="宋体"/>
                      <w:color w:val="auto"/>
                      <w:sz w:val="22"/>
                      <w:szCs w:val="22"/>
                      <w:highlight w:val="none"/>
                    </w:rPr>
                    <w:t>，</w:t>
                  </w:r>
                  <w:r>
                    <w:rPr>
                      <w:color w:val="auto"/>
                      <w:sz w:val="22"/>
                      <w:szCs w:val="22"/>
                      <w:highlight w:val="none"/>
                    </w:rPr>
                    <w:t>BOD</w:t>
                  </w:r>
                  <w:r>
                    <w:rPr>
                      <w:color w:val="auto"/>
                      <w:sz w:val="22"/>
                      <w:szCs w:val="22"/>
                      <w:highlight w:val="none"/>
                      <w:vertAlign w:val="subscript"/>
                    </w:rPr>
                    <w:t>5</w:t>
                  </w:r>
                  <w:r>
                    <w:rPr>
                      <w:rFonts w:hint="eastAsia" w:cs="宋体"/>
                      <w:color w:val="auto"/>
                      <w:sz w:val="22"/>
                      <w:szCs w:val="22"/>
                      <w:highlight w:val="none"/>
                    </w:rPr>
                    <w:t>：</w:t>
                  </w:r>
                  <w:r>
                    <w:rPr>
                      <w:color w:val="auto"/>
                      <w:sz w:val="22"/>
                      <w:szCs w:val="22"/>
                      <w:highlight w:val="none"/>
                    </w:rPr>
                    <w:t>10</w:t>
                  </w:r>
                  <w:r>
                    <w:rPr>
                      <w:rFonts w:hint="eastAsia" w:cs="宋体"/>
                      <w:color w:val="auto"/>
                      <w:sz w:val="22"/>
                      <w:szCs w:val="22"/>
                      <w:highlight w:val="none"/>
                    </w:rPr>
                    <w:t>，氨氮：</w:t>
                  </w:r>
                  <w:r>
                    <w:rPr>
                      <w:rFonts w:hint="eastAsia" w:cs="宋体"/>
                      <w:color w:val="auto"/>
                      <w:sz w:val="22"/>
                      <w:szCs w:val="22"/>
                      <w:highlight w:val="none"/>
                      <w:lang w:val="en-US" w:eastAsia="zh-CN"/>
                    </w:rPr>
                    <w:t>8</w:t>
                  </w:r>
                </w:p>
              </w:tc>
            </w:tr>
          </w:tbl>
          <w:p>
            <w:pPr>
              <w:tabs>
                <w:tab w:val="left" w:pos="5760"/>
              </w:tabs>
              <w:adjustRightInd w:val="0"/>
              <w:snapToGrid w:val="0"/>
              <w:spacing w:beforeLines="50" w:line="360" w:lineRule="auto"/>
              <w:ind w:firstLine="480" w:firstLineChars="200"/>
              <w:rPr>
                <w:snapToGrid w:val="0"/>
                <w:color w:val="auto"/>
                <w:kern w:val="0"/>
                <w:sz w:val="24"/>
                <w:szCs w:val="24"/>
                <w:highlight w:val="none"/>
                <w:u w:color="000000"/>
              </w:rPr>
            </w:pPr>
            <w:r>
              <w:rPr>
                <w:rFonts w:hint="eastAsia" w:cs="宋体"/>
                <w:snapToGrid w:val="0"/>
                <w:color w:val="auto"/>
                <w:kern w:val="0"/>
                <w:sz w:val="24"/>
                <w:szCs w:val="24"/>
                <w:highlight w:val="none"/>
                <w:u w:color="000000"/>
              </w:rPr>
              <w:t>废水污染物排放执行标准表见下表。</w:t>
            </w:r>
          </w:p>
          <w:p>
            <w:pPr>
              <w:adjustRightInd w:val="0"/>
              <w:snapToGrid w:val="0"/>
              <w:spacing w:line="360" w:lineRule="auto"/>
              <w:jc w:val="center"/>
              <w:rPr>
                <w:color w:val="auto"/>
                <w:sz w:val="22"/>
                <w:szCs w:val="22"/>
                <w:highlight w:val="none"/>
              </w:rPr>
            </w:pPr>
            <w:r>
              <w:rPr>
                <w:rFonts w:hint="eastAsia" w:cs="宋体"/>
                <w:color w:val="auto"/>
                <w:sz w:val="22"/>
                <w:szCs w:val="22"/>
                <w:highlight w:val="none"/>
              </w:rPr>
              <w:t>表</w:t>
            </w:r>
            <w:r>
              <w:rPr>
                <w:color w:val="auto"/>
                <w:sz w:val="22"/>
                <w:szCs w:val="22"/>
                <w:highlight w:val="none"/>
              </w:rPr>
              <w:t xml:space="preserve">4-3 </w:t>
            </w:r>
            <w:r>
              <w:rPr>
                <w:rFonts w:hint="eastAsia" w:cs="宋体"/>
                <w:color w:val="auto"/>
                <w:sz w:val="22"/>
                <w:szCs w:val="22"/>
                <w:highlight w:val="none"/>
              </w:rPr>
              <w:t>废水污染物排放执行标准表</w:t>
            </w:r>
          </w:p>
          <w:tbl>
            <w:tblPr>
              <w:tblStyle w:val="36"/>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276"/>
              <w:gridCol w:w="1528"/>
              <w:gridCol w:w="2491"/>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62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序号</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排放口编号</w:t>
                  </w:r>
                </w:p>
              </w:tc>
              <w:tc>
                <w:tcPr>
                  <w:tcW w:w="152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污染物种类</w:t>
                  </w:r>
                </w:p>
              </w:tc>
              <w:tc>
                <w:tcPr>
                  <w:tcW w:w="465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2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152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249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名称</w:t>
                  </w:r>
                </w:p>
              </w:tc>
              <w:tc>
                <w:tcPr>
                  <w:tcW w:w="21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rPr>
                    <w:t>浓度限值</w:t>
                  </w:r>
                  <w:r>
                    <w:rPr>
                      <w:color w:val="auto"/>
                      <w:sz w:val="22"/>
                      <w:szCs w:val="22"/>
                      <w:highlight w:val="none"/>
                    </w:rPr>
                    <w:t>/</w:t>
                  </w:r>
                  <w:r>
                    <w:rPr>
                      <w:rFonts w:hint="eastAsia" w:cs="宋体"/>
                      <w:color w:val="auto"/>
                      <w:sz w:val="22"/>
                      <w:szCs w:val="22"/>
                      <w:highlight w:val="none"/>
                    </w:rPr>
                    <w:t>（</w:t>
                  </w:r>
                  <w:r>
                    <w:rPr>
                      <w:color w:val="auto"/>
                      <w:sz w:val="22"/>
                      <w:szCs w:val="22"/>
                      <w:highlight w:val="none"/>
                    </w:rPr>
                    <w:t>mg/L</w:t>
                  </w:r>
                  <w:r>
                    <w:rPr>
                      <w:rFonts w:hint="eastAsia"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2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color w:val="auto"/>
                      <w:sz w:val="22"/>
                      <w:szCs w:val="22"/>
                      <w:highlight w:val="none"/>
                    </w:rPr>
                    <w:t>1</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color w:val="auto"/>
                      <w:sz w:val="22"/>
                      <w:szCs w:val="22"/>
                      <w:highlight w:val="none"/>
                    </w:rPr>
                    <w:t>DW001</w:t>
                  </w:r>
                </w:p>
              </w:tc>
              <w:tc>
                <w:tcPr>
                  <w:tcW w:w="15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color w:val="auto"/>
                      <w:sz w:val="22"/>
                      <w:szCs w:val="22"/>
                      <w:highlight w:val="none"/>
                    </w:rPr>
                    <w:t>COD</w:t>
                  </w:r>
                </w:p>
              </w:tc>
              <w:tc>
                <w:tcPr>
                  <w:tcW w:w="249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rFonts w:hint="eastAsia" w:cs="宋体"/>
                      <w:color w:val="auto"/>
                      <w:sz w:val="22"/>
                      <w:szCs w:val="22"/>
                      <w:highlight w:val="none"/>
                      <w:lang w:eastAsia="zh-CN"/>
                    </w:rPr>
                    <w:t>淮北蓝海水处理有限公司</w:t>
                  </w:r>
                  <w:r>
                    <w:rPr>
                      <w:rFonts w:hint="eastAsia" w:cs="宋体"/>
                      <w:color w:val="auto"/>
                      <w:sz w:val="22"/>
                      <w:szCs w:val="22"/>
                      <w:highlight w:val="none"/>
                    </w:rPr>
                    <w:t>接管</w:t>
                  </w:r>
                  <w:r>
                    <w:rPr>
                      <w:rFonts w:hint="eastAsia" w:cs="宋体"/>
                      <w:color w:val="auto"/>
                      <w:sz w:val="22"/>
                      <w:szCs w:val="22"/>
                      <w:highlight w:val="none"/>
                      <w:lang w:eastAsia="zh-CN"/>
                    </w:rPr>
                    <w:t>限值</w:t>
                  </w:r>
                  <w:r>
                    <w:rPr>
                      <w:rFonts w:hint="eastAsia" w:cs="宋体"/>
                      <w:color w:val="auto"/>
                      <w:sz w:val="22"/>
                      <w:szCs w:val="22"/>
                      <w:highlight w:val="none"/>
                    </w:rPr>
                    <w:t>及《污水综合排放标准》（</w:t>
                  </w:r>
                  <w:r>
                    <w:rPr>
                      <w:color w:val="auto"/>
                      <w:sz w:val="22"/>
                      <w:szCs w:val="22"/>
                      <w:highlight w:val="none"/>
                    </w:rPr>
                    <w:t>GB8978-1996</w:t>
                  </w:r>
                  <w:r>
                    <w:rPr>
                      <w:rFonts w:hint="eastAsia" w:cs="宋体"/>
                      <w:color w:val="auto"/>
                      <w:sz w:val="22"/>
                      <w:szCs w:val="22"/>
                      <w:highlight w:val="none"/>
                    </w:rPr>
                    <w:t>）表</w:t>
                  </w:r>
                  <w:r>
                    <w:rPr>
                      <w:color w:val="auto"/>
                      <w:sz w:val="22"/>
                      <w:szCs w:val="22"/>
                      <w:highlight w:val="none"/>
                    </w:rPr>
                    <w:t>4</w:t>
                  </w:r>
                  <w:r>
                    <w:rPr>
                      <w:rFonts w:hint="eastAsia" w:cs="宋体"/>
                      <w:color w:val="auto"/>
                      <w:sz w:val="22"/>
                      <w:szCs w:val="22"/>
                      <w:highlight w:val="none"/>
                    </w:rPr>
                    <w:t>中三级标准</w:t>
                  </w:r>
                </w:p>
              </w:tc>
              <w:tc>
                <w:tcPr>
                  <w:tcW w:w="21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color w:val="auto"/>
                      <w:sz w:val="22"/>
                      <w:szCs w:val="22"/>
                      <w:highlight w:val="none"/>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2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15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color w:val="auto"/>
                      <w:sz w:val="22"/>
                      <w:szCs w:val="22"/>
                      <w:highlight w:val="none"/>
                    </w:rPr>
                    <w:t>BOD</w:t>
                  </w:r>
                  <w:r>
                    <w:rPr>
                      <w:color w:val="auto"/>
                      <w:sz w:val="22"/>
                      <w:szCs w:val="22"/>
                      <w:highlight w:val="none"/>
                      <w:vertAlign w:val="subscript"/>
                    </w:rPr>
                    <w:t>5</w:t>
                  </w:r>
                </w:p>
              </w:tc>
              <w:tc>
                <w:tcPr>
                  <w:tcW w:w="249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color w:val="auto"/>
                      <w:sz w:val="22"/>
                      <w:szCs w:val="22"/>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2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15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color w:val="auto"/>
                      <w:sz w:val="22"/>
                      <w:szCs w:val="22"/>
                      <w:highlight w:val="none"/>
                    </w:rPr>
                    <w:t>NH</w:t>
                  </w:r>
                  <w:r>
                    <w:rPr>
                      <w:color w:val="auto"/>
                      <w:sz w:val="22"/>
                      <w:szCs w:val="22"/>
                      <w:highlight w:val="none"/>
                      <w:vertAlign w:val="subscript"/>
                    </w:rPr>
                    <w:t>3</w:t>
                  </w:r>
                  <w:r>
                    <w:rPr>
                      <w:color w:val="auto"/>
                      <w:sz w:val="22"/>
                      <w:szCs w:val="22"/>
                      <w:highlight w:val="none"/>
                    </w:rPr>
                    <w:t>-N</w:t>
                  </w:r>
                </w:p>
              </w:tc>
              <w:tc>
                <w:tcPr>
                  <w:tcW w:w="249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color w:val="auto"/>
                      <w:sz w:val="22"/>
                      <w:szCs w:val="22"/>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2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15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olor w:val="auto"/>
                      <w:sz w:val="22"/>
                      <w:szCs w:val="22"/>
                      <w:highlight w:val="none"/>
                      <w:lang w:val="en-US" w:eastAsia="zh-CN"/>
                    </w:rPr>
                  </w:pPr>
                  <w:r>
                    <w:rPr>
                      <w:color w:val="auto"/>
                      <w:sz w:val="22"/>
                      <w:szCs w:val="22"/>
                      <w:highlight w:val="none"/>
                    </w:rPr>
                    <w:t>SS</w:t>
                  </w:r>
                  <w:r>
                    <w:rPr>
                      <w:rFonts w:hint="eastAsia"/>
                      <w:color w:val="auto"/>
                      <w:sz w:val="22"/>
                      <w:szCs w:val="22"/>
                      <w:highlight w:val="none"/>
                      <w:lang w:val="en-US" w:eastAsia="zh-CN"/>
                    </w:rPr>
                    <w:t xml:space="preserve">                                                                             </w:t>
                  </w:r>
                </w:p>
              </w:tc>
              <w:tc>
                <w:tcPr>
                  <w:tcW w:w="249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2"/>
                      <w:szCs w:val="22"/>
                      <w:highlight w:val="none"/>
                    </w:rPr>
                  </w:pPr>
                  <w:r>
                    <w:rPr>
                      <w:color w:val="auto"/>
                      <w:sz w:val="22"/>
                      <w:szCs w:val="22"/>
                      <w:highlight w:val="none"/>
                    </w:rPr>
                    <w:t>250</w:t>
                  </w:r>
                </w:p>
              </w:tc>
            </w:tr>
          </w:tbl>
          <w:p>
            <w:pPr>
              <w:spacing w:beforeLines="100" w:line="360" w:lineRule="auto"/>
              <w:ind w:firstLine="480" w:firstLineChars="200"/>
              <w:rPr>
                <w:rStyle w:val="80"/>
                <w:b w:val="0"/>
                <w:bCs w:val="0"/>
                <w:color w:val="auto"/>
                <w:highlight w:val="none"/>
              </w:rPr>
            </w:pPr>
            <w:r>
              <w:rPr>
                <w:rStyle w:val="80"/>
                <w:b w:val="0"/>
                <w:bCs w:val="0"/>
                <w:color w:val="auto"/>
                <w:highlight w:val="none"/>
              </w:rPr>
              <w:t>1.2</w:t>
            </w:r>
            <w:r>
              <w:rPr>
                <w:rStyle w:val="80"/>
                <w:rFonts w:hint="eastAsia"/>
                <w:b w:val="0"/>
                <w:bCs w:val="0"/>
                <w:color w:val="auto"/>
                <w:highlight w:val="none"/>
                <w:lang w:val="en-US"/>
              </w:rPr>
              <w:t xml:space="preserve"> </w:t>
            </w:r>
            <w:r>
              <w:rPr>
                <w:rStyle w:val="80"/>
                <w:rFonts w:hint="eastAsia" w:cs="宋体"/>
                <w:b w:val="0"/>
                <w:bCs w:val="0"/>
                <w:color w:val="auto"/>
                <w:highlight w:val="none"/>
              </w:rPr>
              <w:t>水环境保护措施</w:t>
            </w:r>
          </w:p>
          <w:p>
            <w:pPr>
              <w:spacing w:line="360" w:lineRule="auto"/>
              <w:ind w:firstLine="480" w:firstLineChars="200"/>
              <w:rPr>
                <w:rStyle w:val="80"/>
                <w:b w:val="0"/>
                <w:bCs w:val="0"/>
                <w:color w:val="auto"/>
                <w:highlight w:val="none"/>
              </w:rPr>
            </w:pPr>
            <w:r>
              <w:rPr>
                <w:rStyle w:val="80"/>
                <w:rFonts w:hint="eastAsia" w:cs="宋体"/>
                <w:b w:val="0"/>
                <w:bCs w:val="0"/>
                <w:color w:val="auto"/>
                <w:highlight w:val="none"/>
              </w:rPr>
              <w:t>本项目排水按照“雨污分流”的原则，雨水经过雨水管网进入园区雨水管网。本项目外排废水主要为生活污水，经化粪池处理后排入污水管网进入淮北蓝海水处理有限公司。</w:t>
            </w:r>
          </w:p>
          <w:p>
            <w:pPr>
              <w:spacing w:line="360" w:lineRule="auto"/>
              <w:ind w:firstLine="480" w:firstLineChars="200"/>
              <w:rPr>
                <w:rStyle w:val="80"/>
                <w:rFonts w:hint="eastAsia" w:cs="宋体"/>
                <w:b w:val="0"/>
                <w:bCs w:val="0"/>
                <w:color w:val="auto"/>
                <w:highlight w:val="none"/>
              </w:rPr>
            </w:pPr>
            <w:r>
              <w:rPr>
                <w:rStyle w:val="80"/>
                <w:rFonts w:hint="eastAsia" w:cs="宋体"/>
                <w:b w:val="0"/>
                <w:bCs w:val="0"/>
                <w:color w:val="auto"/>
                <w:highlight w:val="none"/>
              </w:rPr>
              <w:t>污水纳管可行性：淮北蓝海水处理有限公司位于滨河路与孟庄路交口西北角，处理能力为20000 吨/天，淮北蓝海水处理有限公司服务范围大部分污水管网已经建成。已开发建成区的污水管网覆盖率100%，采取“预处理+调节初沉池+水解酸化+A2/O-SBR 池+高密度沉淀池+反硝化滤池+消毒池”处理工艺，设计出水达到《城镇污水处理厂污染物排放标准》（GB18918-2002）中一级 A 标准，出水排入萧濉新河。</w:t>
            </w:r>
          </w:p>
          <w:p>
            <w:pPr>
              <w:spacing w:line="360" w:lineRule="auto"/>
              <w:ind w:firstLine="480" w:firstLineChars="200"/>
              <w:rPr>
                <w:rStyle w:val="80"/>
                <w:rFonts w:hint="eastAsia" w:cs="宋体"/>
                <w:b w:val="0"/>
                <w:bCs w:val="0"/>
                <w:color w:val="auto"/>
                <w:highlight w:val="none"/>
              </w:rPr>
            </w:pPr>
            <w:r>
              <w:rPr>
                <w:rStyle w:val="80"/>
                <w:rFonts w:hint="eastAsia" w:cs="宋体"/>
                <w:b w:val="0"/>
                <w:bCs w:val="0"/>
                <w:color w:val="auto"/>
                <w:highlight w:val="none"/>
              </w:rPr>
              <w:t>淮北蓝海水处理有限公司收水范围现状北至新濉河，南至谷山路，西起虎山路，东抵新濉河，服务建设用地面积约为30km</w:t>
            </w:r>
            <w:r>
              <w:rPr>
                <w:rStyle w:val="80"/>
                <w:rFonts w:hint="eastAsia" w:cs="宋体"/>
                <w:b w:val="0"/>
                <w:bCs w:val="0"/>
                <w:color w:val="auto"/>
                <w:highlight w:val="none"/>
                <w:vertAlign w:val="superscript"/>
              </w:rPr>
              <w:t>2</w:t>
            </w:r>
            <w:r>
              <w:rPr>
                <w:rStyle w:val="80"/>
                <w:rFonts w:hint="eastAsia" w:cs="宋体"/>
                <w:b w:val="0"/>
                <w:bCs w:val="0"/>
                <w:color w:val="auto"/>
                <w:highlight w:val="none"/>
              </w:rPr>
              <w:t>，总服务面积为44km</w:t>
            </w:r>
            <w:r>
              <w:rPr>
                <w:rStyle w:val="80"/>
                <w:rFonts w:hint="eastAsia" w:cs="宋体"/>
                <w:b w:val="0"/>
                <w:bCs w:val="0"/>
                <w:color w:val="auto"/>
                <w:highlight w:val="none"/>
                <w:vertAlign w:val="superscript"/>
              </w:rPr>
              <w:t>2</w:t>
            </w:r>
            <w:r>
              <w:rPr>
                <w:rStyle w:val="80"/>
                <w:rFonts w:hint="eastAsia" w:cs="宋体"/>
                <w:b w:val="0"/>
                <w:bCs w:val="0"/>
                <w:color w:val="auto"/>
                <w:highlight w:val="none"/>
              </w:rPr>
              <w:t>。淮北蓝海水处理有限公司服务范围大部分污水管网已经建成。已开发建成区的污水管网覆盖率100%。</w:t>
            </w:r>
          </w:p>
          <w:p>
            <w:pPr>
              <w:spacing w:line="360" w:lineRule="auto"/>
              <w:ind w:firstLine="480" w:firstLineChars="200"/>
              <w:rPr>
                <w:rStyle w:val="80"/>
                <w:b w:val="0"/>
                <w:bCs w:val="0"/>
                <w:color w:val="auto"/>
                <w:highlight w:val="none"/>
              </w:rPr>
            </w:pPr>
            <w:r>
              <w:rPr>
                <w:rStyle w:val="80"/>
                <w:rFonts w:hint="eastAsia" w:cs="宋体"/>
                <w:b w:val="0"/>
                <w:bCs w:val="0"/>
                <w:color w:val="auto"/>
                <w:highlight w:val="none"/>
              </w:rPr>
              <w:t>本项目位于淮北蓝海水处理厂的服务范围内，外排废水为生活污水，生活污水经化粪池预处理后排入园区污水管网，进入水处理厂进行深度处理，混合废水水质满足污水处理厂接管标准的要求。即本项目排放的废水不会影响污水厂的处理效果。本项目排入淮北蓝海水处理有限公司的水量为</w:t>
            </w:r>
            <w:r>
              <w:rPr>
                <w:rStyle w:val="80"/>
                <w:rFonts w:hint="eastAsia" w:cs="宋体"/>
                <w:b w:val="0"/>
                <w:bCs w:val="0"/>
                <w:color w:val="auto"/>
                <w:highlight w:val="none"/>
                <w:lang w:val="en-US"/>
              </w:rPr>
              <w:t>0.96</w:t>
            </w:r>
            <w:r>
              <w:rPr>
                <w:rStyle w:val="80"/>
                <w:rFonts w:hint="eastAsia" w:cs="宋体"/>
                <w:b w:val="0"/>
                <w:bCs w:val="0"/>
                <w:color w:val="auto"/>
                <w:highlight w:val="none"/>
              </w:rPr>
              <w:t>t/d，淮北蓝海水处理有限公司目前处理能力20000m</w:t>
            </w:r>
            <w:r>
              <w:rPr>
                <w:rStyle w:val="80"/>
                <w:rFonts w:hint="eastAsia" w:cs="宋体"/>
                <w:b w:val="0"/>
                <w:bCs w:val="0"/>
                <w:color w:val="auto"/>
                <w:highlight w:val="none"/>
                <w:vertAlign w:val="superscript"/>
              </w:rPr>
              <w:t>3</w:t>
            </w:r>
            <w:r>
              <w:rPr>
                <w:rStyle w:val="80"/>
                <w:rFonts w:hint="eastAsia" w:cs="宋体"/>
                <w:b w:val="0"/>
                <w:bCs w:val="0"/>
                <w:color w:val="auto"/>
                <w:highlight w:val="none"/>
              </w:rPr>
              <w:t>/d，目前日接纳废水量约为 1.8 万m</w:t>
            </w:r>
            <w:r>
              <w:rPr>
                <w:rStyle w:val="80"/>
                <w:rFonts w:hint="eastAsia" w:cs="宋体"/>
                <w:b w:val="0"/>
                <w:bCs w:val="0"/>
                <w:color w:val="auto"/>
                <w:highlight w:val="none"/>
                <w:vertAlign w:val="superscript"/>
              </w:rPr>
              <w:t>3</w:t>
            </w:r>
            <w:r>
              <w:rPr>
                <w:rStyle w:val="80"/>
                <w:rFonts w:hint="eastAsia" w:cs="宋体"/>
                <w:b w:val="0"/>
                <w:bCs w:val="0"/>
                <w:color w:val="auto"/>
                <w:highlight w:val="none"/>
              </w:rPr>
              <w:t>，余量足够。从水量分析，本项目接管可行。</w:t>
            </w:r>
          </w:p>
          <w:p>
            <w:pPr>
              <w:spacing w:line="360" w:lineRule="auto"/>
              <w:ind w:firstLine="480" w:firstLineChars="200"/>
              <w:rPr>
                <w:rStyle w:val="80"/>
                <w:b w:val="0"/>
                <w:bCs w:val="0"/>
                <w:color w:val="auto"/>
                <w:highlight w:val="none"/>
              </w:rPr>
            </w:pPr>
            <w:r>
              <w:rPr>
                <w:rStyle w:val="80"/>
                <w:b w:val="0"/>
                <w:bCs w:val="0"/>
                <w:color w:val="auto"/>
                <w:highlight w:val="none"/>
              </w:rPr>
              <w:t>1.3</w:t>
            </w:r>
            <w:r>
              <w:rPr>
                <w:rStyle w:val="80"/>
                <w:rFonts w:hint="eastAsia" w:cs="宋体"/>
                <w:b w:val="0"/>
                <w:bCs w:val="0"/>
                <w:color w:val="auto"/>
                <w:highlight w:val="none"/>
              </w:rPr>
              <w:t>废水环境监测要求</w:t>
            </w:r>
          </w:p>
          <w:p>
            <w:pPr>
              <w:spacing w:line="360" w:lineRule="auto"/>
              <w:ind w:firstLine="480" w:firstLineChars="200"/>
              <w:rPr>
                <w:rStyle w:val="80"/>
                <w:b w:val="0"/>
                <w:bCs w:val="0"/>
                <w:color w:val="auto"/>
                <w:highlight w:val="none"/>
              </w:rPr>
            </w:pPr>
            <w:r>
              <w:rPr>
                <w:rStyle w:val="80"/>
                <w:rFonts w:hint="eastAsia" w:cs="宋体"/>
                <w:b w:val="0"/>
                <w:bCs w:val="0"/>
                <w:color w:val="auto"/>
                <w:highlight w:val="none"/>
              </w:rPr>
              <w:t>根据《排污单位自行监测技术指南</w:t>
            </w:r>
            <w:r>
              <w:rPr>
                <w:rStyle w:val="80"/>
                <w:b w:val="0"/>
                <w:bCs w:val="0"/>
                <w:color w:val="auto"/>
                <w:highlight w:val="none"/>
              </w:rPr>
              <w:t xml:space="preserve"> </w:t>
            </w:r>
            <w:r>
              <w:rPr>
                <w:rStyle w:val="80"/>
                <w:rFonts w:hint="eastAsia" w:cs="宋体"/>
                <w:b w:val="0"/>
                <w:bCs w:val="0"/>
                <w:color w:val="auto"/>
                <w:highlight w:val="none"/>
              </w:rPr>
              <w:t>总则》（</w:t>
            </w:r>
            <w:r>
              <w:rPr>
                <w:rStyle w:val="80"/>
                <w:b w:val="0"/>
                <w:bCs w:val="0"/>
                <w:color w:val="auto"/>
                <w:highlight w:val="none"/>
              </w:rPr>
              <w:t>HJ819-2017</w:t>
            </w:r>
            <w:r>
              <w:rPr>
                <w:rStyle w:val="80"/>
                <w:rFonts w:hint="eastAsia" w:cs="宋体"/>
                <w:b w:val="0"/>
                <w:bCs w:val="0"/>
                <w:color w:val="auto"/>
                <w:highlight w:val="none"/>
              </w:rPr>
              <w:t>）和《排污许可证申请与核发技术规范</w:t>
            </w:r>
            <w:r>
              <w:rPr>
                <w:rStyle w:val="80"/>
                <w:b w:val="0"/>
                <w:bCs w:val="0"/>
                <w:color w:val="auto"/>
                <w:highlight w:val="none"/>
              </w:rPr>
              <w:t>-</w:t>
            </w:r>
            <w:r>
              <w:rPr>
                <w:rStyle w:val="80"/>
                <w:rFonts w:hint="eastAsia" w:cs="宋体"/>
                <w:b w:val="0"/>
                <w:bCs w:val="0"/>
                <w:color w:val="auto"/>
                <w:highlight w:val="none"/>
              </w:rPr>
              <w:t>总则》（</w:t>
            </w:r>
            <w:r>
              <w:rPr>
                <w:rStyle w:val="80"/>
                <w:b w:val="0"/>
                <w:bCs w:val="0"/>
                <w:color w:val="auto"/>
                <w:highlight w:val="none"/>
              </w:rPr>
              <w:t>HJ942-2018</w:t>
            </w:r>
            <w:r>
              <w:rPr>
                <w:rStyle w:val="80"/>
                <w:rFonts w:hint="eastAsia" w:cs="宋体"/>
                <w:b w:val="0"/>
                <w:bCs w:val="0"/>
                <w:color w:val="auto"/>
                <w:highlight w:val="none"/>
              </w:rPr>
              <w:t>）及《</w:t>
            </w:r>
            <w:r>
              <w:rPr>
                <w:rFonts w:ascii="宋体" w:hAnsi="宋体" w:eastAsia="宋体" w:cs="宋体"/>
                <w:color w:val="auto"/>
                <w:sz w:val="24"/>
                <w:szCs w:val="24"/>
              </w:rPr>
              <w:t>排污许可证申请与核发技术规范 橡胶和塑料制品工业</w:t>
            </w:r>
            <w:r>
              <w:rPr>
                <w:rStyle w:val="80"/>
                <w:rFonts w:hint="eastAsia" w:cs="宋体"/>
                <w:b w:val="0"/>
                <w:bCs w:val="0"/>
                <w:color w:val="auto"/>
                <w:highlight w:val="none"/>
              </w:rPr>
              <w:t>》</w:t>
            </w:r>
            <w:r>
              <w:rPr>
                <w:rStyle w:val="80"/>
                <w:rFonts w:hint="eastAsia" w:cs="宋体"/>
                <w:b w:val="0"/>
                <w:bCs w:val="0"/>
                <w:color w:val="auto"/>
                <w:highlight w:val="none"/>
                <w:lang w:val="en-US"/>
              </w:rPr>
              <w:t xml:space="preserve"> （</w:t>
            </w:r>
            <w:r>
              <w:rPr>
                <w:rFonts w:ascii="宋体" w:hAnsi="宋体" w:eastAsia="宋体" w:cs="宋体"/>
                <w:color w:val="auto"/>
                <w:sz w:val="24"/>
                <w:szCs w:val="24"/>
              </w:rPr>
              <w:t>HJ1122—2020</w:t>
            </w:r>
            <w:r>
              <w:rPr>
                <w:rStyle w:val="80"/>
                <w:rFonts w:hint="eastAsia" w:cs="宋体"/>
                <w:b w:val="0"/>
                <w:bCs w:val="0"/>
                <w:color w:val="auto"/>
                <w:highlight w:val="none"/>
                <w:lang w:val="en-US"/>
              </w:rPr>
              <w:t>），</w:t>
            </w:r>
            <w:r>
              <w:rPr>
                <w:rStyle w:val="80"/>
                <w:rFonts w:hint="eastAsia" w:cs="宋体"/>
                <w:b w:val="0"/>
                <w:bCs w:val="0"/>
                <w:color w:val="auto"/>
                <w:highlight w:val="none"/>
              </w:rPr>
              <w:t>本项目废水排放监测要求见下表。</w:t>
            </w:r>
          </w:p>
          <w:p>
            <w:pPr>
              <w:widowControl/>
              <w:spacing w:line="360" w:lineRule="auto"/>
              <w:jc w:val="center"/>
              <w:rPr>
                <w:color w:val="auto"/>
                <w:sz w:val="24"/>
                <w:szCs w:val="24"/>
                <w:highlight w:val="none"/>
              </w:rPr>
            </w:pPr>
            <w:r>
              <w:rPr>
                <w:rFonts w:hint="eastAsia" w:hAnsi="宋体" w:cs="宋体"/>
                <w:color w:val="auto"/>
                <w:sz w:val="22"/>
                <w:szCs w:val="22"/>
                <w:highlight w:val="none"/>
              </w:rPr>
              <w:t>表</w:t>
            </w:r>
            <w:r>
              <w:rPr>
                <w:rFonts w:hAnsi="宋体"/>
                <w:color w:val="auto"/>
                <w:sz w:val="22"/>
                <w:szCs w:val="22"/>
                <w:highlight w:val="none"/>
              </w:rPr>
              <w:t xml:space="preserve">4-4 </w:t>
            </w:r>
            <w:r>
              <w:rPr>
                <w:rFonts w:hint="eastAsia" w:cs="宋体"/>
                <w:color w:val="auto"/>
                <w:sz w:val="22"/>
                <w:szCs w:val="22"/>
                <w:highlight w:val="none"/>
              </w:rPr>
              <w:t>废水监测点位及最低监测频次</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0"/>
              <w:gridCol w:w="3796"/>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140" w:type="dxa"/>
                  <w:tcBorders>
                    <w:top w:val="single" w:color="auto" w:sz="4" w:space="0"/>
                    <w:left w:val="single" w:color="auto" w:sz="4" w:space="0"/>
                    <w:bottom w:val="single" w:color="auto" w:sz="4" w:space="0"/>
                    <w:right w:val="single" w:color="auto" w:sz="4"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监测点位</w:t>
                  </w:r>
                </w:p>
              </w:tc>
              <w:tc>
                <w:tcPr>
                  <w:tcW w:w="3796" w:type="dxa"/>
                  <w:tcBorders>
                    <w:top w:val="single" w:color="auto" w:sz="4" w:space="0"/>
                    <w:left w:val="single" w:color="auto" w:sz="4" w:space="0"/>
                    <w:bottom w:val="single" w:color="auto" w:sz="4" w:space="0"/>
                    <w:right w:val="single" w:color="auto" w:sz="4"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监测因子</w:t>
                  </w:r>
                </w:p>
              </w:tc>
              <w:tc>
                <w:tcPr>
                  <w:tcW w:w="1943" w:type="dxa"/>
                  <w:tcBorders>
                    <w:top w:val="single" w:color="auto" w:sz="4" w:space="0"/>
                    <w:left w:val="single" w:color="auto" w:sz="4" w:space="0"/>
                    <w:bottom w:val="single" w:color="auto" w:sz="4" w:space="0"/>
                    <w:right w:val="single" w:color="auto" w:sz="4"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2140" w:type="dxa"/>
                  <w:tcBorders>
                    <w:top w:val="single" w:color="auto" w:sz="4" w:space="0"/>
                    <w:left w:val="single" w:color="auto" w:sz="4" w:space="0"/>
                    <w:bottom w:val="single" w:color="auto" w:sz="4" w:space="0"/>
                    <w:right w:val="single" w:color="auto" w:sz="4"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废水总排口</w:t>
                  </w:r>
                </w:p>
              </w:tc>
              <w:tc>
                <w:tcPr>
                  <w:tcW w:w="3796" w:type="dxa"/>
                  <w:tcBorders>
                    <w:top w:val="single" w:color="auto" w:sz="4" w:space="0"/>
                    <w:left w:val="single" w:color="auto" w:sz="4" w:space="0"/>
                    <w:bottom w:val="single" w:color="auto" w:sz="4" w:space="0"/>
                    <w:right w:val="single" w:color="auto" w:sz="4" w:space="0"/>
                  </w:tcBorders>
                  <w:vAlign w:val="center"/>
                </w:tcPr>
                <w:p>
                  <w:pPr>
                    <w:widowControl/>
                    <w:jc w:val="center"/>
                    <w:rPr>
                      <w:rFonts w:hAnsi="宋体"/>
                      <w:color w:val="auto"/>
                      <w:sz w:val="22"/>
                      <w:szCs w:val="22"/>
                      <w:highlight w:val="none"/>
                    </w:rPr>
                  </w:pPr>
                  <w:r>
                    <w:rPr>
                      <w:rFonts w:hAnsi="宋体"/>
                      <w:color w:val="auto"/>
                      <w:sz w:val="22"/>
                      <w:szCs w:val="22"/>
                      <w:highlight w:val="none"/>
                    </w:rPr>
                    <w:t xml:space="preserve">pH </w:t>
                  </w:r>
                  <w:r>
                    <w:rPr>
                      <w:rFonts w:hint="eastAsia" w:hAnsi="宋体" w:cs="宋体"/>
                      <w:color w:val="auto"/>
                      <w:sz w:val="22"/>
                      <w:szCs w:val="22"/>
                      <w:highlight w:val="none"/>
                    </w:rPr>
                    <w:t>值、悬浮物、化学需氧量、五日生化需氧量、氨氮</w:t>
                  </w:r>
                </w:p>
              </w:tc>
              <w:tc>
                <w:tcPr>
                  <w:tcW w:w="19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hAnsi="宋体" w:eastAsia="宋体"/>
                      <w:color w:val="auto"/>
                      <w:sz w:val="22"/>
                      <w:szCs w:val="22"/>
                      <w:highlight w:val="none"/>
                      <w:lang w:eastAsia="zh-CN"/>
                    </w:rPr>
                  </w:pPr>
                  <w:r>
                    <w:rPr>
                      <w:rFonts w:hAnsi="宋体"/>
                      <w:color w:val="auto"/>
                      <w:sz w:val="22"/>
                      <w:szCs w:val="22"/>
                      <w:highlight w:val="none"/>
                    </w:rPr>
                    <w:t>1</w:t>
                  </w:r>
                  <w:r>
                    <w:rPr>
                      <w:rFonts w:hint="eastAsia" w:hAnsi="宋体" w:cs="宋体"/>
                      <w:color w:val="auto"/>
                      <w:sz w:val="22"/>
                      <w:szCs w:val="22"/>
                      <w:highlight w:val="none"/>
                    </w:rPr>
                    <w:t>次</w:t>
                  </w:r>
                  <w:r>
                    <w:rPr>
                      <w:rFonts w:hAnsi="宋体"/>
                      <w:color w:val="auto"/>
                      <w:sz w:val="22"/>
                      <w:szCs w:val="22"/>
                      <w:highlight w:val="none"/>
                    </w:rPr>
                    <w:t>/</w:t>
                  </w:r>
                  <w:r>
                    <w:rPr>
                      <w:rFonts w:hint="eastAsia" w:hAnsi="宋体" w:cs="宋体"/>
                      <w:color w:val="auto"/>
                      <w:sz w:val="22"/>
                      <w:szCs w:val="22"/>
                      <w:highlight w:val="none"/>
                      <w:lang w:eastAsia="zh-CN"/>
                    </w:rPr>
                    <w:t>季度</w:t>
                  </w:r>
                </w:p>
              </w:tc>
            </w:tr>
          </w:tbl>
          <w:p>
            <w:pPr>
              <w:numPr>
                <w:ilvl w:val="0"/>
                <w:numId w:val="0"/>
              </w:numPr>
              <w:spacing w:beforeLines="100" w:line="360" w:lineRule="auto"/>
              <w:ind w:left="479" w:leftChars="228" w:firstLine="0" w:firstLineChars="0"/>
              <w:rPr>
                <w:rStyle w:val="80"/>
                <w:b w:val="0"/>
                <w:bCs w:val="0"/>
                <w:color w:val="auto"/>
                <w:highlight w:val="none"/>
              </w:rPr>
            </w:pPr>
            <w:r>
              <w:rPr>
                <w:rStyle w:val="80"/>
                <w:rFonts w:hint="eastAsia" w:cs="宋体"/>
                <w:b w:val="0"/>
                <w:bCs w:val="0"/>
                <w:color w:val="auto"/>
                <w:highlight w:val="none"/>
                <w:lang w:val="en-US"/>
              </w:rPr>
              <w:t>2、</w:t>
            </w:r>
            <w:r>
              <w:rPr>
                <w:rStyle w:val="80"/>
                <w:rFonts w:hint="eastAsia" w:cs="宋体"/>
                <w:b w:val="0"/>
                <w:bCs w:val="0"/>
                <w:color w:val="auto"/>
                <w:highlight w:val="none"/>
              </w:rPr>
              <w:t>大气环境影响及保护措施</w:t>
            </w:r>
          </w:p>
          <w:p>
            <w:pPr>
              <w:spacing w:line="360" w:lineRule="auto"/>
              <w:ind w:left="479" w:leftChars="228" w:firstLine="0" w:firstLineChars="0"/>
              <w:rPr>
                <w:rStyle w:val="80"/>
                <w:rFonts w:hint="eastAsia" w:cs="宋体"/>
                <w:b w:val="0"/>
                <w:bCs w:val="0"/>
                <w:color w:val="auto"/>
                <w:highlight w:val="none"/>
                <w:lang w:val="en-US"/>
              </w:rPr>
            </w:pPr>
            <w:r>
              <w:rPr>
                <w:rStyle w:val="80"/>
                <w:rFonts w:hint="eastAsia" w:cs="宋体"/>
                <w:b w:val="0"/>
                <w:bCs w:val="0"/>
                <w:color w:val="auto"/>
                <w:highlight w:val="none"/>
                <w:lang w:val="en-US"/>
              </w:rPr>
              <w:t>2.1 废气源强</w:t>
            </w:r>
          </w:p>
          <w:p>
            <w:pPr>
              <w:spacing w:line="360" w:lineRule="auto"/>
              <w:ind w:firstLine="480" w:firstLineChars="200"/>
              <w:rPr>
                <w:rStyle w:val="80"/>
                <w:rFonts w:hint="eastAsia" w:ascii="Times New Roman" w:hAnsi="Times New Roman" w:eastAsia="宋体" w:cs="宋体"/>
                <w:b w:val="0"/>
                <w:bCs w:val="0"/>
                <w:color w:val="auto"/>
                <w:highlight w:val="none"/>
                <w:lang w:eastAsia="zh-CN"/>
              </w:rPr>
            </w:pPr>
            <w:r>
              <w:rPr>
                <w:rStyle w:val="80"/>
                <w:rFonts w:hint="eastAsia" w:ascii="Times New Roman" w:hAnsi="Times New Roman" w:eastAsia="宋体" w:cs="宋体"/>
                <w:b w:val="0"/>
                <w:bCs w:val="0"/>
                <w:color w:val="auto"/>
                <w:highlight w:val="none"/>
              </w:rPr>
              <w:t>本项目产生的废气主要为生产中</w:t>
            </w:r>
            <w:r>
              <w:rPr>
                <w:rStyle w:val="80"/>
                <w:rFonts w:hint="eastAsia" w:ascii="Times New Roman" w:hAnsi="Times New Roman" w:eastAsia="宋体" w:cs="宋体"/>
                <w:b w:val="0"/>
                <w:bCs w:val="0"/>
                <w:color w:val="auto"/>
                <w:highlight w:val="none"/>
                <w:lang w:eastAsia="zh-CN"/>
              </w:rPr>
              <w:t>过程中热熔、挤出工序产生的废气</w:t>
            </w:r>
            <w:r>
              <w:rPr>
                <w:rStyle w:val="80"/>
                <w:rFonts w:hint="eastAsia" w:cs="宋体"/>
                <w:b w:val="0"/>
                <w:bCs w:val="0"/>
                <w:color w:val="auto"/>
                <w:highlight w:val="none"/>
                <w:lang w:eastAsia="zh-CN"/>
              </w:rPr>
              <w:t>、投料工序产生的粉尘和破碎产生的粉尘</w:t>
            </w:r>
            <w:r>
              <w:rPr>
                <w:rStyle w:val="80"/>
                <w:rFonts w:hint="eastAsia" w:ascii="Times New Roman" w:hAnsi="Times New Roman" w:eastAsia="宋体" w:cs="宋体"/>
                <w:b w:val="0"/>
                <w:bCs w:val="0"/>
                <w:color w:val="auto"/>
                <w:highlight w:val="none"/>
                <w:lang w:eastAsia="zh-CN"/>
              </w:rPr>
              <w:t>。</w:t>
            </w:r>
          </w:p>
          <w:p>
            <w:pPr>
              <w:spacing w:line="360" w:lineRule="auto"/>
              <w:ind w:firstLine="480" w:firstLineChars="200"/>
              <w:rPr>
                <w:rStyle w:val="80"/>
                <w:rFonts w:hint="eastAsia" w:cs="宋体"/>
                <w:b w:val="0"/>
                <w:bCs w:val="0"/>
                <w:color w:val="auto"/>
                <w:highlight w:val="none"/>
                <w:lang w:eastAsia="zh-CN"/>
              </w:rPr>
            </w:pPr>
            <w:r>
              <w:rPr>
                <w:rStyle w:val="80"/>
                <w:rFonts w:hint="eastAsia" w:cs="宋体"/>
                <w:b w:val="0"/>
                <w:bCs w:val="0"/>
                <w:color w:val="auto"/>
                <w:highlight w:val="none"/>
                <w:lang w:eastAsia="zh-CN"/>
              </w:rPr>
              <w:t>（</w:t>
            </w:r>
            <w:r>
              <w:rPr>
                <w:rStyle w:val="80"/>
                <w:rFonts w:hint="eastAsia" w:cs="宋体"/>
                <w:b w:val="0"/>
                <w:bCs w:val="0"/>
                <w:color w:val="auto"/>
                <w:highlight w:val="none"/>
                <w:lang w:val="en-US" w:eastAsia="zh-CN"/>
              </w:rPr>
              <w:t>1</w:t>
            </w:r>
            <w:r>
              <w:rPr>
                <w:rStyle w:val="80"/>
                <w:rFonts w:hint="eastAsia" w:cs="宋体"/>
                <w:b w:val="0"/>
                <w:bCs w:val="0"/>
                <w:color w:val="auto"/>
                <w:highlight w:val="none"/>
                <w:lang w:eastAsia="zh-CN"/>
              </w:rPr>
              <w:t>）</w:t>
            </w:r>
            <w:r>
              <w:rPr>
                <w:rStyle w:val="80"/>
                <w:rFonts w:hint="eastAsia" w:ascii="Times New Roman" w:hAnsi="Times New Roman" w:eastAsia="宋体" w:cs="宋体"/>
                <w:b w:val="0"/>
                <w:bCs w:val="0"/>
                <w:color w:val="auto"/>
                <w:highlight w:val="none"/>
                <w:lang w:eastAsia="zh-CN"/>
              </w:rPr>
              <w:t>热熔、挤出</w:t>
            </w:r>
            <w:r>
              <w:rPr>
                <w:rStyle w:val="80"/>
                <w:rFonts w:hint="eastAsia" w:cs="宋体"/>
                <w:b w:val="0"/>
                <w:bCs w:val="0"/>
                <w:color w:val="auto"/>
                <w:highlight w:val="none"/>
                <w:lang w:eastAsia="zh-CN"/>
              </w:rPr>
              <w:t>废气</w:t>
            </w:r>
          </w:p>
          <w:p>
            <w:pPr>
              <w:keepNext w:val="0"/>
              <w:keepLines w:val="0"/>
              <w:widowControl/>
              <w:suppressLineNumbers w:val="0"/>
              <w:spacing w:line="360" w:lineRule="auto"/>
              <w:ind w:firstLine="480" w:firstLineChars="200"/>
              <w:jc w:val="left"/>
              <w:rPr>
                <w:rFonts w:hint="eastAsia" w:ascii="宋体" w:hAnsi="宋体" w:cs="宋体"/>
                <w:color w:val="auto"/>
                <w:sz w:val="24"/>
                <w:szCs w:val="24"/>
                <w:highlight w:val="none"/>
                <w:lang w:val="en-US" w:eastAsia="zh-CN"/>
              </w:rPr>
            </w:pPr>
            <w:r>
              <w:rPr>
                <w:rStyle w:val="80"/>
                <w:rFonts w:hint="eastAsia" w:ascii="Times New Roman" w:hAnsi="Times New Roman" w:eastAsia="宋体" w:cs="宋体"/>
                <w:b w:val="0"/>
                <w:bCs w:val="0"/>
                <w:color w:val="auto"/>
                <w:highlight w:val="none"/>
              </w:rPr>
              <w:t>本项目生产中</w:t>
            </w:r>
            <w:r>
              <w:rPr>
                <w:rStyle w:val="80"/>
                <w:rFonts w:hint="eastAsia" w:ascii="Times New Roman" w:hAnsi="Times New Roman" w:eastAsia="宋体" w:cs="宋体"/>
                <w:b w:val="0"/>
                <w:bCs w:val="0"/>
                <w:color w:val="auto"/>
                <w:highlight w:val="none"/>
                <w:lang w:eastAsia="zh-CN"/>
              </w:rPr>
              <w:t>过程中热熔、挤出工序产生的废气</w:t>
            </w:r>
            <w:r>
              <w:rPr>
                <w:rStyle w:val="80"/>
                <w:rFonts w:hint="eastAsia" w:cs="宋体"/>
                <w:b w:val="0"/>
                <w:bCs w:val="0"/>
                <w:color w:val="auto"/>
                <w:highlight w:val="none"/>
                <w:lang w:eastAsia="zh-CN"/>
              </w:rPr>
              <w:t>，挥发性有机物，包括非甲烷总烃、苯乙烯、甲苯、乙苯等，其中苯乙烯、甲苯、乙苯的产生量较小，可忽略不计，挥发性有机物以非甲烷总烃计。</w:t>
            </w:r>
            <w:r>
              <w:rPr>
                <w:rStyle w:val="80"/>
                <w:rFonts w:hint="eastAsia" w:cs="宋体"/>
                <w:b w:val="0"/>
                <w:bCs w:val="0"/>
                <w:color w:val="auto"/>
                <w:highlight w:val="none"/>
              </w:rPr>
              <w:t>参照</w:t>
            </w:r>
            <w:r>
              <w:rPr>
                <w:rStyle w:val="80"/>
                <w:rFonts w:hint="eastAsia" w:ascii="Times New Roman" w:hAnsi="Times New Roman" w:eastAsia="宋体" w:cs="宋体"/>
                <w:b w:val="0"/>
                <w:bCs w:val="0"/>
                <w:color w:val="auto"/>
                <w:highlight w:val="none"/>
              </w:rPr>
              <w:t>《</w:t>
            </w:r>
            <w:r>
              <w:rPr>
                <w:rStyle w:val="80"/>
                <w:rFonts w:hint="eastAsia" w:ascii="Times New Roman" w:hAnsi="Times New Roman" w:eastAsia="宋体" w:cs="宋体"/>
                <w:b w:val="0"/>
                <w:bCs w:val="0"/>
                <w:color w:val="auto"/>
                <w:highlight w:val="none"/>
              </w:rPr>
              <w:fldChar w:fldCharType="begin"/>
            </w:r>
            <w:r>
              <w:rPr>
                <w:rStyle w:val="80"/>
                <w:rFonts w:hint="eastAsia" w:ascii="Times New Roman" w:hAnsi="Times New Roman" w:eastAsia="宋体" w:cs="宋体"/>
                <w:b w:val="0"/>
                <w:bCs w:val="0"/>
                <w:color w:val="auto"/>
                <w:highlight w:val="none"/>
              </w:rPr>
              <w:instrText xml:space="preserve"> HYPERLINK "http://www.mee.gov.cn/xxgk2018/xxgk/xxgk01/202106/W020210624327149500026.pdf" </w:instrText>
            </w:r>
            <w:r>
              <w:rPr>
                <w:rStyle w:val="80"/>
                <w:rFonts w:hint="eastAsia" w:ascii="Times New Roman" w:hAnsi="Times New Roman" w:eastAsia="宋体" w:cs="宋体"/>
                <w:b w:val="0"/>
                <w:bCs w:val="0"/>
                <w:color w:val="auto"/>
                <w:highlight w:val="none"/>
              </w:rPr>
              <w:fldChar w:fldCharType="separate"/>
            </w:r>
            <w:r>
              <w:rPr>
                <w:rStyle w:val="80"/>
                <w:rFonts w:hint="eastAsia" w:ascii="Times New Roman" w:hAnsi="Times New Roman" w:eastAsia="宋体" w:cs="宋体"/>
                <w:b w:val="0"/>
                <w:bCs w:val="0"/>
                <w:color w:val="auto"/>
                <w:highlight w:val="none"/>
              </w:rPr>
              <w:t>排放源统计调查产排污核算方法和系数手册</w:t>
            </w:r>
            <w:r>
              <w:rPr>
                <w:rStyle w:val="80"/>
                <w:rFonts w:hint="eastAsia" w:ascii="Times New Roman" w:hAnsi="Times New Roman" w:eastAsia="宋体" w:cs="宋体"/>
                <w:b w:val="0"/>
                <w:bCs w:val="0"/>
                <w:color w:val="auto"/>
                <w:highlight w:val="none"/>
              </w:rPr>
              <w:fldChar w:fldCharType="end"/>
            </w:r>
            <w:r>
              <w:rPr>
                <w:rStyle w:val="80"/>
                <w:rFonts w:hint="eastAsia" w:ascii="Times New Roman" w:hAnsi="Times New Roman" w:eastAsia="宋体" w:cs="宋体"/>
                <w:b w:val="0"/>
                <w:bCs w:val="0"/>
                <w:color w:val="auto"/>
                <w:highlight w:val="none"/>
              </w:rPr>
              <w:t>》中的</w:t>
            </w:r>
            <w:r>
              <w:rPr>
                <w:rStyle w:val="80"/>
                <w:rFonts w:hint="eastAsia" w:cs="宋体"/>
                <w:b w:val="0"/>
                <w:bCs w:val="0"/>
                <w:color w:val="auto"/>
                <w:highlight w:val="none"/>
              </w:rPr>
              <w:t>《</w:t>
            </w:r>
            <w:r>
              <w:rPr>
                <w:rFonts w:ascii="宋体" w:hAnsi="宋体" w:eastAsia="宋体" w:cs="宋体"/>
                <w:color w:val="auto"/>
                <w:sz w:val="24"/>
                <w:szCs w:val="24"/>
                <w:highlight w:val="none"/>
              </w:rPr>
              <w:t>292 塑料制品行业系数手册</w:t>
            </w:r>
            <w:r>
              <w:rPr>
                <w:rStyle w:val="80"/>
                <w:rFonts w:hint="eastAsia" w:cs="宋体"/>
                <w:b w:val="0"/>
                <w:bCs w:val="0"/>
                <w:color w:val="auto"/>
                <w:highlight w:val="none"/>
              </w:rPr>
              <w:t>》中的</w:t>
            </w:r>
            <w:r>
              <w:rPr>
                <w:rStyle w:val="80"/>
                <w:rFonts w:hint="eastAsia" w:ascii="Times New Roman" w:hAnsi="Times New Roman" w:eastAsia="宋体" w:cs="宋体"/>
                <w:b w:val="0"/>
                <w:bCs w:val="0"/>
                <w:color w:val="auto"/>
                <w:highlight w:val="none"/>
              </w:rPr>
              <w:t>《</w:t>
            </w:r>
            <w:r>
              <w:rPr>
                <w:rFonts w:ascii="宋体" w:hAnsi="宋体" w:eastAsia="宋体" w:cs="宋体"/>
                <w:color w:val="auto"/>
                <w:sz w:val="24"/>
                <w:szCs w:val="24"/>
                <w:highlight w:val="none"/>
              </w:rPr>
              <w:t>2929 塑料零件及其他塑料制品制造行业系数表</w:t>
            </w:r>
            <w:r>
              <w:rPr>
                <w:rStyle w:val="80"/>
                <w:rFonts w:hint="eastAsia" w:ascii="Times New Roman" w:hAnsi="Times New Roman" w:eastAsia="宋体" w:cs="宋体"/>
                <w:b w:val="0"/>
                <w:bCs w:val="0"/>
                <w:color w:val="auto"/>
                <w:highlight w:val="none"/>
              </w:rPr>
              <w:t>》中显示“</w:t>
            </w:r>
            <w:r>
              <w:rPr>
                <w:rFonts w:hint="eastAsia" w:ascii="宋体" w:hAnsi="宋体" w:eastAsia="宋体" w:cs="宋体"/>
                <w:color w:val="auto"/>
                <w:kern w:val="0"/>
                <w:sz w:val="24"/>
                <w:szCs w:val="24"/>
                <w:lang w:val="en-US" w:eastAsia="zh-CN" w:bidi="ar"/>
              </w:rPr>
              <w:t>配料</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混合</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挤出</w:t>
            </w:r>
            <w:r>
              <w:rPr>
                <w:rStyle w:val="80"/>
                <w:rFonts w:hint="eastAsia" w:ascii="Times New Roman" w:hAnsi="Times New Roman" w:eastAsia="宋体" w:cs="宋体"/>
                <w:b w:val="0"/>
                <w:bCs w:val="0"/>
                <w:color w:val="auto"/>
                <w:highlight w:val="none"/>
              </w:rPr>
              <w:t>”</w:t>
            </w:r>
            <w:r>
              <w:rPr>
                <w:rStyle w:val="80"/>
                <w:rFonts w:hint="eastAsia" w:cs="宋体"/>
                <w:b w:val="0"/>
                <w:bCs w:val="0"/>
                <w:color w:val="auto"/>
                <w:highlight w:val="none"/>
              </w:rPr>
              <w:t>工序挥发性有机物</w:t>
            </w:r>
            <w:r>
              <w:rPr>
                <w:rStyle w:val="80"/>
                <w:rFonts w:hint="eastAsia" w:ascii="Times New Roman" w:hAnsi="Times New Roman" w:eastAsia="宋体" w:cs="宋体"/>
                <w:b w:val="0"/>
                <w:bCs w:val="0"/>
                <w:color w:val="auto"/>
                <w:highlight w:val="none"/>
              </w:rPr>
              <w:t>的产污系数为</w:t>
            </w:r>
            <w:r>
              <w:rPr>
                <w:rStyle w:val="80"/>
                <w:rFonts w:hint="eastAsia" w:cs="宋体"/>
                <w:b w:val="0"/>
                <w:bCs w:val="0"/>
                <w:color w:val="auto"/>
                <w:highlight w:val="none"/>
                <w:lang w:val="en-US" w:eastAsia="zh-CN"/>
              </w:rPr>
              <w:t>1.5</w:t>
            </w:r>
            <w:r>
              <w:rPr>
                <w:rStyle w:val="80"/>
                <w:rFonts w:hint="eastAsia" w:ascii="Times New Roman" w:hAnsi="Times New Roman" w:eastAsia="宋体" w:cs="宋体"/>
                <w:b w:val="0"/>
                <w:bCs w:val="0"/>
                <w:color w:val="auto"/>
                <w:highlight w:val="none"/>
                <w:lang w:val="en-US" w:eastAsia="zh-CN"/>
              </w:rPr>
              <w:t>千克/</w:t>
            </w:r>
            <w:r>
              <w:rPr>
                <w:rStyle w:val="80"/>
                <w:rFonts w:hint="eastAsia" w:cs="宋体"/>
                <w:b w:val="0"/>
                <w:bCs w:val="0"/>
                <w:color w:val="auto"/>
                <w:highlight w:val="none"/>
                <w:lang w:val="en-US" w:eastAsia="zh-CN"/>
              </w:rPr>
              <w:t>吨-产品</w:t>
            </w:r>
            <w:r>
              <w:rPr>
                <w:rFonts w:hint="eastAsia"/>
                <w:color w:val="auto"/>
                <w:lang w:eastAsia="zh-CN"/>
              </w:rPr>
              <w:t>，</w:t>
            </w:r>
            <w:r>
              <w:rPr>
                <w:rFonts w:hint="eastAsia" w:ascii="宋体" w:hAnsi="宋体" w:eastAsia="宋体" w:cs="宋体"/>
                <w:color w:val="auto"/>
                <w:sz w:val="24"/>
                <w:szCs w:val="24"/>
                <w:highlight w:val="none"/>
                <w:lang w:eastAsia="zh-CN"/>
              </w:rPr>
              <w:t>“模塑发泡”工序挥发性有机物的产污系数为</w:t>
            </w:r>
            <w:r>
              <w:rPr>
                <w:rFonts w:hint="eastAsia" w:ascii="宋体" w:hAnsi="宋体" w:eastAsia="宋体" w:cs="宋体"/>
                <w:color w:val="auto"/>
                <w:sz w:val="24"/>
                <w:szCs w:val="24"/>
                <w:highlight w:val="none"/>
                <w:lang w:val="en-US" w:eastAsia="zh-CN"/>
              </w:rPr>
              <w:t>30千克/吨-产品。</w:t>
            </w:r>
            <w:r>
              <w:rPr>
                <w:rStyle w:val="80"/>
                <w:rFonts w:hint="eastAsia" w:cs="宋体"/>
                <w:b w:val="0"/>
                <w:bCs w:val="0"/>
                <w:color w:val="auto"/>
                <w:highlight w:val="none"/>
                <w:lang w:val="en-US" w:eastAsia="zh-CN"/>
              </w:rPr>
              <w:t>本项目中包含发泡工艺产品即</w:t>
            </w:r>
            <w:r>
              <w:rPr>
                <w:rFonts w:hint="eastAsia" w:cs="Times New Roman"/>
                <w:color w:val="auto"/>
                <w:sz w:val="24"/>
                <w:lang w:val="en-US" w:eastAsia="zh-CN"/>
              </w:rPr>
              <w:t>新型外墙保温材料的</w:t>
            </w:r>
            <w:r>
              <w:rPr>
                <w:rStyle w:val="80"/>
                <w:rFonts w:hint="eastAsia" w:cs="宋体"/>
                <w:b w:val="0"/>
                <w:bCs w:val="0"/>
                <w:color w:val="auto"/>
                <w:highlight w:val="none"/>
                <w:lang w:val="en-US" w:eastAsia="zh-CN"/>
              </w:rPr>
              <w:t>年产量为</w:t>
            </w:r>
            <w:r>
              <w:rPr>
                <w:rFonts w:hint="eastAsia" w:ascii="宋体" w:hAnsi="宋体" w:cs="宋体"/>
                <w:color w:val="auto"/>
                <w:sz w:val="24"/>
                <w:szCs w:val="24"/>
                <w:highlight w:val="none"/>
                <w:lang w:val="en-US" w:eastAsia="zh-CN"/>
              </w:rPr>
              <w:t>120</w:t>
            </w:r>
            <w:r>
              <w:rPr>
                <w:rFonts w:hint="eastAsia" w:ascii="宋体" w:hAnsi="宋体" w:cs="宋体"/>
                <w:color w:val="auto"/>
                <w:sz w:val="24"/>
                <w:szCs w:val="24"/>
                <w:highlight w:val="none"/>
                <w:lang w:eastAsia="zh-CN"/>
              </w:rPr>
              <w:t>0吨</w:t>
            </w:r>
            <w:r>
              <w:rPr>
                <w:rFonts w:hint="eastAsia"/>
                <w:color w:val="auto"/>
                <w:lang w:eastAsia="zh-CN"/>
              </w:rPr>
              <w:t>，</w:t>
            </w:r>
            <w:r>
              <w:rPr>
                <w:rFonts w:hint="eastAsia" w:ascii="宋体" w:hAnsi="宋体" w:eastAsia="宋体" w:cs="宋体"/>
                <w:color w:val="auto"/>
                <w:sz w:val="24"/>
                <w:szCs w:val="24"/>
                <w:highlight w:val="none"/>
                <w:lang w:val="en-US" w:eastAsia="zh-CN"/>
              </w:rPr>
              <w:t>PP、PE型材（板材）的年产量为4800吨，</w:t>
            </w:r>
            <w:r>
              <w:rPr>
                <w:rStyle w:val="80"/>
                <w:rFonts w:hint="eastAsia" w:cs="宋体"/>
                <w:b w:val="0"/>
                <w:bCs w:val="0"/>
                <w:color w:val="auto"/>
                <w:highlight w:val="none"/>
                <w:lang w:val="en-US" w:eastAsia="zh-CN"/>
              </w:rPr>
              <w:t>因此</w:t>
            </w:r>
            <w:r>
              <w:rPr>
                <w:rFonts w:hint="eastAsia" w:cs="Times New Roman"/>
                <w:color w:val="auto"/>
                <w:sz w:val="24"/>
                <w:highlight w:val="none"/>
                <w:lang w:val="en-US" w:eastAsia="zh-CN"/>
              </w:rPr>
              <w:t>塑胶制品产生的</w:t>
            </w:r>
            <w:r>
              <w:rPr>
                <w:rStyle w:val="80"/>
                <w:rFonts w:hint="eastAsia" w:cs="宋体"/>
                <w:b w:val="0"/>
                <w:bCs w:val="0"/>
                <w:color w:val="auto"/>
                <w:highlight w:val="none"/>
                <w:lang w:val="en-US" w:eastAsia="zh-CN"/>
              </w:rPr>
              <w:t>挥发性有机物（以非甲烷总烃计）为10.2t/a。</w:t>
            </w:r>
            <w:r>
              <w:rPr>
                <w:rStyle w:val="80"/>
                <w:rFonts w:hint="eastAsia" w:cs="宋体"/>
                <w:b w:val="0"/>
                <w:bCs w:val="0"/>
                <w:color w:val="auto"/>
                <w:highlight w:val="none"/>
                <w:lang w:val="en-US" w:eastAsia="zh-CN"/>
              </w:rPr>
              <w:br w:type="textWrapping"/>
            </w:r>
            <w:r>
              <w:rPr>
                <w:rStyle w:val="80"/>
                <w:rFonts w:hint="eastAsia" w:cs="宋体"/>
                <w:b w:val="0"/>
                <w:bCs w:val="0"/>
                <w:color w:val="auto"/>
                <w:highlight w:val="none"/>
                <w:lang w:val="en-US" w:eastAsia="zh-CN"/>
              </w:rPr>
              <w:t xml:space="preserve">    本项目橡胶板即橡胶制品年产量为</w:t>
            </w:r>
            <w:r>
              <w:rPr>
                <w:rFonts w:hint="eastAsia" w:ascii="宋体" w:hAnsi="宋体" w:cs="宋体"/>
                <w:color w:val="auto"/>
                <w:sz w:val="24"/>
                <w:szCs w:val="24"/>
                <w:highlight w:val="none"/>
                <w:lang w:val="en-US" w:eastAsia="zh-CN"/>
              </w:rPr>
              <w:t>600</w:t>
            </w:r>
            <w:r>
              <w:rPr>
                <w:rFonts w:hint="eastAsia" w:ascii="宋体" w:hAnsi="宋体" w:cs="宋体"/>
                <w:color w:val="auto"/>
                <w:sz w:val="24"/>
                <w:szCs w:val="24"/>
                <w:highlight w:val="none"/>
                <w:lang w:eastAsia="zh-CN"/>
              </w:rPr>
              <w:t>0吨</w:t>
            </w:r>
            <w:r>
              <w:rPr>
                <w:rFonts w:hint="eastAsia" w:ascii="宋体" w:hAnsi="宋体" w:cs="宋体"/>
                <w:color w:val="auto"/>
                <w:sz w:val="24"/>
                <w:szCs w:val="24"/>
                <w:highlight w:val="none"/>
                <w:lang w:val="en-US" w:eastAsia="zh-CN"/>
              </w:rPr>
              <w:t>，</w:t>
            </w:r>
            <w:r>
              <w:rPr>
                <w:rStyle w:val="80"/>
                <w:rFonts w:hint="eastAsia" w:cs="宋体"/>
                <w:b w:val="0"/>
                <w:bCs w:val="0"/>
                <w:color w:val="auto"/>
                <w:highlight w:val="none"/>
                <w:lang w:val="en-US" w:eastAsia="zh-CN"/>
              </w:rPr>
              <w:t>橡胶板中胶粉使用量约为2004吨/年。因橡胶板挤出工序无产污系数，参照</w:t>
            </w:r>
            <w:r>
              <w:rPr>
                <w:rStyle w:val="80"/>
                <w:rFonts w:hint="eastAsia" w:ascii="Times New Roman" w:hAnsi="Times New Roman" w:eastAsia="宋体" w:cs="宋体"/>
                <w:b w:val="0"/>
                <w:bCs w:val="0"/>
                <w:color w:val="auto"/>
                <w:highlight w:val="none"/>
              </w:rPr>
              <w:t>《</w:t>
            </w:r>
            <w:r>
              <w:rPr>
                <w:rStyle w:val="80"/>
                <w:rFonts w:hint="eastAsia" w:ascii="Times New Roman" w:hAnsi="Times New Roman" w:eastAsia="宋体" w:cs="宋体"/>
                <w:b w:val="0"/>
                <w:bCs w:val="0"/>
                <w:color w:val="auto"/>
                <w:highlight w:val="none"/>
              </w:rPr>
              <w:fldChar w:fldCharType="begin"/>
            </w:r>
            <w:r>
              <w:rPr>
                <w:rStyle w:val="80"/>
                <w:rFonts w:hint="eastAsia" w:ascii="Times New Roman" w:hAnsi="Times New Roman" w:eastAsia="宋体" w:cs="宋体"/>
                <w:b w:val="0"/>
                <w:bCs w:val="0"/>
                <w:color w:val="auto"/>
                <w:highlight w:val="none"/>
              </w:rPr>
              <w:instrText xml:space="preserve"> HYPERLINK "http://www.mee.gov.cn/xxgk2018/xxgk/xxgk01/202106/W020210624327149500026.pdf" </w:instrText>
            </w:r>
            <w:r>
              <w:rPr>
                <w:rStyle w:val="80"/>
                <w:rFonts w:hint="eastAsia" w:ascii="Times New Roman" w:hAnsi="Times New Roman" w:eastAsia="宋体" w:cs="宋体"/>
                <w:b w:val="0"/>
                <w:bCs w:val="0"/>
                <w:color w:val="auto"/>
                <w:highlight w:val="none"/>
              </w:rPr>
              <w:fldChar w:fldCharType="separate"/>
            </w:r>
            <w:r>
              <w:rPr>
                <w:rStyle w:val="80"/>
                <w:rFonts w:hint="eastAsia" w:ascii="Times New Roman" w:hAnsi="Times New Roman" w:eastAsia="宋体" w:cs="宋体"/>
                <w:b w:val="0"/>
                <w:bCs w:val="0"/>
                <w:color w:val="auto"/>
                <w:highlight w:val="none"/>
              </w:rPr>
              <w:t>排放源统计调查产排污核算方法和系数手册</w:t>
            </w:r>
            <w:r>
              <w:rPr>
                <w:rStyle w:val="80"/>
                <w:rFonts w:hint="eastAsia" w:ascii="Times New Roman" w:hAnsi="Times New Roman" w:eastAsia="宋体" w:cs="宋体"/>
                <w:b w:val="0"/>
                <w:bCs w:val="0"/>
                <w:color w:val="auto"/>
                <w:highlight w:val="none"/>
              </w:rPr>
              <w:fldChar w:fldCharType="end"/>
            </w:r>
            <w:r>
              <w:rPr>
                <w:rStyle w:val="80"/>
                <w:rFonts w:hint="eastAsia" w:ascii="Times New Roman" w:hAnsi="Times New Roman" w:eastAsia="宋体" w:cs="宋体"/>
                <w:b w:val="0"/>
                <w:bCs w:val="0"/>
                <w:color w:val="auto"/>
                <w:highlight w:val="none"/>
              </w:rPr>
              <w:t>》中的</w:t>
            </w:r>
            <w:r>
              <w:rPr>
                <w:rStyle w:val="80"/>
                <w:rFonts w:hint="eastAsia" w:cs="宋体"/>
                <w:b w:val="0"/>
                <w:bCs w:val="0"/>
                <w:color w:val="auto"/>
                <w:highlight w:val="none"/>
              </w:rPr>
              <w:t>《</w:t>
            </w:r>
            <w:r>
              <w:rPr>
                <w:rFonts w:ascii="宋体" w:hAnsi="宋体" w:eastAsia="宋体" w:cs="宋体"/>
                <w:color w:val="auto"/>
                <w:sz w:val="24"/>
                <w:szCs w:val="24"/>
                <w:highlight w:val="none"/>
              </w:rPr>
              <w:t>29</w:t>
            </w:r>
            <w:r>
              <w:rPr>
                <w:rFonts w:hint="eastAsia" w:ascii="宋体" w:hAnsi="宋体" w:cs="宋体"/>
                <w:color w:val="auto"/>
                <w:sz w:val="24"/>
                <w:szCs w:val="24"/>
                <w:highlight w:val="none"/>
                <w:lang w:val="en-US" w:eastAsia="zh-CN"/>
              </w:rPr>
              <w:t>1</w:t>
            </w:r>
            <w:r>
              <w:rPr>
                <w:rFonts w:ascii="宋体" w:hAnsi="宋体" w:eastAsia="宋体" w:cs="宋体"/>
                <w:color w:val="auto"/>
                <w:sz w:val="24"/>
                <w:szCs w:val="24"/>
                <w:highlight w:val="none"/>
              </w:rPr>
              <w:t xml:space="preserve"> </w:t>
            </w:r>
            <w:r>
              <w:rPr>
                <w:rFonts w:hint="eastAsia" w:ascii="宋体" w:hAnsi="宋体" w:cs="宋体"/>
                <w:color w:val="auto"/>
                <w:sz w:val="24"/>
                <w:szCs w:val="24"/>
                <w:highlight w:val="none"/>
                <w:lang w:eastAsia="zh-CN"/>
              </w:rPr>
              <w:t>橡胶</w:t>
            </w:r>
            <w:r>
              <w:rPr>
                <w:rFonts w:ascii="宋体" w:hAnsi="宋体" w:eastAsia="宋体" w:cs="宋体"/>
                <w:color w:val="auto"/>
                <w:sz w:val="24"/>
                <w:szCs w:val="24"/>
                <w:highlight w:val="none"/>
              </w:rPr>
              <w:t>制品行业系数手册</w:t>
            </w:r>
            <w:r>
              <w:rPr>
                <w:rStyle w:val="80"/>
                <w:rFonts w:hint="eastAsia" w:cs="宋体"/>
                <w:b w:val="0"/>
                <w:bCs w:val="0"/>
                <w:color w:val="auto"/>
                <w:highlight w:val="none"/>
              </w:rPr>
              <w:t>》中的</w:t>
            </w:r>
            <w:r>
              <w:rPr>
                <w:rStyle w:val="80"/>
                <w:rFonts w:hint="eastAsia" w:ascii="Times New Roman" w:hAnsi="Times New Roman" w:eastAsia="宋体" w:cs="宋体"/>
                <w:b w:val="0"/>
                <w:bCs w:val="0"/>
                <w:color w:val="auto"/>
                <w:highlight w:val="none"/>
              </w:rPr>
              <w:t>《</w:t>
            </w:r>
            <w:r>
              <w:rPr>
                <w:rFonts w:hint="eastAsia" w:ascii="宋体" w:hAnsi="宋体" w:eastAsia="宋体" w:cs="宋体"/>
                <w:color w:val="auto"/>
                <w:sz w:val="24"/>
                <w:szCs w:val="24"/>
                <w:highlight w:val="none"/>
              </w:rPr>
              <w:t>2912 橡胶板、管、带制造行业系数表</w:t>
            </w:r>
            <w:r>
              <w:rPr>
                <w:rStyle w:val="80"/>
                <w:rFonts w:hint="eastAsia" w:ascii="Times New Roman" w:hAnsi="Times New Roman" w:eastAsia="宋体" w:cs="宋体"/>
                <w:b w:val="0"/>
                <w:bCs w:val="0"/>
                <w:color w:val="auto"/>
                <w:highlight w:val="none"/>
              </w:rPr>
              <w:t>》</w:t>
            </w:r>
            <w:r>
              <w:rPr>
                <w:rStyle w:val="80"/>
                <w:rFonts w:hint="eastAsia" w:cs="宋体"/>
                <w:b w:val="0"/>
                <w:bCs w:val="0"/>
                <w:color w:val="auto"/>
                <w:highlight w:val="none"/>
              </w:rPr>
              <w:t>中的“产品为橡胶板、管、带的混炼，硫化工艺中的“挥发性有机物的产污系数为4.90千克</w:t>
            </w:r>
            <w:r>
              <w:rPr>
                <w:rStyle w:val="80"/>
                <w:rFonts w:hint="eastAsia" w:cs="宋体"/>
                <w:b w:val="0"/>
                <w:bCs w:val="0"/>
                <w:color w:val="auto"/>
                <w:highlight w:val="none"/>
                <w:lang w:val="en-US"/>
              </w:rPr>
              <w:t>/吨三胶-原料</w:t>
            </w:r>
            <w:r>
              <w:rPr>
                <w:rStyle w:val="80"/>
                <w:rFonts w:hint="eastAsia" w:cs="宋体"/>
                <w:b w:val="0"/>
                <w:bCs w:val="0"/>
                <w:color w:val="auto"/>
                <w:highlight w:val="none"/>
              </w:rPr>
              <w:t>”中的相关数据”，经计算，</w:t>
            </w:r>
            <w:r>
              <w:rPr>
                <w:rFonts w:hint="eastAsia" w:ascii="宋体" w:hAnsi="宋体" w:cs="宋体"/>
                <w:color w:val="auto"/>
                <w:sz w:val="24"/>
                <w:szCs w:val="24"/>
                <w:highlight w:val="none"/>
                <w:lang w:val="en-US" w:eastAsia="zh-CN"/>
              </w:rPr>
              <w:t>项目</w:t>
            </w:r>
            <w:r>
              <w:rPr>
                <w:rStyle w:val="80"/>
                <w:rFonts w:hint="eastAsia" w:cs="宋体"/>
                <w:b w:val="0"/>
                <w:bCs w:val="0"/>
                <w:color w:val="auto"/>
                <w:highlight w:val="none"/>
                <w:lang w:val="en-US" w:eastAsia="zh-CN"/>
              </w:rPr>
              <w:t>橡胶制品中挥发性有机物产生</w:t>
            </w:r>
            <w:r>
              <w:rPr>
                <w:rFonts w:hint="eastAsia" w:ascii="宋体" w:hAnsi="宋体" w:cs="宋体"/>
                <w:color w:val="auto"/>
                <w:sz w:val="24"/>
                <w:szCs w:val="24"/>
                <w:highlight w:val="none"/>
                <w:lang w:val="en-US" w:eastAsia="zh-CN"/>
              </w:rPr>
              <w:t>量为9.82t/a。</w:t>
            </w:r>
          </w:p>
          <w:p>
            <w:pPr>
              <w:keepNext w:val="0"/>
              <w:keepLines w:val="0"/>
              <w:widowControl/>
              <w:suppressLineNumbers w:val="0"/>
              <w:spacing w:line="360" w:lineRule="auto"/>
              <w:ind w:firstLine="480" w:firstLineChars="200"/>
              <w:jc w:val="left"/>
              <w:rPr>
                <w:rStyle w:val="80"/>
                <w:rFonts w:hint="eastAsia" w:cs="宋体"/>
                <w:b w:val="0"/>
                <w:bCs w:val="0"/>
                <w:color w:val="auto"/>
                <w:highlight w:val="none"/>
                <w:lang w:val="en-US" w:eastAsia="zh-CN"/>
              </w:rPr>
            </w:pPr>
            <w:r>
              <w:rPr>
                <w:rStyle w:val="80"/>
                <w:rFonts w:hint="eastAsia" w:cs="宋体"/>
                <w:b w:val="0"/>
                <w:bCs w:val="0"/>
                <w:color w:val="auto"/>
                <w:highlight w:val="none"/>
                <w:lang w:val="en-US" w:eastAsia="zh-CN"/>
              </w:rPr>
              <w:t>因此，挥发性有机物（以非甲烷总烃计）的总产生量为20.02t/a。</w:t>
            </w:r>
          </w:p>
          <w:p>
            <w:pPr>
              <w:keepNext w:val="0"/>
              <w:keepLines w:val="0"/>
              <w:widowControl/>
              <w:suppressLineNumbers w:val="0"/>
              <w:spacing w:line="360" w:lineRule="auto"/>
              <w:ind w:firstLine="480" w:firstLineChars="200"/>
              <w:jc w:val="left"/>
              <w:rPr>
                <w:rStyle w:val="80"/>
                <w:rFonts w:hint="eastAsia" w:cs="宋体"/>
                <w:b w:val="0"/>
                <w:bCs w:val="0"/>
                <w:color w:val="auto"/>
                <w:highlight w:val="none"/>
                <w:lang w:val="en-US" w:eastAsia="zh-CN"/>
              </w:rPr>
            </w:pPr>
            <w:r>
              <w:rPr>
                <w:rStyle w:val="80"/>
                <w:rFonts w:hint="eastAsia" w:cs="宋体"/>
                <w:b w:val="0"/>
                <w:bCs w:val="0"/>
                <w:color w:val="auto"/>
                <w:highlight w:val="none"/>
                <w:lang w:val="en-US" w:eastAsia="zh-CN"/>
              </w:rPr>
              <w:t>项目在各产污工位处设置集气罩（加装软帘）收集，各点位废气集中收集后由活性炭吸附/脱附催化燃烧装置（1套）处理，处理后经由1根15米高排气筒（DA001）排放。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color w:val="auto"/>
                <w:sz w:val="24"/>
                <w:szCs w:val="24"/>
              </w:rPr>
            </w:pPr>
            <w:r>
              <w:rPr>
                <w:rFonts w:hint="eastAsia"/>
                <w:color w:val="auto"/>
                <w:sz w:val="24"/>
                <w:szCs w:val="24"/>
              </w:rPr>
              <w:t>根据《大气污染控制技术手册》（马广大主编），上方集气罩排风量计算公式如下：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color w:val="auto"/>
                <w:sz w:val="24"/>
                <w:szCs w:val="24"/>
              </w:rPr>
            </w:pPr>
            <w:r>
              <w:rPr>
                <w:rFonts w:hint="eastAsia"/>
                <w:color w:val="auto"/>
                <w:sz w:val="24"/>
                <w:szCs w:val="24"/>
                <w:lang w:val="en-US" w:eastAsia="zh-CN"/>
              </w:rPr>
              <w:t>Q=kpHVx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color w:val="auto"/>
                <w:sz w:val="24"/>
                <w:szCs w:val="24"/>
              </w:rPr>
            </w:pPr>
            <w:r>
              <w:rPr>
                <w:rFonts w:hint="eastAsia"/>
                <w:color w:val="auto"/>
                <w:sz w:val="24"/>
                <w:szCs w:val="24"/>
              </w:rPr>
              <w:t>式中：Q——风量（m</w:t>
            </w:r>
            <w:r>
              <w:rPr>
                <w:rFonts w:hint="eastAsia"/>
                <w:color w:val="auto"/>
                <w:sz w:val="24"/>
                <w:szCs w:val="24"/>
                <w:vertAlign w:val="superscript"/>
              </w:rPr>
              <w:t>3</w:t>
            </w:r>
            <w:r>
              <w:rPr>
                <w:rFonts w:hint="eastAsia"/>
                <w:color w:val="auto"/>
                <w:sz w:val="24"/>
                <w:szCs w:val="24"/>
              </w:rPr>
              <w:t>/h）；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eastAsia="宋体"/>
                <w:color w:val="auto"/>
                <w:sz w:val="24"/>
                <w:szCs w:val="24"/>
                <w:lang w:val="en-US" w:eastAsia="zh-CN"/>
              </w:rPr>
            </w:pPr>
            <w:r>
              <w:rPr>
                <w:rFonts w:hint="eastAsia"/>
                <w:color w:val="auto"/>
                <w:sz w:val="24"/>
                <w:szCs w:val="24"/>
              </w:rPr>
              <w:t xml:space="preserve">      </w:t>
            </w:r>
            <w:r>
              <w:rPr>
                <w:rFonts w:hint="eastAsia"/>
                <w:color w:val="auto"/>
                <w:sz w:val="24"/>
                <w:szCs w:val="24"/>
                <w:lang w:val="en-US" w:eastAsia="zh-CN"/>
              </w:rPr>
              <w:t>K</w:t>
            </w:r>
            <w:r>
              <w:rPr>
                <w:rFonts w:hint="eastAsia"/>
                <w:color w:val="auto"/>
                <w:sz w:val="24"/>
                <w:szCs w:val="24"/>
              </w:rPr>
              <w:t>——</w:t>
            </w:r>
            <w:r>
              <w:rPr>
                <w:rFonts w:hint="eastAsia"/>
                <w:color w:val="auto"/>
                <w:sz w:val="24"/>
                <w:szCs w:val="24"/>
                <w:lang w:val="en-US" w:eastAsia="zh-CN"/>
              </w:rPr>
              <w:t>考虑沿高度速度分布不均的安全系数，通常取K=1.4</w:t>
            </w:r>
            <w:r>
              <w:rPr>
                <w:rFonts w:hint="eastAsia"/>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eastAsia"/>
                <w:color w:val="auto"/>
                <w:sz w:val="24"/>
                <w:szCs w:val="24"/>
              </w:rPr>
            </w:pPr>
            <w:r>
              <w:rPr>
                <w:rFonts w:hint="eastAsia"/>
                <w:color w:val="auto"/>
                <w:sz w:val="24"/>
                <w:szCs w:val="24"/>
              </w:rPr>
              <w:t>P——罩口</w:t>
            </w:r>
            <w:r>
              <w:rPr>
                <w:rFonts w:hint="eastAsia"/>
                <w:color w:val="auto"/>
                <w:sz w:val="24"/>
                <w:szCs w:val="24"/>
                <w:lang w:val="en-US" w:eastAsia="zh-CN"/>
              </w:rPr>
              <w:t>敞开</w:t>
            </w:r>
            <w:r>
              <w:rPr>
                <w:rFonts w:hint="eastAsia"/>
                <w:color w:val="auto"/>
                <w:sz w:val="24"/>
                <w:szCs w:val="24"/>
              </w:rPr>
              <w:t>周长</w:t>
            </w:r>
            <w:r>
              <w:rPr>
                <w:rFonts w:hint="eastAsia"/>
                <w:color w:val="auto"/>
                <w:sz w:val="24"/>
                <w:szCs w:val="24"/>
                <w:lang w:eastAsia="zh-CN"/>
              </w:rPr>
              <w:t>，</w:t>
            </w:r>
            <w:r>
              <w:rPr>
                <w:rFonts w:hint="eastAsia"/>
                <w:color w:val="auto"/>
                <w:sz w:val="24"/>
                <w:szCs w:val="24"/>
              </w:rPr>
              <w:t>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eastAsia="宋体"/>
                <w:color w:val="auto"/>
                <w:sz w:val="24"/>
                <w:szCs w:val="24"/>
                <w:lang w:eastAsia="zh-CN"/>
              </w:rPr>
            </w:pPr>
            <w:r>
              <w:rPr>
                <w:rFonts w:hint="eastAsia"/>
                <w:color w:val="auto"/>
                <w:sz w:val="24"/>
                <w:szCs w:val="24"/>
              </w:rPr>
              <w:t xml:space="preserve">      H——</w:t>
            </w:r>
            <w:r>
              <w:rPr>
                <w:rFonts w:hint="eastAsia"/>
                <w:color w:val="auto"/>
                <w:sz w:val="24"/>
                <w:szCs w:val="24"/>
                <w:lang w:val="en-US" w:eastAsia="zh-CN"/>
              </w:rPr>
              <w:t>罩口</w:t>
            </w:r>
            <w:r>
              <w:rPr>
                <w:rFonts w:hint="eastAsia"/>
                <w:color w:val="auto"/>
                <w:sz w:val="24"/>
                <w:szCs w:val="24"/>
              </w:rPr>
              <w:t>距</w:t>
            </w:r>
            <w:r>
              <w:rPr>
                <w:rFonts w:hint="eastAsia"/>
                <w:color w:val="auto"/>
                <w:sz w:val="24"/>
                <w:szCs w:val="24"/>
                <w:lang w:val="en-US" w:eastAsia="zh-CN"/>
              </w:rPr>
              <w:t>污染源的距离</w:t>
            </w:r>
            <w:r>
              <w:rPr>
                <w:rFonts w:hint="eastAsia"/>
                <w:color w:val="auto"/>
                <w:sz w:val="24"/>
                <w:szCs w:val="24"/>
                <w:lang w:eastAsia="zh-CN"/>
              </w:rPr>
              <w:t>，</w:t>
            </w:r>
            <w:r>
              <w:rPr>
                <w:rFonts w:hint="eastAsia"/>
                <w:color w:val="auto"/>
                <w:sz w:val="24"/>
                <w:szCs w:val="24"/>
              </w:rPr>
              <w:t>m</w:t>
            </w:r>
            <w:r>
              <w:rPr>
                <w:rFonts w:hint="eastAsia"/>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s="Times New Roman"/>
                <w:b/>
                <w:bCs/>
                <w:color w:val="auto"/>
                <w:sz w:val="24"/>
                <w:szCs w:val="24"/>
                <w:lang w:val="en-US" w:eastAsia="zh-CN"/>
              </w:rPr>
            </w:pPr>
            <w:r>
              <w:rPr>
                <w:rFonts w:hint="eastAsia"/>
                <w:color w:val="auto"/>
                <w:sz w:val="24"/>
                <w:szCs w:val="24"/>
              </w:rPr>
              <w:t xml:space="preserve">      V——控制风速</w:t>
            </w:r>
            <w:r>
              <w:rPr>
                <w:rFonts w:hint="eastAsia"/>
                <w:color w:val="auto"/>
                <w:sz w:val="24"/>
                <w:szCs w:val="24"/>
                <w:lang w:eastAsia="zh-CN"/>
              </w:rPr>
              <w:t>，</w:t>
            </w:r>
            <w:r>
              <w:rPr>
                <w:rFonts w:hint="eastAsia"/>
                <w:color w:val="auto"/>
                <w:sz w:val="24"/>
                <w:szCs w:val="24"/>
              </w:rPr>
              <w:t>m/s。</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根据《大气污染控制工程》（第二版）中表1可得，当污染源从轻微速度发散到相对平静的空气中时，污染源控制速度为0.25m/s～0.5m/s，本次取0.5m/s，即Vx=0.</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m/s。</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本项目设计单个集气罩的尺寸</w:t>
            </w:r>
            <w:r>
              <w:rPr>
                <w:rFonts w:hint="eastAsia" w:ascii="Times New Roman" w:hAnsi="Times New Roman" w:eastAsia="宋体" w:cs="Times New Roman"/>
                <w:color w:val="auto"/>
                <w:sz w:val="24"/>
                <w:szCs w:val="24"/>
                <w:lang w:val="en-US" w:eastAsia="zh-CN"/>
              </w:rPr>
              <w:t>约</w:t>
            </w:r>
            <w:r>
              <w:rPr>
                <w:rFonts w:hint="default" w:ascii="Times New Roman" w:hAnsi="Times New Roman" w:eastAsia="宋体" w:cs="Times New Roman"/>
                <w:color w:val="auto"/>
                <w:sz w:val="24"/>
                <w:szCs w:val="24"/>
                <w:lang w:val="en-US" w:eastAsia="zh-CN"/>
              </w:rPr>
              <w:t>为</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m，则罩口周长为</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m，即P=</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m。</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罩口距污染源的距离，为避免横向气流的干扰，本项目设计罩口底部至污染源的距离为0.</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m，即H=0.</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m。</w:t>
            </w:r>
          </w:p>
          <w:p>
            <w:pPr>
              <w:keepNext w:val="0"/>
              <w:keepLines w:val="0"/>
              <w:widowControl/>
              <w:suppressLineNumbers w:val="0"/>
              <w:spacing w:line="360" w:lineRule="auto"/>
              <w:ind w:firstLine="480" w:firstLineChars="200"/>
              <w:jc w:val="both"/>
              <w:rPr>
                <w:rStyle w:val="80"/>
                <w:rFonts w:hint="eastAsia" w:cs="宋体"/>
                <w:b w:val="0"/>
                <w:bCs w:val="0"/>
                <w:color w:val="auto"/>
                <w:highlight w:val="none"/>
                <w:lang w:val="en-US" w:eastAsia="zh-CN"/>
              </w:rPr>
            </w:pPr>
            <w:r>
              <w:rPr>
                <w:rFonts w:hint="default" w:ascii="Times New Roman" w:hAnsi="Times New Roman" w:eastAsia="宋体" w:cs="Times New Roman"/>
                <w:color w:val="auto"/>
                <w:sz w:val="24"/>
                <w:szCs w:val="24"/>
                <w:lang w:val="en-US" w:eastAsia="zh-CN"/>
              </w:rPr>
              <w:t>则集气罩风量Q=（1.4×</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0.168</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/s，即</w:t>
            </w:r>
            <w:r>
              <w:rPr>
                <w:rFonts w:hint="eastAsia" w:ascii="Times New Roman" w:hAnsi="Times New Roman" w:eastAsia="宋体" w:cs="Times New Roman"/>
                <w:color w:val="auto"/>
                <w:sz w:val="24"/>
                <w:szCs w:val="24"/>
                <w:lang w:val="en-US" w:eastAsia="zh-CN"/>
              </w:rPr>
              <w:t>604.8</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/h，项目共</w:t>
            </w:r>
            <w:r>
              <w:rPr>
                <w:rFonts w:hint="eastAsia" w:ascii="Times New Roman" w:hAnsi="Times New Roman" w:eastAsia="宋体" w:cs="Times New Roman"/>
                <w:color w:val="auto"/>
                <w:sz w:val="24"/>
                <w:szCs w:val="24"/>
                <w:lang w:val="en-US" w:eastAsia="zh-CN"/>
              </w:rPr>
              <w:t>设置</w:t>
            </w:r>
            <w:r>
              <w:rPr>
                <w:rFonts w:hint="eastAsia" w:ascii="Times New Roman" w:hAnsi="Times New Roman" w:eastAsia="宋体" w:cs="Times New Roman"/>
                <w:color w:val="auto"/>
                <w:sz w:val="24"/>
                <w:szCs w:val="24"/>
                <w:highlight w:val="none"/>
                <w:lang w:val="en-US" w:eastAsia="zh-CN"/>
              </w:rPr>
              <w:t>33</w:t>
            </w:r>
            <w:r>
              <w:rPr>
                <w:rFonts w:hint="default" w:ascii="Times New Roman" w:hAnsi="Times New Roman" w:eastAsia="宋体" w:cs="Times New Roman"/>
                <w:color w:val="auto"/>
                <w:sz w:val="24"/>
                <w:szCs w:val="24"/>
                <w:lang w:val="en-US" w:eastAsia="zh-CN"/>
              </w:rPr>
              <w:t>个集气罩，则总风量为</w:t>
            </w:r>
            <w:r>
              <w:rPr>
                <w:rFonts w:hint="eastAsia" w:ascii="Times New Roman" w:hAnsi="Times New Roman" w:eastAsia="宋体" w:cs="Times New Roman"/>
                <w:color w:val="auto"/>
                <w:sz w:val="24"/>
                <w:szCs w:val="24"/>
                <w:lang w:val="en-US" w:eastAsia="zh-CN"/>
              </w:rPr>
              <w:t>604.8</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19958.4</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/h，设计风量为</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p>
            <w:pPr>
              <w:keepNext w:val="0"/>
              <w:keepLines w:val="0"/>
              <w:widowControl/>
              <w:suppressLineNumbers w:val="0"/>
              <w:spacing w:line="360" w:lineRule="auto"/>
              <w:ind w:firstLine="480" w:firstLineChars="200"/>
              <w:jc w:val="both"/>
              <w:rPr>
                <w:rStyle w:val="80"/>
                <w:rFonts w:hint="eastAsia" w:cs="宋体"/>
                <w:b w:val="0"/>
                <w:bCs w:val="0"/>
                <w:color w:val="auto"/>
                <w:highlight w:val="none"/>
                <w:lang w:val="en-US" w:eastAsia="zh-CN"/>
              </w:rPr>
            </w:pPr>
            <w:r>
              <w:rPr>
                <w:rStyle w:val="80"/>
                <w:rFonts w:hint="eastAsia" w:cs="宋体"/>
                <w:b w:val="0"/>
                <w:bCs w:val="0"/>
                <w:color w:val="auto"/>
                <w:highlight w:val="none"/>
                <w:lang w:val="en-US" w:eastAsia="zh-CN"/>
              </w:rPr>
              <w:t>废气的收集效率不低于90%（取90%），活性炭吸附/脱附催化燃烧装置</w:t>
            </w:r>
            <w:r>
              <w:rPr>
                <w:rFonts w:hint="eastAsia"/>
                <w:color w:val="auto"/>
                <w:sz w:val="24"/>
                <w:highlight w:val="none"/>
                <w:lang w:val="en-US" w:eastAsia="zh-CN"/>
              </w:rPr>
              <w:t>的处理效率约为90%，风机风量约为20000m</w:t>
            </w:r>
            <w:r>
              <w:rPr>
                <w:rFonts w:hint="eastAsia"/>
                <w:color w:val="auto"/>
                <w:sz w:val="24"/>
                <w:highlight w:val="none"/>
                <w:vertAlign w:val="superscript"/>
                <w:lang w:val="en-US" w:eastAsia="zh-CN"/>
              </w:rPr>
              <w:t>3</w:t>
            </w:r>
            <w:r>
              <w:rPr>
                <w:rFonts w:hint="eastAsia"/>
                <w:color w:val="auto"/>
                <w:sz w:val="24"/>
                <w:highlight w:val="none"/>
                <w:lang w:val="en-US" w:eastAsia="zh-CN"/>
              </w:rPr>
              <w:t xml:space="preserve"> /h，设备年运行时间按7200h计。由计算得出本项目</w:t>
            </w:r>
            <w:r>
              <w:rPr>
                <w:rStyle w:val="80"/>
                <w:rFonts w:hint="eastAsia" w:cs="宋体"/>
                <w:b w:val="0"/>
                <w:bCs w:val="0"/>
                <w:color w:val="auto"/>
                <w:highlight w:val="none"/>
                <w:lang w:val="en-US" w:eastAsia="zh-CN"/>
              </w:rPr>
              <w:t>非甲烷总烃</w:t>
            </w:r>
            <w:r>
              <w:rPr>
                <w:rFonts w:hint="eastAsia"/>
                <w:color w:val="auto"/>
                <w:sz w:val="24"/>
                <w:highlight w:val="none"/>
                <w:lang w:val="en-US" w:eastAsia="zh-CN"/>
              </w:rPr>
              <w:t>的产生量为20.02t/a，产生速率约为2.5025kg/h，产生浓度约为125.125mg/m</w:t>
            </w:r>
            <w:r>
              <w:rPr>
                <w:rFonts w:hint="eastAsia"/>
                <w:color w:val="auto"/>
                <w:sz w:val="24"/>
                <w:highlight w:val="none"/>
                <w:vertAlign w:val="superscript"/>
                <w:lang w:val="en-US" w:eastAsia="zh-CN"/>
              </w:rPr>
              <w:t>3</w:t>
            </w:r>
            <w:r>
              <w:rPr>
                <w:rFonts w:hint="eastAsia"/>
                <w:color w:val="auto"/>
                <w:sz w:val="24"/>
                <w:highlight w:val="none"/>
                <w:lang w:val="en-US" w:eastAsia="zh-CN"/>
              </w:rPr>
              <w:t>；</w:t>
            </w:r>
            <w:r>
              <w:rPr>
                <w:rStyle w:val="80"/>
                <w:rFonts w:hint="eastAsia" w:cs="宋体"/>
                <w:b w:val="0"/>
                <w:bCs w:val="0"/>
                <w:color w:val="auto"/>
                <w:highlight w:val="none"/>
                <w:lang w:val="en-US" w:eastAsia="zh-CN"/>
              </w:rPr>
              <w:t>非甲烷总烃</w:t>
            </w:r>
            <w:r>
              <w:rPr>
                <w:rFonts w:hint="eastAsia"/>
                <w:color w:val="auto"/>
                <w:sz w:val="24"/>
                <w:highlight w:val="none"/>
                <w:lang w:val="en-US" w:eastAsia="zh-CN"/>
              </w:rPr>
              <w:t>的排放量约为1.802t/a，排放速率约为0.251kg/h，排放浓度约为：12.513mg/m</w:t>
            </w:r>
            <w:r>
              <w:rPr>
                <w:rFonts w:hint="eastAsia"/>
                <w:color w:val="auto"/>
                <w:sz w:val="24"/>
                <w:highlight w:val="none"/>
                <w:vertAlign w:val="superscript"/>
                <w:lang w:val="en-US" w:eastAsia="zh-CN"/>
              </w:rPr>
              <w:t>3</w:t>
            </w:r>
            <w:r>
              <w:rPr>
                <w:rFonts w:hint="eastAsia"/>
                <w:color w:val="auto"/>
                <w:sz w:val="24"/>
                <w:highlight w:val="none"/>
                <w:vertAlign w:val="baseline"/>
                <w:lang w:val="en-US" w:eastAsia="zh-CN"/>
              </w:rPr>
              <w:t>。</w:t>
            </w:r>
            <w:r>
              <w:rPr>
                <w:rFonts w:hint="eastAsia"/>
                <w:color w:val="auto"/>
                <w:sz w:val="24"/>
                <w:highlight w:val="none"/>
                <w:vertAlign w:val="baseline"/>
                <w:lang w:val="en-US" w:eastAsia="zh-CN"/>
              </w:rPr>
              <w:br w:type="textWrapping"/>
            </w:r>
            <w:r>
              <w:rPr>
                <w:rFonts w:hint="eastAsia"/>
                <w:color w:val="auto"/>
                <w:sz w:val="24"/>
                <w:highlight w:val="none"/>
                <w:vertAlign w:val="baseline"/>
                <w:lang w:val="en-US" w:eastAsia="zh-CN"/>
              </w:rPr>
              <w:t xml:space="preserve">    </w:t>
            </w:r>
            <w:r>
              <w:rPr>
                <w:rFonts w:hint="eastAsia"/>
                <w:color w:val="auto"/>
                <w:sz w:val="24"/>
                <w:highlight w:val="none"/>
                <w:lang w:val="en-US" w:eastAsia="zh-CN"/>
              </w:rPr>
              <w:t>未被收集到的废气以无组织的形式在车间内排放，加强车间内通风，</w:t>
            </w:r>
            <w:r>
              <w:rPr>
                <w:rStyle w:val="80"/>
                <w:rFonts w:hint="eastAsia" w:cs="宋体"/>
                <w:b w:val="0"/>
                <w:bCs w:val="0"/>
                <w:color w:val="auto"/>
                <w:highlight w:val="none"/>
                <w:lang w:val="en-US" w:eastAsia="zh-CN"/>
              </w:rPr>
              <w:t>非甲烷总烃</w:t>
            </w:r>
            <w:r>
              <w:rPr>
                <w:rFonts w:hint="eastAsia" w:hAnsi="宋体" w:cs="Times New Roman"/>
                <w:color w:val="auto"/>
                <w:sz w:val="24"/>
                <w:highlight w:val="none"/>
                <w:lang w:val="en-US" w:eastAsia="zh-CN"/>
              </w:rPr>
              <w:t>无组织</w:t>
            </w:r>
            <w:r>
              <w:rPr>
                <w:rFonts w:hint="eastAsia"/>
                <w:color w:val="auto"/>
                <w:sz w:val="24"/>
                <w:highlight w:val="none"/>
                <w:lang w:val="en-US" w:eastAsia="zh-CN"/>
              </w:rPr>
              <w:t>排放量为2.002</w:t>
            </w:r>
            <w:r>
              <w:rPr>
                <w:rStyle w:val="80"/>
                <w:rFonts w:hint="eastAsia" w:cs="宋体"/>
                <w:b w:val="0"/>
                <w:bCs w:val="0"/>
                <w:color w:val="auto"/>
                <w:highlight w:val="none"/>
                <w:lang w:val="en-US" w:eastAsia="zh-CN"/>
              </w:rPr>
              <w:t>t/a。</w:t>
            </w:r>
          </w:p>
          <w:p>
            <w:pPr>
              <w:spacing w:line="360" w:lineRule="auto"/>
              <w:ind w:firstLine="480" w:firstLineChars="200"/>
              <w:rPr>
                <w:rStyle w:val="80"/>
                <w:rFonts w:hint="eastAsia" w:cs="宋体"/>
                <w:b w:val="0"/>
                <w:bCs w:val="0"/>
                <w:color w:val="auto"/>
                <w:highlight w:val="none"/>
                <w:lang w:val="en-US" w:eastAsia="zh-CN"/>
              </w:rPr>
            </w:pPr>
            <w:r>
              <w:rPr>
                <w:rStyle w:val="80"/>
                <w:rFonts w:hint="eastAsia" w:cs="宋体"/>
                <w:b w:val="0"/>
                <w:bCs w:val="0"/>
                <w:color w:val="auto"/>
                <w:highlight w:val="none"/>
                <w:lang w:val="en-US" w:eastAsia="zh-CN"/>
              </w:rPr>
              <w:t>（2）破碎粉尘、</w:t>
            </w:r>
          </w:p>
          <w:p>
            <w:pPr>
              <w:keepNext w:val="0"/>
              <w:keepLines w:val="0"/>
              <w:widowControl/>
              <w:suppressLineNumbers w:val="0"/>
              <w:spacing w:line="360" w:lineRule="auto"/>
              <w:ind w:firstLine="480" w:firstLineChars="200"/>
              <w:jc w:val="both"/>
              <w:rPr>
                <w:rStyle w:val="80"/>
                <w:rFonts w:hint="eastAsia" w:cs="宋体"/>
                <w:b w:val="0"/>
                <w:bCs w:val="0"/>
                <w:color w:val="auto"/>
                <w:highlight w:val="none"/>
                <w:lang w:val="en-US" w:eastAsia="zh-CN"/>
              </w:rPr>
            </w:pPr>
            <w:r>
              <w:rPr>
                <w:rStyle w:val="80"/>
                <w:rFonts w:hint="eastAsia" w:cs="宋体"/>
                <w:b w:val="0"/>
                <w:bCs w:val="0"/>
                <w:color w:val="auto"/>
                <w:highlight w:val="none"/>
                <w:lang w:val="en-US" w:eastAsia="zh-CN"/>
              </w:rPr>
              <w:t>本项目破碎工序主要是对生产过程中产生的不合格产品。项目不合格产品按照产能的0.1%计算，因此，项目不合格产品的产生量约为20t/a。破碎工序颗粒物</w:t>
            </w:r>
            <w:r>
              <w:rPr>
                <w:rFonts w:hint="eastAsia" w:cs="宋体"/>
                <w:color w:val="auto"/>
                <w:sz w:val="24"/>
              </w:rPr>
              <w:t>的产生系数约为加工原料的0.5</w:t>
            </w:r>
            <w:r>
              <w:rPr>
                <w:rFonts w:hint="eastAsia" w:ascii="Arial" w:hAnsi="Arial" w:cs="Arial"/>
                <w:color w:val="auto"/>
                <w:sz w:val="24"/>
                <w:lang w:val="en-US" w:eastAsia="zh-CN"/>
              </w:rPr>
              <w:t>%。经计算，破碎工序产生的颗粒物为</w:t>
            </w:r>
            <w:r>
              <w:rPr>
                <w:rFonts w:hint="eastAsia" w:ascii="Times New Roman" w:hAnsi="Times New Roman" w:cs="Times New Roman"/>
                <w:color w:val="auto"/>
                <w:sz w:val="24"/>
                <w:highlight w:val="none"/>
                <w:lang w:val="en-US" w:eastAsia="zh-CN"/>
              </w:rPr>
              <w:t>0.1t/a。</w:t>
            </w:r>
            <w:r>
              <w:rPr>
                <w:rFonts w:hint="eastAsia" w:cs="Times New Roman"/>
                <w:color w:val="auto"/>
                <w:sz w:val="24"/>
                <w:highlight w:val="none"/>
                <w:lang w:val="en-US" w:eastAsia="zh-CN"/>
              </w:rPr>
              <w:t>项目拟在破碎机上方安装集气罩（2个，</w:t>
            </w:r>
            <w:r>
              <w:rPr>
                <w:rFonts w:hint="default" w:ascii="Times New Roman" w:hAnsi="Times New Roman" w:eastAsia="宋体" w:cs="Times New Roman"/>
                <w:color w:val="auto"/>
                <w:sz w:val="24"/>
                <w:szCs w:val="24"/>
                <w:lang w:val="en-US" w:eastAsia="zh-CN"/>
              </w:rPr>
              <w:t>单个集气罩的尺寸</w:t>
            </w:r>
            <w:r>
              <w:rPr>
                <w:rFonts w:hint="eastAsia" w:ascii="Times New Roman" w:hAnsi="Times New Roman" w:eastAsia="宋体" w:cs="Times New Roman"/>
                <w:color w:val="auto"/>
                <w:sz w:val="24"/>
                <w:szCs w:val="24"/>
                <w:lang w:val="en-US" w:eastAsia="zh-CN"/>
              </w:rPr>
              <w:t>约</w:t>
            </w:r>
            <w:r>
              <w:rPr>
                <w:rFonts w:hint="default" w:ascii="Times New Roman" w:hAnsi="Times New Roman" w:eastAsia="宋体" w:cs="Times New Roman"/>
                <w:color w:val="auto"/>
                <w:sz w:val="24"/>
                <w:szCs w:val="24"/>
                <w:lang w:val="en-US" w:eastAsia="zh-CN"/>
              </w:rPr>
              <w:t>为</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m</w:t>
            </w:r>
            <w:r>
              <w:rPr>
                <w:rFonts w:hint="eastAsia" w:cs="Times New Roman"/>
                <w:color w:val="auto"/>
                <w:sz w:val="24"/>
                <w:highlight w:val="none"/>
                <w:lang w:val="en-US" w:eastAsia="zh-CN"/>
              </w:rPr>
              <w:t>）用于收集破碎粉尘，收集后的粉尘经布袋除尘器（收集效率以90%计，处理效率以95%计）处理，处理后经由1根15米高的排气筒（DA002）进行排放。项目破碎工作时间约为1000h/a，风量约为</w:t>
            </w:r>
            <w:r>
              <w:rPr>
                <w:rFonts w:hint="eastAsia" w:ascii="Times New Roman" w:hAnsi="Times New Roman" w:eastAsia="宋体" w:cs="Times New Roman"/>
                <w:color w:val="auto"/>
                <w:sz w:val="24"/>
                <w:szCs w:val="24"/>
                <w:lang w:val="en-US" w:eastAsia="zh-CN"/>
              </w:rPr>
              <w:t>604.8</w:t>
            </w:r>
            <w:r>
              <w:rPr>
                <w:rFonts w:hint="eastAsia" w:ascii="Times New Roman" w:hAnsi="Times New Roman" w:cs="Times New Roman"/>
                <w:color w:val="auto"/>
                <w:sz w:val="24"/>
                <w:szCs w:val="24"/>
                <w:lang w:val="en-US" w:eastAsia="zh-CN"/>
              </w:rPr>
              <w:t>*2=1209</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/h，设计风量为</w:t>
            </w:r>
            <w:r>
              <w:rPr>
                <w:rFonts w:hint="eastAsia" w:ascii="Times New Roman" w:hAnsi="Times New Roman"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r>
              <w:rPr>
                <w:rFonts w:hint="eastAsia" w:cs="Times New Roman"/>
                <w:color w:val="auto"/>
                <w:sz w:val="24"/>
                <w:highlight w:val="none"/>
                <w:lang w:val="en-US" w:eastAsia="zh-CN"/>
              </w:rPr>
              <w:t>经计算后破碎粉尘产生量为0.1t/a，</w:t>
            </w:r>
            <w:r>
              <w:rPr>
                <w:rFonts w:hint="eastAsia"/>
                <w:color w:val="auto"/>
                <w:sz w:val="24"/>
                <w:highlight w:val="none"/>
                <w:lang w:val="en-US" w:eastAsia="zh-CN"/>
              </w:rPr>
              <w:t>产生速率约为0.09kg/h，产生浓度约为60mg/m</w:t>
            </w:r>
            <w:r>
              <w:rPr>
                <w:rFonts w:hint="eastAsia"/>
                <w:color w:val="auto"/>
                <w:sz w:val="24"/>
                <w:highlight w:val="none"/>
                <w:vertAlign w:val="superscript"/>
                <w:lang w:val="en-US" w:eastAsia="zh-CN"/>
              </w:rPr>
              <w:t>3</w:t>
            </w:r>
            <w:r>
              <w:rPr>
                <w:rFonts w:hint="eastAsia"/>
                <w:color w:val="auto"/>
                <w:sz w:val="24"/>
                <w:highlight w:val="none"/>
                <w:lang w:val="en-US" w:eastAsia="zh-CN"/>
              </w:rPr>
              <w:t>；</w:t>
            </w:r>
            <w:r>
              <w:rPr>
                <w:rStyle w:val="80"/>
                <w:rFonts w:hint="eastAsia" w:cs="宋体"/>
                <w:b w:val="0"/>
                <w:bCs w:val="0"/>
                <w:color w:val="auto"/>
                <w:highlight w:val="none"/>
                <w:lang w:val="en-US" w:eastAsia="zh-CN"/>
              </w:rPr>
              <w:t>非甲烷总烃</w:t>
            </w:r>
            <w:r>
              <w:rPr>
                <w:rFonts w:hint="eastAsia"/>
                <w:color w:val="auto"/>
                <w:sz w:val="24"/>
                <w:highlight w:val="none"/>
                <w:lang w:val="en-US" w:eastAsia="zh-CN"/>
              </w:rPr>
              <w:t>的排放量约为0.0045t/a，排放速率约为0.0045kg/h，排放浓度约为3mg/m</w:t>
            </w:r>
            <w:r>
              <w:rPr>
                <w:rFonts w:hint="eastAsia"/>
                <w:color w:val="auto"/>
                <w:sz w:val="24"/>
                <w:highlight w:val="none"/>
                <w:vertAlign w:val="superscript"/>
                <w:lang w:val="en-US" w:eastAsia="zh-CN"/>
              </w:rPr>
              <w:t>3</w:t>
            </w:r>
            <w:r>
              <w:rPr>
                <w:rFonts w:hint="eastAsia"/>
                <w:color w:val="auto"/>
                <w:sz w:val="24"/>
                <w:highlight w:val="none"/>
                <w:vertAlign w:val="baseline"/>
                <w:lang w:val="en-US" w:eastAsia="zh-CN"/>
              </w:rPr>
              <w:t>。</w:t>
            </w:r>
            <w:r>
              <w:rPr>
                <w:rFonts w:hint="eastAsia"/>
                <w:color w:val="auto"/>
                <w:sz w:val="24"/>
                <w:highlight w:val="none"/>
                <w:vertAlign w:val="baseline"/>
                <w:lang w:val="en-US" w:eastAsia="zh-CN"/>
              </w:rPr>
              <w:br w:type="textWrapping"/>
            </w:r>
            <w:r>
              <w:rPr>
                <w:rFonts w:hint="eastAsia"/>
                <w:color w:val="auto"/>
                <w:sz w:val="24"/>
                <w:highlight w:val="none"/>
                <w:vertAlign w:val="baseline"/>
                <w:lang w:val="en-US" w:eastAsia="zh-CN"/>
              </w:rPr>
              <w:t xml:space="preserve">    破碎工序</w:t>
            </w:r>
            <w:r>
              <w:rPr>
                <w:rFonts w:hint="eastAsia"/>
                <w:color w:val="auto"/>
                <w:sz w:val="24"/>
                <w:highlight w:val="none"/>
                <w:lang w:val="en-US" w:eastAsia="zh-CN"/>
              </w:rPr>
              <w:t>未被收集到的废气以无组织的形式在车间内排放，加强车间内通风，颗粒物</w:t>
            </w:r>
            <w:r>
              <w:rPr>
                <w:rFonts w:hint="eastAsia" w:hAnsi="宋体" w:cs="Times New Roman"/>
                <w:color w:val="auto"/>
                <w:sz w:val="24"/>
                <w:highlight w:val="none"/>
                <w:lang w:val="en-US" w:eastAsia="zh-CN"/>
              </w:rPr>
              <w:t>无组织</w:t>
            </w:r>
            <w:r>
              <w:rPr>
                <w:rFonts w:hint="eastAsia"/>
                <w:color w:val="auto"/>
                <w:sz w:val="24"/>
                <w:highlight w:val="none"/>
                <w:lang w:val="en-US" w:eastAsia="zh-CN"/>
              </w:rPr>
              <w:t>排放量为0.01</w:t>
            </w:r>
            <w:r>
              <w:rPr>
                <w:rStyle w:val="80"/>
                <w:rFonts w:hint="eastAsia" w:cs="宋体"/>
                <w:b w:val="0"/>
                <w:bCs w:val="0"/>
                <w:color w:val="auto"/>
                <w:highlight w:val="none"/>
                <w:lang w:val="en-US" w:eastAsia="zh-CN"/>
              </w:rPr>
              <w:t>t/a。</w:t>
            </w:r>
          </w:p>
          <w:p>
            <w:pPr>
              <w:keepNext w:val="0"/>
              <w:keepLines w:val="0"/>
              <w:widowControl/>
              <w:suppressLineNumbers w:val="0"/>
              <w:spacing w:line="360" w:lineRule="auto"/>
              <w:ind w:firstLine="480" w:firstLineChars="200"/>
              <w:jc w:val="both"/>
              <w:rPr>
                <w:rStyle w:val="80"/>
                <w:rFonts w:hint="default" w:cs="宋体"/>
                <w:b w:val="0"/>
                <w:bCs w:val="0"/>
                <w:color w:val="auto"/>
                <w:highlight w:val="none"/>
                <w:lang w:val="en-US" w:eastAsia="zh-CN"/>
              </w:rPr>
            </w:pPr>
            <w:r>
              <w:rPr>
                <w:rStyle w:val="80"/>
                <w:rFonts w:hint="eastAsia" w:cs="宋体"/>
                <w:b w:val="0"/>
                <w:bCs w:val="0"/>
                <w:color w:val="auto"/>
                <w:highlight w:val="none"/>
                <w:lang w:val="en-US" w:eastAsia="zh-CN"/>
              </w:rPr>
              <w:t>（3）投料粉尘 本项目在橡胶板生产过程中的投料工序为人工投料，该工序会产生投料粉尘。胶粉的使用量为2004吨/年，</w:t>
            </w:r>
            <w:r>
              <w:rPr>
                <w:rFonts w:hint="eastAsia"/>
                <w:color w:val="auto"/>
                <w:sz w:val="24"/>
                <w:szCs w:val="24"/>
                <w:highlight w:val="none"/>
                <w:lang w:val="en-US" w:eastAsia="zh-CN"/>
              </w:rPr>
              <w:t>粉尘产生量约为</w:t>
            </w:r>
            <w:r>
              <w:rPr>
                <w:rStyle w:val="80"/>
                <w:rFonts w:hint="eastAsia" w:ascii="Times New Roman" w:hAnsi="Times New Roman" w:eastAsia="宋体" w:cs="宋体"/>
                <w:b w:val="0"/>
                <w:bCs w:val="0"/>
                <w:color w:val="auto"/>
                <w:highlight w:val="none"/>
                <w:lang w:val="en-US" w:eastAsia="zh-CN"/>
              </w:rPr>
              <w:t>投料量</w:t>
            </w:r>
            <w:r>
              <w:rPr>
                <w:rFonts w:hint="eastAsia"/>
                <w:color w:val="auto"/>
                <w:sz w:val="24"/>
                <w:szCs w:val="24"/>
                <w:highlight w:val="none"/>
                <w:lang w:val="en-US" w:eastAsia="zh-CN"/>
              </w:rPr>
              <w:t>的0.1%，因此投料</w:t>
            </w:r>
            <w:r>
              <w:rPr>
                <w:rStyle w:val="80"/>
                <w:rFonts w:hint="eastAsia" w:ascii="Times New Roman" w:hAnsi="Times New Roman" w:eastAsia="宋体" w:cs="宋体"/>
                <w:b w:val="0"/>
                <w:bCs w:val="0"/>
                <w:color w:val="auto"/>
                <w:highlight w:val="none"/>
                <w:lang w:val="en-US" w:eastAsia="zh-CN"/>
              </w:rPr>
              <w:t>粉尘产生量</w:t>
            </w:r>
            <w:r>
              <w:rPr>
                <w:rStyle w:val="80"/>
                <w:rFonts w:hint="eastAsia" w:ascii="Times New Roman" w:hAnsi="Times New Roman" w:cs="宋体"/>
                <w:b w:val="0"/>
                <w:bCs w:val="0"/>
                <w:color w:val="auto"/>
                <w:highlight w:val="none"/>
                <w:lang w:val="en-US" w:eastAsia="zh-CN"/>
              </w:rPr>
              <w:t>约</w:t>
            </w:r>
            <w:r>
              <w:rPr>
                <w:rStyle w:val="80"/>
                <w:rFonts w:hint="eastAsia" w:ascii="Times New Roman" w:hAnsi="Times New Roman" w:eastAsia="宋体" w:cs="宋体"/>
                <w:b w:val="0"/>
                <w:bCs w:val="0"/>
                <w:color w:val="auto"/>
                <w:highlight w:val="none"/>
                <w:lang w:val="en-US" w:eastAsia="zh-CN"/>
              </w:rPr>
              <w:t>为</w:t>
            </w:r>
            <w:r>
              <w:rPr>
                <w:rStyle w:val="80"/>
                <w:rFonts w:hint="eastAsia" w:cs="宋体"/>
                <w:b w:val="0"/>
                <w:bCs w:val="0"/>
                <w:color w:val="auto"/>
                <w:highlight w:val="none"/>
                <w:lang w:val="en-US" w:eastAsia="zh-CN"/>
              </w:rPr>
              <w:t>2.004</w:t>
            </w:r>
            <w:r>
              <w:rPr>
                <w:rStyle w:val="80"/>
                <w:rFonts w:hint="default" w:ascii="Times New Roman" w:hAnsi="Times New Roman" w:eastAsia="宋体" w:cs="宋体"/>
                <w:b w:val="0"/>
                <w:bCs w:val="0"/>
                <w:color w:val="auto"/>
                <w:highlight w:val="none"/>
                <w:lang w:val="en-US" w:eastAsia="zh-CN"/>
              </w:rPr>
              <w:t>t/a</w:t>
            </w:r>
            <w:r>
              <w:rPr>
                <w:rStyle w:val="80"/>
                <w:rFonts w:hint="eastAsia" w:ascii="Times New Roman" w:hAnsi="Times New Roman" w:cs="宋体"/>
                <w:b w:val="0"/>
                <w:bCs w:val="0"/>
                <w:color w:val="auto"/>
                <w:highlight w:val="none"/>
                <w:lang w:val="en-US" w:eastAsia="zh-CN"/>
              </w:rPr>
              <w:t>。</w:t>
            </w:r>
            <w:r>
              <w:rPr>
                <w:rFonts w:hint="eastAsia" w:cs="Times New Roman"/>
                <w:color w:val="auto"/>
                <w:sz w:val="24"/>
                <w:highlight w:val="none"/>
                <w:lang w:val="en-US" w:eastAsia="zh-CN"/>
              </w:rPr>
              <w:t>项目拟在投料口上方安装集气罩（4个，</w:t>
            </w:r>
            <w:r>
              <w:rPr>
                <w:rFonts w:hint="default" w:ascii="Times New Roman" w:hAnsi="Times New Roman" w:eastAsia="宋体" w:cs="Times New Roman"/>
                <w:color w:val="auto"/>
                <w:sz w:val="24"/>
                <w:szCs w:val="24"/>
                <w:lang w:val="en-US" w:eastAsia="zh-CN"/>
              </w:rPr>
              <w:t>单个集气罩的尺寸</w:t>
            </w:r>
            <w:r>
              <w:rPr>
                <w:rFonts w:hint="eastAsia" w:ascii="Times New Roman" w:hAnsi="Times New Roman" w:eastAsia="宋体" w:cs="Times New Roman"/>
                <w:color w:val="auto"/>
                <w:sz w:val="24"/>
                <w:szCs w:val="24"/>
                <w:lang w:val="en-US" w:eastAsia="zh-CN"/>
              </w:rPr>
              <w:t>约</w:t>
            </w:r>
            <w:r>
              <w:rPr>
                <w:rFonts w:hint="default" w:ascii="Times New Roman" w:hAnsi="Times New Roman" w:eastAsia="宋体" w:cs="Times New Roman"/>
                <w:color w:val="auto"/>
                <w:sz w:val="24"/>
                <w:szCs w:val="24"/>
                <w:lang w:val="en-US" w:eastAsia="zh-CN"/>
              </w:rPr>
              <w:t>为</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m</w:t>
            </w:r>
            <w:r>
              <w:rPr>
                <w:rFonts w:hint="eastAsia" w:cs="Times New Roman"/>
                <w:color w:val="auto"/>
                <w:sz w:val="24"/>
                <w:highlight w:val="none"/>
                <w:lang w:val="en-US" w:eastAsia="zh-CN"/>
              </w:rPr>
              <w:t>）用于收集投料粉尘，收集后的粉尘经布袋除尘器（收集效率以90%计，处理效率以95%计）处理，处理后经由1根15米高的排气筒（DA002）进行排放。项目投料工作时间约为2000h/a，风量约为</w:t>
            </w:r>
            <w:r>
              <w:rPr>
                <w:rFonts w:hint="eastAsia" w:ascii="Times New Roman" w:hAnsi="Times New Roman" w:eastAsia="宋体" w:cs="Times New Roman"/>
                <w:color w:val="auto"/>
                <w:sz w:val="24"/>
                <w:szCs w:val="24"/>
                <w:lang w:val="en-US" w:eastAsia="zh-CN"/>
              </w:rPr>
              <w:t>604.8</w:t>
            </w:r>
            <w:r>
              <w:rPr>
                <w:rFonts w:hint="eastAsia" w:ascii="Times New Roman" w:hAnsi="Times New Roman" w:cs="Times New Roman"/>
                <w:color w:val="auto"/>
                <w:sz w:val="24"/>
                <w:szCs w:val="24"/>
                <w:lang w:val="en-US" w:eastAsia="zh-CN"/>
              </w:rPr>
              <w:t>*4=2419.2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/h，设计风量为</w:t>
            </w:r>
            <w:r>
              <w:rPr>
                <w:rFonts w:hint="eastAsia" w:ascii="Times New Roman" w:hAnsi="Times New Roman"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r>
              <w:rPr>
                <w:rFonts w:hint="eastAsia" w:cs="Times New Roman"/>
                <w:color w:val="auto"/>
                <w:sz w:val="24"/>
                <w:highlight w:val="none"/>
                <w:lang w:val="en-US" w:eastAsia="zh-CN"/>
              </w:rPr>
              <w:t>经计算后投料粉尘产生量为2.004t/a，</w:t>
            </w:r>
            <w:r>
              <w:rPr>
                <w:rFonts w:hint="eastAsia"/>
                <w:color w:val="auto"/>
                <w:sz w:val="24"/>
                <w:highlight w:val="none"/>
                <w:lang w:val="en-US" w:eastAsia="zh-CN"/>
              </w:rPr>
              <w:t>产生速率约为0.9018kg/h，产生浓度约为300.6mg/m</w:t>
            </w:r>
            <w:r>
              <w:rPr>
                <w:rFonts w:hint="eastAsia"/>
                <w:color w:val="auto"/>
                <w:sz w:val="24"/>
                <w:highlight w:val="none"/>
                <w:vertAlign w:val="superscript"/>
                <w:lang w:val="en-US" w:eastAsia="zh-CN"/>
              </w:rPr>
              <w:t>3</w:t>
            </w:r>
            <w:r>
              <w:rPr>
                <w:rFonts w:hint="eastAsia"/>
                <w:color w:val="auto"/>
                <w:sz w:val="24"/>
                <w:highlight w:val="none"/>
                <w:lang w:val="en-US" w:eastAsia="zh-CN"/>
              </w:rPr>
              <w:t>；</w:t>
            </w:r>
            <w:r>
              <w:rPr>
                <w:rStyle w:val="80"/>
                <w:rFonts w:hint="eastAsia" w:cs="宋体"/>
                <w:b w:val="0"/>
                <w:bCs w:val="0"/>
                <w:color w:val="auto"/>
                <w:highlight w:val="none"/>
                <w:lang w:val="en-US" w:eastAsia="zh-CN"/>
              </w:rPr>
              <w:t>非甲烷总烃</w:t>
            </w:r>
            <w:r>
              <w:rPr>
                <w:rFonts w:hint="eastAsia"/>
                <w:color w:val="auto"/>
                <w:sz w:val="24"/>
                <w:highlight w:val="none"/>
                <w:lang w:val="en-US" w:eastAsia="zh-CN"/>
              </w:rPr>
              <w:t>的排放量约为0.0902t/a，排放速率约为0.0451kg/h，排放浓度约为15.03mg/m</w:t>
            </w:r>
            <w:r>
              <w:rPr>
                <w:rFonts w:hint="eastAsia"/>
                <w:color w:val="auto"/>
                <w:sz w:val="24"/>
                <w:highlight w:val="none"/>
                <w:vertAlign w:val="superscript"/>
                <w:lang w:val="en-US" w:eastAsia="zh-CN"/>
              </w:rPr>
              <w:t>3</w:t>
            </w:r>
            <w:r>
              <w:rPr>
                <w:rFonts w:hint="eastAsia"/>
                <w:color w:val="auto"/>
                <w:sz w:val="24"/>
                <w:highlight w:val="none"/>
                <w:vertAlign w:val="baseline"/>
                <w:lang w:val="en-US" w:eastAsia="zh-CN"/>
              </w:rPr>
              <w:t>。</w:t>
            </w:r>
            <w:r>
              <w:rPr>
                <w:rFonts w:hint="eastAsia"/>
                <w:color w:val="auto"/>
                <w:sz w:val="24"/>
                <w:highlight w:val="none"/>
                <w:vertAlign w:val="baseline"/>
                <w:lang w:val="en-US" w:eastAsia="zh-CN"/>
              </w:rPr>
              <w:br w:type="textWrapping"/>
            </w:r>
            <w:r>
              <w:rPr>
                <w:rFonts w:hint="eastAsia"/>
                <w:color w:val="auto"/>
                <w:sz w:val="24"/>
                <w:highlight w:val="none"/>
                <w:vertAlign w:val="baseline"/>
                <w:lang w:val="en-US" w:eastAsia="zh-CN"/>
              </w:rPr>
              <w:t xml:space="preserve">   投料工序</w:t>
            </w:r>
            <w:r>
              <w:rPr>
                <w:rFonts w:hint="eastAsia"/>
                <w:color w:val="auto"/>
                <w:sz w:val="24"/>
                <w:highlight w:val="none"/>
                <w:lang w:val="en-US" w:eastAsia="zh-CN"/>
              </w:rPr>
              <w:t>未被收集到的废气以无组织的形式在车间内排放，加强车间内通风，颗粒物</w:t>
            </w:r>
            <w:r>
              <w:rPr>
                <w:rFonts w:hint="eastAsia" w:hAnsi="宋体" w:cs="Times New Roman"/>
                <w:color w:val="auto"/>
                <w:sz w:val="24"/>
                <w:highlight w:val="none"/>
                <w:lang w:val="en-US" w:eastAsia="zh-CN"/>
              </w:rPr>
              <w:t>无组织</w:t>
            </w:r>
            <w:r>
              <w:rPr>
                <w:rFonts w:hint="eastAsia"/>
                <w:color w:val="auto"/>
                <w:sz w:val="24"/>
                <w:highlight w:val="none"/>
                <w:lang w:val="en-US" w:eastAsia="zh-CN"/>
              </w:rPr>
              <w:t>排放量为0.2004</w:t>
            </w:r>
            <w:r>
              <w:rPr>
                <w:rStyle w:val="80"/>
                <w:rFonts w:hint="eastAsia" w:cs="宋体"/>
                <w:b w:val="0"/>
                <w:bCs w:val="0"/>
                <w:color w:val="auto"/>
                <w:highlight w:val="none"/>
                <w:lang w:val="en-US" w:eastAsia="zh-CN"/>
              </w:rPr>
              <w:t>t/a。</w:t>
            </w:r>
          </w:p>
          <w:p>
            <w:pPr>
              <w:spacing w:line="360" w:lineRule="auto"/>
              <w:ind w:firstLine="480" w:firstLineChars="200"/>
              <w:jc w:val="left"/>
              <w:rPr>
                <w:rStyle w:val="80"/>
                <w:rFonts w:hint="eastAsia" w:cs="宋体"/>
                <w:b w:val="0"/>
                <w:bCs w:val="0"/>
                <w:color w:val="auto"/>
                <w:highlight w:val="none"/>
              </w:rPr>
            </w:pPr>
            <w:r>
              <w:rPr>
                <w:rStyle w:val="80"/>
                <w:rFonts w:hint="eastAsia" w:cs="宋体"/>
                <w:b w:val="0"/>
                <w:bCs w:val="0"/>
                <w:color w:val="auto"/>
                <w:highlight w:val="none"/>
              </w:rPr>
              <w:t>本项目有组织污染源汇总表见表</w:t>
            </w:r>
            <w:r>
              <w:rPr>
                <w:rStyle w:val="80"/>
                <w:b w:val="0"/>
                <w:bCs w:val="0"/>
                <w:color w:val="auto"/>
                <w:highlight w:val="none"/>
              </w:rPr>
              <w:t>4-5</w:t>
            </w:r>
            <w:r>
              <w:rPr>
                <w:rStyle w:val="80"/>
                <w:rFonts w:hint="eastAsia" w:cs="宋体"/>
                <w:b w:val="0"/>
                <w:bCs w:val="0"/>
                <w:color w:val="auto"/>
                <w:highlight w:val="none"/>
              </w:rPr>
              <w:t>，无组织废气排放情况见表</w:t>
            </w:r>
            <w:r>
              <w:rPr>
                <w:rStyle w:val="80"/>
                <w:b w:val="0"/>
                <w:bCs w:val="0"/>
                <w:color w:val="auto"/>
                <w:highlight w:val="none"/>
              </w:rPr>
              <w:t>4-6</w:t>
            </w:r>
            <w:r>
              <w:rPr>
                <w:rStyle w:val="80"/>
                <w:rFonts w:hint="eastAsia" w:cs="宋体"/>
                <w:b w:val="0"/>
                <w:bCs w:val="0"/>
                <w:color w:val="auto"/>
                <w:highlight w:val="none"/>
              </w:rPr>
              <w:t>，排气筒情况见表</w:t>
            </w:r>
            <w:r>
              <w:rPr>
                <w:rStyle w:val="80"/>
                <w:rFonts w:hint="eastAsia" w:ascii="Times New Roman" w:hAnsi="Times New Roman" w:eastAsia="宋体" w:cs="宋体"/>
                <w:b w:val="0"/>
                <w:bCs w:val="0"/>
                <w:color w:val="auto"/>
                <w:highlight w:val="none"/>
                <w:vertAlign w:val="baseline"/>
                <w:lang w:val="en-US"/>
              </w:rPr>
              <w:t>。</w:t>
            </w:r>
            <w:r>
              <w:rPr>
                <w:rStyle w:val="80"/>
                <w:rFonts w:hint="eastAsia" w:cs="宋体"/>
                <w:b w:val="0"/>
                <w:bCs w:val="0"/>
                <w:color w:val="auto"/>
                <w:highlight w:val="none"/>
                <w:lang w:val="en-US" w:eastAsia="zh-CN"/>
              </w:rPr>
              <w:t xml:space="preserve"> </w:t>
            </w:r>
          </w:p>
          <w:p>
            <w:pPr>
              <w:numPr>
                <w:ilvl w:val="0"/>
                <w:numId w:val="0"/>
              </w:numPr>
              <w:spacing w:line="360" w:lineRule="auto"/>
              <w:jc w:val="center"/>
              <w:rPr>
                <w:rFonts w:hAnsi="宋体"/>
                <w:color w:val="auto"/>
                <w:sz w:val="22"/>
                <w:szCs w:val="22"/>
                <w:highlight w:val="none"/>
              </w:rPr>
            </w:pPr>
            <w:r>
              <w:rPr>
                <w:rFonts w:hint="eastAsia" w:hAnsi="宋体" w:cs="宋体"/>
                <w:color w:val="auto"/>
                <w:sz w:val="22"/>
                <w:szCs w:val="22"/>
                <w:highlight w:val="none"/>
              </w:rPr>
              <w:t>表</w:t>
            </w:r>
            <w:r>
              <w:rPr>
                <w:rFonts w:hAnsi="宋体"/>
                <w:color w:val="auto"/>
                <w:sz w:val="22"/>
                <w:szCs w:val="22"/>
                <w:highlight w:val="none"/>
              </w:rPr>
              <w:t xml:space="preserve">4-5  </w:t>
            </w:r>
            <w:r>
              <w:rPr>
                <w:rFonts w:hint="eastAsia" w:hAnsi="宋体" w:cs="宋体"/>
                <w:color w:val="auto"/>
                <w:sz w:val="22"/>
                <w:szCs w:val="22"/>
                <w:highlight w:val="none"/>
              </w:rPr>
              <w:t>本项目有组织污染源汇总表</w:t>
            </w:r>
          </w:p>
          <w:tbl>
            <w:tblPr>
              <w:tblStyle w:val="36"/>
              <w:tblW w:w="510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9"/>
              <w:gridCol w:w="956"/>
              <w:gridCol w:w="996"/>
              <w:gridCol w:w="859"/>
              <w:gridCol w:w="1100"/>
              <w:gridCol w:w="854"/>
              <w:gridCol w:w="848"/>
              <w:gridCol w:w="852"/>
              <w:gridCol w:w="88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6" w:hRule="atLeast"/>
                <w:jc w:val="center"/>
              </w:trPr>
              <w:tc>
                <w:tcPr>
                  <w:tcW w:w="517" w:type="pct"/>
                  <w:vMerge w:val="restart"/>
                  <w:tcBorders>
                    <w:top w:val="single" w:color="auto" w:sz="4" w:space="0"/>
                    <w:left w:val="single" w:color="auto" w:sz="4" w:space="0"/>
                    <w:bottom w:val="single" w:color="auto" w:sz="6" w:space="0"/>
                    <w:right w:val="single" w:color="auto" w:sz="6"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污染源</w:t>
                  </w:r>
                </w:p>
              </w:tc>
              <w:tc>
                <w:tcPr>
                  <w:tcW w:w="583" w:type="pct"/>
                  <w:vMerge w:val="restart"/>
                  <w:tcBorders>
                    <w:top w:val="single" w:color="auto" w:sz="4"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污染物种类</w:t>
                  </w:r>
                </w:p>
              </w:tc>
              <w:tc>
                <w:tcPr>
                  <w:tcW w:w="607" w:type="pct"/>
                  <w:vMerge w:val="restart"/>
                  <w:tcBorders>
                    <w:top w:val="single" w:color="auto" w:sz="4"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污染防治措施</w:t>
                  </w:r>
                </w:p>
              </w:tc>
              <w:tc>
                <w:tcPr>
                  <w:tcW w:w="524" w:type="pct"/>
                  <w:vMerge w:val="restart"/>
                  <w:tcBorders>
                    <w:top w:val="single" w:color="auto" w:sz="4"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产生量（</w:t>
                  </w:r>
                  <w:r>
                    <w:rPr>
                      <w:rFonts w:hAnsi="宋体"/>
                      <w:color w:val="auto"/>
                      <w:sz w:val="22"/>
                      <w:szCs w:val="22"/>
                      <w:highlight w:val="none"/>
                    </w:rPr>
                    <w:t>t/a</w:t>
                  </w:r>
                  <w:r>
                    <w:rPr>
                      <w:rFonts w:hint="eastAsia" w:hAnsi="宋体" w:cs="宋体"/>
                      <w:color w:val="auto"/>
                      <w:sz w:val="22"/>
                      <w:szCs w:val="22"/>
                      <w:highlight w:val="none"/>
                    </w:rPr>
                    <w:t>）</w:t>
                  </w:r>
                </w:p>
              </w:tc>
              <w:tc>
                <w:tcPr>
                  <w:tcW w:w="671" w:type="pct"/>
                  <w:vMerge w:val="restart"/>
                  <w:tcBorders>
                    <w:top w:val="single" w:color="auto" w:sz="4"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产生浓度（</w:t>
                  </w:r>
                  <w:r>
                    <w:rPr>
                      <w:rFonts w:hAnsi="宋体"/>
                      <w:color w:val="auto"/>
                      <w:sz w:val="22"/>
                      <w:szCs w:val="22"/>
                      <w:highlight w:val="none"/>
                    </w:rPr>
                    <w:t>mg/m</w:t>
                  </w:r>
                  <w:r>
                    <w:rPr>
                      <w:rFonts w:hAnsi="宋体"/>
                      <w:color w:val="auto"/>
                      <w:sz w:val="22"/>
                      <w:szCs w:val="22"/>
                      <w:highlight w:val="none"/>
                      <w:vertAlign w:val="superscript"/>
                    </w:rPr>
                    <w:t>3</w:t>
                  </w:r>
                  <w:r>
                    <w:rPr>
                      <w:rFonts w:hint="eastAsia" w:hAnsi="宋体" w:cs="宋体"/>
                      <w:color w:val="auto"/>
                      <w:sz w:val="22"/>
                      <w:szCs w:val="22"/>
                      <w:highlight w:val="none"/>
                    </w:rPr>
                    <w:t>）</w:t>
                  </w:r>
                </w:p>
              </w:tc>
              <w:tc>
                <w:tcPr>
                  <w:tcW w:w="521" w:type="pct"/>
                  <w:vMerge w:val="restart"/>
                  <w:tcBorders>
                    <w:top w:val="single" w:color="auto" w:sz="4"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产生速率（</w:t>
                  </w:r>
                  <w:r>
                    <w:rPr>
                      <w:rFonts w:hAnsi="宋体"/>
                      <w:color w:val="auto"/>
                      <w:sz w:val="22"/>
                      <w:szCs w:val="22"/>
                      <w:highlight w:val="none"/>
                    </w:rPr>
                    <w:t>kg/h</w:t>
                  </w:r>
                  <w:r>
                    <w:rPr>
                      <w:rFonts w:hint="eastAsia" w:hAnsi="宋体" w:cs="宋体"/>
                      <w:color w:val="auto"/>
                      <w:sz w:val="22"/>
                      <w:szCs w:val="22"/>
                      <w:highlight w:val="none"/>
                    </w:rPr>
                    <w:t>）</w:t>
                  </w:r>
                </w:p>
              </w:tc>
              <w:tc>
                <w:tcPr>
                  <w:tcW w:w="517" w:type="pct"/>
                  <w:vMerge w:val="restart"/>
                  <w:tcBorders>
                    <w:top w:val="single" w:color="auto" w:sz="4"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排放量（</w:t>
                  </w:r>
                  <w:r>
                    <w:rPr>
                      <w:rFonts w:hAnsi="宋体"/>
                      <w:color w:val="auto"/>
                      <w:sz w:val="22"/>
                      <w:szCs w:val="22"/>
                      <w:highlight w:val="none"/>
                    </w:rPr>
                    <w:t>t/a</w:t>
                  </w:r>
                  <w:r>
                    <w:rPr>
                      <w:rFonts w:hint="eastAsia" w:hAnsi="宋体" w:cs="宋体"/>
                      <w:color w:val="auto"/>
                      <w:sz w:val="22"/>
                      <w:szCs w:val="22"/>
                      <w:highlight w:val="none"/>
                    </w:rPr>
                    <w:t>）</w:t>
                  </w:r>
                </w:p>
              </w:tc>
              <w:tc>
                <w:tcPr>
                  <w:tcW w:w="519" w:type="pct"/>
                  <w:vMerge w:val="restart"/>
                  <w:tcBorders>
                    <w:top w:val="single" w:color="auto" w:sz="4"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排放浓度（</w:t>
                  </w:r>
                  <w:r>
                    <w:rPr>
                      <w:rFonts w:hAnsi="宋体"/>
                      <w:color w:val="auto"/>
                      <w:sz w:val="22"/>
                      <w:szCs w:val="22"/>
                      <w:highlight w:val="none"/>
                    </w:rPr>
                    <w:t>mg/m</w:t>
                  </w:r>
                  <w:r>
                    <w:rPr>
                      <w:rFonts w:hAnsi="宋体"/>
                      <w:color w:val="auto"/>
                      <w:sz w:val="22"/>
                      <w:szCs w:val="22"/>
                      <w:highlight w:val="none"/>
                      <w:vertAlign w:val="superscript"/>
                    </w:rPr>
                    <w:t>3</w:t>
                  </w:r>
                  <w:r>
                    <w:rPr>
                      <w:rFonts w:hint="eastAsia" w:hAnsi="宋体" w:cs="宋体"/>
                      <w:color w:val="auto"/>
                      <w:sz w:val="22"/>
                      <w:szCs w:val="22"/>
                      <w:highlight w:val="none"/>
                    </w:rPr>
                    <w:t>）</w:t>
                  </w:r>
                </w:p>
              </w:tc>
              <w:tc>
                <w:tcPr>
                  <w:tcW w:w="537" w:type="pct"/>
                  <w:vMerge w:val="restart"/>
                  <w:tcBorders>
                    <w:top w:val="single" w:color="auto" w:sz="4"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排放速率（</w:t>
                  </w:r>
                  <w:r>
                    <w:rPr>
                      <w:rFonts w:hAnsi="宋体"/>
                      <w:color w:val="auto"/>
                      <w:sz w:val="22"/>
                      <w:szCs w:val="22"/>
                      <w:highlight w:val="none"/>
                    </w:rPr>
                    <w:t>kg/h</w:t>
                  </w:r>
                  <w:r>
                    <w:rPr>
                      <w:rFonts w:hint="eastAsia" w:hAnsi="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95" w:hRule="atLeast"/>
                <w:jc w:val="center"/>
              </w:trPr>
              <w:tc>
                <w:tcPr>
                  <w:tcW w:w="517" w:type="pct"/>
                  <w:vMerge w:val="continue"/>
                  <w:tcBorders>
                    <w:top w:val="single" w:color="auto" w:sz="6" w:space="0"/>
                    <w:left w:val="single" w:color="auto" w:sz="4" w:space="0"/>
                    <w:bottom w:val="single" w:color="auto" w:sz="6" w:space="0"/>
                    <w:right w:val="single" w:color="auto" w:sz="6" w:space="0"/>
                  </w:tcBorders>
                  <w:vAlign w:val="center"/>
                </w:tcPr>
                <w:p>
                  <w:pPr>
                    <w:widowControl/>
                    <w:jc w:val="center"/>
                    <w:rPr>
                      <w:rFonts w:hAnsi="宋体"/>
                      <w:color w:val="auto"/>
                      <w:sz w:val="22"/>
                      <w:szCs w:val="22"/>
                      <w:highlight w:val="none"/>
                    </w:rPr>
                  </w:pPr>
                </w:p>
              </w:tc>
              <w:tc>
                <w:tcPr>
                  <w:tcW w:w="583"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p>
              </w:tc>
              <w:tc>
                <w:tcPr>
                  <w:tcW w:w="607"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p>
              </w:tc>
              <w:tc>
                <w:tcPr>
                  <w:tcW w:w="524"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p>
              </w:tc>
              <w:tc>
                <w:tcPr>
                  <w:tcW w:w="671"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p>
              </w:tc>
              <w:tc>
                <w:tcPr>
                  <w:tcW w:w="521"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p>
              </w:tc>
              <w:tc>
                <w:tcPr>
                  <w:tcW w:w="517"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p>
              </w:tc>
              <w:tc>
                <w:tcPr>
                  <w:tcW w:w="51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p>
              </w:tc>
              <w:tc>
                <w:tcPr>
                  <w:tcW w:w="537"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68" w:hRule="atLeast"/>
                <w:jc w:val="center"/>
              </w:trPr>
              <w:tc>
                <w:tcPr>
                  <w:tcW w:w="517" w:type="pct"/>
                  <w:tcBorders>
                    <w:top w:val="single" w:color="auto" w:sz="6" w:space="0"/>
                    <w:left w:val="single" w:color="auto" w:sz="4" w:space="0"/>
                    <w:bottom w:val="single" w:color="auto" w:sz="6" w:space="0"/>
                    <w:right w:val="single" w:color="auto" w:sz="6" w:space="0"/>
                  </w:tcBorders>
                  <w:vAlign w:val="center"/>
                </w:tcPr>
                <w:p>
                  <w:pPr>
                    <w:widowControl/>
                    <w:jc w:val="center"/>
                    <w:rPr>
                      <w:rFonts w:hint="eastAsia" w:hAnsi="宋体" w:cs="宋体"/>
                      <w:color w:val="auto"/>
                      <w:sz w:val="22"/>
                      <w:szCs w:val="22"/>
                      <w:highlight w:val="none"/>
                      <w:lang w:eastAsia="zh-CN"/>
                    </w:rPr>
                  </w:pPr>
                  <w:r>
                    <w:rPr>
                      <w:rFonts w:hint="eastAsia" w:hAnsi="宋体" w:cs="宋体"/>
                      <w:color w:val="auto"/>
                      <w:sz w:val="22"/>
                      <w:szCs w:val="22"/>
                      <w:highlight w:val="none"/>
                      <w:lang w:eastAsia="zh-CN"/>
                    </w:rPr>
                    <w:t>热熔、挤出工序</w:t>
                  </w:r>
                </w:p>
              </w:tc>
              <w:tc>
                <w:tcPr>
                  <w:tcW w:w="583"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hAnsi="宋体" w:cs="宋体"/>
                      <w:color w:val="auto"/>
                      <w:sz w:val="22"/>
                      <w:szCs w:val="22"/>
                      <w:highlight w:val="none"/>
                      <w:lang w:val="en-US" w:eastAsia="zh-CN"/>
                    </w:rPr>
                  </w:pPr>
                  <w:r>
                    <w:rPr>
                      <w:rFonts w:hint="eastAsia" w:hAnsi="宋体" w:cs="宋体"/>
                      <w:color w:val="auto"/>
                      <w:sz w:val="22"/>
                      <w:szCs w:val="22"/>
                      <w:highlight w:val="none"/>
                      <w:lang w:val="en-US" w:eastAsia="zh-CN"/>
                    </w:rPr>
                    <w:t>非甲烷总烃</w:t>
                  </w:r>
                </w:p>
              </w:tc>
              <w:tc>
                <w:tcPr>
                  <w:tcW w:w="607" w:type="pct"/>
                  <w:tcBorders>
                    <w:top w:val="single" w:color="auto" w:sz="6" w:space="0"/>
                    <w:left w:val="single" w:color="auto" w:sz="6" w:space="0"/>
                    <w:bottom w:val="single" w:color="auto" w:sz="6" w:space="0"/>
                    <w:right w:val="single" w:color="auto" w:sz="6" w:space="0"/>
                  </w:tcBorders>
                  <w:vAlign w:val="center"/>
                </w:tcPr>
                <w:p>
                  <w:pPr>
                    <w:widowControl/>
                    <w:jc w:val="center"/>
                    <w:rPr>
                      <w:rFonts w:hint="eastAsia" w:hAnsi="宋体" w:cs="宋体"/>
                      <w:color w:val="auto"/>
                      <w:sz w:val="22"/>
                      <w:szCs w:val="22"/>
                      <w:highlight w:val="none"/>
                      <w:lang w:eastAsia="zh-CN"/>
                    </w:rPr>
                  </w:pPr>
                  <w:r>
                    <w:rPr>
                      <w:rFonts w:hint="eastAsia" w:hAnsi="宋体" w:cs="宋体"/>
                      <w:color w:val="auto"/>
                      <w:sz w:val="22"/>
                      <w:szCs w:val="22"/>
                      <w:highlight w:val="none"/>
                      <w:lang w:eastAsia="zh-CN"/>
                    </w:rPr>
                    <w:t>集气装置+催化燃烧装置吸附装置+15米高排气筒（</w:t>
                  </w:r>
                  <w:r>
                    <w:rPr>
                      <w:rFonts w:hint="eastAsia" w:hAnsi="宋体" w:cs="宋体"/>
                      <w:color w:val="auto"/>
                      <w:sz w:val="22"/>
                      <w:szCs w:val="22"/>
                      <w:highlight w:val="none"/>
                      <w:lang w:val="en-US" w:eastAsia="zh-CN"/>
                    </w:rPr>
                    <w:t>DA001</w:t>
                  </w:r>
                  <w:r>
                    <w:rPr>
                      <w:rFonts w:hint="eastAsia" w:hAnsi="宋体" w:cs="宋体"/>
                      <w:color w:val="auto"/>
                      <w:sz w:val="22"/>
                      <w:szCs w:val="22"/>
                      <w:highlight w:val="none"/>
                      <w:lang w:eastAsia="zh-CN"/>
                    </w:rPr>
                    <w:t>）</w:t>
                  </w:r>
                </w:p>
              </w:tc>
              <w:tc>
                <w:tcPr>
                  <w:tcW w:w="524"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ascii="Times New Roman"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20.02</w:t>
                  </w:r>
                </w:p>
              </w:tc>
              <w:tc>
                <w:tcPr>
                  <w:tcW w:w="671"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ascii="Times New Roman" w:hAnsi="宋体" w:eastAsia="宋体" w:cs="宋体"/>
                      <w:color w:val="auto"/>
                      <w:sz w:val="22"/>
                      <w:szCs w:val="22"/>
                      <w:highlight w:val="none"/>
                      <w:lang w:val="en-US" w:eastAsia="zh-CN"/>
                    </w:rPr>
                  </w:pPr>
                  <w:r>
                    <w:rPr>
                      <w:rFonts w:hint="eastAsia"/>
                      <w:color w:val="auto"/>
                      <w:sz w:val="24"/>
                      <w:highlight w:val="none"/>
                      <w:lang w:val="en-US" w:eastAsia="zh-CN"/>
                    </w:rPr>
                    <w:t>125.125</w:t>
                  </w:r>
                </w:p>
              </w:tc>
              <w:tc>
                <w:tcPr>
                  <w:tcW w:w="521"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ascii="Times New Roman" w:hAnsi="宋体" w:eastAsia="宋体" w:cs="宋体"/>
                      <w:color w:val="auto"/>
                      <w:sz w:val="22"/>
                      <w:szCs w:val="22"/>
                      <w:highlight w:val="none"/>
                      <w:lang w:val="en-US" w:eastAsia="zh-CN"/>
                    </w:rPr>
                  </w:pPr>
                  <w:r>
                    <w:rPr>
                      <w:rFonts w:hint="eastAsia"/>
                      <w:color w:val="auto"/>
                      <w:sz w:val="24"/>
                      <w:highlight w:val="none"/>
                      <w:lang w:val="en-US" w:eastAsia="zh-CN"/>
                    </w:rPr>
                    <w:t>2.5025</w:t>
                  </w:r>
                </w:p>
              </w:tc>
              <w:tc>
                <w:tcPr>
                  <w:tcW w:w="517"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ascii="Times New Roman" w:hAnsi="宋体" w:eastAsia="宋体" w:cs="宋体"/>
                      <w:color w:val="auto"/>
                      <w:sz w:val="22"/>
                      <w:szCs w:val="22"/>
                      <w:highlight w:val="none"/>
                      <w:lang w:val="en-US" w:eastAsia="zh-CN"/>
                    </w:rPr>
                  </w:pPr>
                  <w:r>
                    <w:rPr>
                      <w:rFonts w:hint="eastAsia"/>
                      <w:color w:val="auto"/>
                      <w:sz w:val="24"/>
                      <w:highlight w:val="none"/>
                      <w:lang w:val="en-US" w:eastAsia="zh-CN"/>
                    </w:rPr>
                    <w:t>1.802</w:t>
                  </w:r>
                </w:p>
              </w:tc>
              <w:tc>
                <w:tcPr>
                  <w:tcW w:w="519"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ascii="Times New Roman"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12.513</w:t>
                  </w:r>
                </w:p>
                <w:p>
                  <w:pPr>
                    <w:rPr>
                      <w:color w:val="auto"/>
                    </w:rPr>
                  </w:pPr>
                </w:p>
              </w:tc>
              <w:tc>
                <w:tcPr>
                  <w:tcW w:w="537"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ascii="Times New Roman"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0.251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53" w:hRule="atLeast"/>
                <w:jc w:val="center"/>
              </w:trPr>
              <w:tc>
                <w:tcPr>
                  <w:tcW w:w="517" w:type="pct"/>
                  <w:tcBorders>
                    <w:top w:val="single" w:color="auto" w:sz="6" w:space="0"/>
                    <w:left w:val="single" w:color="auto" w:sz="4" w:space="0"/>
                    <w:bottom w:val="single" w:color="auto" w:sz="6" w:space="0"/>
                    <w:right w:val="single" w:color="auto" w:sz="6" w:space="0"/>
                  </w:tcBorders>
                  <w:vAlign w:val="center"/>
                </w:tcPr>
                <w:p>
                  <w:pPr>
                    <w:widowControl/>
                    <w:jc w:val="center"/>
                    <w:rPr>
                      <w:rFonts w:hint="eastAsia" w:hAnsi="宋体" w:cs="宋体"/>
                      <w:color w:val="auto"/>
                      <w:sz w:val="22"/>
                      <w:szCs w:val="22"/>
                      <w:highlight w:val="none"/>
                      <w:lang w:eastAsia="zh-CN"/>
                    </w:rPr>
                  </w:pPr>
                  <w:r>
                    <w:rPr>
                      <w:rFonts w:hint="eastAsia" w:hAnsi="宋体" w:cs="宋体"/>
                      <w:color w:val="auto"/>
                      <w:sz w:val="22"/>
                      <w:szCs w:val="22"/>
                      <w:highlight w:val="none"/>
                      <w:lang w:eastAsia="zh-CN"/>
                    </w:rPr>
                    <w:t>破碎工序</w:t>
                  </w:r>
                </w:p>
              </w:tc>
              <w:tc>
                <w:tcPr>
                  <w:tcW w:w="583" w:type="pct"/>
                  <w:tcBorders>
                    <w:top w:val="single" w:color="auto" w:sz="6" w:space="0"/>
                    <w:left w:val="single" w:color="auto" w:sz="6" w:space="0"/>
                    <w:bottom w:val="single" w:color="auto" w:sz="6" w:space="0"/>
                    <w:right w:val="single" w:color="auto" w:sz="6" w:space="0"/>
                  </w:tcBorders>
                  <w:vAlign w:val="center"/>
                </w:tcPr>
                <w:p>
                  <w:pPr>
                    <w:widowControl/>
                    <w:jc w:val="center"/>
                    <w:rPr>
                      <w:rFonts w:hint="eastAsia" w:hAnsi="宋体" w:cs="宋体"/>
                      <w:color w:val="auto"/>
                      <w:sz w:val="22"/>
                      <w:szCs w:val="22"/>
                      <w:highlight w:val="none"/>
                      <w:lang w:val="en-US" w:eastAsia="zh-CN"/>
                    </w:rPr>
                  </w:pPr>
                  <w:r>
                    <w:rPr>
                      <w:rFonts w:hint="eastAsia" w:hAnsi="宋体" w:cs="宋体"/>
                      <w:color w:val="auto"/>
                      <w:sz w:val="22"/>
                      <w:szCs w:val="22"/>
                      <w:highlight w:val="none"/>
                      <w:lang w:val="en-US" w:eastAsia="zh-CN"/>
                    </w:rPr>
                    <w:t>颗粒物</w:t>
                  </w:r>
                </w:p>
              </w:tc>
              <w:tc>
                <w:tcPr>
                  <w:tcW w:w="607"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hAnsi="宋体" w:cs="宋体"/>
                      <w:color w:val="auto"/>
                      <w:sz w:val="22"/>
                      <w:szCs w:val="22"/>
                      <w:highlight w:val="none"/>
                      <w:lang w:val="en-US" w:eastAsia="zh-CN"/>
                    </w:rPr>
                  </w:pPr>
                  <w:r>
                    <w:rPr>
                      <w:rFonts w:hint="eastAsia" w:hAnsi="宋体" w:cs="宋体"/>
                      <w:color w:val="auto"/>
                      <w:sz w:val="22"/>
                      <w:szCs w:val="22"/>
                      <w:highlight w:val="none"/>
                      <w:lang w:eastAsia="zh-CN"/>
                    </w:rPr>
                    <w:t>集气装置</w:t>
                  </w:r>
                  <w:r>
                    <w:rPr>
                      <w:rFonts w:hint="eastAsia" w:hAnsi="宋体" w:cs="宋体"/>
                      <w:color w:val="auto"/>
                      <w:sz w:val="22"/>
                      <w:szCs w:val="22"/>
                      <w:highlight w:val="none"/>
                      <w:lang w:val="en-US" w:eastAsia="zh-CN"/>
                    </w:rPr>
                    <w:t>+布袋除尘</w:t>
                  </w:r>
                  <w:r>
                    <w:rPr>
                      <w:rFonts w:hint="eastAsia" w:hAnsi="宋体" w:cs="宋体"/>
                      <w:color w:val="auto"/>
                      <w:sz w:val="22"/>
                      <w:szCs w:val="22"/>
                      <w:highlight w:val="none"/>
                      <w:lang w:eastAsia="zh-CN"/>
                    </w:rPr>
                    <w:t>+15米高排气筒（</w:t>
                  </w:r>
                  <w:r>
                    <w:rPr>
                      <w:rFonts w:hint="eastAsia" w:hAnsi="宋体" w:cs="宋体"/>
                      <w:color w:val="auto"/>
                      <w:sz w:val="22"/>
                      <w:szCs w:val="22"/>
                      <w:highlight w:val="none"/>
                      <w:lang w:val="en-US" w:eastAsia="zh-CN"/>
                    </w:rPr>
                    <w:t>DA002</w:t>
                  </w:r>
                  <w:r>
                    <w:rPr>
                      <w:rFonts w:hint="eastAsia" w:hAnsi="宋体" w:cs="宋体"/>
                      <w:color w:val="auto"/>
                      <w:sz w:val="22"/>
                      <w:szCs w:val="22"/>
                      <w:highlight w:val="none"/>
                      <w:lang w:eastAsia="zh-CN"/>
                    </w:rPr>
                    <w:t>）</w:t>
                  </w:r>
                </w:p>
              </w:tc>
              <w:tc>
                <w:tcPr>
                  <w:tcW w:w="524"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hAnsi="宋体" w:cs="宋体"/>
                      <w:color w:val="auto"/>
                      <w:sz w:val="22"/>
                      <w:szCs w:val="22"/>
                      <w:highlight w:val="none"/>
                      <w:lang w:val="en-US" w:eastAsia="zh-CN"/>
                    </w:rPr>
                  </w:pPr>
                  <w:r>
                    <w:rPr>
                      <w:rFonts w:hint="eastAsia" w:hAnsi="宋体" w:cs="宋体"/>
                      <w:color w:val="auto"/>
                      <w:sz w:val="22"/>
                      <w:szCs w:val="22"/>
                      <w:highlight w:val="none"/>
                      <w:lang w:val="en-US" w:eastAsia="zh-CN"/>
                    </w:rPr>
                    <w:t>0.1</w:t>
                  </w:r>
                </w:p>
              </w:tc>
              <w:tc>
                <w:tcPr>
                  <w:tcW w:w="671"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color w:val="auto"/>
                      <w:sz w:val="24"/>
                      <w:highlight w:val="none"/>
                      <w:lang w:val="en-US" w:eastAsia="zh-CN"/>
                    </w:rPr>
                  </w:pPr>
                  <w:r>
                    <w:rPr>
                      <w:rFonts w:hint="eastAsia"/>
                      <w:color w:val="auto"/>
                      <w:sz w:val="24"/>
                      <w:highlight w:val="none"/>
                      <w:lang w:val="en-US" w:eastAsia="zh-CN"/>
                    </w:rPr>
                    <w:t>60</w:t>
                  </w:r>
                </w:p>
              </w:tc>
              <w:tc>
                <w:tcPr>
                  <w:tcW w:w="521"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color w:val="auto"/>
                      <w:sz w:val="24"/>
                      <w:highlight w:val="none"/>
                      <w:lang w:val="en-US" w:eastAsia="zh-CN"/>
                    </w:rPr>
                  </w:pPr>
                  <w:r>
                    <w:rPr>
                      <w:rFonts w:hint="eastAsia"/>
                      <w:color w:val="auto"/>
                      <w:sz w:val="24"/>
                      <w:highlight w:val="none"/>
                      <w:lang w:val="en-US" w:eastAsia="zh-CN"/>
                    </w:rPr>
                    <w:t>0.09</w:t>
                  </w:r>
                </w:p>
              </w:tc>
              <w:tc>
                <w:tcPr>
                  <w:tcW w:w="517"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color w:val="auto"/>
                      <w:sz w:val="24"/>
                      <w:highlight w:val="none"/>
                      <w:lang w:val="en-US" w:eastAsia="zh-CN"/>
                    </w:rPr>
                  </w:pPr>
                  <w:r>
                    <w:rPr>
                      <w:rFonts w:hint="eastAsia"/>
                      <w:color w:val="auto"/>
                      <w:sz w:val="24"/>
                      <w:highlight w:val="none"/>
                      <w:lang w:val="en-US" w:eastAsia="zh-CN"/>
                    </w:rPr>
                    <w:t>0.0045</w:t>
                  </w:r>
                </w:p>
              </w:tc>
              <w:tc>
                <w:tcPr>
                  <w:tcW w:w="519"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color w:val="auto"/>
                      <w:sz w:val="24"/>
                      <w:highlight w:val="none"/>
                      <w:lang w:val="en-US" w:eastAsia="zh-CN"/>
                    </w:rPr>
                  </w:pPr>
                  <w:r>
                    <w:rPr>
                      <w:rFonts w:hint="eastAsia"/>
                      <w:color w:val="auto"/>
                      <w:sz w:val="24"/>
                      <w:highlight w:val="none"/>
                      <w:lang w:val="en-US" w:eastAsia="zh-CN"/>
                    </w:rPr>
                    <w:t>3</w:t>
                  </w:r>
                </w:p>
              </w:tc>
              <w:tc>
                <w:tcPr>
                  <w:tcW w:w="537"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color w:val="auto"/>
                      <w:sz w:val="24"/>
                      <w:highlight w:val="none"/>
                      <w:lang w:val="en-US" w:eastAsia="zh-CN"/>
                    </w:rPr>
                  </w:pPr>
                  <w:r>
                    <w:rPr>
                      <w:rFonts w:hint="eastAsia"/>
                      <w:color w:val="auto"/>
                      <w:sz w:val="24"/>
                      <w:highlight w:val="none"/>
                      <w:lang w:val="en-US" w:eastAsia="zh-CN"/>
                    </w:rPr>
                    <w:t>0.0045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91" w:hRule="atLeast"/>
                <w:jc w:val="center"/>
              </w:trPr>
              <w:tc>
                <w:tcPr>
                  <w:tcW w:w="517" w:type="pct"/>
                  <w:tcBorders>
                    <w:top w:val="single" w:color="auto" w:sz="6" w:space="0"/>
                    <w:left w:val="single" w:color="auto" w:sz="4" w:space="0"/>
                    <w:bottom w:val="single" w:color="auto" w:sz="6" w:space="0"/>
                    <w:right w:val="single" w:color="auto" w:sz="6" w:space="0"/>
                  </w:tcBorders>
                  <w:vAlign w:val="center"/>
                </w:tcPr>
                <w:p>
                  <w:pPr>
                    <w:widowControl/>
                    <w:jc w:val="center"/>
                    <w:rPr>
                      <w:rFonts w:hint="eastAsia" w:hAnsi="宋体" w:cs="宋体"/>
                      <w:color w:val="auto"/>
                      <w:sz w:val="22"/>
                      <w:szCs w:val="22"/>
                      <w:highlight w:val="none"/>
                      <w:lang w:eastAsia="zh-CN"/>
                    </w:rPr>
                  </w:pPr>
                  <w:r>
                    <w:rPr>
                      <w:rFonts w:hint="eastAsia" w:hAnsi="宋体" w:cs="宋体"/>
                      <w:color w:val="auto"/>
                      <w:sz w:val="22"/>
                      <w:szCs w:val="22"/>
                      <w:highlight w:val="none"/>
                      <w:lang w:eastAsia="zh-CN"/>
                    </w:rPr>
                    <w:t>投料工序</w:t>
                  </w:r>
                </w:p>
              </w:tc>
              <w:tc>
                <w:tcPr>
                  <w:tcW w:w="583" w:type="pct"/>
                  <w:tcBorders>
                    <w:top w:val="single" w:color="auto" w:sz="6" w:space="0"/>
                    <w:left w:val="single" w:color="auto" w:sz="6" w:space="0"/>
                    <w:bottom w:val="single" w:color="auto" w:sz="6" w:space="0"/>
                    <w:right w:val="single" w:color="auto" w:sz="6" w:space="0"/>
                  </w:tcBorders>
                  <w:vAlign w:val="center"/>
                </w:tcPr>
                <w:p>
                  <w:pPr>
                    <w:widowControl/>
                    <w:jc w:val="center"/>
                    <w:rPr>
                      <w:rFonts w:hint="eastAsia" w:hAnsi="宋体" w:cs="宋体"/>
                      <w:color w:val="auto"/>
                      <w:sz w:val="22"/>
                      <w:szCs w:val="22"/>
                      <w:highlight w:val="none"/>
                      <w:lang w:val="en-US" w:eastAsia="zh-CN"/>
                    </w:rPr>
                  </w:pPr>
                  <w:r>
                    <w:rPr>
                      <w:rFonts w:hint="eastAsia" w:hAnsi="宋体" w:cs="宋体"/>
                      <w:color w:val="auto"/>
                      <w:sz w:val="22"/>
                      <w:szCs w:val="22"/>
                      <w:highlight w:val="none"/>
                      <w:lang w:val="en-US" w:eastAsia="zh-CN"/>
                    </w:rPr>
                    <w:t>颗粒物</w:t>
                  </w:r>
                </w:p>
              </w:tc>
              <w:tc>
                <w:tcPr>
                  <w:tcW w:w="607" w:type="pct"/>
                  <w:tcBorders>
                    <w:top w:val="single" w:color="auto" w:sz="6" w:space="0"/>
                    <w:left w:val="single" w:color="auto" w:sz="6" w:space="0"/>
                    <w:bottom w:val="single" w:color="auto" w:sz="6" w:space="0"/>
                    <w:right w:val="single" w:color="auto" w:sz="6" w:space="0"/>
                  </w:tcBorders>
                  <w:vAlign w:val="center"/>
                </w:tcPr>
                <w:p>
                  <w:pPr>
                    <w:widowControl/>
                    <w:jc w:val="center"/>
                    <w:rPr>
                      <w:rFonts w:hint="eastAsia" w:hAnsi="宋体" w:cs="宋体"/>
                      <w:color w:val="auto"/>
                      <w:sz w:val="22"/>
                      <w:szCs w:val="22"/>
                      <w:highlight w:val="none"/>
                      <w:lang w:eastAsia="zh-CN"/>
                    </w:rPr>
                  </w:pPr>
                  <w:r>
                    <w:rPr>
                      <w:rFonts w:hint="eastAsia" w:hAnsi="宋体" w:cs="宋体"/>
                      <w:color w:val="auto"/>
                      <w:sz w:val="22"/>
                      <w:szCs w:val="22"/>
                      <w:highlight w:val="none"/>
                      <w:lang w:eastAsia="zh-CN"/>
                    </w:rPr>
                    <w:t>集气装置</w:t>
                  </w:r>
                  <w:r>
                    <w:rPr>
                      <w:rFonts w:hint="eastAsia" w:hAnsi="宋体" w:cs="宋体"/>
                      <w:color w:val="auto"/>
                      <w:sz w:val="22"/>
                      <w:szCs w:val="22"/>
                      <w:highlight w:val="none"/>
                      <w:lang w:val="en-US" w:eastAsia="zh-CN"/>
                    </w:rPr>
                    <w:t>+布袋除尘</w:t>
                  </w:r>
                  <w:r>
                    <w:rPr>
                      <w:rFonts w:hint="eastAsia" w:hAnsi="宋体" w:cs="宋体"/>
                      <w:color w:val="auto"/>
                      <w:sz w:val="22"/>
                      <w:szCs w:val="22"/>
                      <w:highlight w:val="none"/>
                      <w:lang w:eastAsia="zh-CN"/>
                    </w:rPr>
                    <w:t>+15米高排气筒（</w:t>
                  </w:r>
                  <w:r>
                    <w:rPr>
                      <w:rFonts w:hint="eastAsia" w:hAnsi="宋体" w:cs="宋体"/>
                      <w:color w:val="auto"/>
                      <w:sz w:val="22"/>
                      <w:szCs w:val="22"/>
                      <w:highlight w:val="none"/>
                      <w:lang w:val="en-US" w:eastAsia="zh-CN"/>
                    </w:rPr>
                    <w:t>DA002</w:t>
                  </w:r>
                  <w:r>
                    <w:rPr>
                      <w:rFonts w:hint="eastAsia" w:hAnsi="宋体" w:cs="宋体"/>
                      <w:color w:val="auto"/>
                      <w:sz w:val="22"/>
                      <w:szCs w:val="22"/>
                      <w:highlight w:val="none"/>
                      <w:lang w:eastAsia="zh-CN"/>
                    </w:rPr>
                    <w:t>）</w:t>
                  </w:r>
                </w:p>
              </w:tc>
              <w:tc>
                <w:tcPr>
                  <w:tcW w:w="524"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hAnsi="宋体" w:cs="宋体"/>
                      <w:color w:val="auto"/>
                      <w:sz w:val="22"/>
                      <w:szCs w:val="22"/>
                      <w:highlight w:val="none"/>
                      <w:lang w:val="en-US" w:eastAsia="zh-CN"/>
                    </w:rPr>
                  </w:pPr>
                  <w:r>
                    <w:rPr>
                      <w:rFonts w:hint="eastAsia" w:hAnsi="宋体" w:cs="宋体"/>
                      <w:color w:val="auto"/>
                      <w:sz w:val="22"/>
                      <w:szCs w:val="22"/>
                      <w:highlight w:val="none"/>
                      <w:lang w:val="en-US" w:eastAsia="zh-CN"/>
                    </w:rPr>
                    <w:t>2.004</w:t>
                  </w:r>
                </w:p>
              </w:tc>
              <w:tc>
                <w:tcPr>
                  <w:tcW w:w="671"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color w:val="auto"/>
                      <w:sz w:val="24"/>
                      <w:highlight w:val="none"/>
                      <w:lang w:val="en-US" w:eastAsia="zh-CN"/>
                    </w:rPr>
                  </w:pPr>
                  <w:r>
                    <w:rPr>
                      <w:rFonts w:hint="eastAsia"/>
                      <w:color w:val="auto"/>
                      <w:sz w:val="24"/>
                      <w:highlight w:val="none"/>
                      <w:lang w:val="en-US" w:eastAsia="zh-CN"/>
                    </w:rPr>
                    <w:t>300.6</w:t>
                  </w:r>
                </w:p>
              </w:tc>
              <w:tc>
                <w:tcPr>
                  <w:tcW w:w="521"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color w:val="auto"/>
                      <w:sz w:val="24"/>
                      <w:highlight w:val="none"/>
                      <w:lang w:val="en-US" w:eastAsia="zh-CN"/>
                    </w:rPr>
                  </w:pPr>
                  <w:r>
                    <w:rPr>
                      <w:rFonts w:hint="eastAsia"/>
                      <w:color w:val="auto"/>
                      <w:sz w:val="24"/>
                      <w:highlight w:val="none"/>
                      <w:lang w:val="en-US" w:eastAsia="zh-CN"/>
                    </w:rPr>
                    <w:t>0.9018</w:t>
                  </w:r>
                </w:p>
              </w:tc>
              <w:tc>
                <w:tcPr>
                  <w:tcW w:w="517"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color w:val="auto"/>
                      <w:sz w:val="24"/>
                      <w:highlight w:val="none"/>
                      <w:lang w:val="en-US" w:eastAsia="zh-CN"/>
                    </w:rPr>
                  </w:pPr>
                  <w:r>
                    <w:rPr>
                      <w:rFonts w:hint="eastAsia"/>
                      <w:color w:val="auto"/>
                      <w:sz w:val="24"/>
                      <w:highlight w:val="none"/>
                      <w:lang w:val="en-US" w:eastAsia="zh-CN"/>
                    </w:rPr>
                    <w:t>0.0902</w:t>
                  </w:r>
                </w:p>
              </w:tc>
              <w:tc>
                <w:tcPr>
                  <w:tcW w:w="519"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color w:val="auto"/>
                      <w:sz w:val="24"/>
                      <w:highlight w:val="none"/>
                      <w:lang w:val="en-US" w:eastAsia="zh-CN"/>
                    </w:rPr>
                  </w:pPr>
                  <w:r>
                    <w:rPr>
                      <w:rFonts w:hint="eastAsia"/>
                      <w:color w:val="auto"/>
                      <w:sz w:val="24"/>
                      <w:highlight w:val="none"/>
                      <w:lang w:val="en-US" w:eastAsia="zh-CN"/>
                    </w:rPr>
                    <w:t>0.0451</w:t>
                  </w:r>
                </w:p>
              </w:tc>
              <w:tc>
                <w:tcPr>
                  <w:tcW w:w="537" w:type="pct"/>
                  <w:tcBorders>
                    <w:top w:val="single" w:color="auto" w:sz="6" w:space="0"/>
                    <w:left w:val="single" w:color="auto" w:sz="6" w:space="0"/>
                    <w:bottom w:val="single" w:color="auto" w:sz="6" w:space="0"/>
                    <w:right w:val="single" w:color="auto" w:sz="6" w:space="0"/>
                  </w:tcBorders>
                  <w:vAlign w:val="center"/>
                </w:tcPr>
                <w:p>
                  <w:pPr>
                    <w:widowControl/>
                    <w:jc w:val="center"/>
                    <w:rPr>
                      <w:rFonts w:hint="default"/>
                      <w:color w:val="auto"/>
                      <w:sz w:val="24"/>
                      <w:highlight w:val="none"/>
                      <w:lang w:val="en-US" w:eastAsia="zh-CN"/>
                    </w:rPr>
                  </w:pPr>
                  <w:r>
                    <w:rPr>
                      <w:rFonts w:hint="eastAsia"/>
                      <w:color w:val="auto"/>
                      <w:sz w:val="24"/>
                      <w:highlight w:val="none"/>
                      <w:lang w:val="en-US" w:eastAsia="zh-CN"/>
                    </w:rPr>
                    <w:t>15.03</w:t>
                  </w:r>
                </w:p>
              </w:tc>
            </w:tr>
          </w:tbl>
          <w:p>
            <w:pPr>
              <w:keepNext w:val="0"/>
              <w:keepLines w:val="0"/>
              <w:pageBreakBefore w:val="0"/>
              <w:widowControl/>
              <w:kinsoku/>
              <w:wordWrap/>
              <w:overflowPunct/>
              <w:topLinePunct w:val="0"/>
              <w:autoSpaceDE/>
              <w:autoSpaceDN/>
              <w:bidi w:val="0"/>
              <w:adjustRightInd/>
              <w:snapToGrid/>
              <w:spacing w:before="313" w:beforeLines="100" w:line="360" w:lineRule="auto"/>
              <w:jc w:val="center"/>
              <w:textAlignment w:val="auto"/>
              <w:rPr>
                <w:rFonts w:hAnsi="宋体"/>
                <w:color w:val="auto"/>
                <w:sz w:val="22"/>
                <w:szCs w:val="22"/>
                <w:highlight w:val="none"/>
              </w:rPr>
            </w:pPr>
            <w:r>
              <w:rPr>
                <w:rFonts w:hint="eastAsia" w:hAnsi="宋体" w:cs="宋体"/>
                <w:color w:val="auto"/>
                <w:sz w:val="22"/>
                <w:szCs w:val="22"/>
                <w:highlight w:val="none"/>
              </w:rPr>
              <w:t>表</w:t>
            </w:r>
            <w:r>
              <w:rPr>
                <w:rFonts w:hAnsi="宋体"/>
                <w:color w:val="auto"/>
                <w:sz w:val="22"/>
                <w:szCs w:val="22"/>
                <w:highlight w:val="none"/>
              </w:rPr>
              <w:t xml:space="preserve">4-6  </w:t>
            </w:r>
            <w:r>
              <w:rPr>
                <w:rFonts w:hint="eastAsia" w:hAnsi="宋体" w:cs="宋体"/>
                <w:color w:val="auto"/>
                <w:sz w:val="22"/>
                <w:szCs w:val="22"/>
                <w:highlight w:val="none"/>
              </w:rPr>
              <w:t>厂区无组织废气排放情况一览表</w:t>
            </w:r>
          </w:p>
          <w:tbl>
            <w:tblPr>
              <w:tblStyle w:val="36"/>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1510"/>
              <w:gridCol w:w="2234"/>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977" w:type="dxa"/>
                  <w:tcBorders>
                    <w:top w:val="single" w:color="auto" w:sz="4" w:space="0"/>
                    <w:left w:val="single" w:color="auto" w:sz="4" w:space="0"/>
                    <w:bottom w:val="single" w:color="auto" w:sz="4" w:space="0"/>
                    <w:right w:val="single" w:color="auto" w:sz="4"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污染源位置</w:t>
                  </w:r>
                </w:p>
              </w:tc>
              <w:tc>
                <w:tcPr>
                  <w:tcW w:w="1510" w:type="dxa"/>
                  <w:tcBorders>
                    <w:top w:val="single" w:color="auto" w:sz="4" w:space="0"/>
                    <w:left w:val="single" w:color="auto" w:sz="4" w:space="0"/>
                    <w:bottom w:val="single" w:color="auto" w:sz="4" w:space="0"/>
                    <w:right w:val="single" w:color="auto" w:sz="4"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污染物名称</w:t>
                  </w:r>
                </w:p>
              </w:tc>
              <w:tc>
                <w:tcPr>
                  <w:tcW w:w="2234" w:type="dxa"/>
                  <w:tcBorders>
                    <w:top w:val="single" w:color="auto" w:sz="4" w:space="0"/>
                    <w:left w:val="single" w:color="auto" w:sz="4" w:space="0"/>
                    <w:bottom w:val="single" w:color="auto" w:sz="4" w:space="0"/>
                    <w:right w:val="single" w:color="auto" w:sz="4"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污染物产生量（</w:t>
                  </w:r>
                  <w:r>
                    <w:rPr>
                      <w:rFonts w:hAnsi="宋体"/>
                      <w:color w:val="auto"/>
                      <w:sz w:val="22"/>
                      <w:szCs w:val="22"/>
                      <w:highlight w:val="none"/>
                    </w:rPr>
                    <w:t>t/a</w:t>
                  </w:r>
                  <w:r>
                    <w:rPr>
                      <w:rFonts w:hint="eastAsia" w:hAnsi="宋体" w:cs="宋体"/>
                      <w:color w:val="auto"/>
                      <w:sz w:val="22"/>
                      <w:szCs w:val="22"/>
                      <w:highlight w:val="none"/>
                    </w:rPr>
                    <w:t>）</w:t>
                  </w:r>
                </w:p>
              </w:tc>
              <w:tc>
                <w:tcPr>
                  <w:tcW w:w="2357" w:type="dxa"/>
                  <w:tcBorders>
                    <w:top w:val="single" w:color="auto" w:sz="4" w:space="0"/>
                    <w:left w:val="single" w:color="auto" w:sz="4" w:space="0"/>
                    <w:bottom w:val="single" w:color="auto" w:sz="4" w:space="0"/>
                    <w:right w:val="single" w:color="auto" w:sz="4"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rPr>
                    <w:t>污染物排放量（</w:t>
                  </w:r>
                  <w:r>
                    <w:rPr>
                      <w:rFonts w:hAnsi="宋体"/>
                      <w:color w:val="auto"/>
                      <w:sz w:val="22"/>
                      <w:szCs w:val="22"/>
                      <w:highlight w:val="none"/>
                    </w:rPr>
                    <w:t>t/a</w:t>
                  </w:r>
                  <w:r>
                    <w:rPr>
                      <w:rFonts w:hint="eastAsia" w:hAnsi="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97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hAnsi="宋体" w:eastAsia="宋体"/>
                      <w:color w:val="auto"/>
                      <w:sz w:val="22"/>
                      <w:szCs w:val="22"/>
                      <w:highlight w:val="none"/>
                      <w:lang w:eastAsia="zh-CN"/>
                    </w:rPr>
                  </w:pPr>
                  <w:r>
                    <w:rPr>
                      <w:rFonts w:hint="eastAsia" w:hAnsi="宋体" w:cs="宋体"/>
                      <w:color w:val="auto"/>
                      <w:sz w:val="22"/>
                      <w:szCs w:val="22"/>
                      <w:highlight w:val="none"/>
                      <w:lang w:eastAsia="zh-CN"/>
                    </w:rPr>
                    <w:t>热熔、挤出工序</w:t>
                  </w:r>
                </w:p>
              </w:tc>
              <w:tc>
                <w:tcPr>
                  <w:tcW w:w="1510" w:type="dxa"/>
                  <w:tcBorders>
                    <w:top w:val="single" w:color="auto" w:sz="4" w:space="0"/>
                    <w:left w:val="single" w:color="auto" w:sz="4" w:space="0"/>
                    <w:bottom w:val="single" w:color="auto" w:sz="4" w:space="0"/>
                    <w:right w:val="single" w:color="auto" w:sz="4" w:space="0"/>
                  </w:tcBorders>
                  <w:vAlign w:val="center"/>
                </w:tcPr>
                <w:p>
                  <w:pPr>
                    <w:widowControl/>
                    <w:jc w:val="center"/>
                    <w:rPr>
                      <w:rFonts w:hAnsi="宋体"/>
                      <w:color w:val="auto"/>
                      <w:sz w:val="22"/>
                      <w:szCs w:val="22"/>
                      <w:highlight w:val="none"/>
                    </w:rPr>
                  </w:pPr>
                  <w:r>
                    <w:rPr>
                      <w:rFonts w:hint="eastAsia" w:hAnsi="宋体" w:cs="宋体"/>
                      <w:color w:val="auto"/>
                      <w:sz w:val="22"/>
                      <w:szCs w:val="22"/>
                      <w:highlight w:val="none"/>
                      <w:lang w:val="en-US" w:eastAsia="zh-CN"/>
                    </w:rPr>
                    <w:t>非甲烷总烃</w:t>
                  </w:r>
                </w:p>
              </w:tc>
              <w:tc>
                <w:tcPr>
                  <w:tcW w:w="223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宋体" w:eastAsia="宋体" w:cs="宋体"/>
                      <w:color w:val="auto"/>
                      <w:sz w:val="22"/>
                      <w:szCs w:val="22"/>
                      <w:highlight w:val="none"/>
                      <w:lang w:val="en-US" w:eastAsia="zh-CN"/>
                    </w:rPr>
                  </w:pPr>
                  <w:r>
                    <w:rPr>
                      <w:rFonts w:hint="eastAsia"/>
                      <w:color w:val="auto"/>
                      <w:sz w:val="24"/>
                      <w:highlight w:val="none"/>
                      <w:lang w:val="en-US" w:eastAsia="zh-CN"/>
                    </w:rPr>
                    <w:t>2.002</w:t>
                  </w:r>
                </w:p>
              </w:tc>
              <w:tc>
                <w:tcPr>
                  <w:tcW w:w="23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hAnsi="宋体"/>
                      <w:color w:val="auto"/>
                      <w:sz w:val="22"/>
                      <w:szCs w:val="22"/>
                      <w:highlight w:val="none"/>
                      <w:lang w:val="en-US"/>
                    </w:rPr>
                  </w:pPr>
                  <w:r>
                    <w:rPr>
                      <w:rFonts w:hint="eastAsia"/>
                      <w:color w:val="auto"/>
                      <w:sz w:val="24"/>
                      <w:highlight w:val="none"/>
                      <w:lang w:val="en-US" w:eastAsia="zh-CN"/>
                    </w:rPr>
                    <w:t>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97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hAnsi="宋体" w:cs="宋体"/>
                      <w:color w:val="auto"/>
                      <w:sz w:val="22"/>
                      <w:szCs w:val="22"/>
                      <w:highlight w:val="none"/>
                      <w:lang w:eastAsia="zh-CN"/>
                    </w:rPr>
                  </w:pPr>
                  <w:r>
                    <w:rPr>
                      <w:rFonts w:hint="eastAsia" w:hAnsi="宋体" w:cs="宋体"/>
                      <w:color w:val="auto"/>
                      <w:sz w:val="22"/>
                      <w:szCs w:val="22"/>
                      <w:highlight w:val="none"/>
                      <w:lang w:eastAsia="zh-CN"/>
                    </w:rPr>
                    <w:t>破碎工序</w:t>
                  </w:r>
                </w:p>
              </w:tc>
              <w:tc>
                <w:tcPr>
                  <w:tcW w:w="15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hAnsi="宋体" w:cs="宋体"/>
                      <w:color w:val="auto"/>
                      <w:sz w:val="22"/>
                      <w:szCs w:val="22"/>
                      <w:highlight w:val="none"/>
                      <w:lang w:val="en-US" w:eastAsia="zh-CN"/>
                    </w:rPr>
                  </w:pPr>
                  <w:r>
                    <w:rPr>
                      <w:rFonts w:hint="eastAsia" w:hAnsi="宋体" w:cs="宋体"/>
                      <w:color w:val="auto"/>
                      <w:sz w:val="22"/>
                      <w:szCs w:val="22"/>
                      <w:highlight w:val="none"/>
                      <w:lang w:val="en-US" w:eastAsia="zh-CN"/>
                    </w:rPr>
                    <w:t>颗粒物</w:t>
                  </w:r>
                </w:p>
              </w:tc>
              <w:tc>
                <w:tcPr>
                  <w:tcW w:w="223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color w:val="auto"/>
                      <w:sz w:val="24"/>
                      <w:highlight w:val="none"/>
                      <w:lang w:val="en-US" w:eastAsia="zh-CN"/>
                    </w:rPr>
                  </w:pPr>
                  <w:r>
                    <w:rPr>
                      <w:rFonts w:hint="eastAsia"/>
                      <w:color w:val="auto"/>
                      <w:sz w:val="24"/>
                      <w:highlight w:val="none"/>
                      <w:lang w:val="en-US" w:eastAsia="zh-CN"/>
                    </w:rPr>
                    <w:t>0.01</w:t>
                  </w:r>
                </w:p>
              </w:tc>
              <w:tc>
                <w:tcPr>
                  <w:tcW w:w="23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color w:val="auto"/>
                      <w:sz w:val="24"/>
                      <w:highlight w:val="none"/>
                      <w:lang w:val="en-US" w:eastAsia="zh-CN"/>
                    </w:rPr>
                  </w:pPr>
                  <w:r>
                    <w:rPr>
                      <w:rFonts w:hint="eastAsia"/>
                      <w:color w:val="auto"/>
                      <w:sz w:val="24"/>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97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hAnsi="宋体" w:cs="宋体"/>
                      <w:color w:val="auto"/>
                      <w:sz w:val="22"/>
                      <w:szCs w:val="22"/>
                      <w:highlight w:val="none"/>
                      <w:lang w:eastAsia="zh-CN"/>
                    </w:rPr>
                  </w:pPr>
                  <w:r>
                    <w:rPr>
                      <w:rFonts w:hint="eastAsia" w:hAnsi="宋体" w:cs="宋体"/>
                      <w:color w:val="auto"/>
                      <w:sz w:val="22"/>
                      <w:szCs w:val="22"/>
                      <w:highlight w:val="none"/>
                      <w:lang w:eastAsia="zh-CN"/>
                    </w:rPr>
                    <w:t>投料工序</w:t>
                  </w:r>
                </w:p>
              </w:tc>
              <w:tc>
                <w:tcPr>
                  <w:tcW w:w="15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hAnsi="宋体" w:cs="宋体"/>
                      <w:color w:val="auto"/>
                      <w:sz w:val="22"/>
                      <w:szCs w:val="22"/>
                      <w:highlight w:val="none"/>
                      <w:lang w:val="en-US" w:eastAsia="zh-CN"/>
                    </w:rPr>
                  </w:pPr>
                  <w:r>
                    <w:rPr>
                      <w:rFonts w:hint="eastAsia" w:hAnsi="宋体" w:cs="宋体"/>
                      <w:color w:val="auto"/>
                      <w:sz w:val="22"/>
                      <w:szCs w:val="22"/>
                      <w:highlight w:val="none"/>
                      <w:lang w:val="en-US" w:eastAsia="zh-CN"/>
                    </w:rPr>
                    <w:t>颗粒物</w:t>
                  </w:r>
                </w:p>
              </w:tc>
              <w:tc>
                <w:tcPr>
                  <w:tcW w:w="223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color w:val="auto"/>
                      <w:sz w:val="24"/>
                      <w:highlight w:val="none"/>
                      <w:lang w:val="en-US" w:eastAsia="zh-CN"/>
                    </w:rPr>
                  </w:pPr>
                  <w:r>
                    <w:rPr>
                      <w:rFonts w:hint="eastAsia"/>
                      <w:color w:val="auto"/>
                      <w:sz w:val="24"/>
                      <w:highlight w:val="none"/>
                      <w:lang w:val="en-US" w:eastAsia="zh-CN"/>
                    </w:rPr>
                    <w:t>0.2004</w:t>
                  </w:r>
                </w:p>
              </w:tc>
              <w:tc>
                <w:tcPr>
                  <w:tcW w:w="23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color w:val="auto"/>
                      <w:sz w:val="24"/>
                      <w:highlight w:val="none"/>
                      <w:lang w:val="en-US" w:eastAsia="zh-CN"/>
                    </w:rPr>
                  </w:pPr>
                  <w:r>
                    <w:rPr>
                      <w:rFonts w:hint="eastAsia"/>
                      <w:color w:val="auto"/>
                      <w:sz w:val="24"/>
                      <w:highlight w:val="none"/>
                      <w:lang w:val="en-US" w:eastAsia="zh-CN"/>
                    </w:rPr>
                    <w:t>0.2004</w:t>
                  </w:r>
                </w:p>
              </w:tc>
            </w:tr>
          </w:tbl>
          <w:p>
            <w:pPr>
              <w:pStyle w:val="115"/>
              <w:keepNext w:val="0"/>
              <w:keepLines w:val="0"/>
              <w:pageBreakBefore w:val="0"/>
              <w:widowControl w:val="0"/>
              <w:kinsoku/>
              <w:wordWrap/>
              <w:overflowPunct/>
              <w:topLinePunct w:val="0"/>
              <w:autoSpaceDE/>
              <w:autoSpaceDN/>
              <w:bidi w:val="0"/>
              <w:adjustRightInd w:val="0"/>
              <w:snapToGrid/>
              <w:spacing w:before="313" w:beforeLines="100" w:line="360" w:lineRule="auto"/>
              <w:ind w:left="479" w:leftChars="228" w:firstLine="67" w:firstLineChars="28"/>
              <w:textAlignment w:val="baseline"/>
              <w:rPr>
                <w:rStyle w:val="80"/>
                <w:b w:val="0"/>
                <w:bCs w:val="0"/>
                <w:color w:val="auto"/>
                <w:kern w:val="2"/>
                <w:highlight w:val="none"/>
              </w:rPr>
            </w:pPr>
            <w:r>
              <w:rPr>
                <w:rStyle w:val="80"/>
                <w:rFonts w:hint="eastAsia" w:cs="宋体"/>
                <w:b w:val="0"/>
                <w:bCs w:val="0"/>
                <w:color w:val="auto"/>
                <w:kern w:val="2"/>
                <w:highlight w:val="none"/>
              </w:rPr>
              <w:t>本项目的废气排放筒情况见下表。</w:t>
            </w:r>
          </w:p>
          <w:p>
            <w:pPr>
              <w:pStyle w:val="115"/>
              <w:spacing w:line="360" w:lineRule="auto"/>
              <w:ind w:firstLine="0"/>
              <w:jc w:val="center"/>
              <w:rPr>
                <w:rFonts w:ascii="宋体"/>
                <w:color w:val="auto"/>
                <w:kern w:val="0"/>
                <w:highlight w:val="none"/>
              </w:rPr>
            </w:pPr>
            <w:r>
              <w:rPr>
                <w:rFonts w:hint="eastAsia" w:hAnsi="宋体" w:cs="宋体"/>
                <w:color w:val="auto"/>
                <w:kern w:val="2"/>
                <w:sz w:val="22"/>
                <w:szCs w:val="22"/>
                <w:highlight w:val="none"/>
              </w:rPr>
              <w:t>表</w:t>
            </w:r>
            <w:r>
              <w:rPr>
                <w:rFonts w:hAnsi="宋体"/>
                <w:color w:val="auto"/>
                <w:kern w:val="2"/>
                <w:sz w:val="22"/>
                <w:szCs w:val="22"/>
                <w:highlight w:val="none"/>
              </w:rPr>
              <w:t>4-7</w:t>
            </w:r>
            <w:r>
              <w:rPr>
                <w:rFonts w:hint="eastAsia" w:hAnsi="宋体" w:cs="宋体"/>
                <w:color w:val="auto"/>
                <w:kern w:val="2"/>
                <w:sz w:val="22"/>
                <w:szCs w:val="22"/>
                <w:highlight w:val="none"/>
              </w:rPr>
              <w:t>本项目有组织废气排放情况一览表</w:t>
            </w:r>
          </w:p>
          <w:tbl>
            <w:tblPr>
              <w:tblStyle w:val="36"/>
              <w:tblW w:w="8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894"/>
              <w:gridCol w:w="970"/>
              <w:gridCol w:w="1971"/>
              <w:gridCol w:w="726"/>
              <w:gridCol w:w="757"/>
              <w:gridCol w:w="911"/>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1028"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jc w:val="center"/>
                    <w:rPr>
                      <w:rFonts w:hAnsi="宋体"/>
                      <w:color w:val="auto"/>
                      <w:kern w:val="2"/>
                      <w:sz w:val="22"/>
                      <w:szCs w:val="22"/>
                      <w:highlight w:val="none"/>
                    </w:rPr>
                  </w:pPr>
                  <w:r>
                    <w:rPr>
                      <w:rFonts w:hint="eastAsia" w:hAnsi="宋体" w:cs="宋体"/>
                      <w:color w:val="auto"/>
                      <w:kern w:val="2"/>
                      <w:sz w:val="22"/>
                      <w:szCs w:val="22"/>
                      <w:highlight w:val="none"/>
                    </w:rPr>
                    <w:t>排气筒</w:t>
                  </w:r>
                </w:p>
                <w:p>
                  <w:pPr>
                    <w:pStyle w:val="115"/>
                    <w:spacing w:line="240" w:lineRule="auto"/>
                    <w:ind w:firstLine="0"/>
                    <w:jc w:val="center"/>
                    <w:rPr>
                      <w:rFonts w:hAnsi="宋体"/>
                      <w:color w:val="auto"/>
                      <w:kern w:val="2"/>
                      <w:sz w:val="22"/>
                      <w:szCs w:val="22"/>
                      <w:highlight w:val="none"/>
                    </w:rPr>
                  </w:pPr>
                  <w:r>
                    <w:rPr>
                      <w:rFonts w:hint="eastAsia" w:hAnsi="宋体" w:cs="宋体"/>
                      <w:color w:val="auto"/>
                      <w:kern w:val="2"/>
                      <w:sz w:val="22"/>
                      <w:szCs w:val="22"/>
                      <w:highlight w:val="none"/>
                    </w:rPr>
                    <w:t>编号</w:t>
                  </w:r>
                </w:p>
              </w:tc>
              <w:tc>
                <w:tcPr>
                  <w:tcW w:w="894"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jc w:val="center"/>
                    <w:rPr>
                      <w:rFonts w:hAnsi="宋体"/>
                      <w:color w:val="auto"/>
                      <w:kern w:val="2"/>
                      <w:sz w:val="22"/>
                      <w:szCs w:val="22"/>
                      <w:highlight w:val="none"/>
                    </w:rPr>
                  </w:pPr>
                  <w:r>
                    <w:rPr>
                      <w:rFonts w:hint="eastAsia" w:hAnsi="宋体" w:cs="宋体"/>
                      <w:color w:val="auto"/>
                      <w:kern w:val="2"/>
                      <w:sz w:val="22"/>
                      <w:szCs w:val="22"/>
                      <w:highlight w:val="none"/>
                    </w:rPr>
                    <w:t>污染源</w:t>
                  </w:r>
                </w:p>
              </w:tc>
              <w:tc>
                <w:tcPr>
                  <w:tcW w:w="970"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jc w:val="center"/>
                    <w:rPr>
                      <w:rFonts w:hAnsi="宋体"/>
                      <w:color w:val="auto"/>
                      <w:kern w:val="2"/>
                      <w:sz w:val="22"/>
                      <w:szCs w:val="22"/>
                      <w:highlight w:val="none"/>
                    </w:rPr>
                  </w:pPr>
                  <w:r>
                    <w:rPr>
                      <w:rFonts w:hint="eastAsia" w:hAnsi="宋体" w:cs="宋体"/>
                      <w:color w:val="auto"/>
                      <w:kern w:val="2"/>
                      <w:sz w:val="22"/>
                      <w:szCs w:val="22"/>
                      <w:highlight w:val="none"/>
                    </w:rPr>
                    <w:t>污染物</w:t>
                  </w:r>
                </w:p>
              </w:tc>
              <w:tc>
                <w:tcPr>
                  <w:tcW w:w="1971"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jc w:val="center"/>
                    <w:rPr>
                      <w:rFonts w:hAnsi="宋体"/>
                      <w:color w:val="auto"/>
                      <w:kern w:val="2"/>
                      <w:sz w:val="22"/>
                      <w:szCs w:val="22"/>
                      <w:highlight w:val="none"/>
                    </w:rPr>
                  </w:pPr>
                  <w:r>
                    <w:rPr>
                      <w:rFonts w:hint="eastAsia" w:hAnsi="宋体" w:cs="宋体"/>
                      <w:color w:val="auto"/>
                      <w:kern w:val="2"/>
                      <w:sz w:val="22"/>
                      <w:szCs w:val="22"/>
                      <w:highlight w:val="none"/>
                    </w:rPr>
                    <w:t>经纬度</w:t>
                  </w:r>
                </w:p>
              </w:tc>
              <w:tc>
                <w:tcPr>
                  <w:tcW w:w="726"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jc w:val="center"/>
                    <w:rPr>
                      <w:rFonts w:hAnsi="宋体"/>
                      <w:color w:val="auto"/>
                      <w:kern w:val="2"/>
                      <w:sz w:val="22"/>
                      <w:szCs w:val="22"/>
                      <w:highlight w:val="none"/>
                    </w:rPr>
                  </w:pPr>
                  <w:r>
                    <w:rPr>
                      <w:rFonts w:hint="eastAsia" w:hAnsi="宋体" w:cs="宋体"/>
                      <w:color w:val="auto"/>
                      <w:kern w:val="2"/>
                      <w:sz w:val="22"/>
                      <w:szCs w:val="22"/>
                      <w:highlight w:val="none"/>
                    </w:rPr>
                    <w:t>直径</w:t>
                  </w:r>
                </w:p>
              </w:tc>
              <w:tc>
                <w:tcPr>
                  <w:tcW w:w="757"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jc w:val="center"/>
                    <w:rPr>
                      <w:rFonts w:hAnsi="宋体"/>
                      <w:color w:val="auto"/>
                      <w:kern w:val="2"/>
                      <w:sz w:val="22"/>
                      <w:szCs w:val="22"/>
                      <w:highlight w:val="none"/>
                    </w:rPr>
                  </w:pPr>
                  <w:r>
                    <w:rPr>
                      <w:rFonts w:hint="eastAsia" w:hAnsi="宋体" w:cs="宋体"/>
                      <w:color w:val="auto"/>
                      <w:kern w:val="2"/>
                      <w:sz w:val="22"/>
                      <w:szCs w:val="22"/>
                      <w:highlight w:val="none"/>
                    </w:rPr>
                    <w:t>高度</w:t>
                  </w:r>
                </w:p>
              </w:tc>
              <w:tc>
                <w:tcPr>
                  <w:tcW w:w="911"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jc w:val="center"/>
                    <w:rPr>
                      <w:rFonts w:hAnsi="宋体"/>
                      <w:color w:val="auto"/>
                      <w:kern w:val="2"/>
                      <w:sz w:val="22"/>
                      <w:szCs w:val="22"/>
                      <w:highlight w:val="none"/>
                    </w:rPr>
                  </w:pPr>
                  <w:r>
                    <w:rPr>
                      <w:rFonts w:hint="eastAsia" w:hAnsi="宋体" w:cs="宋体"/>
                      <w:color w:val="auto"/>
                      <w:kern w:val="2"/>
                      <w:sz w:val="22"/>
                      <w:szCs w:val="22"/>
                      <w:highlight w:val="none"/>
                    </w:rPr>
                    <w:t>烟气温度</w:t>
                  </w:r>
                  <w:r>
                    <w:rPr>
                      <w:rFonts w:hAnsi="宋体"/>
                      <w:color w:val="auto"/>
                      <w:kern w:val="2"/>
                      <w:sz w:val="22"/>
                      <w:szCs w:val="22"/>
                      <w:highlight w:val="none"/>
                    </w:rPr>
                    <w:t>/</w:t>
                  </w:r>
                  <w:r>
                    <w:rPr>
                      <w:rFonts w:hint="eastAsia" w:hAnsi="宋体" w:cs="宋体"/>
                      <w:color w:val="auto"/>
                      <w:kern w:val="2"/>
                      <w:sz w:val="22"/>
                      <w:szCs w:val="22"/>
                      <w:highlight w:val="none"/>
                    </w:rPr>
                    <w:t>℃</w:t>
                  </w:r>
                </w:p>
              </w:tc>
              <w:tc>
                <w:tcPr>
                  <w:tcW w:w="838"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jc w:val="center"/>
                    <w:rPr>
                      <w:rFonts w:hAnsi="宋体"/>
                      <w:color w:val="auto"/>
                      <w:kern w:val="2"/>
                      <w:sz w:val="22"/>
                      <w:szCs w:val="22"/>
                      <w:highlight w:val="none"/>
                    </w:rPr>
                  </w:pPr>
                  <w:r>
                    <w:rPr>
                      <w:rFonts w:hint="eastAsia" w:hAnsi="宋体" w:cs="宋体"/>
                      <w:color w:val="auto"/>
                      <w:kern w:val="2"/>
                      <w:sz w:val="22"/>
                      <w:szCs w:val="22"/>
                      <w:highlight w:val="none"/>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1028"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jc w:val="center"/>
                    <w:rPr>
                      <w:rFonts w:hint="eastAsia" w:hAnsi="宋体" w:eastAsia="宋体"/>
                      <w:color w:val="auto"/>
                      <w:kern w:val="2"/>
                      <w:sz w:val="22"/>
                      <w:szCs w:val="22"/>
                      <w:highlight w:val="none"/>
                      <w:lang w:eastAsia="zh-CN"/>
                    </w:rPr>
                  </w:pPr>
                  <w:r>
                    <w:rPr>
                      <w:rFonts w:hAnsi="宋体"/>
                      <w:color w:val="auto"/>
                      <w:kern w:val="2"/>
                      <w:sz w:val="22"/>
                      <w:szCs w:val="22"/>
                      <w:highlight w:val="none"/>
                    </w:rPr>
                    <w:t>DA001</w:t>
                  </w:r>
                </w:p>
              </w:tc>
              <w:tc>
                <w:tcPr>
                  <w:tcW w:w="894" w:type="dxa"/>
                  <w:tcBorders>
                    <w:top w:val="single" w:color="auto" w:sz="4" w:space="0"/>
                    <w:left w:val="single" w:color="auto" w:sz="4" w:space="0"/>
                    <w:bottom w:val="single" w:color="auto" w:sz="4" w:space="0"/>
                    <w:right w:val="single" w:color="auto" w:sz="4" w:space="0"/>
                  </w:tcBorders>
                  <w:vAlign w:val="center"/>
                </w:tcPr>
                <w:p>
                  <w:pPr>
                    <w:widowControl/>
                    <w:jc w:val="center"/>
                    <w:rPr>
                      <w:rFonts w:hAnsi="宋体"/>
                      <w:color w:val="auto"/>
                      <w:kern w:val="2"/>
                      <w:sz w:val="22"/>
                      <w:szCs w:val="22"/>
                      <w:highlight w:val="none"/>
                    </w:rPr>
                  </w:pPr>
                  <w:r>
                    <w:rPr>
                      <w:rFonts w:hint="eastAsia" w:hAnsi="宋体" w:cs="宋体"/>
                      <w:color w:val="auto"/>
                      <w:sz w:val="22"/>
                      <w:szCs w:val="22"/>
                      <w:highlight w:val="none"/>
                      <w:lang w:eastAsia="zh-CN"/>
                    </w:rPr>
                    <w:t>热熔、挤出工序</w:t>
                  </w:r>
                </w:p>
              </w:tc>
              <w:tc>
                <w:tcPr>
                  <w:tcW w:w="970"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非甲烷总烃</w:t>
                  </w:r>
                </w:p>
              </w:tc>
              <w:tc>
                <w:tcPr>
                  <w:tcW w:w="1971"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jc w:val="center"/>
                    <w:rPr>
                      <w:rFonts w:hAnsi="宋体"/>
                      <w:color w:val="auto"/>
                      <w:kern w:val="2"/>
                      <w:sz w:val="22"/>
                      <w:szCs w:val="22"/>
                      <w:highlight w:val="none"/>
                    </w:rPr>
                  </w:pPr>
                  <w:r>
                    <w:rPr>
                      <w:rFonts w:hint="eastAsia" w:hAnsi="宋体"/>
                      <w:color w:val="auto"/>
                      <w:kern w:val="2"/>
                      <w:sz w:val="22"/>
                      <w:szCs w:val="22"/>
                      <w:highlight w:val="none"/>
                    </w:rPr>
                    <w:t>116.84353524</w:t>
                  </w:r>
                  <w:r>
                    <w:rPr>
                      <w:rFonts w:hint="eastAsia" w:hAnsi="宋体"/>
                      <w:color w:val="auto"/>
                      <w:kern w:val="2"/>
                      <w:sz w:val="22"/>
                      <w:szCs w:val="22"/>
                      <w:highlight w:val="none"/>
                    </w:rPr>
                    <w:tab/>
                  </w:r>
                  <w:r>
                    <w:rPr>
                      <w:rFonts w:hint="eastAsia" w:hAnsi="宋体" w:cs="宋体"/>
                      <w:color w:val="auto"/>
                      <w:kern w:val="2"/>
                      <w:sz w:val="22"/>
                      <w:szCs w:val="22"/>
                      <w:highlight w:val="none"/>
                    </w:rPr>
                    <w:t>°</w:t>
                  </w:r>
                  <w:r>
                    <w:rPr>
                      <w:rFonts w:hAnsi="宋体"/>
                      <w:color w:val="auto"/>
                      <w:kern w:val="2"/>
                      <w:sz w:val="22"/>
                      <w:szCs w:val="22"/>
                      <w:highlight w:val="none"/>
                    </w:rPr>
                    <w:t>E</w:t>
                  </w:r>
                </w:p>
                <w:p>
                  <w:pPr>
                    <w:pStyle w:val="115"/>
                    <w:spacing w:line="240" w:lineRule="auto"/>
                    <w:ind w:firstLine="0"/>
                    <w:jc w:val="center"/>
                    <w:rPr>
                      <w:rFonts w:hAnsi="宋体"/>
                      <w:color w:val="auto"/>
                      <w:kern w:val="2"/>
                      <w:sz w:val="22"/>
                      <w:szCs w:val="22"/>
                      <w:highlight w:val="none"/>
                    </w:rPr>
                  </w:pPr>
                  <w:r>
                    <w:rPr>
                      <w:rFonts w:hint="eastAsia" w:hAnsi="宋体"/>
                      <w:color w:val="auto"/>
                      <w:kern w:val="2"/>
                      <w:sz w:val="22"/>
                      <w:szCs w:val="22"/>
                      <w:highlight w:val="none"/>
                    </w:rPr>
                    <w:t>33.811966107</w:t>
                  </w:r>
                  <w:r>
                    <w:rPr>
                      <w:rFonts w:hint="eastAsia" w:hAnsi="宋体" w:cs="宋体"/>
                      <w:color w:val="auto"/>
                      <w:kern w:val="2"/>
                      <w:sz w:val="22"/>
                      <w:szCs w:val="22"/>
                      <w:highlight w:val="none"/>
                    </w:rPr>
                    <w:t>°</w:t>
                  </w:r>
                  <w:r>
                    <w:rPr>
                      <w:rFonts w:hAnsi="宋体"/>
                      <w:color w:val="auto"/>
                      <w:kern w:val="2"/>
                      <w:sz w:val="22"/>
                      <w:szCs w:val="22"/>
                      <w:highlight w:val="none"/>
                    </w:rPr>
                    <w:t>N</w:t>
                  </w:r>
                </w:p>
              </w:tc>
              <w:tc>
                <w:tcPr>
                  <w:tcW w:w="726"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jc w:val="center"/>
                    <w:rPr>
                      <w:rFonts w:hAnsi="宋体"/>
                      <w:color w:val="auto"/>
                      <w:kern w:val="2"/>
                      <w:sz w:val="22"/>
                      <w:szCs w:val="22"/>
                      <w:highlight w:val="none"/>
                    </w:rPr>
                  </w:pPr>
                  <w:r>
                    <w:rPr>
                      <w:rFonts w:hAnsi="宋体"/>
                      <w:color w:val="auto"/>
                      <w:kern w:val="2"/>
                      <w:sz w:val="22"/>
                      <w:szCs w:val="22"/>
                      <w:highlight w:val="none"/>
                    </w:rPr>
                    <w:t>0.5</w:t>
                  </w:r>
                </w:p>
              </w:tc>
              <w:tc>
                <w:tcPr>
                  <w:tcW w:w="757"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jc w:val="center"/>
                    <w:rPr>
                      <w:rFonts w:hAnsi="宋体"/>
                      <w:color w:val="auto"/>
                      <w:kern w:val="2"/>
                      <w:sz w:val="22"/>
                      <w:szCs w:val="22"/>
                      <w:highlight w:val="none"/>
                    </w:rPr>
                  </w:pPr>
                  <w:r>
                    <w:rPr>
                      <w:rFonts w:hAnsi="宋体"/>
                      <w:color w:val="auto"/>
                      <w:kern w:val="2"/>
                      <w:sz w:val="22"/>
                      <w:szCs w:val="22"/>
                      <w:highlight w:val="none"/>
                    </w:rPr>
                    <w:t>15m</w:t>
                  </w:r>
                </w:p>
              </w:tc>
              <w:tc>
                <w:tcPr>
                  <w:tcW w:w="911"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jc w:val="center"/>
                    <w:rPr>
                      <w:rFonts w:hint="eastAsia" w:hAnsi="宋体" w:cs="宋体"/>
                      <w:color w:val="auto"/>
                      <w:kern w:val="2"/>
                      <w:sz w:val="22"/>
                      <w:szCs w:val="22"/>
                      <w:highlight w:val="none"/>
                    </w:rPr>
                  </w:pPr>
                  <w:r>
                    <w:rPr>
                      <w:rFonts w:hint="eastAsia" w:hAnsi="宋体" w:cs="宋体"/>
                      <w:color w:val="auto"/>
                      <w:kern w:val="2"/>
                      <w:sz w:val="22"/>
                      <w:szCs w:val="22"/>
                      <w:highlight w:val="none"/>
                    </w:rPr>
                    <w:t>常温</w:t>
                  </w:r>
                </w:p>
              </w:tc>
              <w:tc>
                <w:tcPr>
                  <w:tcW w:w="838" w:type="dxa"/>
                  <w:tcBorders>
                    <w:top w:val="single" w:color="auto" w:sz="4" w:space="0"/>
                    <w:left w:val="single" w:color="auto" w:sz="4" w:space="0"/>
                    <w:bottom w:val="single" w:color="auto" w:sz="4" w:space="0"/>
                    <w:right w:val="single" w:color="auto" w:sz="4" w:space="0"/>
                  </w:tcBorders>
                  <w:vAlign w:val="center"/>
                </w:tcPr>
                <w:p>
                  <w:pPr>
                    <w:pStyle w:val="115"/>
                    <w:spacing w:line="240" w:lineRule="auto"/>
                    <w:ind w:firstLine="0" w:firstLineChars="0"/>
                    <w:jc w:val="center"/>
                    <w:rPr>
                      <w:rFonts w:hint="eastAsia" w:hAnsi="宋体" w:cs="宋体"/>
                      <w:color w:val="auto"/>
                      <w:kern w:val="2"/>
                      <w:sz w:val="22"/>
                      <w:szCs w:val="22"/>
                      <w:highlight w:val="none"/>
                    </w:rPr>
                  </w:pPr>
                  <w:r>
                    <w:rPr>
                      <w:rFonts w:hint="eastAsia" w:hAnsi="宋体" w:cs="宋体"/>
                      <w:color w:val="auto"/>
                      <w:kern w:val="2"/>
                      <w:sz w:val="22"/>
                      <w:szCs w:val="22"/>
                      <w:highlight w:val="none"/>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1028" w:type="dxa"/>
                  <w:tcBorders>
                    <w:top w:val="single" w:color="auto" w:sz="4" w:space="0"/>
                    <w:left w:val="single" w:color="auto" w:sz="4" w:space="0"/>
                    <w:right w:val="single" w:color="auto" w:sz="4" w:space="0"/>
                  </w:tcBorders>
                  <w:vAlign w:val="center"/>
                </w:tcPr>
                <w:p>
                  <w:pPr>
                    <w:pStyle w:val="115"/>
                    <w:spacing w:line="240" w:lineRule="auto"/>
                    <w:ind w:firstLine="0" w:firstLineChars="0"/>
                    <w:jc w:val="center"/>
                    <w:rPr>
                      <w:rFonts w:hint="eastAsia" w:hAnsi="宋体" w:eastAsia="宋体"/>
                      <w:color w:val="auto"/>
                      <w:kern w:val="2"/>
                      <w:sz w:val="22"/>
                      <w:szCs w:val="22"/>
                      <w:highlight w:val="none"/>
                      <w:lang w:eastAsia="zh-CN"/>
                    </w:rPr>
                  </w:pPr>
                  <w:r>
                    <w:rPr>
                      <w:rFonts w:hAnsi="宋体"/>
                      <w:color w:val="auto"/>
                      <w:kern w:val="2"/>
                      <w:sz w:val="22"/>
                      <w:szCs w:val="22"/>
                      <w:highlight w:val="none"/>
                    </w:rPr>
                    <w:t>DA00</w:t>
                  </w:r>
                  <w:r>
                    <w:rPr>
                      <w:rFonts w:hint="eastAsia" w:hAnsi="宋体"/>
                      <w:color w:val="auto"/>
                      <w:kern w:val="2"/>
                      <w:sz w:val="22"/>
                      <w:szCs w:val="22"/>
                      <w:highlight w:val="none"/>
                      <w:lang w:val="en-US" w:eastAsia="zh-CN"/>
                    </w:rPr>
                    <w:t>2</w:t>
                  </w:r>
                </w:p>
              </w:tc>
              <w:tc>
                <w:tcPr>
                  <w:tcW w:w="89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hAnsi="宋体" w:cs="宋体"/>
                      <w:color w:val="auto"/>
                      <w:sz w:val="22"/>
                      <w:szCs w:val="22"/>
                      <w:highlight w:val="none"/>
                      <w:lang w:eastAsia="zh-CN"/>
                    </w:rPr>
                  </w:pPr>
                  <w:r>
                    <w:rPr>
                      <w:rFonts w:hint="eastAsia" w:hAnsi="宋体" w:cs="宋体"/>
                      <w:color w:val="auto"/>
                      <w:sz w:val="22"/>
                      <w:szCs w:val="22"/>
                      <w:highlight w:val="none"/>
                      <w:lang w:eastAsia="zh-CN"/>
                    </w:rPr>
                    <w:t>破碎、投料工序</w:t>
                  </w:r>
                </w:p>
              </w:tc>
              <w:tc>
                <w:tcPr>
                  <w:tcW w:w="970" w:type="dxa"/>
                  <w:tcBorders>
                    <w:top w:val="single" w:color="auto" w:sz="4" w:space="0"/>
                    <w:left w:val="single" w:color="auto" w:sz="4" w:space="0"/>
                    <w:right w:val="single" w:color="auto" w:sz="4" w:space="0"/>
                  </w:tcBorders>
                  <w:vAlign w:val="center"/>
                </w:tcPr>
                <w:p>
                  <w:pPr>
                    <w:widowControl/>
                    <w:jc w:val="center"/>
                    <w:rPr>
                      <w:rFonts w:hint="eastAsia" w:hAnsi="宋体" w:cs="宋体"/>
                      <w:color w:val="auto"/>
                      <w:sz w:val="22"/>
                      <w:szCs w:val="22"/>
                      <w:highlight w:val="none"/>
                      <w:lang w:val="en-US" w:eastAsia="zh-CN"/>
                    </w:rPr>
                  </w:pPr>
                  <w:r>
                    <w:rPr>
                      <w:rFonts w:hint="eastAsia" w:hAnsi="宋体" w:cs="宋体"/>
                      <w:color w:val="auto"/>
                      <w:sz w:val="22"/>
                      <w:szCs w:val="22"/>
                      <w:highlight w:val="none"/>
                      <w:lang w:val="en-US" w:eastAsia="zh-CN"/>
                    </w:rPr>
                    <w:t>非甲烷总烃</w:t>
                  </w:r>
                </w:p>
              </w:tc>
              <w:tc>
                <w:tcPr>
                  <w:tcW w:w="1971" w:type="dxa"/>
                  <w:tcBorders>
                    <w:top w:val="single" w:color="auto" w:sz="4" w:space="0"/>
                    <w:left w:val="single" w:color="auto" w:sz="4" w:space="0"/>
                    <w:right w:val="single" w:color="auto" w:sz="4" w:space="0"/>
                  </w:tcBorders>
                  <w:vAlign w:val="center"/>
                </w:tcPr>
                <w:p>
                  <w:pPr>
                    <w:pStyle w:val="115"/>
                    <w:spacing w:line="240" w:lineRule="auto"/>
                    <w:ind w:firstLine="0"/>
                    <w:jc w:val="center"/>
                    <w:rPr>
                      <w:rFonts w:hAnsi="宋体"/>
                      <w:color w:val="auto"/>
                      <w:kern w:val="2"/>
                      <w:sz w:val="22"/>
                      <w:szCs w:val="22"/>
                      <w:highlight w:val="none"/>
                    </w:rPr>
                  </w:pPr>
                  <w:r>
                    <w:rPr>
                      <w:rFonts w:hint="eastAsia" w:hAnsi="宋体"/>
                      <w:color w:val="auto"/>
                      <w:kern w:val="2"/>
                      <w:sz w:val="22"/>
                      <w:szCs w:val="22"/>
                      <w:highlight w:val="none"/>
                    </w:rPr>
                    <w:t>116.843342080</w:t>
                  </w:r>
                  <w:r>
                    <w:rPr>
                      <w:rFonts w:hint="eastAsia" w:hAnsi="宋体" w:cs="宋体"/>
                      <w:color w:val="auto"/>
                      <w:kern w:val="2"/>
                      <w:sz w:val="22"/>
                      <w:szCs w:val="22"/>
                      <w:highlight w:val="none"/>
                    </w:rPr>
                    <w:t>°</w:t>
                  </w:r>
                  <w:r>
                    <w:rPr>
                      <w:rFonts w:hAnsi="宋体"/>
                      <w:color w:val="auto"/>
                      <w:kern w:val="2"/>
                      <w:sz w:val="22"/>
                      <w:szCs w:val="22"/>
                      <w:highlight w:val="none"/>
                    </w:rPr>
                    <w:t>E</w:t>
                  </w:r>
                </w:p>
                <w:p>
                  <w:pPr>
                    <w:pStyle w:val="115"/>
                    <w:spacing w:line="240" w:lineRule="auto"/>
                    <w:ind w:firstLine="0" w:firstLineChars="0"/>
                    <w:jc w:val="center"/>
                    <w:rPr>
                      <w:rFonts w:hint="eastAsia" w:hAnsi="宋体"/>
                      <w:color w:val="auto"/>
                      <w:kern w:val="2"/>
                      <w:sz w:val="22"/>
                      <w:szCs w:val="22"/>
                      <w:highlight w:val="none"/>
                    </w:rPr>
                  </w:pPr>
                  <w:r>
                    <w:rPr>
                      <w:rFonts w:hint="eastAsia" w:hAnsi="宋体"/>
                      <w:color w:val="auto"/>
                      <w:kern w:val="2"/>
                      <w:sz w:val="22"/>
                      <w:szCs w:val="22"/>
                      <w:highlight w:val="none"/>
                    </w:rPr>
                    <w:t>33.811975240</w:t>
                  </w:r>
                  <w:r>
                    <w:rPr>
                      <w:rFonts w:hint="eastAsia" w:hAnsi="宋体" w:cs="宋体"/>
                      <w:color w:val="auto"/>
                      <w:kern w:val="2"/>
                      <w:sz w:val="22"/>
                      <w:szCs w:val="22"/>
                      <w:highlight w:val="none"/>
                    </w:rPr>
                    <w:t>°</w:t>
                  </w:r>
                  <w:r>
                    <w:rPr>
                      <w:rFonts w:hAnsi="宋体"/>
                      <w:color w:val="auto"/>
                      <w:kern w:val="2"/>
                      <w:sz w:val="22"/>
                      <w:szCs w:val="22"/>
                      <w:highlight w:val="none"/>
                    </w:rPr>
                    <w:t>N</w:t>
                  </w:r>
                </w:p>
              </w:tc>
              <w:tc>
                <w:tcPr>
                  <w:tcW w:w="726" w:type="dxa"/>
                  <w:tcBorders>
                    <w:top w:val="single" w:color="auto" w:sz="4" w:space="0"/>
                    <w:left w:val="single" w:color="auto" w:sz="4" w:space="0"/>
                    <w:right w:val="single" w:color="auto" w:sz="4" w:space="0"/>
                  </w:tcBorders>
                  <w:vAlign w:val="center"/>
                </w:tcPr>
                <w:p>
                  <w:pPr>
                    <w:pStyle w:val="115"/>
                    <w:spacing w:line="240" w:lineRule="auto"/>
                    <w:ind w:firstLine="0" w:firstLineChars="0"/>
                    <w:jc w:val="center"/>
                    <w:rPr>
                      <w:rFonts w:hAnsi="宋体"/>
                      <w:color w:val="auto"/>
                      <w:kern w:val="2"/>
                      <w:sz w:val="22"/>
                      <w:szCs w:val="22"/>
                      <w:highlight w:val="none"/>
                    </w:rPr>
                  </w:pPr>
                  <w:r>
                    <w:rPr>
                      <w:rFonts w:hAnsi="宋体"/>
                      <w:color w:val="auto"/>
                      <w:kern w:val="2"/>
                      <w:sz w:val="22"/>
                      <w:szCs w:val="22"/>
                      <w:highlight w:val="none"/>
                    </w:rPr>
                    <w:t>0.5</w:t>
                  </w:r>
                </w:p>
              </w:tc>
              <w:tc>
                <w:tcPr>
                  <w:tcW w:w="757" w:type="dxa"/>
                  <w:tcBorders>
                    <w:top w:val="single" w:color="auto" w:sz="4" w:space="0"/>
                    <w:left w:val="single" w:color="auto" w:sz="4" w:space="0"/>
                    <w:right w:val="single" w:color="auto" w:sz="4" w:space="0"/>
                  </w:tcBorders>
                  <w:vAlign w:val="center"/>
                </w:tcPr>
                <w:p>
                  <w:pPr>
                    <w:pStyle w:val="115"/>
                    <w:spacing w:line="240" w:lineRule="auto"/>
                    <w:ind w:firstLine="0" w:firstLineChars="0"/>
                    <w:jc w:val="center"/>
                    <w:rPr>
                      <w:rFonts w:hAnsi="宋体"/>
                      <w:color w:val="auto"/>
                      <w:kern w:val="2"/>
                      <w:sz w:val="22"/>
                      <w:szCs w:val="22"/>
                      <w:highlight w:val="none"/>
                    </w:rPr>
                  </w:pPr>
                  <w:r>
                    <w:rPr>
                      <w:rFonts w:hAnsi="宋体"/>
                      <w:color w:val="auto"/>
                      <w:kern w:val="2"/>
                      <w:sz w:val="22"/>
                      <w:szCs w:val="22"/>
                      <w:highlight w:val="none"/>
                    </w:rPr>
                    <w:t>15m</w:t>
                  </w:r>
                </w:p>
              </w:tc>
              <w:tc>
                <w:tcPr>
                  <w:tcW w:w="911" w:type="dxa"/>
                  <w:tcBorders>
                    <w:top w:val="single" w:color="auto" w:sz="4" w:space="0"/>
                    <w:left w:val="single" w:color="auto" w:sz="4" w:space="0"/>
                    <w:right w:val="single" w:color="auto" w:sz="4" w:space="0"/>
                  </w:tcBorders>
                  <w:vAlign w:val="center"/>
                </w:tcPr>
                <w:p>
                  <w:pPr>
                    <w:pStyle w:val="115"/>
                    <w:spacing w:line="240" w:lineRule="auto"/>
                    <w:ind w:firstLine="0" w:firstLineChars="0"/>
                    <w:jc w:val="center"/>
                    <w:rPr>
                      <w:rFonts w:hint="eastAsia" w:hAnsi="宋体" w:cs="宋体"/>
                      <w:color w:val="auto"/>
                      <w:kern w:val="2"/>
                      <w:sz w:val="22"/>
                      <w:szCs w:val="22"/>
                      <w:highlight w:val="none"/>
                    </w:rPr>
                  </w:pPr>
                  <w:r>
                    <w:rPr>
                      <w:rFonts w:hint="eastAsia" w:hAnsi="宋体" w:cs="宋体"/>
                      <w:color w:val="auto"/>
                      <w:kern w:val="2"/>
                      <w:sz w:val="22"/>
                      <w:szCs w:val="22"/>
                      <w:highlight w:val="none"/>
                    </w:rPr>
                    <w:t>常温</w:t>
                  </w:r>
                </w:p>
              </w:tc>
              <w:tc>
                <w:tcPr>
                  <w:tcW w:w="838" w:type="dxa"/>
                  <w:tcBorders>
                    <w:top w:val="single" w:color="auto" w:sz="4" w:space="0"/>
                    <w:left w:val="single" w:color="auto" w:sz="4" w:space="0"/>
                    <w:right w:val="single" w:color="auto" w:sz="4" w:space="0"/>
                  </w:tcBorders>
                  <w:vAlign w:val="center"/>
                </w:tcPr>
                <w:p>
                  <w:pPr>
                    <w:pStyle w:val="115"/>
                    <w:spacing w:line="240" w:lineRule="auto"/>
                    <w:ind w:firstLine="0" w:firstLineChars="0"/>
                    <w:jc w:val="center"/>
                    <w:rPr>
                      <w:rFonts w:hint="eastAsia" w:hAnsi="宋体" w:cs="宋体"/>
                      <w:color w:val="auto"/>
                      <w:kern w:val="2"/>
                      <w:sz w:val="22"/>
                      <w:szCs w:val="22"/>
                      <w:highlight w:val="none"/>
                    </w:rPr>
                  </w:pPr>
                  <w:r>
                    <w:rPr>
                      <w:rFonts w:hint="eastAsia" w:hAnsi="宋体" w:cs="宋体"/>
                      <w:color w:val="auto"/>
                      <w:kern w:val="2"/>
                      <w:sz w:val="22"/>
                      <w:szCs w:val="22"/>
                      <w:highlight w:val="none"/>
                    </w:rPr>
                    <w:t>一般排放口</w:t>
                  </w:r>
                </w:p>
              </w:tc>
            </w:tr>
          </w:tbl>
          <w:p>
            <w:pPr>
              <w:adjustRightInd w:val="0"/>
              <w:snapToGrid w:val="0"/>
              <w:spacing w:beforeLines="100" w:line="360" w:lineRule="auto"/>
              <w:rPr>
                <w:b w:val="0"/>
                <w:bCs w:val="0"/>
                <w:color w:val="auto"/>
                <w:sz w:val="24"/>
                <w:szCs w:val="24"/>
                <w:highlight w:val="none"/>
              </w:rPr>
            </w:pPr>
            <w:r>
              <w:rPr>
                <w:rFonts w:hint="eastAsia" w:cs="宋体"/>
                <w:b w:val="0"/>
                <w:bCs w:val="0"/>
                <w:color w:val="auto"/>
                <w:sz w:val="24"/>
                <w:szCs w:val="24"/>
                <w:highlight w:val="none"/>
                <w:lang w:val="en-US" w:eastAsia="zh-CN"/>
              </w:rPr>
              <w:t xml:space="preserve">    2.2</w:t>
            </w:r>
            <w:r>
              <w:rPr>
                <w:rFonts w:hint="eastAsia" w:cs="宋体"/>
                <w:b w:val="0"/>
                <w:bCs w:val="0"/>
                <w:color w:val="auto"/>
                <w:sz w:val="24"/>
                <w:szCs w:val="24"/>
                <w:highlight w:val="none"/>
              </w:rPr>
              <w:t>废气治理措施可行性分析</w:t>
            </w:r>
          </w:p>
          <w:p>
            <w:pPr>
              <w:keepNext w:val="0"/>
              <w:keepLines w:val="0"/>
              <w:widowControl/>
              <w:suppressLineNumbers w:val="0"/>
              <w:spacing w:line="360" w:lineRule="auto"/>
              <w:ind w:firstLine="480" w:firstLineChars="200"/>
              <w:jc w:val="both"/>
              <w:rPr>
                <w:rFonts w:hint="eastAsia" w:cs="宋体"/>
                <w:color w:val="auto"/>
                <w:sz w:val="24"/>
                <w:szCs w:val="24"/>
                <w:highlight w:val="none"/>
                <w:lang w:eastAsia="zh-CN"/>
              </w:rPr>
            </w:pPr>
            <w:r>
              <w:rPr>
                <w:rFonts w:hint="eastAsia" w:eastAsia="宋体"/>
                <w:bCs/>
                <w:color w:val="auto"/>
                <w:sz w:val="24"/>
                <w:szCs w:val="24"/>
                <w:highlight w:val="none"/>
                <w:lang w:val="en-US" w:eastAsia="zh-CN"/>
              </w:rPr>
              <w:t>参照</w:t>
            </w:r>
            <w:r>
              <w:rPr>
                <w:rStyle w:val="80"/>
                <w:rFonts w:hint="eastAsia" w:cs="宋体"/>
                <w:b w:val="0"/>
                <w:bCs w:val="0"/>
                <w:color w:val="auto"/>
                <w:highlight w:val="none"/>
              </w:rPr>
              <w:t>《</w:t>
            </w:r>
            <w:r>
              <w:rPr>
                <w:rFonts w:ascii="宋体" w:hAnsi="宋体" w:eastAsia="宋体" w:cs="宋体"/>
                <w:color w:val="auto"/>
                <w:sz w:val="24"/>
                <w:szCs w:val="24"/>
                <w:highlight w:val="none"/>
              </w:rPr>
              <w:t>排污许可证申请与核发技术规范 橡胶和塑料制品工业</w:t>
            </w:r>
            <w:r>
              <w:rPr>
                <w:rStyle w:val="80"/>
                <w:rFonts w:hint="eastAsia" w:cs="宋体"/>
                <w:b w:val="0"/>
                <w:bCs w:val="0"/>
                <w:color w:val="auto"/>
                <w:highlight w:val="none"/>
              </w:rPr>
              <w:t>》</w:t>
            </w:r>
            <w:r>
              <w:rPr>
                <w:rStyle w:val="80"/>
                <w:rFonts w:hint="eastAsia" w:cs="宋体"/>
                <w:b w:val="0"/>
                <w:bCs w:val="0"/>
                <w:color w:val="auto"/>
                <w:highlight w:val="none"/>
                <w:lang w:val="en-US"/>
              </w:rPr>
              <w:t xml:space="preserve"> （</w:t>
            </w:r>
            <w:r>
              <w:rPr>
                <w:rFonts w:ascii="宋体" w:hAnsi="宋体" w:eastAsia="宋体" w:cs="宋体"/>
                <w:color w:val="auto"/>
                <w:sz w:val="24"/>
                <w:szCs w:val="24"/>
                <w:highlight w:val="none"/>
              </w:rPr>
              <w:t>HJ1122—2020</w:t>
            </w:r>
            <w:r>
              <w:rPr>
                <w:rStyle w:val="80"/>
                <w:rFonts w:hint="eastAsia" w:cs="宋体"/>
                <w:b w:val="0"/>
                <w:bCs w:val="0"/>
                <w:color w:val="auto"/>
                <w:highlight w:val="none"/>
                <w:lang w:val="en-US"/>
              </w:rPr>
              <w:t>）</w:t>
            </w:r>
            <w:r>
              <w:rPr>
                <w:rFonts w:hint="eastAsia" w:eastAsia="宋体" w:cs="宋体"/>
                <w:color w:val="auto"/>
                <w:sz w:val="24"/>
                <w:szCs w:val="24"/>
                <w:highlight w:val="none"/>
                <w:lang w:val="en-US" w:eastAsia="zh-CN"/>
              </w:rPr>
              <w:t>中</w:t>
            </w:r>
            <w:r>
              <w:rPr>
                <w:rFonts w:hint="eastAsia" w:eastAsia="宋体" w:cs="宋体"/>
                <w:color w:val="auto"/>
                <w:sz w:val="24"/>
                <w:szCs w:val="24"/>
                <w:highlight w:val="none"/>
                <w:lang w:val="en-GB" w:eastAsia="zh-CN"/>
              </w:rPr>
              <w:t>“</w:t>
            </w:r>
            <w:r>
              <w:rPr>
                <w:rFonts w:hint="eastAsia" w:cs="宋体"/>
                <w:color w:val="auto"/>
                <w:sz w:val="24"/>
                <w:szCs w:val="24"/>
                <w:highlight w:val="none"/>
                <w:lang w:val="en-GB" w:eastAsia="zh-CN"/>
              </w:rPr>
              <w:t>废气污染防治可行性技术</w:t>
            </w:r>
            <w:r>
              <w:rPr>
                <w:rFonts w:hint="eastAsia" w:eastAsia="宋体" w:cs="宋体"/>
                <w:color w:val="auto"/>
                <w:sz w:val="24"/>
                <w:szCs w:val="24"/>
                <w:highlight w:val="none"/>
                <w:lang w:val="en-GB" w:eastAsia="zh-CN"/>
              </w:rPr>
              <w:t>”</w:t>
            </w:r>
            <w:r>
              <w:rPr>
                <w:rFonts w:hint="eastAsia" w:eastAsia="宋体" w:cs="宋体"/>
                <w:color w:val="auto"/>
                <w:sz w:val="24"/>
                <w:szCs w:val="24"/>
                <w:highlight w:val="none"/>
                <w:lang w:val="en-US" w:eastAsia="zh-CN"/>
              </w:rPr>
              <w:t>，可知本</w:t>
            </w:r>
            <w:r>
              <w:rPr>
                <w:rFonts w:hint="eastAsia" w:cs="宋体"/>
                <w:color w:val="auto"/>
                <w:sz w:val="24"/>
                <w:szCs w:val="24"/>
                <w:highlight w:val="none"/>
                <w:lang w:val="en-US" w:eastAsia="zh-CN"/>
              </w:rPr>
              <w:t>项目的热熔、挤出</w:t>
            </w:r>
            <w:r>
              <w:rPr>
                <w:rFonts w:hint="eastAsia" w:cs="宋体"/>
                <w:color w:val="auto"/>
                <w:sz w:val="24"/>
                <w:szCs w:val="24"/>
                <w:highlight w:val="none"/>
                <w:lang w:eastAsia="zh-CN"/>
              </w:rPr>
              <w:t>工序</w:t>
            </w:r>
            <w:r>
              <w:rPr>
                <w:rFonts w:hint="eastAsia" w:cs="宋体"/>
                <w:color w:val="auto"/>
                <w:sz w:val="24"/>
                <w:szCs w:val="24"/>
                <w:highlight w:val="none"/>
                <w:lang w:val="en-US" w:eastAsia="zh-CN"/>
              </w:rPr>
              <w:t>等工序的治理技术与其显示的治理技术基本一致，表明处理技术可行。</w:t>
            </w:r>
          </w:p>
          <w:p>
            <w:pPr>
              <w:autoSpaceDE w:val="0"/>
              <w:autoSpaceDN w:val="0"/>
              <w:adjustRightInd w:val="0"/>
              <w:snapToGrid w:val="0"/>
              <w:spacing w:line="360" w:lineRule="auto"/>
              <w:ind w:firstLine="440" w:firstLineChars="200"/>
              <w:jc w:val="center"/>
              <w:rPr>
                <w:rFonts w:hint="eastAsia" w:cs="Times New Roman"/>
                <w:color w:val="auto"/>
                <w:kern w:val="24"/>
                <w:sz w:val="24"/>
                <w:highlight w:val="none"/>
                <w:lang w:val="en-US" w:eastAsia="zh-CN"/>
              </w:rPr>
            </w:pPr>
            <w:r>
              <w:rPr>
                <w:rFonts w:hint="eastAsia"/>
                <w:b w:val="0"/>
                <w:bCs w:val="0"/>
                <w:color w:val="auto"/>
                <w:sz w:val="22"/>
                <w:szCs w:val="22"/>
                <w:highlight w:val="none"/>
                <w:lang w:val="en-US" w:eastAsia="zh-CN"/>
              </w:rPr>
              <w:t>表6-1 污染防治可行技术对比分析</w:t>
            </w:r>
          </w:p>
          <w:tbl>
            <w:tblPr>
              <w:tblStyle w:val="36"/>
              <w:tblW w:w="81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1"/>
              <w:gridCol w:w="979"/>
              <w:gridCol w:w="915"/>
              <w:gridCol w:w="1137"/>
              <w:gridCol w:w="1514"/>
              <w:gridCol w:w="2295"/>
              <w:gridCol w:w="6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jc w:val="center"/>
              </w:trPr>
              <w:tc>
                <w:tcPr>
                  <w:tcW w:w="721" w:type="dxa"/>
                  <w:vAlign w:val="center"/>
                </w:tcPr>
                <w:p>
                  <w:pPr>
                    <w:bidi w:val="0"/>
                    <w:jc w:val="center"/>
                    <w:rPr>
                      <w:rFonts w:hint="default"/>
                      <w:color w:val="auto"/>
                      <w:highlight w:val="none"/>
                      <w:lang w:val="en-US" w:eastAsia="zh-CN"/>
                    </w:rPr>
                  </w:pPr>
                  <w:r>
                    <w:rPr>
                      <w:rFonts w:hint="default"/>
                      <w:color w:val="auto"/>
                      <w:highlight w:val="none"/>
                      <w:lang w:val="en-US" w:eastAsia="zh-CN"/>
                    </w:rPr>
                    <w:t>排污单位类别</w:t>
                  </w:r>
                </w:p>
              </w:tc>
              <w:tc>
                <w:tcPr>
                  <w:tcW w:w="979" w:type="dxa"/>
                  <w:vAlign w:val="center"/>
                </w:tcPr>
                <w:p>
                  <w:pPr>
                    <w:bidi w:val="0"/>
                    <w:jc w:val="center"/>
                    <w:rPr>
                      <w:rFonts w:hint="default"/>
                      <w:color w:val="auto"/>
                      <w:highlight w:val="none"/>
                      <w:lang w:val="en-US" w:eastAsia="zh-CN"/>
                    </w:rPr>
                  </w:pPr>
                  <w:r>
                    <w:rPr>
                      <w:rFonts w:hint="eastAsia"/>
                      <w:color w:val="auto"/>
                      <w:highlight w:val="none"/>
                      <w:lang w:val="en-US" w:eastAsia="zh-CN"/>
                    </w:rPr>
                    <w:t>生产单元</w:t>
                  </w:r>
                </w:p>
              </w:tc>
              <w:tc>
                <w:tcPr>
                  <w:tcW w:w="915" w:type="dxa"/>
                  <w:vAlign w:val="center"/>
                </w:tcPr>
                <w:p>
                  <w:pPr>
                    <w:pStyle w:val="115"/>
                    <w:spacing w:line="240" w:lineRule="auto"/>
                    <w:ind w:firstLine="0" w:firstLineChars="0"/>
                    <w:jc w:val="center"/>
                    <w:rPr>
                      <w:rFonts w:hint="eastAsia"/>
                      <w:color w:val="auto"/>
                      <w:highlight w:val="none"/>
                      <w:lang w:val="en-US" w:eastAsia="zh-CN"/>
                    </w:rPr>
                  </w:pPr>
                  <w:r>
                    <w:rPr>
                      <w:rFonts w:hint="eastAsia" w:hAnsi="宋体" w:cs="宋体"/>
                      <w:color w:val="auto"/>
                      <w:kern w:val="2"/>
                      <w:sz w:val="22"/>
                      <w:szCs w:val="22"/>
                      <w:highlight w:val="none"/>
                    </w:rPr>
                    <w:t>污染物</w:t>
                  </w:r>
                </w:p>
              </w:tc>
              <w:tc>
                <w:tcPr>
                  <w:tcW w:w="1137" w:type="dxa"/>
                  <w:vAlign w:val="center"/>
                </w:tcPr>
                <w:p>
                  <w:pPr>
                    <w:bidi w:val="0"/>
                    <w:jc w:val="center"/>
                    <w:rPr>
                      <w:rFonts w:hint="eastAsia"/>
                      <w:color w:val="auto"/>
                      <w:highlight w:val="none"/>
                      <w:lang w:val="en-US" w:eastAsia="zh-CN"/>
                    </w:rPr>
                  </w:pPr>
                  <w:r>
                    <w:rPr>
                      <w:rFonts w:hint="eastAsia"/>
                      <w:color w:val="auto"/>
                      <w:highlight w:val="none"/>
                      <w:lang w:val="en-US" w:eastAsia="zh-CN"/>
                    </w:rPr>
                    <w:t>废气产污</w:t>
                  </w:r>
                </w:p>
                <w:p>
                  <w:pPr>
                    <w:bidi w:val="0"/>
                    <w:jc w:val="center"/>
                    <w:rPr>
                      <w:rFonts w:hint="eastAsia"/>
                      <w:color w:val="auto"/>
                      <w:highlight w:val="none"/>
                      <w:lang w:val="en-US" w:eastAsia="zh-CN"/>
                    </w:rPr>
                  </w:pPr>
                  <w:r>
                    <w:rPr>
                      <w:rFonts w:hint="eastAsia"/>
                      <w:color w:val="auto"/>
                      <w:highlight w:val="none"/>
                      <w:lang w:val="en-US" w:eastAsia="zh-CN"/>
                    </w:rPr>
                    <w:t>环节</w:t>
                  </w:r>
                </w:p>
              </w:tc>
              <w:tc>
                <w:tcPr>
                  <w:tcW w:w="1514" w:type="dxa"/>
                  <w:vAlign w:val="center"/>
                </w:tcPr>
                <w:p>
                  <w:pPr>
                    <w:bidi w:val="0"/>
                    <w:jc w:val="center"/>
                    <w:rPr>
                      <w:rFonts w:hint="default"/>
                      <w:color w:val="auto"/>
                      <w:highlight w:val="none"/>
                      <w:lang w:val="en-US" w:eastAsia="zh-CN"/>
                    </w:rPr>
                  </w:pPr>
                  <w:r>
                    <w:rPr>
                      <w:rFonts w:hint="eastAsia"/>
                      <w:color w:val="auto"/>
                      <w:highlight w:val="none"/>
                      <w:lang w:val="en-US" w:eastAsia="zh-CN"/>
                    </w:rPr>
                    <w:t>可行技术</w:t>
                  </w:r>
                </w:p>
              </w:tc>
              <w:tc>
                <w:tcPr>
                  <w:tcW w:w="2295" w:type="dxa"/>
                  <w:vAlign w:val="center"/>
                </w:tcPr>
                <w:p>
                  <w:pPr>
                    <w:bidi w:val="0"/>
                    <w:jc w:val="center"/>
                    <w:rPr>
                      <w:rFonts w:hint="default"/>
                      <w:color w:val="auto"/>
                      <w:highlight w:val="none"/>
                      <w:lang w:val="en-US" w:eastAsia="zh-CN"/>
                    </w:rPr>
                  </w:pPr>
                  <w:r>
                    <w:rPr>
                      <w:rFonts w:hint="default"/>
                      <w:color w:val="auto"/>
                      <w:highlight w:val="none"/>
                      <w:lang w:val="en-US" w:eastAsia="zh-CN"/>
                    </w:rPr>
                    <w:t>本项目</w:t>
                  </w:r>
                  <w:r>
                    <w:rPr>
                      <w:rFonts w:hint="eastAsia"/>
                      <w:color w:val="auto"/>
                      <w:highlight w:val="none"/>
                      <w:lang w:val="en-US" w:eastAsia="zh-CN"/>
                    </w:rPr>
                    <w:t>内容</w:t>
                  </w:r>
                </w:p>
              </w:tc>
              <w:tc>
                <w:tcPr>
                  <w:tcW w:w="615" w:type="dxa"/>
                  <w:vAlign w:val="center"/>
                </w:tcPr>
                <w:p>
                  <w:pPr>
                    <w:bidi w:val="0"/>
                    <w:jc w:val="center"/>
                    <w:rPr>
                      <w:rFonts w:hint="eastAsia"/>
                      <w:color w:val="auto"/>
                      <w:highlight w:val="none"/>
                      <w:lang w:val="en-US" w:eastAsia="zh-CN"/>
                    </w:rPr>
                  </w:pPr>
                  <w:r>
                    <w:rPr>
                      <w:rFonts w:hint="eastAsia"/>
                      <w:color w:val="auto"/>
                      <w:highlight w:val="none"/>
                      <w:lang w:val="en-US" w:eastAsia="zh-CN"/>
                    </w:rPr>
                    <w:t>是否</w:t>
                  </w:r>
                </w:p>
                <w:p>
                  <w:pPr>
                    <w:bidi w:val="0"/>
                    <w:jc w:val="center"/>
                    <w:rPr>
                      <w:rFonts w:hint="default"/>
                      <w:color w:val="auto"/>
                      <w:highlight w:val="none"/>
                      <w:lang w:val="en-US" w:eastAsia="zh-CN"/>
                    </w:rPr>
                  </w:pPr>
                  <w:r>
                    <w:rPr>
                      <w:rFonts w:hint="eastAsia"/>
                      <w:color w:val="auto"/>
                      <w:highlight w:val="none"/>
                      <w:lang w:val="en-US" w:eastAsia="zh-CN"/>
                    </w:rPr>
                    <w:t>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jc w:val="center"/>
              </w:trPr>
              <w:tc>
                <w:tcPr>
                  <w:tcW w:w="721" w:type="dxa"/>
                  <w:vMerge w:val="restart"/>
                  <w:vAlign w:val="center"/>
                </w:tcPr>
                <w:p>
                  <w:pPr>
                    <w:bidi w:val="0"/>
                    <w:jc w:val="center"/>
                    <w:rPr>
                      <w:rFonts w:hint="default"/>
                      <w:color w:val="auto"/>
                      <w:highlight w:val="none"/>
                      <w:lang w:val="en-US" w:eastAsia="zh-CN"/>
                    </w:rPr>
                  </w:pPr>
                  <w:r>
                    <w:rPr>
                      <w:rFonts w:hint="default"/>
                      <w:color w:val="auto"/>
                      <w:highlight w:val="none"/>
                      <w:lang w:val="en-US" w:eastAsia="zh-CN"/>
                    </w:rPr>
                    <w:t>橡胶和塑料制品工业</w:t>
                  </w:r>
                </w:p>
              </w:tc>
              <w:tc>
                <w:tcPr>
                  <w:tcW w:w="979" w:type="dxa"/>
                  <w:vAlign w:val="center"/>
                </w:tcPr>
                <w:p>
                  <w:pPr>
                    <w:bidi w:val="0"/>
                    <w:jc w:val="center"/>
                    <w:rPr>
                      <w:rFonts w:hint="default"/>
                      <w:color w:val="auto"/>
                      <w:highlight w:val="none"/>
                      <w:lang w:val="en-US" w:eastAsia="zh-CN"/>
                    </w:rPr>
                  </w:pPr>
                  <w:r>
                    <w:rPr>
                      <w:rFonts w:hint="eastAsia"/>
                      <w:color w:val="auto"/>
                      <w:highlight w:val="none"/>
                      <w:lang w:val="en-US" w:eastAsia="zh-CN"/>
                    </w:rPr>
                    <w:t>热熔、挤出工序</w:t>
                  </w:r>
                </w:p>
              </w:tc>
              <w:tc>
                <w:tcPr>
                  <w:tcW w:w="915" w:type="dxa"/>
                  <w:vAlign w:val="center"/>
                </w:tcPr>
                <w:p>
                  <w:pPr>
                    <w:widowControl/>
                    <w:jc w:val="center"/>
                    <w:rPr>
                      <w:rFonts w:hint="eastAsia"/>
                      <w:color w:val="auto"/>
                      <w:highlight w:val="none"/>
                      <w:lang w:val="en-US" w:eastAsia="zh-CN"/>
                    </w:rPr>
                  </w:pPr>
                  <w:r>
                    <w:rPr>
                      <w:rFonts w:hint="eastAsia" w:hAnsi="宋体" w:cs="宋体"/>
                      <w:color w:val="auto"/>
                      <w:sz w:val="22"/>
                      <w:szCs w:val="22"/>
                      <w:highlight w:val="none"/>
                      <w:lang w:val="en-US" w:eastAsia="zh-CN"/>
                    </w:rPr>
                    <w:t>非甲烷总烃</w:t>
                  </w:r>
                </w:p>
              </w:tc>
              <w:tc>
                <w:tcPr>
                  <w:tcW w:w="1137" w:type="dxa"/>
                  <w:vAlign w:val="center"/>
                </w:tcPr>
                <w:p>
                  <w:pPr>
                    <w:bidi w:val="0"/>
                    <w:jc w:val="center"/>
                    <w:rPr>
                      <w:rFonts w:hint="default"/>
                      <w:color w:val="auto"/>
                      <w:highlight w:val="none"/>
                      <w:lang w:val="en-US" w:eastAsia="zh-CN"/>
                    </w:rPr>
                  </w:pPr>
                  <w:r>
                    <w:rPr>
                      <w:rFonts w:hint="eastAsia"/>
                      <w:color w:val="auto"/>
                      <w:highlight w:val="none"/>
                      <w:lang w:val="en-US" w:eastAsia="zh-CN"/>
                    </w:rPr>
                    <w:t>热熔、挤出工序产生的废气</w:t>
                  </w:r>
                </w:p>
              </w:tc>
              <w:tc>
                <w:tcPr>
                  <w:tcW w:w="1514" w:type="dxa"/>
                  <w:vAlign w:val="center"/>
                </w:tcPr>
                <w:p>
                  <w:pPr>
                    <w:bidi w:val="0"/>
                    <w:jc w:val="center"/>
                    <w:rPr>
                      <w:rFonts w:hint="default"/>
                      <w:color w:val="auto"/>
                      <w:highlight w:val="none"/>
                      <w:lang w:val="en-US" w:eastAsia="zh-CN"/>
                    </w:rPr>
                  </w:pPr>
                  <w:r>
                    <w:rPr>
                      <w:rFonts w:hint="eastAsia"/>
                      <w:color w:val="auto"/>
                      <w:highlight w:val="none"/>
                      <w:lang w:val="en-US" w:eastAsia="zh-CN"/>
                    </w:rPr>
                    <w:t>喷淋、吸附、吸附浓缩+热力燃烧/催化燃烧</w:t>
                  </w:r>
                </w:p>
              </w:tc>
              <w:tc>
                <w:tcPr>
                  <w:tcW w:w="2295" w:type="dxa"/>
                  <w:vAlign w:val="center"/>
                </w:tcPr>
                <w:p>
                  <w:pPr>
                    <w:bidi w:val="0"/>
                    <w:jc w:val="center"/>
                    <w:rPr>
                      <w:rFonts w:hint="default"/>
                      <w:color w:val="auto"/>
                      <w:highlight w:val="none"/>
                      <w:lang w:val="en-US" w:eastAsia="zh-CN"/>
                    </w:rPr>
                  </w:pPr>
                  <w:r>
                    <w:rPr>
                      <w:rFonts w:hint="eastAsia"/>
                      <w:color w:val="auto"/>
                      <w:highlight w:val="none"/>
                      <w:lang w:val="en-US" w:eastAsia="zh-CN"/>
                    </w:rPr>
                    <w:t>集气罩+活性炭吸附/脱附催化燃烧装置+15米高</w:t>
                  </w:r>
                  <w:r>
                    <w:rPr>
                      <w:rFonts w:hint="default"/>
                      <w:color w:val="auto"/>
                      <w:highlight w:val="none"/>
                      <w:lang w:val="en-US" w:eastAsia="zh-CN"/>
                    </w:rPr>
                    <w:t>排气筒排放</w:t>
                  </w:r>
                </w:p>
              </w:tc>
              <w:tc>
                <w:tcPr>
                  <w:tcW w:w="615" w:type="dxa"/>
                  <w:vAlign w:val="center"/>
                </w:tcPr>
                <w:p>
                  <w:pPr>
                    <w:bidi w:val="0"/>
                    <w:jc w:val="center"/>
                    <w:rPr>
                      <w:rFonts w:hint="eastAsia"/>
                      <w:color w:val="auto"/>
                      <w:highlight w:val="none"/>
                      <w:lang w:val="en-US" w:eastAsia="zh-CN"/>
                    </w:rPr>
                  </w:pPr>
                  <w:r>
                    <w:rPr>
                      <w:rFonts w:hint="eastAsia"/>
                      <w:color w:val="auto"/>
                      <w:highlight w:val="none"/>
                      <w:lang w:val="en-US" w:eastAsia="zh-CN"/>
                    </w:rPr>
                    <w:t>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3" w:hRule="atLeast"/>
                <w:jc w:val="center"/>
              </w:trPr>
              <w:tc>
                <w:tcPr>
                  <w:tcW w:w="721" w:type="dxa"/>
                  <w:vMerge w:val="continue"/>
                  <w:vAlign w:val="center"/>
                </w:tcPr>
                <w:p>
                  <w:pPr>
                    <w:bidi w:val="0"/>
                    <w:jc w:val="center"/>
                    <w:rPr>
                      <w:rFonts w:hint="default"/>
                      <w:color w:val="auto"/>
                      <w:highlight w:val="none"/>
                      <w:lang w:val="en-US" w:eastAsia="zh-CN"/>
                    </w:rPr>
                  </w:pPr>
                </w:p>
              </w:tc>
              <w:tc>
                <w:tcPr>
                  <w:tcW w:w="979" w:type="dxa"/>
                  <w:vAlign w:val="center"/>
                </w:tcPr>
                <w:p>
                  <w:pPr>
                    <w:bidi w:val="0"/>
                    <w:jc w:val="center"/>
                    <w:rPr>
                      <w:rFonts w:hint="eastAsia"/>
                      <w:color w:val="auto"/>
                      <w:highlight w:val="none"/>
                      <w:lang w:val="en-US" w:eastAsia="zh-CN"/>
                    </w:rPr>
                  </w:pPr>
                  <w:r>
                    <w:rPr>
                      <w:rFonts w:hint="eastAsia"/>
                      <w:color w:val="auto"/>
                      <w:highlight w:val="none"/>
                      <w:lang w:val="en-US" w:eastAsia="zh-CN"/>
                    </w:rPr>
                    <w:t>混料</w:t>
                  </w:r>
                </w:p>
              </w:tc>
              <w:tc>
                <w:tcPr>
                  <w:tcW w:w="915" w:type="dxa"/>
                  <w:vAlign w:val="center"/>
                </w:tcPr>
                <w:p>
                  <w:pPr>
                    <w:widowControl/>
                    <w:jc w:val="center"/>
                    <w:rPr>
                      <w:rFonts w:hint="eastAsia" w:hAnsi="宋体" w:cs="宋体"/>
                      <w:color w:val="auto"/>
                      <w:sz w:val="22"/>
                      <w:szCs w:val="22"/>
                      <w:highlight w:val="none"/>
                      <w:lang w:val="en-US" w:eastAsia="zh-CN"/>
                    </w:rPr>
                  </w:pPr>
                  <w:r>
                    <w:rPr>
                      <w:rFonts w:hint="eastAsia" w:hAnsi="宋体" w:cs="宋体"/>
                      <w:color w:val="auto"/>
                      <w:sz w:val="22"/>
                      <w:szCs w:val="22"/>
                      <w:highlight w:val="none"/>
                      <w:lang w:val="en-US" w:eastAsia="zh-CN"/>
                    </w:rPr>
                    <w:t>颗粒物</w:t>
                  </w:r>
                </w:p>
              </w:tc>
              <w:tc>
                <w:tcPr>
                  <w:tcW w:w="1137" w:type="dxa"/>
                  <w:vAlign w:val="center"/>
                </w:tcPr>
                <w:p>
                  <w:pPr>
                    <w:bidi w:val="0"/>
                    <w:jc w:val="center"/>
                    <w:rPr>
                      <w:rFonts w:hint="eastAsia"/>
                      <w:color w:val="auto"/>
                      <w:highlight w:val="none"/>
                      <w:lang w:val="en-US" w:eastAsia="zh-CN"/>
                    </w:rPr>
                  </w:pPr>
                  <w:r>
                    <w:rPr>
                      <w:rFonts w:hint="eastAsia"/>
                      <w:color w:val="auto"/>
                      <w:highlight w:val="none"/>
                      <w:lang w:val="en-US" w:eastAsia="zh-CN"/>
                    </w:rPr>
                    <w:t>破碎、投料粉尘</w:t>
                  </w:r>
                </w:p>
              </w:tc>
              <w:tc>
                <w:tcPr>
                  <w:tcW w:w="1514" w:type="dxa"/>
                  <w:vAlign w:val="center"/>
                </w:tcPr>
                <w:p>
                  <w:pPr>
                    <w:bidi w:val="0"/>
                    <w:jc w:val="center"/>
                    <w:rPr>
                      <w:rFonts w:hint="eastAsia"/>
                      <w:color w:val="auto"/>
                      <w:highlight w:val="none"/>
                      <w:lang w:val="en-US" w:eastAsia="zh-CN"/>
                    </w:rPr>
                  </w:pPr>
                  <w:r>
                    <w:rPr>
                      <w:rFonts w:hint="eastAsia"/>
                      <w:color w:val="auto"/>
                      <w:highlight w:val="none"/>
                      <w:lang w:val="en-US" w:eastAsia="zh-CN"/>
                    </w:rPr>
                    <w:t>除尘、喷淋、吸附、热力燃烧、催化燃烧、低温等离子体、UV 光氧化/光催化、生物法、以上组合技术</w:t>
                  </w:r>
                </w:p>
              </w:tc>
              <w:tc>
                <w:tcPr>
                  <w:tcW w:w="2295" w:type="dxa"/>
                  <w:vAlign w:val="center"/>
                </w:tcPr>
                <w:p>
                  <w:pPr>
                    <w:bidi w:val="0"/>
                    <w:jc w:val="center"/>
                    <w:rPr>
                      <w:rFonts w:hint="eastAsia"/>
                      <w:color w:val="auto"/>
                      <w:highlight w:val="none"/>
                      <w:lang w:val="en-US" w:eastAsia="zh-CN"/>
                    </w:rPr>
                  </w:pPr>
                  <w:r>
                    <w:rPr>
                      <w:rFonts w:hint="eastAsia"/>
                      <w:color w:val="auto"/>
                      <w:highlight w:val="none"/>
                      <w:lang w:val="en-US" w:eastAsia="zh-CN"/>
                    </w:rPr>
                    <w:t>集气罩+布袋除尘器+15米高</w:t>
                  </w:r>
                  <w:r>
                    <w:rPr>
                      <w:rFonts w:hint="default"/>
                      <w:color w:val="auto"/>
                      <w:highlight w:val="none"/>
                      <w:lang w:val="en-US" w:eastAsia="zh-CN"/>
                    </w:rPr>
                    <w:t>排气筒排放</w:t>
                  </w:r>
                </w:p>
              </w:tc>
              <w:tc>
                <w:tcPr>
                  <w:tcW w:w="615" w:type="dxa"/>
                  <w:vAlign w:val="center"/>
                </w:tcPr>
                <w:p>
                  <w:pPr>
                    <w:bidi w:val="0"/>
                    <w:jc w:val="center"/>
                    <w:rPr>
                      <w:rFonts w:hint="eastAsia"/>
                      <w:color w:val="auto"/>
                      <w:highlight w:val="none"/>
                      <w:lang w:val="en-US" w:eastAsia="zh-CN"/>
                    </w:rPr>
                  </w:pPr>
                  <w:r>
                    <w:rPr>
                      <w:rFonts w:hint="eastAsia"/>
                      <w:color w:val="auto"/>
                      <w:highlight w:val="none"/>
                      <w:lang w:val="en-US" w:eastAsia="zh-CN"/>
                    </w:rPr>
                    <w:t>可行</w:t>
                  </w:r>
                </w:p>
              </w:tc>
            </w:tr>
          </w:tbl>
          <w:p>
            <w:pPr>
              <w:keepNext w:val="0"/>
              <w:keepLines w:val="0"/>
              <w:pageBreakBefore w:val="0"/>
              <w:widowControl w:val="0"/>
              <w:kinsoku/>
              <w:wordWrap/>
              <w:overflowPunct/>
              <w:topLinePunct w:val="0"/>
              <w:autoSpaceDE w:val="0"/>
              <w:autoSpaceDN w:val="0"/>
              <w:bidi w:val="0"/>
              <w:adjustRightInd w:val="0"/>
              <w:snapToGrid w:val="0"/>
              <w:spacing w:before="313" w:beforeLines="100" w:line="360" w:lineRule="auto"/>
              <w:ind w:firstLine="480" w:firstLineChars="200"/>
              <w:textAlignment w:val="auto"/>
              <w:rPr>
                <w:rFonts w:hint="eastAsia" w:eastAsia="宋体"/>
                <w:color w:val="auto"/>
                <w:kern w:val="24"/>
                <w:sz w:val="24"/>
                <w:highlight w:val="none"/>
                <w:lang w:eastAsia="zh-CN"/>
              </w:rPr>
            </w:pPr>
            <w:r>
              <w:rPr>
                <w:rFonts w:hint="eastAsia"/>
                <w:color w:val="auto"/>
                <w:kern w:val="24"/>
                <w:sz w:val="24"/>
                <w:highlight w:val="none"/>
              </w:rPr>
              <w:t>本项目采用</w:t>
            </w:r>
            <w:r>
              <w:rPr>
                <w:rFonts w:hint="eastAsia"/>
                <w:color w:val="auto"/>
                <w:kern w:val="24"/>
                <w:sz w:val="24"/>
                <w:highlight w:val="none"/>
                <w:lang w:eastAsia="zh-CN"/>
              </w:rPr>
              <w:t>上述措施后能够有效地</w:t>
            </w:r>
            <w:r>
              <w:rPr>
                <w:rFonts w:hint="eastAsia"/>
                <w:color w:val="auto"/>
                <w:kern w:val="24"/>
                <w:sz w:val="24"/>
                <w:highlight w:val="none"/>
              </w:rPr>
              <w:t>处理废气，</w:t>
            </w:r>
            <w:r>
              <w:rPr>
                <w:rFonts w:hint="eastAsia"/>
                <w:color w:val="auto"/>
                <w:kern w:val="24"/>
                <w:sz w:val="24"/>
                <w:highlight w:val="none"/>
                <w:lang w:eastAsia="zh-CN"/>
              </w:rPr>
              <w:t>保证废气可达标排放，</w:t>
            </w:r>
            <w:r>
              <w:rPr>
                <w:rFonts w:hint="eastAsia"/>
                <w:color w:val="auto"/>
                <w:kern w:val="24"/>
                <w:sz w:val="24"/>
                <w:highlight w:val="none"/>
              </w:rPr>
              <w:t>能有效减轻对周边大气环境的影响。</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color w:val="auto"/>
                <w:highlight w:val="none"/>
              </w:rPr>
            </w:pPr>
            <w:r>
              <w:rPr>
                <w:rFonts w:hint="eastAsia" w:cs="宋体"/>
                <w:b w:val="0"/>
                <w:bCs w:val="0"/>
                <w:color w:val="auto"/>
                <w:sz w:val="24"/>
                <w:szCs w:val="24"/>
                <w:highlight w:val="none"/>
                <w:lang w:val="en-US" w:eastAsia="zh-CN"/>
              </w:rPr>
              <w:t>2.3</w:t>
            </w:r>
            <w:r>
              <w:rPr>
                <w:rFonts w:hint="eastAsia" w:cs="宋体"/>
                <w:b w:val="0"/>
                <w:bCs w:val="0"/>
                <w:color w:val="auto"/>
                <w:sz w:val="24"/>
                <w:szCs w:val="24"/>
                <w:highlight w:val="none"/>
              </w:rPr>
              <w:t>非正常工况污染物排放情况</w:t>
            </w:r>
          </w:p>
          <w:p>
            <w:pPr>
              <w:spacing w:line="360" w:lineRule="auto"/>
              <w:ind w:firstLine="480" w:firstLineChars="200"/>
              <w:rPr>
                <w:rStyle w:val="80"/>
                <w:b w:val="0"/>
                <w:bCs w:val="0"/>
                <w:color w:val="auto"/>
                <w:highlight w:val="none"/>
              </w:rPr>
            </w:pPr>
            <w:r>
              <w:rPr>
                <w:rStyle w:val="80"/>
                <w:rFonts w:hint="eastAsia" w:cs="宋体"/>
                <w:b w:val="0"/>
                <w:bCs w:val="0"/>
                <w:color w:val="auto"/>
                <w:highlight w:val="none"/>
              </w:rPr>
              <w:t>非正常工况是指车间废气处理设施运行出现事故，达不到设计要求时的处理效率。通过对该项目废气产生环节及主要污染物识别，综合考虑废气的环境影响和事故可能发生的概率，本次环评非正常工况考虑废气治理设施全部失效。废气处理系统出现故障，一般有</w:t>
            </w:r>
            <w:r>
              <w:rPr>
                <w:rStyle w:val="80"/>
                <w:b w:val="0"/>
                <w:bCs w:val="0"/>
                <w:color w:val="auto"/>
                <w:highlight w:val="none"/>
              </w:rPr>
              <w:t>3</w:t>
            </w:r>
            <w:r>
              <w:rPr>
                <w:rStyle w:val="80"/>
                <w:rFonts w:hint="eastAsia" w:cs="宋体"/>
                <w:b w:val="0"/>
                <w:bCs w:val="0"/>
                <w:color w:val="auto"/>
                <w:highlight w:val="none"/>
              </w:rPr>
              <w:t>种情况：停电、净化装置和风机出现故障，对生产异常情况，采取以下措施：</w:t>
            </w:r>
          </w:p>
          <w:p>
            <w:pPr>
              <w:spacing w:line="360" w:lineRule="auto"/>
              <w:ind w:firstLine="480" w:firstLineChars="200"/>
              <w:rPr>
                <w:rStyle w:val="80"/>
                <w:b w:val="0"/>
                <w:bCs w:val="0"/>
                <w:color w:val="auto"/>
                <w:highlight w:val="none"/>
              </w:rPr>
            </w:pPr>
            <w:r>
              <w:rPr>
                <w:rStyle w:val="80"/>
                <w:rFonts w:hint="eastAsia" w:cs="宋体"/>
                <w:b w:val="0"/>
                <w:bCs w:val="0"/>
                <w:color w:val="auto"/>
                <w:highlight w:val="none"/>
              </w:rPr>
              <w:t>①如果全厂停电，停止生产，无污染物产生。为确保安全，立即疏散工作人员。</w:t>
            </w:r>
          </w:p>
          <w:p>
            <w:pPr>
              <w:spacing w:line="360" w:lineRule="auto"/>
              <w:ind w:firstLine="480" w:firstLineChars="200"/>
              <w:rPr>
                <w:rStyle w:val="80"/>
                <w:b w:val="0"/>
                <w:bCs w:val="0"/>
                <w:color w:val="auto"/>
                <w:highlight w:val="none"/>
              </w:rPr>
            </w:pPr>
            <w:r>
              <w:rPr>
                <w:rStyle w:val="80"/>
                <w:rFonts w:hint="eastAsia" w:cs="宋体"/>
                <w:b w:val="0"/>
                <w:bCs w:val="0"/>
                <w:color w:val="auto"/>
                <w:highlight w:val="none"/>
              </w:rPr>
              <w:t>②风机出现故障时，立即停止污染源工序的生产，并及时维修风机。</w:t>
            </w:r>
          </w:p>
          <w:p>
            <w:pPr>
              <w:spacing w:line="360" w:lineRule="auto"/>
              <w:ind w:firstLine="480" w:firstLineChars="200"/>
              <w:rPr>
                <w:rStyle w:val="80"/>
                <w:b w:val="0"/>
                <w:bCs w:val="0"/>
                <w:color w:val="auto"/>
                <w:highlight w:val="none"/>
              </w:rPr>
            </w:pPr>
            <w:r>
              <w:rPr>
                <w:rStyle w:val="80"/>
                <w:rFonts w:hint="eastAsia" w:cs="宋体"/>
                <w:b w:val="0"/>
                <w:bCs w:val="0"/>
                <w:color w:val="auto"/>
                <w:highlight w:val="none"/>
              </w:rPr>
              <w:t>③当废气处理设施出现故障时，应立即进行维修，并停止产污设备的生产。</w:t>
            </w:r>
          </w:p>
          <w:p>
            <w:pPr>
              <w:spacing w:line="360" w:lineRule="auto"/>
              <w:ind w:firstLine="480" w:firstLineChars="200"/>
              <w:rPr>
                <w:rStyle w:val="80"/>
                <w:b w:val="0"/>
                <w:bCs w:val="0"/>
                <w:color w:val="auto"/>
                <w:highlight w:val="none"/>
              </w:rPr>
            </w:pPr>
            <w:r>
              <w:rPr>
                <w:rStyle w:val="80"/>
                <w:rFonts w:hint="eastAsia" w:cs="宋体"/>
                <w:b w:val="0"/>
                <w:bCs w:val="0"/>
                <w:color w:val="auto"/>
                <w:highlight w:val="none"/>
              </w:rPr>
              <w:t>本报告废气非正常排放考虑装置处理效率为</w:t>
            </w:r>
            <w:r>
              <w:rPr>
                <w:rStyle w:val="80"/>
                <w:b w:val="0"/>
                <w:bCs w:val="0"/>
                <w:color w:val="auto"/>
                <w:highlight w:val="none"/>
              </w:rPr>
              <w:t>0</w:t>
            </w:r>
            <w:r>
              <w:rPr>
                <w:rStyle w:val="80"/>
                <w:rFonts w:hint="eastAsia" w:cs="宋体"/>
                <w:b w:val="0"/>
                <w:bCs w:val="0"/>
                <w:color w:val="auto"/>
                <w:highlight w:val="none"/>
              </w:rPr>
              <w:t>的情况，非正常排放情况及概率下表。</w:t>
            </w:r>
          </w:p>
          <w:p>
            <w:pPr>
              <w:spacing w:line="360" w:lineRule="auto"/>
              <w:jc w:val="center"/>
              <w:rPr>
                <w:color w:val="auto"/>
                <w:sz w:val="24"/>
                <w:szCs w:val="24"/>
                <w:highlight w:val="none"/>
              </w:rPr>
            </w:pPr>
            <w:r>
              <w:rPr>
                <w:rFonts w:hint="eastAsia" w:hAnsi="宋体" w:cs="宋体"/>
                <w:color w:val="auto"/>
                <w:sz w:val="22"/>
                <w:szCs w:val="22"/>
                <w:highlight w:val="none"/>
              </w:rPr>
              <w:t>表</w:t>
            </w:r>
            <w:r>
              <w:rPr>
                <w:rFonts w:hAnsi="宋体"/>
                <w:color w:val="auto"/>
                <w:sz w:val="22"/>
                <w:szCs w:val="22"/>
                <w:highlight w:val="none"/>
              </w:rPr>
              <w:t xml:space="preserve">4-8  </w:t>
            </w:r>
            <w:r>
              <w:rPr>
                <w:rFonts w:hint="eastAsia" w:hAnsi="宋体" w:cs="宋体"/>
                <w:color w:val="auto"/>
                <w:sz w:val="22"/>
                <w:szCs w:val="22"/>
                <w:highlight w:val="none"/>
              </w:rPr>
              <w:t>废气非正常排放参数表</w:t>
            </w:r>
          </w:p>
          <w:tbl>
            <w:tblPr>
              <w:tblStyle w:val="36"/>
              <w:tblW w:w="805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813"/>
              <w:gridCol w:w="702"/>
              <w:gridCol w:w="757"/>
              <w:gridCol w:w="662"/>
              <w:gridCol w:w="878"/>
              <w:gridCol w:w="1199"/>
              <w:gridCol w:w="1157"/>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491" w:type="pct"/>
                  <w:tcBorders>
                    <w:top w:val="single" w:color="auto" w:sz="4" w:space="0"/>
                    <w:left w:val="single" w:color="auto" w:sz="4" w:space="0"/>
                    <w:bottom w:val="single" w:color="auto" w:sz="4" w:space="0"/>
                    <w:right w:val="single" w:color="auto" w:sz="4" w:space="0"/>
                  </w:tcBorders>
                  <w:vAlign w:val="center"/>
                </w:tcPr>
                <w:p>
                  <w:pPr>
                    <w:jc w:val="center"/>
                    <w:rPr>
                      <w:rFonts w:hAnsi="宋体"/>
                      <w:color w:val="auto"/>
                      <w:sz w:val="22"/>
                      <w:szCs w:val="22"/>
                      <w:highlight w:val="none"/>
                    </w:rPr>
                  </w:pPr>
                  <w:r>
                    <w:rPr>
                      <w:rFonts w:hint="eastAsia" w:hAnsi="宋体" w:cs="宋体"/>
                      <w:color w:val="auto"/>
                      <w:sz w:val="22"/>
                      <w:szCs w:val="22"/>
                      <w:highlight w:val="none"/>
                    </w:rPr>
                    <w:t>所在车间</w:t>
                  </w:r>
                </w:p>
              </w:tc>
              <w:tc>
                <w:tcPr>
                  <w:tcW w:w="504" w:type="pct"/>
                  <w:tcBorders>
                    <w:top w:val="single" w:color="auto" w:sz="4" w:space="0"/>
                    <w:left w:val="single" w:color="auto" w:sz="4" w:space="0"/>
                    <w:bottom w:val="single" w:color="auto" w:sz="4" w:space="0"/>
                    <w:right w:val="single" w:color="auto" w:sz="4" w:space="0"/>
                  </w:tcBorders>
                  <w:vAlign w:val="center"/>
                </w:tcPr>
                <w:p>
                  <w:pPr>
                    <w:jc w:val="center"/>
                    <w:rPr>
                      <w:rFonts w:hAnsi="宋体"/>
                      <w:color w:val="auto"/>
                      <w:sz w:val="22"/>
                      <w:szCs w:val="22"/>
                      <w:highlight w:val="none"/>
                    </w:rPr>
                  </w:pPr>
                  <w:r>
                    <w:rPr>
                      <w:rFonts w:hint="eastAsia" w:hAnsi="宋体" w:cs="宋体"/>
                      <w:color w:val="auto"/>
                      <w:sz w:val="22"/>
                      <w:szCs w:val="22"/>
                      <w:highlight w:val="none"/>
                    </w:rPr>
                    <w:t>产生工段</w:t>
                  </w:r>
                </w:p>
              </w:tc>
              <w:tc>
                <w:tcPr>
                  <w:tcW w:w="435" w:type="pct"/>
                  <w:tcBorders>
                    <w:top w:val="single" w:color="auto" w:sz="4" w:space="0"/>
                    <w:left w:val="single" w:color="auto" w:sz="4" w:space="0"/>
                    <w:bottom w:val="single" w:color="auto" w:sz="4" w:space="0"/>
                    <w:right w:val="single" w:color="auto" w:sz="4" w:space="0"/>
                  </w:tcBorders>
                  <w:vAlign w:val="center"/>
                </w:tcPr>
                <w:p>
                  <w:pPr>
                    <w:jc w:val="center"/>
                    <w:rPr>
                      <w:rFonts w:hAnsi="宋体"/>
                      <w:color w:val="auto"/>
                      <w:sz w:val="22"/>
                      <w:szCs w:val="22"/>
                      <w:highlight w:val="none"/>
                    </w:rPr>
                  </w:pPr>
                  <w:r>
                    <w:rPr>
                      <w:rFonts w:hint="eastAsia" w:hAnsi="宋体" w:cs="宋体"/>
                      <w:color w:val="auto"/>
                      <w:sz w:val="22"/>
                      <w:szCs w:val="22"/>
                      <w:highlight w:val="none"/>
                    </w:rPr>
                    <w:t>频次</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Ansi="宋体"/>
                      <w:color w:val="auto"/>
                      <w:sz w:val="22"/>
                      <w:szCs w:val="22"/>
                      <w:highlight w:val="none"/>
                    </w:rPr>
                  </w:pPr>
                  <w:r>
                    <w:rPr>
                      <w:rFonts w:hint="eastAsia" w:hAnsi="宋体" w:cs="宋体"/>
                      <w:color w:val="auto"/>
                      <w:sz w:val="22"/>
                      <w:szCs w:val="22"/>
                      <w:highlight w:val="none"/>
                    </w:rPr>
                    <w:t>持续时间</w:t>
                  </w:r>
                </w:p>
              </w:tc>
              <w:tc>
                <w:tcPr>
                  <w:tcW w:w="410" w:type="pct"/>
                  <w:tcBorders>
                    <w:top w:val="single" w:color="auto" w:sz="4" w:space="0"/>
                    <w:left w:val="single" w:color="auto" w:sz="4" w:space="0"/>
                    <w:bottom w:val="single" w:color="auto" w:sz="4" w:space="0"/>
                    <w:right w:val="single" w:color="auto" w:sz="4" w:space="0"/>
                  </w:tcBorders>
                  <w:vAlign w:val="center"/>
                </w:tcPr>
                <w:p>
                  <w:pPr>
                    <w:jc w:val="center"/>
                    <w:rPr>
                      <w:rFonts w:hAnsi="宋体"/>
                      <w:color w:val="auto"/>
                      <w:sz w:val="22"/>
                      <w:szCs w:val="22"/>
                      <w:highlight w:val="none"/>
                    </w:rPr>
                  </w:pPr>
                  <w:r>
                    <w:rPr>
                      <w:rFonts w:hint="eastAsia" w:hAnsi="宋体" w:cs="宋体"/>
                      <w:color w:val="auto"/>
                      <w:sz w:val="22"/>
                      <w:szCs w:val="22"/>
                      <w:highlight w:val="none"/>
                    </w:rPr>
                    <w:t>污染物</w:t>
                  </w:r>
                </w:p>
              </w:tc>
              <w:tc>
                <w:tcPr>
                  <w:tcW w:w="545" w:type="pct"/>
                  <w:tcBorders>
                    <w:top w:val="single" w:color="auto" w:sz="4" w:space="0"/>
                    <w:left w:val="single" w:color="auto" w:sz="4" w:space="0"/>
                    <w:bottom w:val="single" w:color="auto" w:sz="4" w:space="0"/>
                    <w:right w:val="single" w:color="auto" w:sz="4" w:space="0"/>
                  </w:tcBorders>
                  <w:vAlign w:val="center"/>
                </w:tcPr>
                <w:p>
                  <w:pPr>
                    <w:jc w:val="center"/>
                    <w:rPr>
                      <w:rFonts w:hAnsi="宋体"/>
                      <w:color w:val="auto"/>
                      <w:sz w:val="22"/>
                      <w:szCs w:val="22"/>
                      <w:highlight w:val="none"/>
                    </w:rPr>
                  </w:pPr>
                  <w:r>
                    <w:rPr>
                      <w:rFonts w:hint="eastAsia" w:hAnsi="宋体" w:cs="宋体"/>
                      <w:color w:val="auto"/>
                      <w:sz w:val="22"/>
                      <w:szCs w:val="22"/>
                      <w:highlight w:val="none"/>
                    </w:rPr>
                    <w:t>产生量</w:t>
                  </w:r>
                </w:p>
                <w:p>
                  <w:pPr>
                    <w:jc w:val="center"/>
                    <w:rPr>
                      <w:rFonts w:hAnsi="宋体"/>
                      <w:color w:val="auto"/>
                      <w:sz w:val="22"/>
                      <w:szCs w:val="22"/>
                      <w:highlight w:val="none"/>
                    </w:rPr>
                  </w:pPr>
                  <w:r>
                    <w:rPr>
                      <w:rFonts w:hint="eastAsia" w:hAnsi="宋体" w:cs="宋体"/>
                      <w:color w:val="auto"/>
                      <w:sz w:val="22"/>
                      <w:szCs w:val="22"/>
                      <w:highlight w:val="none"/>
                    </w:rPr>
                    <w:t>（</w:t>
                  </w:r>
                  <w:r>
                    <w:rPr>
                      <w:rFonts w:hAnsi="宋体"/>
                      <w:color w:val="auto"/>
                      <w:sz w:val="22"/>
                      <w:szCs w:val="22"/>
                      <w:highlight w:val="none"/>
                    </w:rPr>
                    <w:t>kg</w:t>
                  </w:r>
                  <w:r>
                    <w:rPr>
                      <w:rFonts w:hint="eastAsia" w:hAnsi="宋体" w:cs="宋体"/>
                      <w:color w:val="auto"/>
                      <w:sz w:val="22"/>
                      <w:szCs w:val="22"/>
                      <w:highlight w:val="none"/>
                    </w:rPr>
                    <w:t>）</w:t>
                  </w:r>
                </w:p>
              </w:tc>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Ansi="宋体"/>
                      <w:color w:val="auto"/>
                      <w:sz w:val="22"/>
                      <w:szCs w:val="22"/>
                      <w:highlight w:val="none"/>
                    </w:rPr>
                  </w:pPr>
                  <w:r>
                    <w:rPr>
                      <w:rFonts w:hint="eastAsia" w:hAnsi="宋体" w:cs="宋体"/>
                      <w:color w:val="auto"/>
                      <w:sz w:val="22"/>
                      <w:szCs w:val="22"/>
                      <w:highlight w:val="none"/>
                    </w:rPr>
                    <w:t>非正常排放浓度（</w:t>
                  </w:r>
                  <w:r>
                    <w:rPr>
                      <w:rFonts w:hAnsi="宋体"/>
                      <w:color w:val="auto"/>
                      <w:sz w:val="22"/>
                      <w:szCs w:val="22"/>
                      <w:highlight w:val="none"/>
                    </w:rPr>
                    <w:t>mg/m</w:t>
                  </w:r>
                  <w:r>
                    <w:rPr>
                      <w:rFonts w:hAnsi="宋体"/>
                      <w:color w:val="auto"/>
                      <w:sz w:val="22"/>
                      <w:szCs w:val="22"/>
                      <w:highlight w:val="none"/>
                      <w:vertAlign w:val="superscript"/>
                    </w:rPr>
                    <w:t>3</w:t>
                  </w:r>
                  <w:r>
                    <w:rPr>
                      <w:rFonts w:hint="eastAsia" w:hAnsi="宋体" w:cs="宋体"/>
                      <w:color w:val="auto"/>
                      <w:sz w:val="22"/>
                      <w:szCs w:val="22"/>
                      <w:highlight w:val="none"/>
                    </w:rPr>
                    <w:t>）</w:t>
                  </w:r>
                </w:p>
              </w:tc>
              <w:tc>
                <w:tcPr>
                  <w:tcW w:w="718" w:type="pct"/>
                  <w:tcBorders>
                    <w:top w:val="single" w:color="auto" w:sz="4" w:space="0"/>
                    <w:left w:val="single" w:color="auto" w:sz="4" w:space="0"/>
                    <w:bottom w:val="single" w:color="auto" w:sz="4" w:space="0"/>
                    <w:right w:val="single" w:color="auto" w:sz="4" w:space="0"/>
                  </w:tcBorders>
                  <w:vAlign w:val="center"/>
                </w:tcPr>
                <w:p>
                  <w:pPr>
                    <w:jc w:val="center"/>
                    <w:rPr>
                      <w:rFonts w:hAnsi="宋体"/>
                      <w:color w:val="auto"/>
                      <w:sz w:val="22"/>
                      <w:szCs w:val="22"/>
                      <w:highlight w:val="none"/>
                    </w:rPr>
                  </w:pPr>
                  <w:r>
                    <w:rPr>
                      <w:rFonts w:hint="eastAsia" w:hAnsi="宋体" w:cs="宋体"/>
                      <w:color w:val="auto"/>
                      <w:sz w:val="22"/>
                      <w:szCs w:val="22"/>
                      <w:highlight w:val="none"/>
                    </w:rPr>
                    <w:t>非正常排放速率（</w:t>
                  </w:r>
                  <w:r>
                    <w:rPr>
                      <w:rFonts w:hAnsi="宋体"/>
                      <w:color w:val="auto"/>
                      <w:sz w:val="22"/>
                      <w:szCs w:val="22"/>
                      <w:highlight w:val="none"/>
                    </w:rPr>
                    <w:t>kg/h</w:t>
                  </w:r>
                  <w:r>
                    <w:rPr>
                      <w:rFonts w:hint="eastAsia" w:hAnsi="宋体" w:cs="宋体"/>
                      <w:color w:val="auto"/>
                      <w:sz w:val="22"/>
                      <w:szCs w:val="22"/>
                      <w:highlight w:val="none"/>
                    </w:rPr>
                    <w:t>）</w:t>
                  </w:r>
                </w:p>
              </w:tc>
              <w:tc>
                <w:tcPr>
                  <w:tcW w:w="679" w:type="pct"/>
                  <w:tcBorders>
                    <w:top w:val="single" w:color="auto" w:sz="4" w:space="0"/>
                    <w:left w:val="single" w:color="auto" w:sz="4" w:space="0"/>
                    <w:bottom w:val="single" w:color="auto" w:sz="4" w:space="0"/>
                    <w:right w:val="single" w:color="auto" w:sz="4" w:space="0"/>
                  </w:tcBorders>
                  <w:vAlign w:val="center"/>
                </w:tcPr>
                <w:p>
                  <w:pPr>
                    <w:jc w:val="center"/>
                    <w:rPr>
                      <w:rFonts w:hAnsi="宋体"/>
                      <w:color w:val="auto"/>
                      <w:sz w:val="22"/>
                      <w:szCs w:val="22"/>
                      <w:highlight w:val="none"/>
                    </w:rPr>
                  </w:pPr>
                  <w:r>
                    <w:rPr>
                      <w:rFonts w:hint="eastAsia" w:hAnsi="宋体" w:cs="宋体"/>
                      <w:color w:val="auto"/>
                      <w:sz w:val="22"/>
                      <w:szCs w:val="22"/>
                      <w:highlight w:val="none"/>
                    </w:rPr>
                    <w:t>排放量</w:t>
                  </w:r>
                </w:p>
                <w:p>
                  <w:pPr>
                    <w:jc w:val="center"/>
                    <w:rPr>
                      <w:rFonts w:hAnsi="宋体"/>
                      <w:color w:val="auto"/>
                      <w:sz w:val="22"/>
                      <w:szCs w:val="22"/>
                      <w:highlight w:val="none"/>
                    </w:rPr>
                  </w:pPr>
                  <w:r>
                    <w:rPr>
                      <w:rFonts w:hint="eastAsia" w:hAnsi="宋体" w:cs="宋体"/>
                      <w:color w:val="auto"/>
                      <w:sz w:val="22"/>
                      <w:szCs w:val="22"/>
                      <w:highlight w:val="none"/>
                    </w:rPr>
                    <w:t>（</w:t>
                  </w:r>
                  <w:r>
                    <w:rPr>
                      <w:rFonts w:hAnsi="宋体"/>
                      <w:color w:val="auto"/>
                      <w:sz w:val="22"/>
                      <w:szCs w:val="22"/>
                      <w:highlight w:val="none"/>
                    </w:rPr>
                    <w:t>kg/</w:t>
                  </w:r>
                  <w:r>
                    <w:rPr>
                      <w:rFonts w:hint="eastAsia" w:hAnsi="宋体" w:cs="宋体"/>
                      <w:color w:val="auto"/>
                      <w:sz w:val="22"/>
                      <w:szCs w:val="22"/>
                      <w:highlight w:val="none"/>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491" w:type="pct"/>
                  <w:vMerge w:val="restart"/>
                  <w:tcBorders>
                    <w:top w:val="single" w:color="auto" w:sz="4" w:space="0"/>
                    <w:left w:val="single" w:color="auto" w:sz="4" w:space="0"/>
                    <w:right w:val="single" w:color="auto" w:sz="4" w:space="0"/>
                  </w:tcBorders>
                  <w:vAlign w:val="center"/>
                </w:tcPr>
                <w:p>
                  <w:pPr>
                    <w:jc w:val="center"/>
                    <w:rPr>
                      <w:rFonts w:hint="eastAsia" w:hAnsi="宋体" w:cs="宋体"/>
                      <w:color w:val="auto"/>
                      <w:sz w:val="22"/>
                      <w:szCs w:val="22"/>
                      <w:highlight w:val="none"/>
                      <w:lang w:eastAsia="zh-CN"/>
                    </w:rPr>
                  </w:pPr>
                  <w:r>
                    <w:rPr>
                      <w:rFonts w:hint="eastAsia" w:hAnsi="宋体" w:cs="宋体"/>
                      <w:color w:val="auto"/>
                      <w:sz w:val="22"/>
                      <w:szCs w:val="22"/>
                      <w:highlight w:val="none"/>
                      <w:lang w:eastAsia="zh-CN"/>
                    </w:rPr>
                    <w:t>生产车间</w:t>
                  </w:r>
                </w:p>
              </w:tc>
              <w:tc>
                <w:tcPr>
                  <w:tcW w:w="504" w:type="pct"/>
                  <w:tcBorders>
                    <w:top w:val="single" w:color="auto" w:sz="4" w:space="0"/>
                    <w:left w:val="single" w:color="auto" w:sz="4" w:space="0"/>
                    <w:bottom w:val="single" w:color="auto" w:sz="4" w:space="0"/>
                    <w:right w:val="single" w:color="auto" w:sz="4" w:space="0"/>
                  </w:tcBorders>
                  <w:vAlign w:val="center"/>
                </w:tcPr>
                <w:p>
                  <w:pPr>
                    <w:jc w:val="center"/>
                    <w:rPr>
                      <w:rFonts w:hint="eastAsia" w:hAnsi="宋体" w:cs="宋体"/>
                      <w:color w:val="auto"/>
                      <w:sz w:val="22"/>
                      <w:szCs w:val="22"/>
                      <w:highlight w:val="none"/>
                      <w:lang w:eastAsia="zh-CN"/>
                    </w:rPr>
                  </w:pPr>
                  <w:r>
                    <w:rPr>
                      <w:rFonts w:hint="eastAsia"/>
                      <w:color w:val="auto"/>
                      <w:highlight w:val="none"/>
                      <w:lang w:val="en-US" w:eastAsia="zh-CN"/>
                    </w:rPr>
                    <w:t>热熔、挤出</w:t>
                  </w:r>
                  <w:r>
                    <w:rPr>
                      <w:rFonts w:hint="eastAsia" w:hAnsi="宋体" w:cs="宋体"/>
                      <w:color w:val="auto"/>
                      <w:sz w:val="22"/>
                      <w:szCs w:val="22"/>
                      <w:highlight w:val="none"/>
                      <w:lang w:val="en-US" w:eastAsia="zh-CN"/>
                    </w:rPr>
                    <w:t>工序</w:t>
                  </w:r>
                </w:p>
              </w:tc>
              <w:tc>
                <w:tcPr>
                  <w:tcW w:w="435" w:type="pct"/>
                  <w:tcBorders>
                    <w:top w:val="single" w:color="auto" w:sz="4" w:space="0"/>
                    <w:left w:val="single" w:color="auto" w:sz="4" w:space="0"/>
                    <w:bottom w:val="single" w:color="auto" w:sz="4" w:space="0"/>
                    <w:right w:val="single" w:color="auto" w:sz="4" w:space="0"/>
                  </w:tcBorders>
                  <w:vAlign w:val="center"/>
                </w:tcPr>
                <w:p>
                  <w:pPr>
                    <w:jc w:val="center"/>
                    <w:rPr>
                      <w:rFonts w:hint="eastAsia" w:hAnsi="宋体" w:cs="宋体"/>
                      <w:color w:val="auto"/>
                      <w:sz w:val="22"/>
                      <w:szCs w:val="22"/>
                      <w:highlight w:val="none"/>
                    </w:rPr>
                  </w:pPr>
                  <w:r>
                    <w:rPr>
                      <w:rFonts w:hint="eastAsia" w:hAnsi="宋体" w:cs="宋体"/>
                      <w:color w:val="auto"/>
                      <w:sz w:val="22"/>
                      <w:szCs w:val="22"/>
                      <w:highlight w:val="none"/>
                    </w:rPr>
                    <w:t>2次/年</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eastAsia" w:hAnsi="宋体" w:cs="宋体"/>
                      <w:color w:val="auto"/>
                      <w:sz w:val="22"/>
                      <w:szCs w:val="22"/>
                      <w:highlight w:val="none"/>
                    </w:rPr>
                  </w:pPr>
                  <w:r>
                    <w:rPr>
                      <w:rFonts w:hint="eastAsia" w:hAnsi="宋体" w:cs="宋体"/>
                      <w:color w:val="auto"/>
                      <w:sz w:val="22"/>
                      <w:szCs w:val="22"/>
                      <w:highlight w:val="none"/>
                    </w:rPr>
                    <w:t>20min/次</w:t>
                  </w:r>
                </w:p>
              </w:tc>
              <w:tc>
                <w:tcPr>
                  <w:tcW w:w="410" w:type="pct"/>
                  <w:tcBorders>
                    <w:top w:val="single" w:color="auto" w:sz="4" w:space="0"/>
                    <w:left w:val="single" w:color="auto" w:sz="4" w:space="0"/>
                    <w:bottom w:val="single" w:color="auto" w:sz="4" w:space="0"/>
                    <w:right w:val="single" w:color="auto" w:sz="4" w:space="0"/>
                  </w:tcBorders>
                  <w:vAlign w:val="center"/>
                </w:tcPr>
                <w:p>
                  <w:pPr>
                    <w:jc w:val="center"/>
                    <w:rPr>
                      <w:rFonts w:hint="eastAsia" w:hAnsi="宋体" w:cs="宋体"/>
                      <w:color w:val="auto"/>
                      <w:sz w:val="22"/>
                      <w:szCs w:val="22"/>
                      <w:highlight w:val="none"/>
                      <w:lang w:eastAsia="zh-CN"/>
                    </w:rPr>
                  </w:pPr>
                  <w:r>
                    <w:rPr>
                      <w:rFonts w:hint="eastAsia" w:hAnsi="宋体" w:cs="宋体"/>
                      <w:color w:val="auto"/>
                      <w:sz w:val="22"/>
                      <w:szCs w:val="22"/>
                      <w:highlight w:val="none"/>
                      <w:lang w:val="en-US" w:eastAsia="zh-CN"/>
                    </w:rPr>
                    <w:t>非甲烷总烃</w:t>
                  </w:r>
                </w:p>
              </w:tc>
              <w:tc>
                <w:tcPr>
                  <w:tcW w:w="545" w:type="pct"/>
                  <w:tcBorders>
                    <w:top w:val="single" w:color="auto" w:sz="4" w:space="0"/>
                    <w:left w:val="single" w:color="auto" w:sz="4" w:space="0"/>
                    <w:bottom w:val="single" w:color="auto" w:sz="4" w:space="0"/>
                    <w:right w:val="single" w:color="auto" w:sz="4" w:space="0"/>
                  </w:tcBorders>
                  <w:vAlign w:val="center"/>
                </w:tcPr>
                <w:p>
                  <w:pPr>
                    <w:jc w:val="center"/>
                    <w:rPr>
                      <w:rFonts w:hint="default" w:hAnsi="宋体" w:cs="宋体"/>
                      <w:color w:val="auto"/>
                      <w:sz w:val="22"/>
                      <w:szCs w:val="22"/>
                      <w:highlight w:val="none"/>
                      <w:lang w:val="en-US" w:eastAsia="zh-CN"/>
                    </w:rPr>
                  </w:pPr>
                  <w:r>
                    <w:rPr>
                      <w:rFonts w:hint="eastAsia" w:hAnsi="宋体" w:cs="宋体"/>
                      <w:color w:val="auto"/>
                      <w:sz w:val="22"/>
                      <w:szCs w:val="22"/>
                      <w:highlight w:val="none"/>
                      <w:lang w:val="en-US" w:eastAsia="zh-CN"/>
                    </w:rPr>
                    <w:t>0.834</w:t>
                  </w:r>
                </w:p>
              </w:tc>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hAnsi="宋体" w:cs="宋体"/>
                      <w:color w:val="auto"/>
                      <w:sz w:val="22"/>
                      <w:szCs w:val="22"/>
                      <w:highlight w:val="none"/>
                      <w:lang w:val="en-US" w:eastAsia="zh-CN"/>
                    </w:rPr>
                  </w:pPr>
                  <w:r>
                    <w:rPr>
                      <w:rFonts w:hint="eastAsia"/>
                      <w:color w:val="auto"/>
                      <w:sz w:val="24"/>
                      <w:highlight w:val="none"/>
                      <w:lang w:val="en-US" w:eastAsia="zh-CN"/>
                    </w:rPr>
                    <w:t>125.125</w:t>
                  </w:r>
                </w:p>
              </w:tc>
              <w:tc>
                <w:tcPr>
                  <w:tcW w:w="718"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hAnsi="宋体" w:cs="宋体"/>
                      <w:color w:val="auto"/>
                      <w:sz w:val="22"/>
                      <w:szCs w:val="22"/>
                      <w:highlight w:val="none"/>
                      <w:lang w:val="en-US" w:eastAsia="zh-CN"/>
                    </w:rPr>
                  </w:pPr>
                  <w:r>
                    <w:rPr>
                      <w:rFonts w:hint="eastAsia"/>
                      <w:color w:val="auto"/>
                      <w:sz w:val="24"/>
                      <w:highlight w:val="none"/>
                      <w:lang w:val="en-US" w:eastAsia="zh-CN"/>
                    </w:rPr>
                    <w:t>2.5025</w:t>
                  </w:r>
                </w:p>
              </w:tc>
              <w:tc>
                <w:tcPr>
                  <w:tcW w:w="679" w:type="pct"/>
                  <w:tcBorders>
                    <w:top w:val="single" w:color="auto" w:sz="4" w:space="0"/>
                    <w:left w:val="single" w:color="auto" w:sz="4" w:space="0"/>
                    <w:bottom w:val="single" w:color="auto" w:sz="4" w:space="0"/>
                    <w:right w:val="single" w:color="auto" w:sz="4" w:space="0"/>
                  </w:tcBorders>
                  <w:vAlign w:val="center"/>
                </w:tcPr>
                <w:p>
                  <w:pPr>
                    <w:jc w:val="center"/>
                    <w:rPr>
                      <w:rFonts w:hint="default" w:hAnsi="宋体" w:cs="宋体"/>
                      <w:color w:val="auto"/>
                      <w:sz w:val="22"/>
                      <w:szCs w:val="22"/>
                      <w:highlight w:val="none"/>
                      <w:lang w:val="en-US" w:eastAsia="zh-CN"/>
                    </w:rPr>
                  </w:pPr>
                  <w:r>
                    <w:rPr>
                      <w:rFonts w:hint="eastAsia" w:hAnsi="宋体" w:cs="宋体"/>
                      <w:color w:val="auto"/>
                      <w:sz w:val="22"/>
                      <w:szCs w:val="22"/>
                      <w:highlight w:val="none"/>
                      <w:lang w:val="en-US" w:eastAsia="zh-CN"/>
                    </w:rPr>
                    <w:t>0.834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491" w:type="pct"/>
                  <w:vMerge w:val="continue"/>
                  <w:tcBorders>
                    <w:left w:val="single" w:color="auto" w:sz="4" w:space="0"/>
                    <w:right w:val="single" w:color="auto" w:sz="4" w:space="0"/>
                  </w:tcBorders>
                  <w:vAlign w:val="center"/>
                </w:tcPr>
                <w:p>
                  <w:pPr>
                    <w:jc w:val="center"/>
                    <w:rPr>
                      <w:rFonts w:hint="eastAsia" w:hAnsi="宋体" w:cs="宋体"/>
                      <w:color w:val="auto"/>
                      <w:sz w:val="22"/>
                      <w:szCs w:val="22"/>
                      <w:highlight w:val="none"/>
                      <w:lang w:eastAsia="zh-CN"/>
                    </w:rPr>
                  </w:pPr>
                </w:p>
              </w:tc>
              <w:tc>
                <w:tcPr>
                  <w:tcW w:w="504" w:type="pct"/>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highlight w:val="none"/>
                      <w:lang w:val="en-US" w:eastAsia="zh-CN"/>
                    </w:rPr>
                  </w:pPr>
                  <w:r>
                    <w:rPr>
                      <w:rFonts w:hint="eastAsia"/>
                      <w:color w:val="auto"/>
                      <w:highlight w:val="none"/>
                      <w:lang w:val="en-US" w:eastAsia="zh-CN"/>
                    </w:rPr>
                    <w:t>破碎工序</w:t>
                  </w:r>
                </w:p>
              </w:tc>
              <w:tc>
                <w:tcPr>
                  <w:tcW w:w="435" w:type="pct"/>
                  <w:tcBorders>
                    <w:top w:val="single" w:color="auto" w:sz="4" w:space="0"/>
                    <w:left w:val="single" w:color="auto" w:sz="4" w:space="0"/>
                    <w:bottom w:val="single" w:color="auto" w:sz="4" w:space="0"/>
                    <w:right w:val="single" w:color="auto" w:sz="4" w:space="0"/>
                  </w:tcBorders>
                  <w:vAlign w:val="center"/>
                </w:tcPr>
                <w:p>
                  <w:pPr>
                    <w:jc w:val="center"/>
                    <w:rPr>
                      <w:rFonts w:hint="eastAsia" w:hAnsi="宋体" w:cs="宋体"/>
                      <w:color w:val="auto"/>
                      <w:sz w:val="22"/>
                      <w:szCs w:val="22"/>
                      <w:highlight w:val="none"/>
                    </w:rPr>
                  </w:pPr>
                  <w:r>
                    <w:rPr>
                      <w:rFonts w:hint="eastAsia" w:hAnsi="宋体" w:cs="宋体"/>
                      <w:color w:val="auto"/>
                      <w:sz w:val="22"/>
                      <w:szCs w:val="22"/>
                      <w:highlight w:val="none"/>
                    </w:rPr>
                    <w:t>2次/年</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eastAsia" w:hAnsi="宋体" w:cs="宋体"/>
                      <w:color w:val="auto"/>
                      <w:sz w:val="22"/>
                      <w:szCs w:val="22"/>
                      <w:highlight w:val="none"/>
                    </w:rPr>
                  </w:pPr>
                  <w:r>
                    <w:rPr>
                      <w:rFonts w:hint="eastAsia" w:hAnsi="宋体" w:cs="宋体"/>
                      <w:color w:val="auto"/>
                      <w:sz w:val="22"/>
                      <w:szCs w:val="22"/>
                      <w:highlight w:val="none"/>
                    </w:rPr>
                    <w:t>20min/次</w:t>
                  </w:r>
                </w:p>
              </w:tc>
              <w:tc>
                <w:tcPr>
                  <w:tcW w:w="410" w:type="pct"/>
                  <w:tcBorders>
                    <w:top w:val="single" w:color="auto" w:sz="4" w:space="0"/>
                    <w:left w:val="single" w:color="auto" w:sz="4" w:space="0"/>
                    <w:bottom w:val="single" w:color="auto" w:sz="4" w:space="0"/>
                    <w:right w:val="single" w:color="auto" w:sz="4" w:space="0"/>
                  </w:tcBorders>
                  <w:vAlign w:val="center"/>
                </w:tcPr>
                <w:p>
                  <w:pPr>
                    <w:jc w:val="center"/>
                    <w:rPr>
                      <w:rFonts w:hint="eastAsia" w:hAnsi="宋体" w:cs="宋体"/>
                      <w:color w:val="auto"/>
                      <w:sz w:val="22"/>
                      <w:szCs w:val="22"/>
                      <w:highlight w:val="none"/>
                      <w:lang w:val="en-US" w:eastAsia="zh-CN"/>
                    </w:rPr>
                  </w:pPr>
                  <w:r>
                    <w:rPr>
                      <w:rFonts w:hint="eastAsia" w:hAnsi="宋体" w:cs="宋体"/>
                      <w:color w:val="auto"/>
                      <w:sz w:val="22"/>
                      <w:szCs w:val="22"/>
                      <w:highlight w:val="none"/>
                      <w:lang w:val="en-US" w:eastAsia="zh-CN"/>
                    </w:rPr>
                    <w:t>颗粒物</w:t>
                  </w:r>
                </w:p>
              </w:tc>
              <w:tc>
                <w:tcPr>
                  <w:tcW w:w="545" w:type="pct"/>
                  <w:tcBorders>
                    <w:top w:val="single" w:color="auto" w:sz="4" w:space="0"/>
                    <w:left w:val="single" w:color="auto" w:sz="4" w:space="0"/>
                    <w:bottom w:val="single" w:color="auto" w:sz="4" w:space="0"/>
                    <w:right w:val="single" w:color="auto" w:sz="4" w:space="0"/>
                  </w:tcBorders>
                  <w:vAlign w:val="center"/>
                </w:tcPr>
                <w:p>
                  <w:pPr>
                    <w:jc w:val="center"/>
                    <w:rPr>
                      <w:rFonts w:hint="default" w:hAnsi="宋体" w:cs="宋体"/>
                      <w:color w:val="auto"/>
                      <w:sz w:val="22"/>
                      <w:szCs w:val="22"/>
                      <w:highlight w:val="none"/>
                      <w:lang w:val="en-US" w:eastAsia="zh-CN"/>
                    </w:rPr>
                  </w:pPr>
                  <w:r>
                    <w:rPr>
                      <w:rFonts w:hint="eastAsia" w:hAnsi="宋体" w:cs="宋体"/>
                      <w:color w:val="auto"/>
                      <w:sz w:val="22"/>
                      <w:szCs w:val="22"/>
                      <w:highlight w:val="none"/>
                      <w:lang w:val="en-US" w:eastAsia="zh-CN"/>
                    </w:rPr>
                    <w:t>0.03</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color w:val="auto"/>
                      <w:sz w:val="24"/>
                      <w:highlight w:val="none"/>
                      <w:lang w:val="en-US" w:eastAsia="zh-CN"/>
                    </w:rPr>
                  </w:pPr>
                  <w:r>
                    <w:rPr>
                      <w:rFonts w:hint="eastAsia"/>
                      <w:color w:val="auto"/>
                      <w:sz w:val="24"/>
                      <w:highlight w:val="none"/>
                      <w:lang w:val="en-US" w:eastAsia="zh-CN"/>
                    </w:rPr>
                    <w:t>60</w:t>
                  </w:r>
                </w:p>
              </w:tc>
              <w:tc>
                <w:tcPr>
                  <w:tcW w:w="11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color w:val="auto"/>
                      <w:sz w:val="24"/>
                      <w:highlight w:val="none"/>
                      <w:lang w:val="en-US" w:eastAsia="zh-CN"/>
                    </w:rPr>
                  </w:pPr>
                  <w:r>
                    <w:rPr>
                      <w:rFonts w:hint="eastAsia"/>
                      <w:color w:val="auto"/>
                      <w:sz w:val="24"/>
                      <w:highlight w:val="none"/>
                      <w:lang w:val="en-US" w:eastAsia="zh-CN"/>
                    </w:rPr>
                    <w:t>0.09</w:t>
                  </w:r>
                </w:p>
              </w:tc>
              <w:tc>
                <w:tcPr>
                  <w:tcW w:w="679" w:type="pct"/>
                  <w:tcBorders>
                    <w:top w:val="single" w:color="auto" w:sz="4" w:space="0"/>
                    <w:left w:val="single" w:color="auto" w:sz="4" w:space="0"/>
                    <w:bottom w:val="single" w:color="auto" w:sz="4" w:space="0"/>
                    <w:right w:val="single" w:color="auto" w:sz="4" w:space="0"/>
                  </w:tcBorders>
                  <w:vAlign w:val="center"/>
                </w:tcPr>
                <w:p>
                  <w:pPr>
                    <w:jc w:val="center"/>
                    <w:rPr>
                      <w:rFonts w:hint="default" w:hAnsi="宋体" w:cs="宋体"/>
                      <w:color w:val="auto"/>
                      <w:sz w:val="22"/>
                      <w:szCs w:val="22"/>
                      <w:highlight w:val="none"/>
                      <w:lang w:val="en-US" w:eastAsia="zh-CN"/>
                    </w:rPr>
                  </w:pPr>
                  <w:r>
                    <w:rPr>
                      <w:rFonts w:hint="eastAsia" w:hAnsi="宋体" w:cs="宋体"/>
                      <w:color w:val="auto"/>
                      <w:sz w:val="22"/>
                      <w:szCs w:val="22"/>
                      <w:highlight w:val="no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491" w:type="pct"/>
                  <w:vMerge w:val="continue"/>
                  <w:tcBorders>
                    <w:left w:val="single" w:color="auto" w:sz="4" w:space="0"/>
                    <w:bottom w:val="single" w:color="auto" w:sz="4" w:space="0"/>
                    <w:right w:val="single" w:color="auto" w:sz="4" w:space="0"/>
                  </w:tcBorders>
                  <w:vAlign w:val="center"/>
                </w:tcPr>
                <w:p>
                  <w:pPr>
                    <w:jc w:val="center"/>
                    <w:rPr>
                      <w:rFonts w:hint="eastAsia" w:hAnsi="宋体" w:cs="宋体"/>
                      <w:color w:val="auto"/>
                      <w:sz w:val="22"/>
                      <w:szCs w:val="22"/>
                      <w:highlight w:val="none"/>
                      <w:lang w:eastAsia="zh-CN"/>
                    </w:rPr>
                  </w:pPr>
                </w:p>
              </w:tc>
              <w:tc>
                <w:tcPr>
                  <w:tcW w:w="504" w:type="pct"/>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highlight w:val="none"/>
                      <w:lang w:val="en-US" w:eastAsia="zh-CN"/>
                    </w:rPr>
                  </w:pPr>
                  <w:r>
                    <w:rPr>
                      <w:rFonts w:hint="eastAsia"/>
                      <w:color w:val="auto"/>
                      <w:highlight w:val="none"/>
                      <w:lang w:val="en-US" w:eastAsia="zh-CN"/>
                    </w:rPr>
                    <w:t>投料工序</w:t>
                  </w: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rFonts w:hint="eastAsia" w:hAnsi="宋体" w:cs="宋体"/>
                      <w:color w:val="auto"/>
                      <w:sz w:val="22"/>
                      <w:szCs w:val="22"/>
                      <w:highlight w:val="none"/>
                    </w:rPr>
                  </w:pPr>
                  <w:r>
                    <w:rPr>
                      <w:rFonts w:hint="eastAsia" w:hAnsi="宋体" w:cs="宋体"/>
                      <w:color w:val="auto"/>
                      <w:sz w:val="22"/>
                      <w:szCs w:val="22"/>
                      <w:highlight w:val="none"/>
                    </w:rPr>
                    <w:t>2次/年</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hAnsi="宋体" w:cs="宋体"/>
                      <w:color w:val="auto"/>
                      <w:sz w:val="22"/>
                      <w:szCs w:val="22"/>
                      <w:highlight w:val="none"/>
                    </w:rPr>
                  </w:pPr>
                  <w:r>
                    <w:rPr>
                      <w:rFonts w:hint="eastAsia" w:hAnsi="宋体" w:cs="宋体"/>
                      <w:color w:val="auto"/>
                      <w:sz w:val="22"/>
                      <w:szCs w:val="22"/>
                      <w:highlight w:val="none"/>
                    </w:rPr>
                    <w:t>20min/次</w:t>
                  </w:r>
                </w:p>
              </w:tc>
              <w:tc>
                <w:tcPr>
                  <w:tcW w:w="662" w:type="dxa"/>
                  <w:tcBorders>
                    <w:top w:val="single" w:color="auto" w:sz="4" w:space="0"/>
                    <w:left w:val="single" w:color="auto" w:sz="4" w:space="0"/>
                    <w:bottom w:val="single" w:color="auto" w:sz="4" w:space="0"/>
                    <w:right w:val="single" w:color="auto" w:sz="4" w:space="0"/>
                  </w:tcBorders>
                  <w:vAlign w:val="center"/>
                </w:tcPr>
                <w:p>
                  <w:pPr>
                    <w:jc w:val="center"/>
                    <w:rPr>
                      <w:rFonts w:hint="eastAsia" w:hAnsi="宋体" w:cs="宋体"/>
                      <w:color w:val="auto"/>
                      <w:sz w:val="22"/>
                      <w:szCs w:val="22"/>
                      <w:highlight w:val="none"/>
                      <w:lang w:val="en-US" w:eastAsia="zh-CN"/>
                    </w:rPr>
                  </w:pPr>
                  <w:r>
                    <w:rPr>
                      <w:rFonts w:hint="eastAsia" w:hAnsi="宋体" w:cs="宋体"/>
                      <w:color w:val="auto"/>
                      <w:sz w:val="22"/>
                      <w:szCs w:val="22"/>
                      <w:highlight w:val="none"/>
                      <w:lang w:val="en-US" w:eastAsia="zh-CN"/>
                    </w:rPr>
                    <w:t>颗粒物</w:t>
                  </w:r>
                </w:p>
              </w:tc>
              <w:tc>
                <w:tcPr>
                  <w:tcW w:w="545" w:type="pct"/>
                  <w:tcBorders>
                    <w:top w:val="single" w:color="auto" w:sz="4" w:space="0"/>
                    <w:left w:val="single" w:color="auto" w:sz="4" w:space="0"/>
                    <w:bottom w:val="single" w:color="auto" w:sz="4" w:space="0"/>
                    <w:right w:val="single" w:color="auto" w:sz="4" w:space="0"/>
                  </w:tcBorders>
                  <w:vAlign w:val="center"/>
                </w:tcPr>
                <w:p>
                  <w:pPr>
                    <w:jc w:val="center"/>
                    <w:rPr>
                      <w:rFonts w:hint="eastAsia" w:hAnsi="宋体" w:cs="宋体"/>
                      <w:color w:val="auto"/>
                      <w:sz w:val="22"/>
                      <w:szCs w:val="22"/>
                      <w:highlight w:val="none"/>
                      <w:lang w:val="en-US" w:eastAsia="zh-CN"/>
                    </w:rPr>
                  </w:pPr>
                  <w:r>
                    <w:rPr>
                      <w:rFonts w:hint="eastAsia" w:hAnsi="宋体" w:cs="宋体"/>
                      <w:color w:val="auto"/>
                      <w:sz w:val="22"/>
                      <w:szCs w:val="22"/>
                      <w:highlight w:val="none"/>
                      <w:lang w:val="en-US" w:eastAsia="zh-CN"/>
                    </w:rPr>
                    <w:t>0.3006</w:t>
                  </w:r>
                </w:p>
              </w:tc>
              <w:tc>
                <w:tcPr>
                  <w:tcW w:w="119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color w:val="auto"/>
                      <w:sz w:val="24"/>
                      <w:highlight w:val="none"/>
                      <w:lang w:val="en-US" w:eastAsia="zh-CN"/>
                    </w:rPr>
                  </w:pPr>
                  <w:r>
                    <w:rPr>
                      <w:rFonts w:hint="eastAsia"/>
                      <w:color w:val="auto"/>
                      <w:sz w:val="24"/>
                      <w:highlight w:val="none"/>
                      <w:lang w:val="en-US" w:eastAsia="zh-CN"/>
                    </w:rPr>
                    <w:t>300.6</w:t>
                  </w:r>
                </w:p>
              </w:tc>
              <w:tc>
                <w:tcPr>
                  <w:tcW w:w="11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color w:val="auto"/>
                      <w:sz w:val="24"/>
                      <w:highlight w:val="none"/>
                      <w:lang w:val="en-US" w:eastAsia="zh-CN"/>
                    </w:rPr>
                  </w:pPr>
                  <w:r>
                    <w:rPr>
                      <w:rFonts w:hint="eastAsia"/>
                      <w:color w:val="auto"/>
                      <w:sz w:val="24"/>
                      <w:highlight w:val="none"/>
                      <w:lang w:val="en-US" w:eastAsia="zh-CN"/>
                    </w:rPr>
                    <w:t>0.9018</w:t>
                  </w:r>
                </w:p>
              </w:tc>
              <w:tc>
                <w:tcPr>
                  <w:tcW w:w="679" w:type="pct"/>
                  <w:tcBorders>
                    <w:top w:val="single" w:color="auto" w:sz="4" w:space="0"/>
                    <w:left w:val="single" w:color="auto" w:sz="4" w:space="0"/>
                    <w:bottom w:val="single" w:color="auto" w:sz="4" w:space="0"/>
                    <w:right w:val="single" w:color="auto" w:sz="4" w:space="0"/>
                  </w:tcBorders>
                  <w:vAlign w:val="center"/>
                </w:tcPr>
                <w:p>
                  <w:pPr>
                    <w:jc w:val="center"/>
                    <w:rPr>
                      <w:rFonts w:hint="default" w:hAnsi="宋体" w:cs="宋体"/>
                      <w:color w:val="auto"/>
                      <w:sz w:val="22"/>
                      <w:szCs w:val="22"/>
                      <w:highlight w:val="none"/>
                      <w:lang w:val="en-US" w:eastAsia="zh-CN"/>
                    </w:rPr>
                  </w:pPr>
                  <w:r>
                    <w:rPr>
                      <w:rFonts w:hint="eastAsia" w:hAnsi="宋体" w:cs="宋体"/>
                      <w:color w:val="auto"/>
                      <w:sz w:val="22"/>
                      <w:szCs w:val="22"/>
                      <w:highlight w:val="none"/>
                      <w:lang w:val="en-US" w:eastAsia="zh-CN"/>
                    </w:rPr>
                    <w:t>0.3006</w:t>
                  </w:r>
                </w:p>
              </w:tc>
            </w:tr>
          </w:tbl>
          <w:p>
            <w:pPr>
              <w:spacing w:beforeLines="100" w:line="360" w:lineRule="auto"/>
              <w:ind w:firstLine="480" w:firstLineChars="200"/>
              <w:rPr>
                <w:rStyle w:val="80"/>
                <w:b w:val="0"/>
                <w:bCs w:val="0"/>
                <w:color w:val="auto"/>
                <w:highlight w:val="none"/>
              </w:rPr>
            </w:pPr>
            <w:r>
              <w:rPr>
                <w:rStyle w:val="80"/>
                <w:rFonts w:hint="eastAsia" w:cs="宋体"/>
                <w:b w:val="0"/>
                <w:bCs w:val="0"/>
                <w:color w:val="auto"/>
                <w:highlight w:val="none"/>
              </w:rPr>
              <w:t>本项目在生产时应先运行废气治理设施，待设施正常运转后再启动生产设备，确保废气的达标排放。另生产设施与废气治理设施设置联动装置，即废气治理设施一旦故障，生产设备应立刻停机，以确保废气不会超标排放。</w:t>
            </w:r>
          </w:p>
          <w:p>
            <w:pPr>
              <w:spacing w:line="360" w:lineRule="auto"/>
              <w:ind w:firstLine="480" w:firstLineChars="200"/>
              <w:rPr>
                <w:rStyle w:val="80"/>
                <w:b w:val="0"/>
                <w:bCs w:val="0"/>
                <w:color w:val="auto"/>
                <w:highlight w:val="none"/>
              </w:rPr>
            </w:pPr>
            <w:r>
              <w:rPr>
                <w:rStyle w:val="80"/>
                <w:rFonts w:hint="eastAsia" w:cs="宋体"/>
                <w:b w:val="0"/>
                <w:bCs w:val="0"/>
                <w:color w:val="auto"/>
                <w:highlight w:val="none"/>
              </w:rPr>
              <w:t>综上所述，项目废气满足《合成树脂工业污染物排放标准》（GB 31572-2015）中相关限值。在各项大气污染防治措施落实良好情况下，本项目产生大气污染物对周围环境空气质量影响较小。</w:t>
            </w:r>
          </w:p>
          <w:p>
            <w:pPr>
              <w:spacing w:line="360" w:lineRule="auto"/>
              <w:ind w:firstLine="480" w:firstLineChars="200"/>
              <w:rPr>
                <w:rStyle w:val="80"/>
                <w:b w:val="0"/>
                <w:bCs w:val="0"/>
                <w:color w:val="auto"/>
                <w:highlight w:val="none"/>
              </w:rPr>
            </w:pPr>
            <w:r>
              <w:rPr>
                <w:rStyle w:val="80"/>
                <w:rFonts w:hint="eastAsia"/>
                <w:b w:val="0"/>
                <w:bCs w:val="0"/>
                <w:color w:val="auto"/>
                <w:highlight w:val="none"/>
                <w:lang w:val="en-US"/>
              </w:rPr>
              <w:t>2</w:t>
            </w:r>
            <w:r>
              <w:rPr>
                <w:rStyle w:val="80"/>
                <w:b w:val="0"/>
                <w:bCs w:val="0"/>
                <w:color w:val="auto"/>
                <w:highlight w:val="none"/>
              </w:rPr>
              <w:t>.5</w:t>
            </w:r>
            <w:r>
              <w:rPr>
                <w:rStyle w:val="80"/>
                <w:rFonts w:hint="eastAsia" w:cs="宋体"/>
                <w:b w:val="0"/>
                <w:bCs w:val="0"/>
                <w:color w:val="auto"/>
                <w:highlight w:val="none"/>
              </w:rPr>
              <w:t>废气检测计划</w:t>
            </w:r>
          </w:p>
          <w:p>
            <w:pPr>
              <w:spacing w:line="360" w:lineRule="auto"/>
              <w:ind w:firstLine="480" w:firstLineChars="200"/>
              <w:rPr>
                <w:rStyle w:val="80"/>
                <w:b w:val="0"/>
                <w:bCs w:val="0"/>
                <w:color w:val="auto"/>
                <w:highlight w:val="none"/>
              </w:rPr>
            </w:pPr>
            <w:r>
              <w:rPr>
                <w:rStyle w:val="80"/>
                <w:rFonts w:hint="eastAsia" w:cs="宋体"/>
                <w:b w:val="0"/>
                <w:bCs w:val="0"/>
                <w:color w:val="auto"/>
                <w:highlight w:val="none"/>
              </w:rPr>
              <w:t>按照《排污许可证申请与核发技术规范</w:t>
            </w:r>
            <w:r>
              <w:rPr>
                <w:rStyle w:val="80"/>
                <w:b w:val="0"/>
                <w:bCs w:val="0"/>
                <w:color w:val="auto"/>
                <w:highlight w:val="none"/>
              </w:rPr>
              <w:t xml:space="preserve"> </w:t>
            </w:r>
            <w:r>
              <w:rPr>
                <w:rStyle w:val="80"/>
                <w:rFonts w:hint="eastAsia" w:cs="宋体"/>
                <w:b w:val="0"/>
                <w:bCs w:val="0"/>
                <w:color w:val="auto"/>
                <w:highlight w:val="none"/>
              </w:rPr>
              <w:t>总则》（</w:t>
            </w:r>
            <w:r>
              <w:rPr>
                <w:rStyle w:val="80"/>
                <w:b w:val="0"/>
                <w:bCs w:val="0"/>
                <w:color w:val="auto"/>
                <w:highlight w:val="none"/>
              </w:rPr>
              <w:t>HJ 942—2018</w:t>
            </w:r>
            <w:r>
              <w:rPr>
                <w:rStyle w:val="80"/>
                <w:rFonts w:hint="eastAsia" w:cs="宋体"/>
                <w:b w:val="0"/>
                <w:bCs w:val="0"/>
                <w:color w:val="auto"/>
                <w:highlight w:val="none"/>
              </w:rPr>
              <w:t>）、《排污单位自行监测技术指南</w:t>
            </w:r>
            <w:r>
              <w:rPr>
                <w:rStyle w:val="80"/>
                <w:b w:val="0"/>
                <w:bCs w:val="0"/>
                <w:color w:val="auto"/>
                <w:highlight w:val="none"/>
              </w:rPr>
              <w:t xml:space="preserve"> </w:t>
            </w:r>
            <w:r>
              <w:rPr>
                <w:rStyle w:val="80"/>
                <w:rFonts w:hint="eastAsia" w:cs="宋体"/>
                <w:b w:val="0"/>
                <w:bCs w:val="0"/>
                <w:color w:val="auto"/>
                <w:highlight w:val="none"/>
              </w:rPr>
              <w:t>总则》（</w:t>
            </w:r>
            <w:r>
              <w:rPr>
                <w:rStyle w:val="80"/>
                <w:b w:val="0"/>
                <w:bCs w:val="0"/>
                <w:color w:val="auto"/>
                <w:highlight w:val="none"/>
              </w:rPr>
              <w:t>HJ 819—2017</w:t>
            </w:r>
            <w:r>
              <w:rPr>
                <w:rStyle w:val="80"/>
                <w:rFonts w:hint="eastAsia" w:cs="宋体"/>
                <w:b w:val="0"/>
                <w:bCs w:val="0"/>
                <w:color w:val="auto"/>
                <w:highlight w:val="none"/>
              </w:rPr>
              <w:t>）</w:t>
            </w:r>
            <w:r>
              <w:rPr>
                <w:rStyle w:val="80"/>
                <w:rFonts w:hint="eastAsia" w:cs="宋体"/>
                <w:b w:val="0"/>
                <w:bCs w:val="0"/>
                <w:color w:val="auto"/>
                <w:highlight w:val="none"/>
                <w:lang w:eastAsia="zh-CN"/>
              </w:rPr>
              <w:t>、《排污单位自行监测技术指南橡胶和塑料制品》（HJ1207-2021）</w:t>
            </w:r>
            <w:r>
              <w:rPr>
                <w:rStyle w:val="80"/>
                <w:rFonts w:hint="eastAsia" w:cs="宋体"/>
                <w:b w:val="0"/>
                <w:bCs w:val="0"/>
                <w:color w:val="auto"/>
                <w:highlight w:val="none"/>
              </w:rPr>
              <w:t>及《</w:t>
            </w:r>
            <w:r>
              <w:rPr>
                <w:rFonts w:ascii="宋体" w:hAnsi="宋体" w:eastAsia="宋体" w:cs="宋体"/>
                <w:color w:val="auto"/>
                <w:sz w:val="24"/>
                <w:szCs w:val="24"/>
              </w:rPr>
              <w:t>排污许可证申请与核发技术规范 橡胶和塑料制品工业</w:t>
            </w:r>
            <w:r>
              <w:rPr>
                <w:rStyle w:val="80"/>
                <w:rFonts w:hint="eastAsia" w:cs="宋体"/>
                <w:b w:val="0"/>
                <w:bCs w:val="0"/>
                <w:color w:val="auto"/>
                <w:highlight w:val="none"/>
              </w:rPr>
              <w:t>》</w:t>
            </w:r>
            <w:r>
              <w:rPr>
                <w:rStyle w:val="80"/>
                <w:rFonts w:hint="eastAsia" w:ascii="Times New Roman" w:hAnsi="Times New Roman" w:eastAsia="宋体" w:cs="宋体"/>
                <w:b w:val="0"/>
                <w:bCs w:val="0"/>
                <w:color w:val="auto"/>
                <w:highlight w:val="none"/>
                <w:lang w:val="en-US" w:eastAsia="zh-CN"/>
              </w:rPr>
              <w:t>（</w:t>
            </w:r>
            <w:r>
              <w:rPr>
                <w:rStyle w:val="80"/>
                <w:rFonts w:hint="eastAsia" w:ascii="Times New Roman" w:hAnsi="Times New Roman" w:eastAsia="宋体" w:cs="宋体"/>
                <w:b w:val="0"/>
                <w:bCs w:val="0"/>
                <w:color w:val="auto"/>
                <w:highlight w:val="none"/>
                <w:lang w:eastAsia="zh-CN"/>
              </w:rPr>
              <w:t>HJ1122—2020</w:t>
            </w:r>
            <w:r>
              <w:rPr>
                <w:rStyle w:val="80"/>
                <w:rFonts w:hint="eastAsia" w:ascii="Times New Roman" w:hAnsi="Times New Roman" w:eastAsia="宋体" w:cs="宋体"/>
                <w:b w:val="0"/>
                <w:bCs w:val="0"/>
                <w:color w:val="auto"/>
                <w:highlight w:val="none"/>
                <w:lang w:val="en-US" w:eastAsia="zh-CN"/>
              </w:rPr>
              <w:t>）</w:t>
            </w:r>
            <w:r>
              <w:rPr>
                <w:rStyle w:val="80"/>
                <w:rFonts w:hint="eastAsia" w:cs="宋体"/>
                <w:b w:val="0"/>
                <w:bCs w:val="0"/>
                <w:color w:val="auto"/>
              </w:rPr>
              <w:t>的要求</w:t>
            </w:r>
            <w:r>
              <w:rPr>
                <w:rStyle w:val="80"/>
                <w:rFonts w:hint="eastAsia" w:cs="宋体"/>
                <w:b w:val="0"/>
                <w:bCs w:val="0"/>
                <w:color w:val="auto"/>
                <w:highlight w:val="none"/>
              </w:rPr>
              <w:t>，有组织废气每年度至少开展一次监测；其他涉无组织废气排放的污染源每年至少开展一次监测，本项目废气监测计划建议如下：</w:t>
            </w:r>
          </w:p>
          <w:p>
            <w:pPr>
              <w:adjustRightInd w:val="0"/>
              <w:snapToGrid w:val="0"/>
              <w:spacing w:line="360" w:lineRule="auto"/>
              <w:jc w:val="center"/>
              <w:rPr>
                <w:color w:val="auto"/>
                <w:sz w:val="24"/>
                <w:szCs w:val="24"/>
                <w:highlight w:val="none"/>
                <w:u w:color="000000"/>
              </w:rPr>
            </w:pPr>
            <w:r>
              <w:rPr>
                <w:rFonts w:hint="eastAsia" w:hAnsi="宋体" w:cs="宋体"/>
                <w:color w:val="auto"/>
                <w:sz w:val="22"/>
                <w:szCs w:val="22"/>
                <w:highlight w:val="none"/>
              </w:rPr>
              <w:t>表</w:t>
            </w:r>
            <w:r>
              <w:rPr>
                <w:rFonts w:hAnsi="宋体"/>
                <w:color w:val="auto"/>
                <w:sz w:val="22"/>
                <w:szCs w:val="22"/>
                <w:highlight w:val="none"/>
              </w:rPr>
              <w:t xml:space="preserve">4-9  </w:t>
            </w:r>
            <w:r>
              <w:rPr>
                <w:rFonts w:hint="eastAsia" w:hAnsi="宋体" w:cs="宋体"/>
                <w:color w:val="auto"/>
                <w:sz w:val="22"/>
                <w:szCs w:val="22"/>
                <w:highlight w:val="none"/>
              </w:rPr>
              <w:t>废气监测计划</w:t>
            </w:r>
          </w:p>
          <w:tbl>
            <w:tblPr>
              <w:tblStyle w:val="36"/>
              <w:tblW w:w="8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67"/>
              <w:gridCol w:w="1125"/>
              <w:gridCol w:w="1008"/>
              <w:gridCol w:w="1338"/>
              <w:gridCol w:w="1144"/>
              <w:gridCol w:w="203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8"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类别</w:t>
                  </w:r>
                </w:p>
              </w:tc>
              <w:tc>
                <w:tcPr>
                  <w:tcW w:w="698"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产生部位</w:t>
                  </w:r>
                </w:p>
              </w:tc>
              <w:tc>
                <w:tcPr>
                  <w:tcW w:w="625"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排气筒编号</w:t>
                  </w:r>
                </w:p>
              </w:tc>
              <w:tc>
                <w:tcPr>
                  <w:tcW w:w="830"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监测点位</w:t>
                  </w:r>
                </w:p>
              </w:tc>
              <w:tc>
                <w:tcPr>
                  <w:tcW w:w="710"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监测项目</w:t>
                  </w:r>
                </w:p>
              </w:tc>
              <w:tc>
                <w:tcPr>
                  <w:tcW w:w="1263"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执行标准</w:t>
                  </w:r>
                </w:p>
              </w:tc>
              <w:tc>
                <w:tcPr>
                  <w:tcW w:w="581"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88" w:hRule="atLeast"/>
                <w:jc w:val="center"/>
              </w:trPr>
              <w:tc>
                <w:tcPr>
                  <w:tcW w:w="289" w:type="pct"/>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废气</w:t>
                  </w:r>
                </w:p>
              </w:tc>
              <w:tc>
                <w:tcPr>
                  <w:tcW w:w="698"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olor w:val="auto"/>
                      <w:highlight w:val="none"/>
                      <w:lang w:val="en-US" w:eastAsia="zh-CN"/>
                    </w:rPr>
                    <w:t>热熔、挤出</w:t>
                  </w:r>
                  <w:r>
                    <w:rPr>
                      <w:rFonts w:hint="eastAsia" w:hAnsi="宋体" w:cs="宋体"/>
                      <w:color w:val="auto"/>
                      <w:sz w:val="22"/>
                      <w:szCs w:val="22"/>
                      <w:highlight w:val="none"/>
                      <w:lang w:val="en-US" w:eastAsia="zh-CN"/>
                    </w:rPr>
                    <w:t>工序</w:t>
                  </w:r>
                </w:p>
              </w:tc>
              <w:tc>
                <w:tcPr>
                  <w:tcW w:w="625"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color w:val="auto"/>
                      <w:sz w:val="22"/>
                      <w:szCs w:val="22"/>
                      <w:highlight w:val="none"/>
                    </w:rPr>
                    <w:t>DA001</w:t>
                  </w:r>
                </w:p>
              </w:tc>
              <w:tc>
                <w:tcPr>
                  <w:tcW w:w="830"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排气筒</w:t>
                  </w:r>
                  <w:r>
                    <w:rPr>
                      <w:rFonts w:hint="eastAsia" w:cs="宋体"/>
                      <w:color w:val="auto"/>
                      <w:sz w:val="22"/>
                      <w:szCs w:val="22"/>
                      <w:highlight w:val="none"/>
                      <w:lang w:eastAsia="zh-CN"/>
                    </w:rPr>
                    <w:t>进</w:t>
                  </w:r>
                  <w:r>
                    <w:rPr>
                      <w:rFonts w:hint="eastAsia" w:cs="宋体"/>
                      <w:color w:val="auto"/>
                      <w:sz w:val="22"/>
                      <w:szCs w:val="22"/>
                      <w:highlight w:val="none"/>
                    </w:rPr>
                    <w:t>出口</w:t>
                  </w:r>
                </w:p>
              </w:tc>
              <w:tc>
                <w:tcPr>
                  <w:tcW w:w="710"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 w:val="22"/>
                      <w:szCs w:val="22"/>
                      <w:highlight w:val="none"/>
                      <w:lang w:eastAsia="zh-CN"/>
                    </w:rPr>
                  </w:pPr>
                  <w:r>
                    <w:rPr>
                      <w:rFonts w:hint="eastAsia" w:cs="宋体"/>
                      <w:color w:val="auto"/>
                      <w:sz w:val="22"/>
                      <w:szCs w:val="22"/>
                    </w:rPr>
                    <w:t>非甲烷总烃</w:t>
                  </w:r>
                </w:p>
              </w:tc>
              <w:tc>
                <w:tcPr>
                  <w:tcW w:w="1263" w:type="pct"/>
                  <w:vMerge w:val="restart"/>
                  <w:tcBorders>
                    <w:top w:val="single" w:color="auto" w:sz="4" w:space="0"/>
                    <w:left w:val="single" w:color="auto" w:sz="4" w:space="0"/>
                    <w:right w:val="single" w:color="auto" w:sz="4" w:space="0"/>
                  </w:tcBorders>
                  <w:vAlign w:val="center"/>
                </w:tcPr>
                <w:p>
                  <w:pPr>
                    <w:jc w:val="center"/>
                    <w:rPr>
                      <w:rFonts w:hint="eastAsia" w:ascii="Times New Roman" w:hAnsi="Times New Roman" w:eastAsia="宋体" w:cs="宋体"/>
                      <w:color w:val="auto"/>
                      <w:sz w:val="22"/>
                      <w:szCs w:val="22"/>
                      <w:lang w:eastAsia="zh-CN"/>
                    </w:rPr>
                  </w:pPr>
                  <w:r>
                    <w:rPr>
                      <w:rFonts w:hint="eastAsia" w:ascii="Times New Roman" w:hAnsi="Times New Roman" w:eastAsia="宋体" w:cs="宋体"/>
                      <w:color w:val="auto"/>
                      <w:sz w:val="22"/>
                      <w:szCs w:val="22"/>
                      <w:lang w:eastAsia="zh-CN"/>
                    </w:rPr>
                    <w:t>《合成树脂工业污染物排放标准</w:t>
                  </w:r>
                  <w:r>
                    <w:rPr>
                      <w:rFonts w:hint="eastAsia" w:ascii="Times New Roman" w:hAnsi="Times New Roman" w:eastAsia="宋体" w:cs="宋体"/>
                      <w:color w:val="auto"/>
                      <w:sz w:val="22"/>
                      <w:szCs w:val="22"/>
                    </w:rPr>
                    <w:t>》（</w:t>
                  </w:r>
                  <w:r>
                    <w:rPr>
                      <w:rFonts w:hint="eastAsia" w:ascii="Times New Roman" w:hAnsi="Times New Roman" w:eastAsia="宋体" w:cs="宋体"/>
                      <w:color w:val="auto"/>
                      <w:sz w:val="22"/>
                      <w:szCs w:val="22"/>
                      <w:lang w:eastAsia="zh-CN"/>
                    </w:rPr>
                    <w:t>GB 31572-2015</w:t>
                  </w:r>
                  <w:r>
                    <w:rPr>
                      <w:rFonts w:hint="eastAsia" w:ascii="Times New Roman" w:hAnsi="Times New Roman" w:eastAsia="宋体" w:cs="宋体"/>
                      <w:color w:val="auto"/>
                      <w:sz w:val="22"/>
                      <w:szCs w:val="22"/>
                    </w:rPr>
                    <w:t>）</w:t>
                  </w:r>
                </w:p>
              </w:tc>
              <w:tc>
                <w:tcPr>
                  <w:tcW w:w="581"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color w:val="auto"/>
                      <w:sz w:val="22"/>
                      <w:szCs w:val="22"/>
                      <w:highlight w:val="none"/>
                    </w:rPr>
                    <w:t>1</w:t>
                  </w:r>
                  <w:r>
                    <w:rPr>
                      <w:rFonts w:hint="eastAsia" w:cs="宋体"/>
                      <w:color w:val="auto"/>
                      <w:sz w:val="22"/>
                      <w:szCs w:val="22"/>
                      <w:highlight w:val="none"/>
                    </w:rPr>
                    <w:t>次</w:t>
                  </w:r>
                  <w:r>
                    <w:rPr>
                      <w:color w:val="auto"/>
                      <w:sz w:val="22"/>
                      <w:szCs w:val="22"/>
                      <w:highlight w:val="none"/>
                    </w:rPr>
                    <w:t>/</w:t>
                  </w:r>
                  <w:r>
                    <w:rPr>
                      <w:rFonts w:hint="eastAsia" w:cs="宋体"/>
                      <w:color w:val="auto"/>
                      <w:sz w:val="22"/>
                      <w:szCs w:val="22"/>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88" w:hRule="atLeast"/>
                <w:jc w:val="center"/>
              </w:trPr>
              <w:tc>
                <w:tcPr>
                  <w:tcW w:w="289" w:type="pct"/>
                  <w:vMerge w:val="continue"/>
                  <w:tcBorders>
                    <w:left w:val="single" w:color="auto" w:sz="4" w:space="0"/>
                    <w:right w:val="single" w:color="auto" w:sz="4" w:space="0"/>
                  </w:tcBorders>
                  <w:vAlign w:val="center"/>
                </w:tcPr>
                <w:p>
                  <w:pPr>
                    <w:jc w:val="center"/>
                    <w:rPr>
                      <w:rFonts w:hint="eastAsia" w:cs="宋体"/>
                      <w:color w:val="auto"/>
                      <w:sz w:val="22"/>
                      <w:szCs w:val="22"/>
                      <w:highlight w:val="none"/>
                    </w:rPr>
                  </w:pPr>
                </w:p>
              </w:tc>
              <w:tc>
                <w:tcPr>
                  <w:tcW w:w="698" w:type="pct"/>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highlight w:val="none"/>
                      <w:lang w:val="en-US" w:eastAsia="zh-CN"/>
                    </w:rPr>
                  </w:pPr>
                  <w:r>
                    <w:rPr>
                      <w:rFonts w:hint="eastAsia"/>
                      <w:color w:val="auto"/>
                      <w:highlight w:val="none"/>
                      <w:lang w:val="en-US" w:eastAsia="zh-CN"/>
                    </w:rPr>
                    <w:t>破碎、投料工序</w:t>
                  </w:r>
                </w:p>
              </w:tc>
              <w:tc>
                <w:tcPr>
                  <w:tcW w:w="625"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 w:val="22"/>
                      <w:szCs w:val="22"/>
                      <w:highlight w:val="none"/>
                      <w:lang w:eastAsia="zh-CN"/>
                    </w:rPr>
                  </w:pPr>
                  <w:r>
                    <w:rPr>
                      <w:color w:val="auto"/>
                      <w:sz w:val="22"/>
                      <w:szCs w:val="22"/>
                      <w:highlight w:val="none"/>
                    </w:rPr>
                    <w:t>DA00</w:t>
                  </w:r>
                  <w:r>
                    <w:rPr>
                      <w:rFonts w:hint="eastAsia"/>
                      <w:color w:val="auto"/>
                      <w:sz w:val="22"/>
                      <w:szCs w:val="22"/>
                      <w:highlight w:val="none"/>
                      <w:lang w:val="en-US" w:eastAsia="zh-CN"/>
                    </w:rPr>
                    <w:t>2</w:t>
                  </w:r>
                </w:p>
              </w:tc>
              <w:tc>
                <w:tcPr>
                  <w:tcW w:w="830" w:type="pct"/>
                  <w:tcBorders>
                    <w:top w:val="single" w:color="auto" w:sz="4" w:space="0"/>
                    <w:left w:val="single" w:color="auto" w:sz="4" w:space="0"/>
                    <w:bottom w:val="single" w:color="auto" w:sz="4" w:space="0"/>
                    <w:right w:val="single" w:color="auto" w:sz="4" w:space="0"/>
                  </w:tcBorders>
                  <w:vAlign w:val="center"/>
                </w:tcPr>
                <w:p>
                  <w:pPr>
                    <w:jc w:val="center"/>
                    <w:rPr>
                      <w:rFonts w:hint="eastAsia" w:cs="宋体"/>
                      <w:color w:val="auto"/>
                      <w:sz w:val="22"/>
                      <w:szCs w:val="22"/>
                      <w:highlight w:val="none"/>
                    </w:rPr>
                  </w:pPr>
                  <w:r>
                    <w:rPr>
                      <w:rFonts w:hint="eastAsia" w:cs="宋体"/>
                      <w:color w:val="auto"/>
                      <w:sz w:val="22"/>
                      <w:szCs w:val="22"/>
                      <w:highlight w:val="none"/>
                    </w:rPr>
                    <w:t>排气筒</w:t>
                  </w:r>
                  <w:r>
                    <w:rPr>
                      <w:rFonts w:hint="eastAsia" w:cs="宋体"/>
                      <w:color w:val="auto"/>
                      <w:sz w:val="22"/>
                      <w:szCs w:val="22"/>
                      <w:highlight w:val="none"/>
                      <w:lang w:eastAsia="zh-CN"/>
                    </w:rPr>
                    <w:t>进</w:t>
                  </w:r>
                  <w:r>
                    <w:rPr>
                      <w:rFonts w:hint="eastAsia" w:cs="宋体"/>
                      <w:color w:val="auto"/>
                      <w:sz w:val="22"/>
                      <w:szCs w:val="22"/>
                      <w:highlight w:val="none"/>
                    </w:rPr>
                    <w:t>出口</w:t>
                  </w:r>
                </w:p>
              </w:tc>
              <w:tc>
                <w:tcPr>
                  <w:tcW w:w="710"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s="宋体"/>
                      <w:color w:val="auto"/>
                      <w:sz w:val="22"/>
                      <w:szCs w:val="22"/>
                      <w:lang w:eastAsia="zh-CN"/>
                    </w:rPr>
                  </w:pPr>
                  <w:r>
                    <w:rPr>
                      <w:rFonts w:hint="eastAsia" w:cs="宋体"/>
                      <w:color w:val="auto"/>
                      <w:sz w:val="22"/>
                      <w:szCs w:val="22"/>
                      <w:lang w:eastAsia="zh-CN"/>
                    </w:rPr>
                    <w:t>颗粒物</w:t>
                  </w:r>
                </w:p>
              </w:tc>
              <w:tc>
                <w:tcPr>
                  <w:tcW w:w="1263" w:type="pct"/>
                  <w:vMerge w:val="continue"/>
                  <w:tcBorders>
                    <w:left w:val="single" w:color="auto" w:sz="4" w:space="0"/>
                    <w:right w:val="single" w:color="auto" w:sz="4" w:space="0"/>
                  </w:tcBorders>
                  <w:vAlign w:val="center"/>
                </w:tcPr>
                <w:p>
                  <w:pPr>
                    <w:jc w:val="center"/>
                    <w:rPr>
                      <w:rFonts w:hint="eastAsia" w:ascii="Times New Roman" w:hAnsi="Times New Roman" w:eastAsia="宋体" w:cs="宋体"/>
                      <w:color w:val="auto"/>
                      <w:sz w:val="22"/>
                      <w:szCs w:val="22"/>
                      <w:lang w:eastAsia="zh-CN"/>
                    </w:rPr>
                  </w:pPr>
                </w:p>
              </w:tc>
              <w:tc>
                <w:tcPr>
                  <w:tcW w:w="581"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color w:val="auto"/>
                      <w:sz w:val="22"/>
                      <w:szCs w:val="22"/>
                      <w:highlight w:val="none"/>
                    </w:rPr>
                    <w:t>1</w:t>
                  </w:r>
                  <w:r>
                    <w:rPr>
                      <w:rFonts w:hint="eastAsia" w:cs="宋体"/>
                      <w:color w:val="auto"/>
                      <w:sz w:val="22"/>
                      <w:szCs w:val="22"/>
                      <w:highlight w:val="none"/>
                    </w:rPr>
                    <w:t>次</w:t>
                  </w:r>
                  <w:r>
                    <w:rPr>
                      <w:color w:val="auto"/>
                      <w:sz w:val="22"/>
                      <w:szCs w:val="22"/>
                      <w:highlight w:val="none"/>
                    </w:rPr>
                    <w:t>/</w:t>
                  </w:r>
                  <w:r>
                    <w:rPr>
                      <w:rFonts w:hint="eastAsia" w:cs="宋体"/>
                      <w:color w:val="auto"/>
                      <w:sz w:val="22"/>
                      <w:szCs w:val="22"/>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21" w:hRule="atLeast"/>
                <w:jc w:val="center"/>
              </w:trPr>
              <w:tc>
                <w:tcPr>
                  <w:tcW w:w="289"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p>
              </w:tc>
              <w:tc>
                <w:tcPr>
                  <w:tcW w:w="698" w:type="pct"/>
                  <w:tcBorders>
                    <w:top w:val="single" w:color="auto" w:sz="4" w:space="0"/>
                    <w:left w:val="single" w:color="auto" w:sz="4" w:space="0"/>
                    <w:bottom w:val="single" w:color="auto" w:sz="4" w:space="0"/>
                    <w:right w:val="single" w:color="auto" w:sz="4" w:space="0"/>
                  </w:tcBorders>
                  <w:vAlign w:val="center"/>
                </w:tcPr>
                <w:p>
                  <w:pPr>
                    <w:jc w:val="center"/>
                    <w:rPr>
                      <w:rFonts w:hint="eastAsia" w:cs="宋体"/>
                      <w:color w:val="auto"/>
                      <w:sz w:val="22"/>
                      <w:szCs w:val="22"/>
                      <w:highlight w:val="none"/>
                    </w:rPr>
                  </w:pPr>
                  <w:r>
                    <w:rPr>
                      <w:rFonts w:hint="eastAsia" w:cs="宋体"/>
                      <w:color w:val="auto"/>
                      <w:sz w:val="22"/>
                      <w:szCs w:val="22"/>
                    </w:rPr>
                    <w:t>厂内</w:t>
                  </w:r>
                </w:p>
              </w:tc>
              <w:tc>
                <w:tcPr>
                  <w:tcW w:w="625"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color w:val="auto"/>
                      <w:sz w:val="22"/>
                      <w:szCs w:val="22"/>
                    </w:rPr>
                    <w:t>/</w:t>
                  </w:r>
                </w:p>
              </w:tc>
              <w:tc>
                <w:tcPr>
                  <w:tcW w:w="830" w:type="pct"/>
                  <w:tcBorders>
                    <w:top w:val="single" w:color="auto" w:sz="4" w:space="0"/>
                    <w:left w:val="single" w:color="auto" w:sz="4" w:space="0"/>
                    <w:bottom w:val="single" w:color="auto" w:sz="4" w:space="0"/>
                    <w:right w:val="single" w:color="auto" w:sz="4" w:space="0"/>
                  </w:tcBorders>
                  <w:vAlign w:val="center"/>
                </w:tcPr>
                <w:p>
                  <w:pPr>
                    <w:jc w:val="center"/>
                    <w:rPr>
                      <w:rFonts w:hint="eastAsia" w:cs="宋体"/>
                      <w:color w:val="auto"/>
                      <w:sz w:val="22"/>
                      <w:szCs w:val="22"/>
                      <w:highlight w:val="none"/>
                    </w:rPr>
                  </w:pPr>
                  <w:r>
                    <w:rPr>
                      <w:rFonts w:hint="eastAsia" w:cs="宋体"/>
                      <w:color w:val="auto"/>
                      <w:sz w:val="22"/>
                      <w:szCs w:val="22"/>
                    </w:rPr>
                    <w:t>厂房门窗或通风口外</w:t>
                  </w:r>
                  <w:r>
                    <w:rPr>
                      <w:color w:val="auto"/>
                      <w:sz w:val="22"/>
                      <w:szCs w:val="22"/>
                    </w:rPr>
                    <w:t>1m</w:t>
                  </w:r>
                  <w:r>
                    <w:rPr>
                      <w:rFonts w:hint="eastAsia" w:cs="宋体"/>
                      <w:color w:val="auto"/>
                      <w:sz w:val="22"/>
                      <w:szCs w:val="22"/>
                    </w:rPr>
                    <w:t>，距离地面</w:t>
                  </w:r>
                  <w:r>
                    <w:rPr>
                      <w:color w:val="auto"/>
                      <w:sz w:val="22"/>
                      <w:szCs w:val="22"/>
                    </w:rPr>
                    <w:t>1.5m</w:t>
                  </w:r>
                  <w:r>
                    <w:rPr>
                      <w:rFonts w:hint="eastAsia" w:cs="宋体"/>
                      <w:color w:val="auto"/>
                      <w:sz w:val="22"/>
                      <w:szCs w:val="22"/>
                    </w:rPr>
                    <w:t>以上位置处进行监测</w:t>
                  </w:r>
                </w:p>
              </w:tc>
              <w:tc>
                <w:tcPr>
                  <w:tcW w:w="71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宋体"/>
                      <w:color w:val="auto"/>
                      <w:sz w:val="22"/>
                      <w:szCs w:val="22"/>
                      <w:highlight w:val="none"/>
                      <w:lang w:eastAsia="zh-CN"/>
                    </w:rPr>
                  </w:pPr>
                  <w:r>
                    <w:rPr>
                      <w:rFonts w:hint="eastAsia" w:cs="宋体"/>
                      <w:color w:val="auto"/>
                      <w:sz w:val="22"/>
                      <w:szCs w:val="22"/>
                    </w:rPr>
                    <w:t>非甲烷总烃</w:t>
                  </w:r>
                </w:p>
              </w:tc>
              <w:tc>
                <w:tcPr>
                  <w:tcW w:w="1263" w:type="pct"/>
                  <w:tcBorders>
                    <w:left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rPr>
                    <w:t>《挥发性有机物无组织控制排放标准》（</w:t>
                  </w:r>
                  <w:r>
                    <w:rPr>
                      <w:color w:val="auto"/>
                      <w:sz w:val="22"/>
                      <w:szCs w:val="22"/>
                    </w:rPr>
                    <w:t>GB37822-2019</w:t>
                  </w:r>
                  <w:r>
                    <w:rPr>
                      <w:rFonts w:hint="eastAsia" w:cs="宋体"/>
                      <w:color w:val="auto"/>
                      <w:sz w:val="22"/>
                      <w:szCs w:val="22"/>
                    </w:rPr>
                    <w:t>）附录</w:t>
                  </w:r>
                  <w:r>
                    <w:rPr>
                      <w:color w:val="auto"/>
                      <w:sz w:val="22"/>
                      <w:szCs w:val="22"/>
                    </w:rPr>
                    <w:t>A</w:t>
                  </w:r>
                  <w:r>
                    <w:rPr>
                      <w:rFonts w:hint="eastAsia" w:cs="宋体"/>
                      <w:color w:val="auto"/>
                      <w:sz w:val="22"/>
                      <w:szCs w:val="22"/>
                    </w:rPr>
                    <w:t>中“表</w:t>
                  </w:r>
                  <w:r>
                    <w:rPr>
                      <w:color w:val="auto"/>
                      <w:sz w:val="22"/>
                      <w:szCs w:val="22"/>
                    </w:rPr>
                    <w:t>A.1</w:t>
                  </w:r>
                  <w:r>
                    <w:rPr>
                      <w:rFonts w:hint="eastAsia" w:cs="宋体"/>
                      <w:color w:val="auto"/>
                      <w:sz w:val="22"/>
                      <w:szCs w:val="22"/>
                    </w:rPr>
                    <w:t>中限值”</w:t>
                  </w:r>
                </w:p>
              </w:tc>
              <w:tc>
                <w:tcPr>
                  <w:tcW w:w="581"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color w:val="auto"/>
                      <w:sz w:val="22"/>
                      <w:szCs w:val="22"/>
                    </w:rPr>
                    <w:t>1</w:t>
                  </w:r>
                  <w:r>
                    <w:rPr>
                      <w:rFonts w:hint="eastAsia" w:cs="宋体"/>
                      <w:color w:val="auto"/>
                      <w:sz w:val="22"/>
                      <w:szCs w:val="22"/>
                    </w:rPr>
                    <w:t>次</w:t>
                  </w:r>
                  <w:r>
                    <w:rPr>
                      <w:color w:val="auto"/>
                      <w:sz w:val="22"/>
                      <w:szCs w:val="22"/>
                    </w:rPr>
                    <w:t>/</w:t>
                  </w:r>
                  <w:r>
                    <w:rPr>
                      <w:rFonts w:hint="eastAsia" w:cs="宋体"/>
                      <w:color w:val="auto"/>
                      <w:sz w:val="22"/>
                      <w:szCs w:val="22"/>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77" w:hRule="atLeast"/>
                <w:jc w:val="center"/>
              </w:trPr>
              <w:tc>
                <w:tcPr>
                  <w:tcW w:w="289"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p>
              </w:tc>
              <w:tc>
                <w:tcPr>
                  <w:tcW w:w="698" w:type="pct"/>
                  <w:tcBorders>
                    <w:top w:val="single" w:color="auto" w:sz="4" w:space="0"/>
                    <w:left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厂界</w:t>
                  </w:r>
                </w:p>
              </w:tc>
              <w:tc>
                <w:tcPr>
                  <w:tcW w:w="625" w:type="pct"/>
                  <w:tcBorders>
                    <w:top w:val="single" w:color="auto" w:sz="4" w:space="0"/>
                    <w:left w:val="single" w:color="auto" w:sz="4" w:space="0"/>
                    <w:right w:val="single" w:color="auto" w:sz="4" w:space="0"/>
                  </w:tcBorders>
                  <w:vAlign w:val="center"/>
                </w:tcPr>
                <w:p>
                  <w:pPr>
                    <w:jc w:val="center"/>
                    <w:rPr>
                      <w:color w:val="auto"/>
                      <w:sz w:val="22"/>
                      <w:szCs w:val="22"/>
                      <w:highlight w:val="none"/>
                    </w:rPr>
                  </w:pPr>
                  <w:r>
                    <w:rPr>
                      <w:color w:val="auto"/>
                      <w:sz w:val="22"/>
                      <w:szCs w:val="22"/>
                      <w:highlight w:val="none"/>
                    </w:rPr>
                    <w:t>/</w:t>
                  </w:r>
                </w:p>
              </w:tc>
              <w:tc>
                <w:tcPr>
                  <w:tcW w:w="830"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上风向设置</w:t>
                  </w:r>
                  <w:r>
                    <w:rPr>
                      <w:color w:val="auto"/>
                      <w:sz w:val="22"/>
                      <w:szCs w:val="22"/>
                      <w:highlight w:val="none"/>
                    </w:rPr>
                    <w:t>1</w:t>
                  </w:r>
                  <w:r>
                    <w:rPr>
                      <w:rFonts w:hint="eastAsia" w:cs="宋体"/>
                      <w:color w:val="auto"/>
                      <w:sz w:val="22"/>
                      <w:szCs w:val="22"/>
                      <w:highlight w:val="none"/>
                    </w:rPr>
                    <w:t>个、下风向各</w:t>
                  </w:r>
                  <w:r>
                    <w:rPr>
                      <w:color w:val="auto"/>
                      <w:sz w:val="22"/>
                      <w:szCs w:val="22"/>
                      <w:highlight w:val="none"/>
                    </w:rPr>
                    <w:t>3</w:t>
                  </w:r>
                  <w:r>
                    <w:rPr>
                      <w:rFonts w:hint="eastAsia" w:cs="宋体"/>
                      <w:color w:val="auto"/>
                      <w:sz w:val="22"/>
                      <w:szCs w:val="22"/>
                      <w:highlight w:val="none"/>
                    </w:rPr>
                    <w:t>个监测点位</w:t>
                  </w:r>
                </w:p>
              </w:tc>
              <w:tc>
                <w:tcPr>
                  <w:tcW w:w="71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宋体"/>
                      <w:color w:val="auto"/>
                      <w:sz w:val="22"/>
                      <w:szCs w:val="22"/>
                      <w:highlight w:val="none"/>
                      <w:lang w:eastAsia="zh-CN"/>
                    </w:rPr>
                  </w:pPr>
                  <w:r>
                    <w:rPr>
                      <w:rFonts w:hint="eastAsia" w:cs="宋体"/>
                      <w:color w:val="auto"/>
                      <w:sz w:val="22"/>
                      <w:szCs w:val="22"/>
                      <w:highlight w:val="none"/>
                      <w:lang w:eastAsia="zh-CN"/>
                    </w:rPr>
                    <w:t>颗粒物、</w:t>
                  </w:r>
                  <w:r>
                    <w:rPr>
                      <w:rFonts w:hint="eastAsia" w:ascii="Times New Roman" w:hAnsi="Times New Roman" w:eastAsia="宋体" w:cs="宋体"/>
                      <w:color w:val="auto"/>
                      <w:sz w:val="22"/>
                      <w:szCs w:val="22"/>
                      <w:highlight w:val="none"/>
                      <w:lang w:eastAsia="zh-CN"/>
                    </w:rPr>
                    <w:t>非甲烷总烃</w:t>
                  </w:r>
                </w:p>
              </w:tc>
              <w:tc>
                <w:tcPr>
                  <w:tcW w:w="1263" w:type="pct"/>
                  <w:tcBorders>
                    <w:left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《合成树脂工业污染物排放标准》（GB 31572-2015）</w:t>
                  </w:r>
                </w:p>
              </w:tc>
              <w:tc>
                <w:tcPr>
                  <w:tcW w:w="581" w:type="pct"/>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color w:val="auto"/>
                      <w:sz w:val="22"/>
                      <w:szCs w:val="22"/>
                      <w:highlight w:val="none"/>
                    </w:rPr>
                    <w:t>1</w:t>
                  </w:r>
                  <w:r>
                    <w:rPr>
                      <w:rFonts w:hint="eastAsia" w:cs="宋体"/>
                      <w:color w:val="auto"/>
                      <w:sz w:val="22"/>
                      <w:szCs w:val="22"/>
                      <w:highlight w:val="none"/>
                    </w:rPr>
                    <w:t>次</w:t>
                  </w:r>
                  <w:r>
                    <w:rPr>
                      <w:color w:val="auto"/>
                      <w:sz w:val="22"/>
                      <w:szCs w:val="22"/>
                      <w:highlight w:val="none"/>
                    </w:rPr>
                    <w:t>/</w:t>
                  </w:r>
                  <w:r>
                    <w:rPr>
                      <w:rFonts w:hint="eastAsia" w:cs="宋体"/>
                      <w:color w:val="auto"/>
                      <w:sz w:val="22"/>
                      <w:szCs w:val="22"/>
                      <w:highlight w:val="none"/>
                    </w:rPr>
                    <w:t>年</w:t>
                  </w:r>
                </w:p>
              </w:tc>
            </w:tr>
          </w:tbl>
          <w:p>
            <w:pPr>
              <w:spacing w:beforeLines="100" w:line="360" w:lineRule="auto"/>
              <w:ind w:firstLine="480" w:firstLineChars="200"/>
              <w:rPr>
                <w:rStyle w:val="80"/>
                <w:b w:val="0"/>
                <w:bCs w:val="0"/>
                <w:color w:val="auto"/>
                <w:highlight w:val="none"/>
              </w:rPr>
            </w:pPr>
            <w:r>
              <w:rPr>
                <w:rStyle w:val="80"/>
                <w:b w:val="0"/>
                <w:bCs w:val="0"/>
                <w:color w:val="auto"/>
                <w:highlight w:val="none"/>
              </w:rPr>
              <w:t>3</w:t>
            </w:r>
            <w:r>
              <w:rPr>
                <w:rStyle w:val="80"/>
                <w:rFonts w:hint="eastAsia"/>
                <w:b w:val="0"/>
                <w:bCs w:val="0"/>
                <w:color w:val="auto"/>
                <w:highlight w:val="none"/>
                <w:lang w:val="en-US"/>
              </w:rPr>
              <w:t>、</w:t>
            </w:r>
            <w:r>
              <w:rPr>
                <w:rStyle w:val="80"/>
                <w:rFonts w:hint="eastAsia" w:cs="宋体"/>
                <w:b w:val="0"/>
                <w:bCs w:val="0"/>
                <w:color w:val="auto"/>
                <w:highlight w:val="none"/>
              </w:rPr>
              <w:t>声环境影响及保护措施</w:t>
            </w:r>
          </w:p>
          <w:p>
            <w:pPr>
              <w:spacing w:line="360" w:lineRule="auto"/>
              <w:ind w:firstLine="480" w:firstLineChars="200"/>
              <w:rPr>
                <w:rStyle w:val="80"/>
                <w:rFonts w:hint="eastAsia" w:ascii="Times New Roman" w:hAnsi="Times New Roman" w:eastAsia="宋体" w:cs="宋体"/>
                <w:b w:val="0"/>
                <w:bCs w:val="0"/>
                <w:color w:val="auto"/>
                <w:highlight w:val="none"/>
              </w:rPr>
            </w:pPr>
            <w:r>
              <w:rPr>
                <w:rStyle w:val="80"/>
                <w:b w:val="0"/>
                <w:bCs w:val="0"/>
                <w:color w:val="auto"/>
                <w:highlight w:val="none"/>
              </w:rPr>
              <w:t>3.1</w:t>
            </w:r>
            <w:r>
              <w:rPr>
                <w:rStyle w:val="80"/>
                <w:rFonts w:hint="eastAsia" w:cs="宋体"/>
                <w:b w:val="0"/>
                <w:bCs w:val="0"/>
                <w:color w:val="auto"/>
                <w:highlight w:val="none"/>
              </w:rPr>
              <w:t>噪声源强</w:t>
            </w:r>
          </w:p>
          <w:p>
            <w:pPr>
              <w:spacing w:line="360" w:lineRule="auto"/>
              <w:ind w:firstLine="480" w:firstLineChars="200"/>
              <w:rPr>
                <w:rStyle w:val="80"/>
                <w:b w:val="0"/>
                <w:bCs w:val="0"/>
                <w:color w:val="auto"/>
                <w:highlight w:val="none"/>
              </w:rPr>
            </w:pPr>
            <w:r>
              <w:rPr>
                <w:rStyle w:val="80"/>
                <w:rFonts w:hint="eastAsia" w:ascii="Times New Roman" w:hAnsi="Times New Roman" w:eastAsia="宋体" w:cs="宋体"/>
                <w:b w:val="0"/>
                <w:bCs w:val="0"/>
                <w:color w:val="auto"/>
                <w:highlight w:val="none"/>
              </w:rPr>
              <w:t>本项目噪声主要</w:t>
            </w:r>
            <w:bookmarkStart w:id="3" w:name="_Hlk525050712"/>
            <w:r>
              <w:rPr>
                <w:rStyle w:val="80"/>
                <w:rFonts w:hint="eastAsia" w:ascii="Times New Roman" w:hAnsi="Times New Roman" w:eastAsia="宋体" w:cs="宋体"/>
                <w:b w:val="0"/>
                <w:bCs w:val="0"/>
                <w:color w:val="auto"/>
                <w:highlight w:val="none"/>
              </w:rPr>
              <w:t>来源于</w:t>
            </w:r>
            <w:r>
              <w:rPr>
                <w:rStyle w:val="80"/>
                <w:rFonts w:hint="eastAsia" w:cs="宋体"/>
                <w:b w:val="0"/>
                <w:bCs w:val="0"/>
                <w:color w:val="auto"/>
                <w:highlight w:val="none"/>
                <w:lang w:val="en-US" w:eastAsia="zh-CN"/>
              </w:rPr>
              <w:t>破</w:t>
            </w:r>
            <w:r>
              <w:rPr>
                <w:rStyle w:val="80"/>
                <w:rFonts w:hint="eastAsia" w:ascii="Times New Roman" w:hAnsi="Times New Roman" w:eastAsia="宋体" w:cs="宋体"/>
                <w:b w:val="0"/>
                <w:bCs w:val="0"/>
                <w:color w:val="auto"/>
                <w:highlight w:val="none"/>
                <w:lang w:val="en-US" w:eastAsia="zh-CN"/>
              </w:rPr>
              <w:t>碎机、螺杆挤出机</w:t>
            </w:r>
            <w:r>
              <w:rPr>
                <w:rStyle w:val="80"/>
                <w:rFonts w:hint="eastAsia" w:cs="宋体"/>
                <w:b w:val="0"/>
                <w:bCs w:val="0"/>
                <w:color w:val="auto"/>
                <w:highlight w:val="none"/>
                <w:lang w:val="en-US" w:eastAsia="zh-CN"/>
              </w:rPr>
              <w:t>等</w:t>
            </w:r>
            <w:r>
              <w:rPr>
                <w:rStyle w:val="80"/>
                <w:rFonts w:hint="eastAsia" w:ascii="Times New Roman" w:hAnsi="Times New Roman" w:eastAsia="宋体" w:cs="宋体"/>
                <w:b w:val="0"/>
                <w:bCs w:val="0"/>
                <w:color w:val="auto"/>
                <w:highlight w:val="none"/>
              </w:rPr>
              <w:t>设备运行过程产生的机械噪声，类比《环境噪声与振动</w:t>
            </w:r>
            <w:r>
              <w:rPr>
                <w:rStyle w:val="80"/>
                <w:rFonts w:hint="eastAsia" w:cs="宋体"/>
                <w:b w:val="0"/>
                <w:bCs w:val="0"/>
                <w:color w:val="auto"/>
                <w:highlight w:val="none"/>
              </w:rPr>
              <w:t>控制工程技术导则》</w:t>
            </w:r>
            <w:r>
              <w:rPr>
                <w:rStyle w:val="80"/>
                <w:b w:val="0"/>
                <w:bCs w:val="0"/>
                <w:color w:val="auto"/>
                <w:highlight w:val="none"/>
              </w:rPr>
              <w:t xml:space="preserve"> (HJ2034-2013)</w:t>
            </w:r>
            <w:r>
              <w:rPr>
                <w:rStyle w:val="80"/>
                <w:rFonts w:hint="eastAsia" w:cs="宋体"/>
                <w:b w:val="0"/>
                <w:bCs w:val="0"/>
                <w:color w:val="auto"/>
                <w:highlight w:val="none"/>
              </w:rPr>
              <w:t>相关设备噪声源源强及设备厂家提供的数据，单台设备产生的噪声值约为</w:t>
            </w:r>
            <w:r>
              <w:rPr>
                <w:rStyle w:val="80"/>
                <w:b w:val="0"/>
                <w:bCs w:val="0"/>
                <w:color w:val="auto"/>
                <w:highlight w:val="none"/>
              </w:rPr>
              <w:t xml:space="preserve"> </w:t>
            </w:r>
            <w:r>
              <w:rPr>
                <w:rStyle w:val="80"/>
                <w:rFonts w:hint="eastAsia"/>
                <w:b w:val="0"/>
                <w:bCs w:val="0"/>
                <w:color w:val="auto"/>
                <w:highlight w:val="none"/>
                <w:lang w:val="en-US"/>
              </w:rPr>
              <w:t>6</w:t>
            </w:r>
            <w:r>
              <w:rPr>
                <w:rStyle w:val="80"/>
                <w:b w:val="0"/>
                <w:bCs w:val="0"/>
                <w:color w:val="auto"/>
                <w:highlight w:val="none"/>
              </w:rPr>
              <w:t>5~80 GB(A)</w:t>
            </w:r>
            <w:r>
              <w:rPr>
                <w:rStyle w:val="80"/>
                <w:rFonts w:hint="eastAsia" w:cs="宋体"/>
                <w:b w:val="0"/>
                <w:bCs w:val="0"/>
                <w:color w:val="auto"/>
                <w:highlight w:val="none"/>
              </w:rPr>
              <w:t>。</w:t>
            </w:r>
          </w:p>
          <w:p>
            <w:pPr>
              <w:spacing w:line="360" w:lineRule="auto"/>
              <w:ind w:firstLine="480" w:firstLineChars="200"/>
              <w:rPr>
                <w:rStyle w:val="80"/>
                <w:b w:val="0"/>
                <w:bCs w:val="0"/>
                <w:color w:val="auto"/>
                <w:highlight w:val="none"/>
              </w:rPr>
            </w:pPr>
            <w:r>
              <w:rPr>
                <w:rStyle w:val="80"/>
                <w:rFonts w:hint="eastAsia" w:cs="宋体"/>
                <w:b w:val="0"/>
                <w:bCs w:val="0"/>
                <w:color w:val="auto"/>
                <w:highlight w:val="none"/>
              </w:rPr>
              <w:t>生产设备均放置于生产区域内，钢混结构厂房，综合隔声量可达</w:t>
            </w:r>
            <w:r>
              <w:rPr>
                <w:rStyle w:val="80"/>
                <w:b w:val="0"/>
                <w:bCs w:val="0"/>
                <w:color w:val="auto"/>
                <w:highlight w:val="none"/>
              </w:rPr>
              <w:t xml:space="preserve"> 25 GB(A)</w:t>
            </w:r>
            <w:r>
              <w:rPr>
                <w:rStyle w:val="80"/>
                <w:rFonts w:hint="eastAsia" w:cs="宋体"/>
                <w:b w:val="0"/>
                <w:bCs w:val="0"/>
                <w:color w:val="auto"/>
                <w:highlight w:val="none"/>
              </w:rPr>
              <w:t>以上，各设备噪声值见下。</w:t>
            </w:r>
          </w:p>
          <w:p>
            <w:pPr>
              <w:widowControl/>
              <w:spacing w:line="360" w:lineRule="auto"/>
              <w:ind w:firstLine="30" w:firstLineChars="14"/>
              <w:jc w:val="center"/>
              <w:rPr>
                <w:color w:val="auto"/>
                <w:kern w:val="0"/>
                <w:sz w:val="22"/>
                <w:szCs w:val="22"/>
                <w:highlight w:val="none"/>
              </w:rPr>
            </w:pPr>
            <w:r>
              <w:rPr>
                <w:rFonts w:hint="eastAsia" w:cs="宋体"/>
                <w:color w:val="auto"/>
                <w:kern w:val="0"/>
                <w:sz w:val="22"/>
                <w:szCs w:val="22"/>
                <w:highlight w:val="none"/>
              </w:rPr>
              <w:t>表</w:t>
            </w:r>
            <w:r>
              <w:rPr>
                <w:color w:val="auto"/>
                <w:kern w:val="0"/>
                <w:sz w:val="22"/>
                <w:szCs w:val="22"/>
                <w:highlight w:val="none"/>
              </w:rPr>
              <w:t xml:space="preserve">4-10  </w:t>
            </w:r>
            <w:r>
              <w:rPr>
                <w:rFonts w:hint="eastAsia" w:cs="宋体"/>
                <w:color w:val="auto"/>
                <w:kern w:val="0"/>
                <w:sz w:val="22"/>
                <w:szCs w:val="22"/>
                <w:highlight w:val="none"/>
              </w:rPr>
              <w:t>项目主要设备噪声一览表</w:t>
            </w:r>
            <w:r>
              <w:rPr>
                <w:color w:val="auto"/>
                <w:kern w:val="0"/>
                <w:sz w:val="22"/>
                <w:szCs w:val="22"/>
                <w:highlight w:val="none"/>
              </w:rPr>
              <w:t xml:space="preserve">  </w:t>
            </w:r>
            <w:r>
              <w:rPr>
                <w:rFonts w:hint="eastAsia" w:cs="宋体"/>
                <w:color w:val="auto"/>
                <w:kern w:val="0"/>
                <w:sz w:val="22"/>
                <w:szCs w:val="22"/>
                <w:highlight w:val="none"/>
              </w:rPr>
              <w:t>单位：</w:t>
            </w:r>
            <w:r>
              <w:rPr>
                <w:color w:val="auto"/>
                <w:kern w:val="0"/>
                <w:sz w:val="22"/>
                <w:szCs w:val="22"/>
                <w:highlight w:val="none"/>
              </w:rPr>
              <w:t>GB</w:t>
            </w:r>
            <w:r>
              <w:rPr>
                <w:rFonts w:hint="eastAsia" w:cs="宋体"/>
                <w:color w:val="auto"/>
                <w:kern w:val="0"/>
                <w:sz w:val="22"/>
                <w:szCs w:val="22"/>
                <w:highlight w:val="none"/>
              </w:rPr>
              <w:t>（</w:t>
            </w:r>
            <w:r>
              <w:rPr>
                <w:color w:val="auto"/>
                <w:kern w:val="0"/>
                <w:sz w:val="22"/>
                <w:szCs w:val="22"/>
                <w:highlight w:val="none"/>
              </w:rPr>
              <w:t>A</w:t>
            </w:r>
            <w:r>
              <w:rPr>
                <w:rFonts w:hint="eastAsia" w:cs="宋体"/>
                <w:color w:val="auto"/>
                <w:kern w:val="0"/>
                <w:sz w:val="22"/>
                <w:szCs w:val="22"/>
                <w:highlight w:val="none"/>
              </w:rPr>
              <w:t>）</w:t>
            </w:r>
            <w:r>
              <w:rPr>
                <w:rFonts w:hint="eastAsia" w:cs="宋体"/>
                <w:color w:val="auto"/>
                <w:kern w:val="0"/>
                <w:sz w:val="22"/>
                <w:szCs w:val="22"/>
                <w:highlight w:val="none"/>
              </w:rPr>
              <w:br w:type="textWrapping"/>
            </w:r>
          </w:p>
          <w:tbl>
            <w:tblPr>
              <w:tblStyle w:val="36"/>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564"/>
              <w:gridCol w:w="1041"/>
              <w:gridCol w:w="708"/>
              <w:gridCol w:w="627"/>
              <w:gridCol w:w="586"/>
              <w:gridCol w:w="326"/>
              <w:gridCol w:w="404"/>
              <w:gridCol w:w="337"/>
              <w:gridCol w:w="405"/>
              <w:gridCol w:w="500"/>
              <w:gridCol w:w="437"/>
              <w:gridCol w:w="547"/>
              <w:gridCol w:w="546"/>
              <w:gridCol w:w="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blHeader/>
                <w:jc w:val="center"/>
              </w:trPr>
              <w:tc>
                <w:tcPr>
                  <w:tcW w:w="551" w:type="dxa"/>
                  <w:vMerge w:val="restart"/>
                  <w:noWrap w:val="0"/>
                  <w:vAlign w:val="center"/>
                </w:tcPr>
                <w:p>
                  <w:pPr>
                    <w:snapToGrid w:val="0"/>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序号</w:t>
                  </w:r>
                </w:p>
              </w:tc>
              <w:tc>
                <w:tcPr>
                  <w:tcW w:w="564" w:type="dxa"/>
                  <w:vMerge w:val="restart"/>
                  <w:noWrap w:val="0"/>
                  <w:vAlign w:val="center"/>
                </w:tcPr>
                <w:p>
                  <w:pPr>
                    <w:snapToGrid w:val="0"/>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建筑物名称</w:t>
                  </w:r>
                </w:p>
              </w:tc>
              <w:tc>
                <w:tcPr>
                  <w:tcW w:w="1041" w:type="dxa"/>
                  <w:vMerge w:val="restart"/>
                  <w:noWrap w:val="0"/>
                  <w:vAlign w:val="center"/>
                </w:tcPr>
                <w:p>
                  <w:pPr>
                    <w:snapToGrid w:val="0"/>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lang w:eastAsia="zh-CN"/>
                    </w:rPr>
                    <w:t>声源</w:t>
                  </w:r>
                  <w:r>
                    <w:rPr>
                      <w:rFonts w:hint="eastAsia" w:ascii="Times New Roman" w:hAnsi="Times New Roman" w:eastAsia="宋体" w:cs="Times New Roman"/>
                      <w:b/>
                      <w:bCs/>
                      <w:color w:val="auto"/>
                      <w:sz w:val="18"/>
                      <w:szCs w:val="18"/>
                      <w:highlight w:val="none"/>
                    </w:rPr>
                    <w:t>名称</w:t>
                  </w:r>
                </w:p>
              </w:tc>
              <w:tc>
                <w:tcPr>
                  <w:tcW w:w="708" w:type="dxa"/>
                  <w:vMerge w:val="restart"/>
                  <w:noWrap w:val="0"/>
                  <w:vAlign w:val="center"/>
                </w:tcPr>
                <w:p>
                  <w:pPr>
                    <w:snapToGrid w:val="0"/>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型号</w:t>
                  </w:r>
                </w:p>
              </w:tc>
              <w:tc>
                <w:tcPr>
                  <w:tcW w:w="627" w:type="dxa"/>
                  <w:vMerge w:val="restart"/>
                  <w:noWrap w:val="0"/>
                  <w:vAlign w:val="center"/>
                </w:tcPr>
                <w:p>
                  <w:pPr>
                    <w:snapToGrid w:val="0"/>
                    <w:jc w:val="center"/>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声源源强</w:t>
                  </w:r>
                  <w:r>
                    <w:rPr>
                      <w:rFonts w:hint="eastAsia" w:ascii="Times New Roman" w:hAnsi="Times New Roman" w:eastAsia="宋体" w:cs="Times New Roman"/>
                      <w:b/>
                      <w:bCs/>
                      <w:color w:val="auto"/>
                      <w:sz w:val="18"/>
                      <w:szCs w:val="18"/>
                      <w:highlight w:val="none"/>
                      <w:lang w:val="en-US" w:eastAsia="zh-CN"/>
                    </w:rPr>
                    <w:t>/</w:t>
                  </w:r>
                  <w:r>
                    <w:rPr>
                      <w:rFonts w:hint="eastAsia" w:ascii="Times New Roman" w:hAnsi="Times New Roman" w:eastAsia="宋体" w:cs="Times New Roman"/>
                      <w:b/>
                      <w:bCs/>
                      <w:color w:val="auto"/>
                      <w:sz w:val="18"/>
                      <w:szCs w:val="18"/>
                      <w:highlight w:val="none"/>
                      <w:lang w:eastAsia="zh-CN"/>
                    </w:rPr>
                    <w:t>声功率级</w:t>
                  </w:r>
                </w:p>
                <w:p>
                  <w:pPr>
                    <w:snapToGrid w:val="0"/>
                    <w:jc w:val="center"/>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rPr>
                    <w:t>/</w:t>
                  </w:r>
                  <w:r>
                    <w:rPr>
                      <w:rFonts w:ascii="Times New Roman" w:hAnsi="Times New Roman" w:eastAsia="宋体" w:cs="Times New Roman"/>
                      <w:b/>
                      <w:bCs/>
                      <w:color w:val="auto"/>
                      <w:sz w:val="18"/>
                      <w:szCs w:val="18"/>
                      <w:highlight w:val="none"/>
                    </w:rPr>
                    <w:t>dB</w:t>
                  </w:r>
                  <w:r>
                    <w:rPr>
                      <w:rFonts w:hint="eastAsia" w:ascii="Times New Roman" w:hAnsi="Times New Roman" w:eastAsia="宋体" w:cs="Times New Roman"/>
                      <w:b/>
                      <w:bCs/>
                      <w:color w:val="auto"/>
                      <w:sz w:val="18"/>
                      <w:szCs w:val="18"/>
                      <w:highlight w:val="none"/>
                      <w:lang w:eastAsia="zh-CN"/>
                    </w:rPr>
                    <w:t>（</w:t>
                  </w:r>
                  <w:r>
                    <w:rPr>
                      <w:rFonts w:ascii="Times New Roman" w:hAnsi="Times New Roman" w:eastAsia="宋体" w:cs="Times New Roman"/>
                      <w:b/>
                      <w:bCs/>
                      <w:color w:val="auto"/>
                      <w:sz w:val="18"/>
                      <w:szCs w:val="18"/>
                      <w:highlight w:val="none"/>
                    </w:rPr>
                    <w:t>A</w:t>
                  </w:r>
                  <w:r>
                    <w:rPr>
                      <w:rFonts w:hint="eastAsia" w:ascii="Times New Roman" w:hAnsi="Times New Roman" w:eastAsia="宋体" w:cs="Times New Roman"/>
                      <w:b/>
                      <w:bCs/>
                      <w:color w:val="auto"/>
                      <w:sz w:val="18"/>
                      <w:szCs w:val="18"/>
                      <w:highlight w:val="none"/>
                      <w:lang w:eastAsia="zh-CN"/>
                    </w:rPr>
                    <w:t>）</w:t>
                  </w:r>
                </w:p>
              </w:tc>
              <w:tc>
                <w:tcPr>
                  <w:tcW w:w="586" w:type="dxa"/>
                  <w:vMerge w:val="restart"/>
                  <w:noWrap w:val="0"/>
                  <w:vAlign w:val="center"/>
                </w:tcPr>
                <w:p>
                  <w:pPr>
                    <w:snapToGrid w:val="0"/>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声源控制措施</w:t>
                  </w:r>
                </w:p>
              </w:tc>
              <w:tc>
                <w:tcPr>
                  <w:tcW w:w="1067" w:type="dxa"/>
                  <w:gridSpan w:val="3"/>
                  <w:noWrap w:val="0"/>
                  <w:vAlign w:val="center"/>
                </w:tcPr>
                <w:p>
                  <w:pPr>
                    <w:snapToGrid w:val="0"/>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空间相对位置</w:t>
                  </w:r>
                  <w:r>
                    <w:rPr>
                      <w:rFonts w:ascii="Times New Roman" w:hAnsi="Times New Roman" w:eastAsia="宋体" w:cs="Times New Roman"/>
                      <w:b/>
                      <w:bCs/>
                      <w:color w:val="auto"/>
                      <w:sz w:val="18"/>
                      <w:szCs w:val="18"/>
                      <w:highlight w:val="none"/>
                    </w:rPr>
                    <w:t>/m</w:t>
                  </w:r>
                </w:p>
              </w:tc>
              <w:tc>
                <w:tcPr>
                  <w:tcW w:w="405" w:type="dxa"/>
                  <w:vMerge w:val="restart"/>
                  <w:noWrap w:val="0"/>
                  <w:vAlign w:val="center"/>
                </w:tcPr>
                <w:p>
                  <w:pPr>
                    <w:snapToGrid w:val="0"/>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距室内边界距离</w:t>
                  </w:r>
                  <w:r>
                    <w:rPr>
                      <w:rFonts w:ascii="Times New Roman" w:hAnsi="Times New Roman" w:eastAsia="宋体" w:cs="Times New Roman"/>
                      <w:b/>
                      <w:bCs/>
                      <w:color w:val="auto"/>
                      <w:sz w:val="18"/>
                      <w:szCs w:val="18"/>
                      <w:highlight w:val="none"/>
                    </w:rPr>
                    <w:t>/m</w:t>
                  </w:r>
                </w:p>
              </w:tc>
              <w:tc>
                <w:tcPr>
                  <w:tcW w:w="500" w:type="dxa"/>
                  <w:vMerge w:val="restart"/>
                  <w:noWrap w:val="0"/>
                  <w:vAlign w:val="center"/>
                </w:tcPr>
                <w:p>
                  <w:pPr>
                    <w:snapToGrid w:val="0"/>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室内边界声级/</w:t>
                  </w:r>
                  <w:r>
                    <w:rPr>
                      <w:rFonts w:ascii="Times New Roman" w:hAnsi="Times New Roman" w:eastAsia="宋体" w:cs="Times New Roman"/>
                      <w:b/>
                      <w:bCs/>
                      <w:color w:val="auto"/>
                      <w:sz w:val="18"/>
                      <w:szCs w:val="18"/>
                      <w:highlight w:val="none"/>
                    </w:rPr>
                    <w:t>dB(A)</w:t>
                  </w:r>
                </w:p>
              </w:tc>
              <w:tc>
                <w:tcPr>
                  <w:tcW w:w="437" w:type="dxa"/>
                  <w:vMerge w:val="restart"/>
                  <w:noWrap w:val="0"/>
                  <w:vAlign w:val="center"/>
                </w:tcPr>
                <w:p>
                  <w:pPr>
                    <w:snapToGrid w:val="0"/>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运行时段</w:t>
                  </w:r>
                </w:p>
              </w:tc>
              <w:tc>
                <w:tcPr>
                  <w:tcW w:w="547" w:type="dxa"/>
                  <w:vMerge w:val="restart"/>
                  <w:noWrap w:val="0"/>
                  <w:vAlign w:val="center"/>
                </w:tcPr>
                <w:p>
                  <w:pPr>
                    <w:snapToGrid w:val="0"/>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建筑物插入损失</w:t>
                  </w:r>
                  <w:r>
                    <w:rPr>
                      <w:rFonts w:ascii="Times New Roman" w:hAnsi="Times New Roman" w:eastAsia="宋体" w:cs="Times New Roman"/>
                      <w:b/>
                      <w:bCs/>
                      <w:color w:val="auto"/>
                      <w:sz w:val="18"/>
                      <w:szCs w:val="18"/>
                      <w:highlight w:val="none"/>
                    </w:rPr>
                    <w:t>/dB(A)</w:t>
                  </w:r>
                </w:p>
              </w:tc>
              <w:tc>
                <w:tcPr>
                  <w:tcW w:w="1042" w:type="dxa"/>
                  <w:gridSpan w:val="2"/>
                  <w:noWrap w:val="0"/>
                  <w:vAlign w:val="center"/>
                </w:tcPr>
                <w:p>
                  <w:pPr>
                    <w:snapToGrid w:val="0"/>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建筑外噪声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blHeader/>
                <w:jc w:val="center"/>
              </w:trPr>
              <w:tc>
                <w:tcPr>
                  <w:tcW w:w="551" w:type="dxa"/>
                  <w:vMerge w:val="continue"/>
                  <w:noWrap w:val="0"/>
                  <w:vAlign w:val="center"/>
                </w:tcPr>
                <w:p>
                  <w:pPr>
                    <w:widowControl/>
                    <w:snapToGrid w:val="0"/>
                    <w:jc w:val="center"/>
                    <w:rPr>
                      <w:rFonts w:ascii="Times New Roman" w:hAnsi="Times New Roman" w:eastAsia="宋体" w:cs="Times New Roman"/>
                      <w:b/>
                      <w:bCs/>
                      <w:color w:val="auto"/>
                      <w:sz w:val="18"/>
                      <w:szCs w:val="18"/>
                      <w:highlight w:val="none"/>
                    </w:rPr>
                  </w:pPr>
                </w:p>
              </w:tc>
              <w:tc>
                <w:tcPr>
                  <w:tcW w:w="564" w:type="dxa"/>
                  <w:vMerge w:val="continue"/>
                  <w:noWrap w:val="0"/>
                  <w:vAlign w:val="center"/>
                </w:tcPr>
                <w:p>
                  <w:pPr>
                    <w:widowControl/>
                    <w:snapToGrid w:val="0"/>
                    <w:jc w:val="center"/>
                    <w:rPr>
                      <w:rFonts w:ascii="Times New Roman" w:hAnsi="Times New Roman" w:eastAsia="宋体" w:cs="Times New Roman"/>
                      <w:b/>
                      <w:bCs/>
                      <w:color w:val="auto"/>
                      <w:sz w:val="18"/>
                      <w:szCs w:val="18"/>
                      <w:highlight w:val="none"/>
                    </w:rPr>
                  </w:pPr>
                </w:p>
              </w:tc>
              <w:tc>
                <w:tcPr>
                  <w:tcW w:w="1041" w:type="dxa"/>
                  <w:vMerge w:val="continue"/>
                  <w:noWrap w:val="0"/>
                  <w:vAlign w:val="center"/>
                </w:tcPr>
                <w:p>
                  <w:pPr>
                    <w:widowControl/>
                    <w:snapToGrid w:val="0"/>
                    <w:jc w:val="center"/>
                    <w:rPr>
                      <w:rFonts w:ascii="Times New Roman" w:hAnsi="Times New Roman" w:eastAsia="宋体" w:cs="Times New Roman"/>
                      <w:b/>
                      <w:bCs/>
                      <w:color w:val="auto"/>
                      <w:sz w:val="18"/>
                      <w:szCs w:val="18"/>
                      <w:highlight w:val="none"/>
                    </w:rPr>
                  </w:pPr>
                </w:p>
              </w:tc>
              <w:tc>
                <w:tcPr>
                  <w:tcW w:w="708" w:type="dxa"/>
                  <w:vMerge w:val="continue"/>
                  <w:noWrap w:val="0"/>
                  <w:vAlign w:val="center"/>
                </w:tcPr>
                <w:p>
                  <w:pPr>
                    <w:widowControl/>
                    <w:snapToGrid w:val="0"/>
                    <w:jc w:val="center"/>
                    <w:rPr>
                      <w:rFonts w:ascii="Times New Roman" w:hAnsi="Times New Roman" w:eastAsia="宋体" w:cs="Times New Roman"/>
                      <w:b/>
                      <w:bCs/>
                      <w:color w:val="auto"/>
                      <w:sz w:val="18"/>
                      <w:szCs w:val="18"/>
                      <w:highlight w:val="none"/>
                    </w:rPr>
                  </w:pPr>
                </w:p>
              </w:tc>
              <w:tc>
                <w:tcPr>
                  <w:tcW w:w="627" w:type="dxa"/>
                  <w:vMerge w:val="continue"/>
                  <w:noWrap w:val="0"/>
                  <w:vAlign w:val="center"/>
                </w:tcPr>
                <w:p>
                  <w:pPr>
                    <w:widowControl/>
                    <w:snapToGrid w:val="0"/>
                    <w:jc w:val="center"/>
                    <w:rPr>
                      <w:rFonts w:ascii="Times New Roman" w:hAnsi="Times New Roman" w:eastAsia="宋体" w:cs="Times New Roman"/>
                      <w:b/>
                      <w:bCs/>
                      <w:color w:val="auto"/>
                      <w:sz w:val="18"/>
                      <w:szCs w:val="18"/>
                      <w:highlight w:val="none"/>
                    </w:rPr>
                  </w:pPr>
                </w:p>
              </w:tc>
              <w:tc>
                <w:tcPr>
                  <w:tcW w:w="586" w:type="dxa"/>
                  <w:vMerge w:val="continue"/>
                  <w:noWrap w:val="0"/>
                  <w:vAlign w:val="center"/>
                </w:tcPr>
                <w:p>
                  <w:pPr>
                    <w:widowControl/>
                    <w:snapToGrid w:val="0"/>
                    <w:jc w:val="center"/>
                    <w:rPr>
                      <w:rFonts w:ascii="Times New Roman" w:hAnsi="Times New Roman" w:eastAsia="宋体" w:cs="Times New Roman"/>
                      <w:b/>
                      <w:bCs/>
                      <w:color w:val="auto"/>
                      <w:sz w:val="18"/>
                      <w:szCs w:val="18"/>
                      <w:highlight w:val="none"/>
                    </w:rPr>
                  </w:pPr>
                </w:p>
              </w:tc>
              <w:tc>
                <w:tcPr>
                  <w:tcW w:w="326" w:type="dxa"/>
                  <w:noWrap w:val="0"/>
                  <w:vAlign w:val="center"/>
                </w:tcPr>
                <w:p>
                  <w:pPr>
                    <w:snapToGrid w:val="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X</w:t>
                  </w:r>
                </w:p>
              </w:tc>
              <w:tc>
                <w:tcPr>
                  <w:tcW w:w="404" w:type="dxa"/>
                  <w:noWrap w:val="0"/>
                  <w:vAlign w:val="center"/>
                </w:tcPr>
                <w:p>
                  <w:pPr>
                    <w:snapToGrid w:val="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Y</w:t>
                  </w:r>
                </w:p>
              </w:tc>
              <w:tc>
                <w:tcPr>
                  <w:tcW w:w="337" w:type="dxa"/>
                  <w:noWrap w:val="0"/>
                  <w:vAlign w:val="center"/>
                </w:tcPr>
                <w:p>
                  <w:pPr>
                    <w:snapToGrid w:val="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Z</w:t>
                  </w:r>
                </w:p>
              </w:tc>
              <w:tc>
                <w:tcPr>
                  <w:tcW w:w="405" w:type="dxa"/>
                  <w:vMerge w:val="continue"/>
                  <w:noWrap w:val="0"/>
                  <w:vAlign w:val="center"/>
                </w:tcPr>
                <w:p>
                  <w:pPr>
                    <w:widowControl/>
                    <w:snapToGrid w:val="0"/>
                    <w:jc w:val="center"/>
                    <w:rPr>
                      <w:rFonts w:ascii="Times New Roman" w:hAnsi="Times New Roman" w:eastAsia="宋体" w:cs="Times New Roman"/>
                      <w:b/>
                      <w:bCs/>
                      <w:color w:val="auto"/>
                      <w:sz w:val="18"/>
                      <w:szCs w:val="18"/>
                      <w:highlight w:val="none"/>
                    </w:rPr>
                  </w:pPr>
                </w:p>
              </w:tc>
              <w:tc>
                <w:tcPr>
                  <w:tcW w:w="500" w:type="dxa"/>
                  <w:vMerge w:val="continue"/>
                  <w:noWrap w:val="0"/>
                  <w:vAlign w:val="center"/>
                </w:tcPr>
                <w:p>
                  <w:pPr>
                    <w:widowControl/>
                    <w:snapToGrid w:val="0"/>
                    <w:jc w:val="center"/>
                    <w:rPr>
                      <w:rFonts w:ascii="Times New Roman" w:hAnsi="Times New Roman" w:eastAsia="宋体" w:cs="Times New Roman"/>
                      <w:b/>
                      <w:bCs/>
                      <w:color w:val="auto"/>
                      <w:sz w:val="18"/>
                      <w:szCs w:val="18"/>
                      <w:highlight w:val="none"/>
                    </w:rPr>
                  </w:pPr>
                </w:p>
              </w:tc>
              <w:tc>
                <w:tcPr>
                  <w:tcW w:w="437" w:type="dxa"/>
                  <w:vMerge w:val="continue"/>
                  <w:noWrap w:val="0"/>
                  <w:vAlign w:val="center"/>
                </w:tcPr>
                <w:p>
                  <w:pPr>
                    <w:widowControl/>
                    <w:snapToGrid w:val="0"/>
                    <w:jc w:val="center"/>
                    <w:rPr>
                      <w:rFonts w:ascii="Times New Roman" w:hAnsi="Times New Roman" w:eastAsia="宋体" w:cs="Times New Roman"/>
                      <w:b/>
                      <w:bCs/>
                      <w:color w:val="auto"/>
                      <w:sz w:val="18"/>
                      <w:szCs w:val="18"/>
                      <w:highlight w:val="none"/>
                    </w:rPr>
                  </w:pPr>
                </w:p>
              </w:tc>
              <w:tc>
                <w:tcPr>
                  <w:tcW w:w="547" w:type="dxa"/>
                  <w:vMerge w:val="continue"/>
                  <w:noWrap w:val="0"/>
                  <w:vAlign w:val="center"/>
                </w:tcPr>
                <w:p>
                  <w:pPr>
                    <w:widowControl/>
                    <w:snapToGrid w:val="0"/>
                    <w:jc w:val="center"/>
                    <w:rPr>
                      <w:rFonts w:ascii="Times New Roman" w:hAnsi="Times New Roman" w:eastAsia="宋体" w:cs="Times New Roman"/>
                      <w:b/>
                      <w:bCs/>
                      <w:color w:val="auto"/>
                      <w:sz w:val="18"/>
                      <w:szCs w:val="18"/>
                      <w:highlight w:val="none"/>
                    </w:rPr>
                  </w:pPr>
                </w:p>
              </w:tc>
              <w:tc>
                <w:tcPr>
                  <w:tcW w:w="546" w:type="dxa"/>
                  <w:noWrap w:val="0"/>
                  <w:vAlign w:val="center"/>
                </w:tcPr>
                <w:p>
                  <w:pPr>
                    <w:snapToGrid w:val="0"/>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声压级</w:t>
                  </w:r>
                  <w:r>
                    <w:rPr>
                      <w:rFonts w:ascii="Times New Roman" w:hAnsi="Times New Roman" w:eastAsia="宋体" w:cs="Times New Roman"/>
                      <w:b/>
                      <w:bCs/>
                      <w:color w:val="auto"/>
                      <w:sz w:val="18"/>
                      <w:szCs w:val="18"/>
                      <w:highlight w:val="none"/>
                    </w:rPr>
                    <w:t>/dB(A)</w:t>
                  </w:r>
                </w:p>
              </w:tc>
              <w:tc>
                <w:tcPr>
                  <w:tcW w:w="496" w:type="dxa"/>
                  <w:noWrap w:val="0"/>
                  <w:vAlign w:val="center"/>
                </w:tcPr>
                <w:p>
                  <w:pPr>
                    <w:snapToGrid w:val="0"/>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lang w:eastAsia="zh-CN"/>
                    </w:rPr>
                    <w:t>建筑物外</w:t>
                  </w:r>
                  <w:r>
                    <w:rPr>
                      <w:rFonts w:hint="eastAsia" w:ascii="Times New Roman" w:hAnsi="Times New Roman" w:eastAsia="宋体" w:cs="Times New Roman"/>
                      <w:b/>
                      <w:bCs/>
                      <w:color w:val="auto"/>
                      <w:sz w:val="18"/>
                      <w:szCs w:val="18"/>
                      <w:highlight w:val="none"/>
                    </w:rPr>
                    <w:t>距离</w:t>
                  </w:r>
                  <w:r>
                    <w:rPr>
                      <w:rFonts w:ascii="Times New Roman" w:hAnsi="Times New Roman" w:eastAsia="宋体" w:cs="Times New Roman"/>
                      <w:b/>
                      <w:bCs/>
                      <w:color w:val="auto"/>
                      <w:sz w:val="18"/>
                      <w:szCs w:val="18"/>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551" w:type="dxa"/>
                  <w:noWrap w:val="0"/>
                  <w:vAlign w:val="center"/>
                </w:tcPr>
                <w:p>
                  <w:pPr>
                    <w:numPr>
                      <w:ilvl w:val="0"/>
                      <w:numId w:val="0"/>
                    </w:numPr>
                    <w:adjustRightInd w:val="0"/>
                    <w:snapToGrid w:val="0"/>
                    <w:ind w:leftChars="0"/>
                    <w:jc w:val="center"/>
                    <w:textAlignment w:val="bottom"/>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lang w:bidi="ar"/>
                    </w:rPr>
                    <w:t>1</w:t>
                  </w:r>
                </w:p>
              </w:tc>
              <w:tc>
                <w:tcPr>
                  <w:tcW w:w="564" w:type="dxa"/>
                  <w:vMerge w:val="restart"/>
                  <w:noWrap w:val="0"/>
                  <w:vAlign w:val="center"/>
                </w:tcPr>
                <w:p>
                  <w:pPr>
                    <w:snapToGrid w:val="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生产车间</w:t>
                  </w:r>
                </w:p>
              </w:tc>
              <w:tc>
                <w:tcPr>
                  <w:tcW w:w="1041" w:type="dxa"/>
                  <w:noWrap w:val="0"/>
                  <w:vAlign w:val="center"/>
                </w:tcPr>
                <w:p>
                  <w:pPr>
                    <w:jc w:val="center"/>
                    <w:rPr>
                      <w:rFonts w:ascii="Times New Roman" w:hAnsi="Times New Roman" w:eastAsia="宋体" w:cs="Times New Roman"/>
                      <w:color w:val="auto"/>
                      <w:sz w:val="18"/>
                      <w:szCs w:val="18"/>
                      <w:highlight w:val="none"/>
                    </w:rPr>
                  </w:pPr>
                  <w:r>
                    <w:rPr>
                      <w:rFonts w:hint="eastAsia"/>
                      <w:color w:val="auto"/>
                      <w:szCs w:val="21"/>
                      <w:lang w:val="en-US" w:eastAsia="zh-CN"/>
                    </w:rPr>
                    <w:t>破碎机</w:t>
                  </w:r>
                </w:p>
              </w:tc>
              <w:tc>
                <w:tcPr>
                  <w:tcW w:w="708" w:type="dxa"/>
                  <w:noWrap w:val="0"/>
                  <w:vAlign w:val="center"/>
                </w:tcPr>
                <w:p>
                  <w:pPr>
                    <w:jc w:val="center"/>
                    <w:rPr>
                      <w:rFonts w:ascii="Times New Roman" w:hAnsi="Times New Roman" w:eastAsia="宋体" w:cs="Times New Roman"/>
                      <w:color w:val="auto"/>
                      <w:sz w:val="18"/>
                      <w:szCs w:val="18"/>
                      <w:highlight w:val="none"/>
                    </w:rPr>
                  </w:pPr>
                  <w:r>
                    <w:rPr>
                      <w:rFonts w:hint="eastAsia"/>
                      <w:color w:val="auto"/>
                      <w:szCs w:val="21"/>
                      <w:lang w:val="en-US" w:eastAsia="zh-CN"/>
                    </w:rPr>
                    <w:t>500mm</w:t>
                  </w:r>
                </w:p>
              </w:tc>
              <w:tc>
                <w:tcPr>
                  <w:tcW w:w="627" w:type="dxa"/>
                  <w:noWrap w:val="0"/>
                  <w:vAlign w:val="center"/>
                </w:tcPr>
                <w:p>
                  <w:pPr>
                    <w:jc w:val="center"/>
                    <w:rPr>
                      <w:rFonts w:hint="eastAsia" w:ascii="Times New Roman" w:hAnsi="Times New Roman" w:eastAsia="宋体" w:cs="Times New Roman"/>
                      <w:color w:val="auto"/>
                      <w:sz w:val="18"/>
                      <w:szCs w:val="18"/>
                      <w:highlight w:val="none"/>
                      <w:lang w:eastAsia="zh-CN"/>
                    </w:rPr>
                  </w:pPr>
                  <w:r>
                    <w:rPr>
                      <w:rFonts w:hint="eastAsia"/>
                      <w:color w:val="auto"/>
                      <w:szCs w:val="21"/>
                      <w:highlight w:val="none"/>
                    </w:rPr>
                    <w:t>6</w:t>
                  </w:r>
                  <w:r>
                    <w:rPr>
                      <w:rFonts w:hint="eastAsia"/>
                      <w:color w:val="auto"/>
                      <w:szCs w:val="21"/>
                      <w:highlight w:val="none"/>
                      <w:lang w:val="en-US" w:eastAsia="zh-CN"/>
                    </w:rPr>
                    <w:t>5</w:t>
                  </w:r>
                  <w:r>
                    <w:rPr>
                      <w:rFonts w:hint="eastAsia"/>
                      <w:color w:val="auto"/>
                      <w:szCs w:val="21"/>
                      <w:highlight w:val="none"/>
                    </w:rPr>
                    <w:t>-7</w:t>
                  </w:r>
                  <w:r>
                    <w:rPr>
                      <w:rFonts w:hint="eastAsia"/>
                      <w:color w:val="auto"/>
                      <w:szCs w:val="21"/>
                      <w:highlight w:val="none"/>
                      <w:lang w:val="en-US" w:eastAsia="zh-CN"/>
                    </w:rPr>
                    <w:t>5</w:t>
                  </w:r>
                </w:p>
              </w:tc>
              <w:tc>
                <w:tcPr>
                  <w:tcW w:w="586" w:type="dxa"/>
                  <w:vMerge w:val="restart"/>
                  <w:noWrap w:val="0"/>
                  <w:vAlign w:val="center"/>
                </w:tcPr>
                <w:p>
                  <w:pPr>
                    <w:snapToGrid w:val="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选用低噪声设备，设置减振基座，厂房隔声</w:t>
                  </w:r>
                </w:p>
              </w:tc>
              <w:tc>
                <w:tcPr>
                  <w:tcW w:w="326" w:type="dxa"/>
                  <w:noWrap w:val="0"/>
                  <w:vAlign w:val="center"/>
                </w:tcPr>
                <w:p>
                  <w:pPr>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404" w:type="dxa"/>
                  <w:noWrap w:val="0"/>
                  <w:vAlign w:val="center"/>
                </w:tcPr>
                <w:p>
                  <w:pPr>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337" w:type="dxa"/>
                  <w:noWrap w:val="0"/>
                  <w:vAlign w:val="center"/>
                </w:tcPr>
                <w:p>
                  <w:pPr>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val="en-US" w:eastAsia="zh-CN"/>
                    </w:rPr>
                    <w:t>2</w:t>
                  </w:r>
                </w:p>
              </w:tc>
              <w:tc>
                <w:tcPr>
                  <w:tcW w:w="500" w:type="dxa"/>
                  <w:noWrap w:val="0"/>
                  <w:vAlign w:val="center"/>
                </w:tcPr>
                <w:p>
                  <w:pPr>
                    <w:snapToGrid w:val="0"/>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restart"/>
                  <w:noWrap w:val="0"/>
                  <w:vAlign w:val="center"/>
                </w:tcPr>
                <w:p>
                  <w:pPr>
                    <w:snapToGrid w:val="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昼间</w:t>
                  </w:r>
                  <w:r>
                    <w:rPr>
                      <w:rFonts w:hint="eastAsia" w:cs="Times New Roman"/>
                      <w:color w:val="auto"/>
                      <w:sz w:val="18"/>
                      <w:szCs w:val="18"/>
                      <w:highlight w:val="none"/>
                      <w:lang w:eastAsia="zh-CN"/>
                    </w:rPr>
                    <w:t>、夜间</w:t>
                  </w: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default" w:ascii="Times New Roman" w:hAnsi="Times New Roman" w:eastAsia="宋体" w:cs="Times New Roman"/>
                      <w:color w:val="auto"/>
                      <w:sz w:val="18"/>
                      <w:szCs w:val="18"/>
                      <w:highlight w:val="none"/>
                      <w:lang w:val="en-US"/>
                    </w:rPr>
                  </w:pPr>
                  <w:r>
                    <w:rPr>
                      <w:rFonts w:hint="eastAsia" w:cs="Times New Roman"/>
                      <w:color w:val="auto"/>
                      <w:sz w:val="18"/>
                      <w:szCs w:val="18"/>
                      <w:highlight w:val="none"/>
                      <w:lang w:val="en-US" w:eastAsia="zh-CN"/>
                    </w:rPr>
                    <w:t>50</w:t>
                  </w:r>
                  <w:r>
                    <w:rPr>
                      <w:rFonts w:hint="eastAsia" w:ascii="Times New Roman" w:hAnsi="Times New Roman" w:eastAsia="宋体" w:cs="Times New Roman"/>
                      <w:color w:val="auto"/>
                      <w:sz w:val="18"/>
                      <w:szCs w:val="18"/>
                      <w:highlight w:val="none"/>
                      <w:lang w:val="en-US" w:eastAsia="zh-CN"/>
                    </w:rPr>
                    <w:t>-55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551" w:type="dxa"/>
                  <w:noWrap w:val="0"/>
                  <w:vAlign w:val="center"/>
                </w:tcPr>
                <w:p>
                  <w:pPr>
                    <w:numPr>
                      <w:ilvl w:val="0"/>
                      <w:numId w:val="0"/>
                    </w:numPr>
                    <w:adjustRightInd w:val="0"/>
                    <w:snapToGrid w:val="0"/>
                    <w:ind w:left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2</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highlight w:val="none"/>
                    </w:rPr>
                  </w:pPr>
                  <w:r>
                    <w:rPr>
                      <w:rFonts w:hint="eastAsia"/>
                      <w:color w:val="auto"/>
                      <w:szCs w:val="21"/>
                      <w:lang w:val="en-US" w:eastAsia="zh-CN"/>
                    </w:rPr>
                    <w:t>破碎机</w:t>
                  </w:r>
                </w:p>
              </w:tc>
              <w:tc>
                <w:tcPr>
                  <w:tcW w:w="708" w:type="dxa"/>
                  <w:noWrap w:val="0"/>
                  <w:vAlign w:val="center"/>
                </w:tcPr>
                <w:p>
                  <w:pPr>
                    <w:jc w:val="center"/>
                    <w:rPr>
                      <w:rFonts w:hint="eastAsia" w:ascii="Calibri" w:hAnsi="Calibri"/>
                      <w:color w:val="auto"/>
                      <w:highlight w:val="none"/>
                    </w:rPr>
                  </w:pPr>
                  <w:r>
                    <w:rPr>
                      <w:rFonts w:hint="eastAsia"/>
                      <w:color w:val="auto"/>
                      <w:szCs w:val="21"/>
                      <w:lang w:val="en-US" w:eastAsia="zh-CN"/>
                    </w:rPr>
                    <w:t>500mm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65</w:t>
                  </w:r>
                  <w:r>
                    <w:rPr>
                      <w:rFonts w:hint="eastAsia"/>
                      <w:color w:val="auto"/>
                      <w:szCs w:val="21"/>
                      <w:highlight w:val="none"/>
                    </w:rPr>
                    <w:t>-7</w:t>
                  </w:r>
                  <w:r>
                    <w:rPr>
                      <w:rFonts w:hint="eastAsia"/>
                      <w:color w:val="auto"/>
                      <w:szCs w:val="21"/>
                      <w:highlight w:val="none"/>
                      <w:lang w:val="en-US" w:eastAsia="zh-CN"/>
                    </w:rPr>
                    <w:t>5</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404" w:type="dxa"/>
                  <w:noWrap w:val="0"/>
                  <w:vAlign w:val="center"/>
                </w:tcPr>
                <w:p>
                  <w:pPr>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13</w:t>
                  </w:r>
                </w:p>
              </w:tc>
              <w:tc>
                <w:tcPr>
                  <w:tcW w:w="337" w:type="dxa"/>
                  <w:noWrap w:val="0"/>
                  <w:vAlign w:val="center"/>
                </w:tcPr>
                <w:p>
                  <w:pPr>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500" w:type="dxa"/>
                  <w:noWrap w:val="0"/>
                  <w:vAlign w:val="center"/>
                </w:tcPr>
                <w:p>
                  <w:pPr>
                    <w:snapToGrid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3</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50mm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12</w:t>
                  </w:r>
                </w:p>
              </w:tc>
              <w:tc>
                <w:tcPr>
                  <w:tcW w:w="404"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4</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50mm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404"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5</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50mm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18</w:t>
                  </w:r>
                </w:p>
              </w:tc>
              <w:tc>
                <w:tcPr>
                  <w:tcW w:w="404"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6</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50mm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21</w:t>
                  </w:r>
                </w:p>
              </w:tc>
              <w:tc>
                <w:tcPr>
                  <w:tcW w:w="404"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7</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50mm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25</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8</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50mm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28</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9</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50mm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31</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10</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50mm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34</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11</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50mm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37</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12</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50mm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41</w:t>
                  </w:r>
                </w:p>
              </w:tc>
              <w:tc>
                <w:tcPr>
                  <w:tcW w:w="404"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13</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65mm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50</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14</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65mm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53</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15</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65mm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56</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16</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65mm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59</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17</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65mm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62</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18</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65mm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65</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19</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65mm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68</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20</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65mm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71</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21</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65mm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74</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22</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65mm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77</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23</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90mm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80</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24</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90mm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83</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25</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90mm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86</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26</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highlight w:val="none"/>
                      <w:lang w:val="en-US" w:eastAsia="zh-CN"/>
                    </w:rPr>
                  </w:pPr>
                  <w:r>
                    <w:rPr>
                      <w:rFonts w:hint="eastAsia"/>
                      <w:color w:val="auto"/>
                      <w:szCs w:val="21"/>
                      <w:lang w:val="en-US" w:eastAsia="zh-CN"/>
                    </w:rPr>
                    <w:t>螺杆挤出机</w:t>
                  </w:r>
                </w:p>
              </w:tc>
              <w:tc>
                <w:tcPr>
                  <w:tcW w:w="708" w:type="dxa"/>
                  <w:noWrap w:val="0"/>
                  <w:vAlign w:val="center"/>
                </w:tcPr>
                <w:p>
                  <w:pPr>
                    <w:jc w:val="center"/>
                    <w:rPr>
                      <w:rFonts w:hint="eastAsia" w:ascii="宋体" w:hAnsi="宋体" w:eastAsia="宋体"/>
                      <w:bCs/>
                      <w:color w:val="auto"/>
                      <w:sz w:val="24"/>
                      <w:highlight w:val="none"/>
                      <w:lang w:val="en-US" w:eastAsia="zh-CN"/>
                    </w:rPr>
                  </w:pPr>
                  <w:r>
                    <w:rPr>
                      <w:rFonts w:hint="eastAsia"/>
                      <w:color w:val="auto"/>
                      <w:szCs w:val="21"/>
                      <w:lang w:val="en-US" w:eastAsia="zh-CN"/>
                    </w:rPr>
                    <w:t>90mm</w:t>
                  </w:r>
                </w:p>
              </w:tc>
              <w:tc>
                <w:tcPr>
                  <w:tcW w:w="627" w:type="dxa"/>
                  <w:noWrap w:val="0"/>
                  <w:vAlign w:val="center"/>
                </w:tcPr>
                <w:p>
                  <w:pPr>
                    <w:jc w:val="center"/>
                    <w:rPr>
                      <w:rFonts w:hint="eastAsia"/>
                      <w:color w:val="auto"/>
                      <w:szCs w:val="21"/>
                      <w:highlight w:val="none"/>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88</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27</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lang w:val="en-US" w:eastAsia="zh-CN"/>
                    </w:rPr>
                  </w:pPr>
                  <w:r>
                    <w:rPr>
                      <w:rFonts w:hint="eastAsia"/>
                      <w:color w:val="auto"/>
                      <w:szCs w:val="21"/>
                      <w:lang w:val="en-US" w:eastAsia="zh-CN"/>
                    </w:rPr>
                    <w:t>一次泡沫预发泡机</w:t>
                  </w:r>
                </w:p>
              </w:tc>
              <w:tc>
                <w:tcPr>
                  <w:tcW w:w="708" w:type="dxa"/>
                  <w:noWrap w:val="0"/>
                  <w:vAlign w:val="center"/>
                </w:tcPr>
                <w:p>
                  <w:pPr>
                    <w:jc w:val="center"/>
                    <w:rPr>
                      <w:rFonts w:hint="eastAsia"/>
                      <w:color w:val="auto"/>
                      <w:szCs w:val="21"/>
                      <w:lang w:val="en-US" w:eastAsia="zh-CN"/>
                    </w:rPr>
                  </w:pPr>
                  <w:r>
                    <w:rPr>
                      <w:rFonts w:hint="eastAsia"/>
                      <w:color w:val="auto"/>
                      <w:szCs w:val="21"/>
                      <w:lang w:val="en-US" w:eastAsia="zh-CN"/>
                    </w:rPr>
                    <w:t>1660</w:t>
                  </w:r>
                </w:p>
              </w:tc>
              <w:tc>
                <w:tcPr>
                  <w:tcW w:w="627" w:type="dxa"/>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91</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28</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lang w:val="en-US" w:eastAsia="zh-CN"/>
                    </w:rPr>
                  </w:pPr>
                  <w:r>
                    <w:rPr>
                      <w:rFonts w:hint="eastAsia"/>
                      <w:color w:val="auto"/>
                      <w:szCs w:val="21"/>
                      <w:lang w:val="en-US" w:eastAsia="zh-CN"/>
                    </w:rPr>
                    <w:t>一次泡沫预发泡机</w:t>
                  </w:r>
                </w:p>
              </w:tc>
              <w:tc>
                <w:tcPr>
                  <w:tcW w:w="708" w:type="dxa"/>
                  <w:noWrap w:val="0"/>
                  <w:vAlign w:val="center"/>
                </w:tcPr>
                <w:p>
                  <w:pPr>
                    <w:jc w:val="center"/>
                    <w:rPr>
                      <w:rFonts w:hint="eastAsia"/>
                      <w:color w:val="auto"/>
                      <w:szCs w:val="21"/>
                      <w:lang w:val="en-US" w:eastAsia="zh-CN"/>
                    </w:rPr>
                  </w:pPr>
                  <w:r>
                    <w:rPr>
                      <w:rFonts w:hint="eastAsia"/>
                      <w:color w:val="auto"/>
                      <w:szCs w:val="21"/>
                      <w:lang w:val="en-US" w:eastAsia="zh-CN"/>
                    </w:rPr>
                    <w:t>1660</w:t>
                  </w:r>
                </w:p>
              </w:tc>
              <w:tc>
                <w:tcPr>
                  <w:tcW w:w="627" w:type="dxa"/>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93</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29</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lang w:val="en-US" w:eastAsia="zh-CN"/>
                    </w:rPr>
                  </w:pPr>
                  <w:r>
                    <w:rPr>
                      <w:rFonts w:hint="eastAsia"/>
                      <w:color w:val="auto"/>
                      <w:szCs w:val="21"/>
                      <w:lang w:val="en-US" w:eastAsia="zh-CN"/>
                    </w:rPr>
                    <w:t>二次泡沫预发泡机</w:t>
                  </w:r>
                </w:p>
              </w:tc>
              <w:tc>
                <w:tcPr>
                  <w:tcW w:w="708" w:type="dxa"/>
                  <w:noWrap w:val="0"/>
                  <w:vAlign w:val="center"/>
                </w:tcPr>
                <w:p>
                  <w:pPr>
                    <w:jc w:val="center"/>
                    <w:rPr>
                      <w:rFonts w:hint="eastAsia"/>
                      <w:color w:val="auto"/>
                      <w:szCs w:val="21"/>
                      <w:lang w:val="en-US" w:eastAsia="zh-CN"/>
                    </w:rPr>
                  </w:pPr>
                  <w:r>
                    <w:rPr>
                      <w:rFonts w:hint="eastAsia"/>
                      <w:color w:val="auto"/>
                      <w:szCs w:val="21"/>
                      <w:lang w:val="en-US" w:eastAsia="zh-CN"/>
                    </w:rPr>
                    <w:t>120</w:t>
                  </w:r>
                </w:p>
              </w:tc>
              <w:tc>
                <w:tcPr>
                  <w:tcW w:w="627" w:type="dxa"/>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95</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30</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lang w:val="en-US" w:eastAsia="zh-CN"/>
                    </w:rPr>
                  </w:pPr>
                  <w:r>
                    <w:rPr>
                      <w:rFonts w:hint="eastAsia"/>
                      <w:color w:val="auto"/>
                      <w:szCs w:val="21"/>
                      <w:lang w:val="en-US" w:eastAsia="zh-CN"/>
                    </w:rPr>
                    <w:t>二次泡沫预发泡机</w:t>
                  </w:r>
                </w:p>
              </w:tc>
              <w:tc>
                <w:tcPr>
                  <w:tcW w:w="708" w:type="dxa"/>
                  <w:noWrap w:val="0"/>
                  <w:vAlign w:val="center"/>
                </w:tcPr>
                <w:p>
                  <w:pPr>
                    <w:jc w:val="center"/>
                    <w:rPr>
                      <w:rFonts w:hint="eastAsia"/>
                      <w:color w:val="auto"/>
                      <w:szCs w:val="21"/>
                      <w:lang w:val="en-US" w:eastAsia="zh-CN"/>
                    </w:rPr>
                  </w:pPr>
                  <w:r>
                    <w:rPr>
                      <w:rFonts w:hint="eastAsia"/>
                      <w:color w:val="auto"/>
                      <w:szCs w:val="21"/>
                      <w:lang w:val="en-US" w:eastAsia="zh-CN"/>
                    </w:rPr>
                    <w:t>120/</w:t>
                  </w:r>
                </w:p>
              </w:tc>
              <w:tc>
                <w:tcPr>
                  <w:tcW w:w="627" w:type="dxa"/>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108</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551" w:type="dxa"/>
                  <w:noWrap w:val="0"/>
                  <w:vAlign w:val="center"/>
                </w:tcPr>
                <w:p>
                  <w:pPr>
                    <w:numPr>
                      <w:ilvl w:val="0"/>
                      <w:numId w:val="0"/>
                    </w:numPr>
                    <w:adjustRightInd w:val="0"/>
                    <w:snapToGrid w:val="0"/>
                    <w:ind w:left="0" w:leftChars="0" w:firstLine="0" w:firstLineChars="0"/>
                    <w:jc w:val="center"/>
                    <w:textAlignment w:val="bottom"/>
                    <w:rPr>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31</w:t>
                  </w:r>
                </w:p>
              </w:tc>
              <w:tc>
                <w:tcPr>
                  <w:tcW w:w="564" w:type="dxa"/>
                  <w:vMerge w:val="continue"/>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p>
              </w:tc>
              <w:tc>
                <w:tcPr>
                  <w:tcW w:w="1041" w:type="dxa"/>
                  <w:noWrap w:val="0"/>
                  <w:vAlign w:val="center"/>
                </w:tcPr>
                <w:p>
                  <w:pPr>
                    <w:jc w:val="center"/>
                    <w:rPr>
                      <w:rFonts w:hint="eastAsia"/>
                      <w:color w:val="auto"/>
                      <w:szCs w:val="21"/>
                      <w:lang w:val="en-US" w:eastAsia="zh-CN"/>
                    </w:rPr>
                  </w:pPr>
                  <w:r>
                    <w:rPr>
                      <w:rFonts w:hint="eastAsia"/>
                      <w:color w:val="auto"/>
                      <w:szCs w:val="21"/>
                      <w:lang w:val="en-US" w:eastAsia="zh-CN"/>
                    </w:rPr>
                    <w:t>泡沫材机</w:t>
                  </w:r>
                </w:p>
              </w:tc>
              <w:tc>
                <w:tcPr>
                  <w:tcW w:w="708" w:type="dxa"/>
                  <w:noWrap w:val="0"/>
                  <w:vAlign w:val="center"/>
                </w:tcPr>
                <w:p>
                  <w:pPr>
                    <w:jc w:val="center"/>
                    <w:rPr>
                      <w:rFonts w:hint="eastAsia"/>
                      <w:color w:val="auto"/>
                      <w:szCs w:val="21"/>
                      <w:lang w:val="en-US" w:eastAsia="zh-CN"/>
                    </w:rPr>
                  </w:pPr>
                  <w:r>
                    <w:rPr>
                      <w:rFonts w:hint="eastAsia"/>
                      <w:color w:val="auto"/>
                      <w:szCs w:val="21"/>
                      <w:lang w:val="en-US" w:eastAsia="zh-CN"/>
                    </w:rPr>
                    <w:t>/</w:t>
                  </w:r>
                </w:p>
              </w:tc>
              <w:tc>
                <w:tcPr>
                  <w:tcW w:w="627" w:type="dxa"/>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60</w:t>
                  </w:r>
                  <w:r>
                    <w:rPr>
                      <w:rFonts w:hint="eastAsia"/>
                      <w:color w:val="auto"/>
                      <w:szCs w:val="21"/>
                      <w:highlight w:val="none"/>
                    </w:rPr>
                    <w:t>-7</w:t>
                  </w:r>
                  <w:r>
                    <w:rPr>
                      <w:rFonts w:hint="eastAsia"/>
                      <w:color w:val="auto"/>
                      <w:szCs w:val="21"/>
                      <w:highlight w:val="none"/>
                      <w:lang w:val="en-US" w:eastAsia="zh-CN"/>
                    </w:rPr>
                    <w:t>0</w:t>
                  </w:r>
                </w:p>
              </w:tc>
              <w:tc>
                <w:tcPr>
                  <w:tcW w:w="586"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326" w:type="dxa"/>
                  <w:noWrap w:val="0"/>
                  <w:vAlign w:val="center"/>
                </w:tcPr>
                <w:p>
                  <w:pPr>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101</w:t>
                  </w:r>
                </w:p>
              </w:tc>
              <w:tc>
                <w:tcPr>
                  <w:tcW w:w="404"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7"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05"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00"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0</w:t>
                  </w:r>
                </w:p>
              </w:tc>
              <w:tc>
                <w:tcPr>
                  <w:tcW w:w="437" w:type="dxa"/>
                  <w:vMerge w:val="continue"/>
                  <w:noWrap w:val="0"/>
                  <w:vAlign w:val="center"/>
                </w:tcPr>
                <w:p>
                  <w:pPr>
                    <w:snapToGrid w:val="0"/>
                    <w:jc w:val="center"/>
                    <w:rPr>
                      <w:rFonts w:hint="eastAsia" w:ascii="Times New Roman" w:hAnsi="Times New Roman" w:eastAsia="宋体" w:cs="Times New Roman"/>
                      <w:color w:val="auto"/>
                      <w:sz w:val="18"/>
                      <w:szCs w:val="18"/>
                      <w:highlight w:val="none"/>
                    </w:rPr>
                  </w:pPr>
                </w:p>
              </w:tc>
              <w:tc>
                <w:tcPr>
                  <w:tcW w:w="547" w:type="dxa"/>
                  <w:noWrap w:val="0"/>
                  <w:vAlign w:val="center"/>
                </w:tcPr>
                <w:p>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546" w:type="dxa"/>
                  <w:noWrap w:val="0"/>
                  <w:vAlign w:val="center"/>
                </w:tcPr>
                <w:p>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45-55</w:t>
                  </w:r>
                </w:p>
              </w:tc>
              <w:tc>
                <w:tcPr>
                  <w:tcW w:w="496" w:type="dxa"/>
                  <w:noWrap w:val="0"/>
                  <w:vAlign w:val="center"/>
                </w:tcPr>
                <w:p>
                  <w:pPr>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bl>
          <w:p>
            <w:pPr>
              <w:keepNext w:val="0"/>
              <w:keepLines w:val="0"/>
              <w:pageBreakBefore w:val="0"/>
              <w:widowControl/>
              <w:kinsoku/>
              <w:wordWrap/>
              <w:overflowPunct/>
              <w:topLinePunct w:val="0"/>
              <w:autoSpaceDE/>
              <w:autoSpaceDN/>
              <w:bidi w:val="0"/>
              <w:adjustRightInd/>
              <w:snapToGrid/>
              <w:spacing w:before="157" w:beforeLines="50" w:line="360" w:lineRule="auto"/>
              <w:ind w:firstLine="28" w:firstLineChars="14"/>
              <w:jc w:val="center"/>
              <w:textAlignment w:val="auto"/>
              <w:rPr>
                <w:color w:val="auto"/>
                <w:kern w:val="0"/>
                <w:sz w:val="21"/>
                <w:szCs w:val="21"/>
                <w:highlight w:val="none"/>
              </w:rPr>
            </w:pPr>
            <w:r>
              <w:rPr>
                <w:rFonts w:hint="eastAsia" w:ascii="Times New Roman" w:hAnsi="Times New Roman"/>
                <w:color w:val="auto"/>
                <w:sz w:val="20"/>
                <w:szCs w:val="20"/>
                <w:highlight w:val="none"/>
              </w:rPr>
              <w:t>注：以</w:t>
            </w:r>
            <w:r>
              <w:rPr>
                <w:rFonts w:hint="eastAsia" w:ascii="Times New Roman" w:hAnsi="Times New Roman"/>
                <w:color w:val="auto"/>
                <w:sz w:val="20"/>
                <w:szCs w:val="20"/>
                <w:highlight w:val="none"/>
                <w:lang w:eastAsia="zh-CN"/>
              </w:rPr>
              <w:t>生产车间</w:t>
            </w:r>
            <w:r>
              <w:rPr>
                <w:rFonts w:hint="eastAsia"/>
                <w:color w:val="auto"/>
                <w:sz w:val="20"/>
                <w:szCs w:val="20"/>
                <w:highlight w:val="none"/>
                <w:lang w:eastAsia="zh-CN"/>
              </w:rPr>
              <w:t>东北</w:t>
            </w:r>
            <w:r>
              <w:rPr>
                <w:rFonts w:hint="eastAsia" w:ascii="Times New Roman" w:hAnsi="Times New Roman"/>
                <w:color w:val="auto"/>
                <w:sz w:val="20"/>
                <w:szCs w:val="20"/>
                <w:highlight w:val="none"/>
              </w:rPr>
              <w:t>角为坐标原点（0，0），X轴正向为正东方向，Y轴正向为正</w:t>
            </w:r>
            <w:r>
              <w:rPr>
                <w:rFonts w:hint="eastAsia"/>
                <w:color w:val="auto"/>
                <w:sz w:val="20"/>
                <w:szCs w:val="20"/>
                <w:highlight w:val="none"/>
                <w:lang w:eastAsia="zh-CN"/>
              </w:rPr>
              <w:t>南</w:t>
            </w:r>
            <w:r>
              <w:rPr>
                <w:rFonts w:hint="eastAsia" w:ascii="Times New Roman" w:hAnsi="Times New Roman"/>
                <w:color w:val="auto"/>
                <w:sz w:val="20"/>
                <w:szCs w:val="20"/>
                <w:highlight w:val="none"/>
              </w:rPr>
              <w:t>方</w:t>
            </w:r>
          </w:p>
          <w:p>
            <w:pPr>
              <w:spacing w:beforeLines="100" w:line="360" w:lineRule="auto"/>
              <w:ind w:firstLine="480" w:firstLineChars="200"/>
              <w:rPr>
                <w:rStyle w:val="80"/>
                <w:b w:val="0"/>
                <w:bCs w:val="0"/>
                <w:color w:val="auto"/>
                <w:highlight w:val="none"/>
                <w:lang w:val="zh-CN"/>
              </w:rPr>
            </w:pPr>
            <w:r>
              <w:rPr>
                <w:rStyle w:val="80"/>
                <w:rFonts w:hint="eastAsia" w:cs="宋体"/>
                <w:b w:val="0"/>
                <w:bCs w:val="0"/>
                <w:color w:val="auto"/>
                <w:highlight w:val="none"/>
                <w:lang w:val="zh-CN"/>
              </w:rPr>
              <w:t>根据设备噪声强度，采用距离衰减模式分析该项目对声环境的影响。预测模式采用《环境影响评价技术导则</w:t>
            </w:r>
            <w:r>
              <w:rPr>
                <w:rStyle w:val="80"/>
                <w:b w:val="0"/>
                <w:bCs w:val="0"/>
                <w:color w:val="auto"/>
                <w:highlight w:val="none"/>
              </w:rPr>
              <w:t>-</w:t>
            </w:r>
            <w:r>
              <w:rPr>
                <w:rStyle w:val="80"/>
                <w:rFonts w:hint="eastAsia" w:cs="宋体"/>
                <w:b w:val="0"/>
                <w:bCs w:val="0"/>
                <w:color w:val="auto"/>
                <w:highlight w:val="none"/>
                <w:lang w:val="zh-CN"/>
              </w:rPr>
              <w:t>声环境》（</w:t>
            </w:r>
            <w:r>
              <w:rPr>
                <w:rStyle w:val="80"/>
                <w:b w:val="0"/>
                <w:bCs w:val="0"/>
                <w:color w:val="auto"/>
                <w:highlight w:val="none"/>
                <w:lang w:val="zh-CN"/>
              </w:rPr>
              <w:t>HJ2.4</w:t>
            </w:r>
            <w:r>
              <w:rPr>
                <w:rStyle w:val="80"/>
                <w:b w:val="0"/>
                <w:bCs w:val="0"/>
                <w:color w:val="auto"/>
                <w:highlight w:val="none"/>
              </w:rPr>
              <w:t>-</w:t>
            </w:r>
            <w:r>
              <w:rPr>
                <w:rStyle w:val="80"/>
                <w:b w:val="0"/>
                <w:bCs w:val="0"/>
                <w:color w:val="auto"/>
                <w:highlight w:val="none"/>
                <w:lang w:val="zh-CN"/>
              </w:rPr>
              <w:t>20</w:t>
            </w:r>
            <w:r>
              <w:rPr>
                <w:rStyle w:val="80"/>
                <w:rFonts w:hint="eastAsia"/>
                <w:b w:val="0"/>
                <w:bCs w:val="0"/>
                <w:color w:val="auto"/>
                <w:highlight w:val="none"/>
                <w:lang w:val="en-US"/>
              </w:rPr>
              <w:t>21</w:t>
            </w:r>
            <w:r>
              <w:rPr>
                <w:rStyle w:val="80"/>
                <w:rFonts w:hint="eastAsia" w:cs="宋体"/>
                <w:b w:val="0"/>
                <w:bCs w:val="0"/>
                <w:color w:val="auto"/>
                <w:highlight w:val="none"/>
                <w:lang w:val="zh-CN"/>
              </w:rPr>
              <w:t>）中推荐的噪声预测模式，噪声衰减公式：</w:t>
            </w:r>
          </w:p>
          <w:p>
            <w:pPr>
              <w:spacing w:line="360" w:lineRule="auto"/>
              <w:ind w:firstLine="480" w:firstLineChars="200"/>
              <w:rPr>
                <w:rStyle w:val="80"/>
                <w:b w:val="0"/>
                <w:bCs w:val="0"/>
                <w:color w:val="auto"/>
                <w:highlight w:val="none"/>
              </w:rPr>
            </w:pPr>
            <w:r>
              <w:rPr>
                <w:rStyle w:val="80"/>
                <w:rFonts w:hint="eastAsia" w:cs="宋体"/>
                <w:b w:val="0"/>
                <w:bCs w:val="0"/>
                <w:color w:val="auto"/>
                <w:highlight w:val="none"/>
              </w:rPr>
              <w:t>①单个室外的点声源在预测点产生的声级计算基本公式</w:t>
            </w:r>
          </w:p>
          <w:p>
            <w:pPr>
              <w:spacing w:line="360" w:lineRule="auto"/>
              <w:ind w:firstLine="480" w:firstLineChars="200"/>
              <w:jc w:val="center"/>
              <w:rPr>
                <w:color w:val="auto"/>
                <w:sz w:val="24"/>
                <w:szCs w:val="24"/>
                <w:highlight w:val="none"/>
              </w:rPr>
            </w:pPr>
            <w:r>
              <w:rPr>
                <w:color w:val="auto"/>
                <w:sz w:val="24"/>
                <w:szCs w:val="24"/>
                <w:highlight w:val="none"/>
              </w:rPr>
              <w:drawing>
                <wp:inline distT="0" distB="0" distL="114300" distR="114300">
                  <wp:extent cx="1857375" cy="2762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1857375" cy="276225"/>
                          </a:xfrm>
                          <a:prstGeom prst="rect">
                            <a:avLst/>
                          </a:prstGeom>
                          <a:noFill/>
                          <a:ln>
                            <a:noFill/>
                          </a:ln>
                        </pic:spPr>
                      </pic:pic>
                    </a:graphicData>
                  </a:graphic>
                </wp:inline>
              </w:drawing>
            </w:r>
          </w:p>
          <w:p>
            <w:pPr>
              <w:spacing w:line="360" w:lineRule="auto"/>
              <w:ind w:firstLine="480" w:firstLineChars="200"/>
              <w:jc w:val="center"/>
              <w:rPr>
                <w:color w:val="auto"/>
                <w:sz w:val="24"/>
                <w:szCs w:val="24"/>
                <w:highlight w:val="none"/>
                <w:lang w:val="zh-CN"/>
              </w:rPr>
            </w:pPr>
            <w:r>
              <w:rPr>
                <w:color w:val="auto"/>
                <w:sz w:val="24"/>
                <w:szCs w:val="24"/>
                <w:highlight w:val="none"/>
              </w:rPr>
              <w:drawing>
                <wp:inline distT="0" distB="0" distL="114300" distR="114300">
                  <wp:extent cx="3028950" cy="285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3028950" cy="285750"/>
                          </a:xfrm>
                          <a:prstGeom prst="rect">
                            <a:avLst/>
                          </a:prstGeom>
                          <a:noFill/>
                          <a:ln>
                            <a:noFill/>
                          </a:ln>
                        </pic:spPr>
                      </pic:pic>
                    </a:graphicData>
                  </a:graphic>
                </wp:inline>
              </w:drawing>
            </w:r>
          </w:p>
          <w:p>
            <w:pPr>
              <w:spacing w:line="360" w:lineRule="auto"/>
              <w:ind w:firstLine="480" w:firstLineChars="200"/>
              <w:rPr>
                <w:rStyle w:val="80"/>
                <w:b w:val="0"/>
                <w:bCs w:val="0"/>
                <w:color w:val="auto"/>
                <w:highlight w:val="none"/>
              </w:rPr>
            </w:pPr>
            <w:r>
              <w:rPr>
                <w:rStyle w:val="80"/>
                <w:rFonts w:hint="eastAsia" w:cs="宋体"/>
                <w:b w:val="0"/>
                <w:bCs w:val="0"/>
                <w:color w:val="auto"/>
                <w:highlight w:val="none"/>
              </w:rPr>
              <w:t>式中：</w:t>
            </w:r>
            <w:r>
              <w:rPr>
                <w:rStyle w:val="80"/>
                <w:b w:val="0"/>
                <w:bCs w:val="0"/>
                <w:color w:val="auto"/>
                <w:highlight w:val="none"/>
              </w:rPr>
              <w:t>LW——</w:t>
            </w:r>
            <w:r>
              <w:rPr>
                <w:rStyle w:val="80"/>
                <w:rFonts w:hint="eastAsia" w:cs="宋体"/>
                <w:b w:val="0"/>
                <w:bCs w:val="0"/>
                <w:color w:val="auto"/>
                <w:highlight w:val="none"/>
              </w:rPr>
              <w:t>倍频带声功率级，</w:t>
            </w:r>
            <w:r>
              <w:rPr>
                <w:rStyle w:val="80"/>
                <w:b w:val="0"/>
                <w:bCs w:val="0"/>
                <w:color w:val="auto"/>
                <w:highlight w:val="none"/>
              </w:rPr>
              <w:t>GB</w:t>
            </w:r>
            <w:r>
              <w:rPr>
                <w:rStyle w:val="80"/>
                <w:rFonts w:hint="eastAsia" w:cs="宋体"/>
                <w:b w:val="0"/>
                <w:bCs w:val="0"/>
                <w:color w:val="auto"/>
                <w:highlight w:val="none"/>
              </w:rPr>
              <w:t>；</w:t>
            </w:r>
          </w:p>
          <w:p>
            <w:pPr>
              <w:spacing w:line="360" w:lineRule="auto"/>
              <w:ind w:left="630" w:leftChars="300" w:firstLine="480" w:firstLineChars="200"/>
              <w:rPr>
                <w:rStyle w:val="80"/>
                <w:b w:val="0"/>
                <w:bCs w:val="0"/>
                <w:color w:val="auto"/>
                <w:highlight w:val="none"/>
              </w:rPr>
            </w:pPr>
            <w:r>
              <w:rPr>
                <w:rStyle w:val="80"/>
                <w:b w:val="0"/>
                <w:bCs w:val="0"/>
                <w:color w:val="auto"/>
                <w:highlight w:val="none"/>
              </w:rPr>
              <w:t>DC——</w:t>
            </w:r>
            <w:r>
              <w:rPr>
                <w:rStyle w:val="80"/>
                <w:rFonts w:hint="eastAsia" w:cs="宋体"/>
                <w:b w:val="0"/>
                <w:bCs w:val="0"/>
                <w:color w:val="auto"/>
                <w:highlight w:val="none"/>
              </w:rPr>
              <w:t>指向性校正，</w:t>
            </w:r>
            <w:r>
              <w:rPr>
                <w:rStyle w:val="80"/>
                <w:b w:val="0"/>
                <w:bCs w:val="0"/>
                <w:color w:val="auto"/>
                <w:highlight w:val="none"/>
              </w:rPr>
              <w:t>GB</w:t>
            </w:r>
            <w:r>
              <w:rPr>
                <w:rStyle w:val="80"/>
                <w:rFonts w:hint="eastAsia" w:cs="宋体"/>
                <w:b w:val="0"/>
                <w:bCs w:val="0"/>
                <w:color w:val="auto"/>
                <w:highlight w:val="none"/>
              </w:rPr>
              <w:t>；</w:t>
            </w:r>
          </w:p>
          <w:p>
            <w:pPr>
              <w:spacing w:line="360" w:lineRule="auto"/>
              <w:ind w:left="630" w:leftChars="300" w:firstLine="480" w:firstLineChars="200"/>
              <w:rPr>
                <w:rStyle w:val="80"/>
                <w:b w:val="0"/>
                <w:bCs w:val="0"/>
                <w:color w:val="auto"/>
                <w:highlight w:val="none"/>
              </w:rPr>
            </w:pPr>
            <w:r>
              <w:rPr>
                <w:rStyle w:val="80"/>
                <w:b w:val="0"/>
                <w:bCs w:val="0"/>
                <w:color w:val="auto"/>
                <w:highlight w:val="none"/>
              </w:rPr>
              <w:t>A——</w:t>
            </w:r>
            <w:r>
              <w:rPr>
                <w:rStyle w:val="80"/>
                <w:rFonts w:hint="eastAsia" w:cs="宋体"/>
                <w:b w:val="0"/>
                <w:bCs w:val="0"/>
                <w:color w:val="auto"/>
                <w:highlight w:val="none"/>
              </w:rPr>
              <w:t>倍频带衰减，</w:t>
            </w:r>
            <w:r>
              <w:rPr>
                <w:rStyle w:val="80"/>
                <w:b w:val="0"/>
                <w:bCs w:val="0"/>
                <w:color w:val="auto"/>
                <w:highlight w:val="none"/>
              </w:rPr>
              <w:t>GB</w:t>
            </w:r>
            <w:r>
              <w:rPr>
                <w:rStyle w:val="80"/>
                <w:rFonts w:hint="eastAsia" w:cs="宋体"/>
                <w:b w:val="0"/>
                <w:bCs w:val="0"/>
                <w:color w:val="auto"/>
                <w:highlight w:val="none"/>
              </w:rPr>
              <w:t>；</w:t>
            </w:r>
          </w:p>
          <w:p>
            <w:pPr>
              <w:spacing w:line="360" w:lineRule="auto"/>
              <w:ind w:left="630" w:leftChars="300" w:firstLine="480" w:firstLineChars="200"/>
              <w:rPr>
                <w:rStyle w:val="80"/>
                <w:b w:val="0"/>
                <w:bCs w:val="0"/>
                <w:color w:val="auto"/>
                <w:highlight w:val="none"/>
              </w:rPr>
            </w:pPr>
            <w:r>
              <w:rPr>
                <w:rStyle w:val="80"/>
                <w:b w:val="0"/>
                <w:bCs w:val="0"/>
                <w:color w:val="auto"/>
                <w:highlight w:val="none"/>
              </w:rPr>
              <w:t>Adiv——</w:t>
            </w:r>
            <w:r>
              <w:rPr>
                <w:rStyle w:val="80"/>
                <w:rFonts w:hint="eastAsia" w:cs="宋体"/>
                <w:b w:val="0"/>
                <w:bCs w:val="0"/>
                <w:color w:val="auto"/>
                <w:highlight w:val="none"/>
              </w:rPr>
              <w:t>几何发散引起的倍频带衰减，</w:t>
            </w:r>
            <w:r>
              <w:rPr>
                <w:rStyle w:val="80"/>
                <w:b w:val="0"/>
                <w:bCs w:val="0"/>
                <w:color w:val="auto"/>
                <w:highlight w:val="none"/>
              </w:rPr>
              <w:t>GB</w:t>
            </w:r>
            <w:r>
              <w:rPr>
                <w:rStyle w:val="80"/>
                <w:rFonts w:hint="eastAsia" w:cs="宋体"/>
                <w:b w:val="0"/>
                <w:bCs w:val="0"/>
                <w:color w:val="auto"/>
                <w:highlight w:val="none"/>
              </w:rPr>
              <w:t>；</w:t>
            </w:r>
          </w:p>
          <w:p>
            <w:pPr>
              <w:spacing w:line="360" w:lineRule="auto"/>
              <w:ind w:left="630" w:leftChars="300" w:firstLine="480" w:firstLineChars="200"/>
              <w:rPr>
                <w:rStyle w:val="80"/>
                <w:b w:val="0"/>
                <w:bCs w:val="0"/>
                <w:color w:val="auto"/>
                <w:highlight w:val="none"/>
              </w:rPr>
            </w:pPr>
            <w:r>
              <w:rPr>
                <w:rStyle w:val="80"/>
                <w:b w:val="0"/>
                <w:bCs w:val="0"/>
                <w:color w:val="auto"/>
                <w:highlight w:val="none"/>
              </w:rPr>
              <w:t>Aatm——</w:t>
            </w:r>
            <w:r>
              <w:rPr>
                <w:rStyle w:val="80"/>
                <w:rFonts w:hint="eastAsia" w:cs="宋体"/>
                <w:b w:val="0"/>
                <w:bCs w:val="0"/>
                <w:color w:val="auto"/>
                <w:highlight w:val="none"/>
              </w:rPr>
              <w:t>大气吸收引起的倍频带衰减，</w:t>
            </w:r>
            <w:r>
              <w:rPr>
                <w:rStyle w:val="80"/>
                <w:b w:val="0"/>
                <w:bCs w:val="0"/>
                <w:color w:val="auto"/>
                <w:highlight w:val="none"/>
              </w:rPr>
              <w:t>GB</w:t>
            </w:r>
            <w:r>
              <w:rPr>
                <w:rStyle w:val="80"/>
                <w:rFonts w:hint="eastAsia" w:cs="宋体"/>
                <w:b w:val="0"/>
                <w:bCs w:val="0"/>
                <w:color w:val="auto"/>
                <w:highlight w:val="none"/>
              </w:rPr>
              <w:t>；</w:t>
            </w:r>
          </w:p>
          <w:p>
            <w:pPr>
              <w:spacing w:line="360" w:lineRule="auto"/>
              <w:ind w:left="630" w:leftChars="300" w:firstLine="480" w:firstLineChars="200"/>
              <w:rPr>
                <w:rStyle w:val="80"/>
                <w:b w:val="0"/>
                <w:bCs w:val="0"/>
                <w:color w:val="auto"/>
                <w:highlight w:val="none"/>
              </w:rPr>
            </w:pPr>
            <w:r>
              <w:rPr>
                <w:rStyle w:val="80"/>
                <w:b w:val="0"/>
                <w:bCs w:val="0"/>
                <w:color w:val="auto"/>
                <w:highlight w:val="none"/>
              </w:rPr>
              <w:t>Agr——</w:t>
            </w:r>
            <w:r>
              <w:rPr>
                <w:rStyle w:val="80"/>
                <w:rFonts w:hint="eastAsia" w:cs="宋体"/>
                <w:b w:val="0"/>
                <w:bCs w:val="0"/>
                <w:color w:val="auto"/>
                <w:highlight w:val="none"/>
              </w:rPr>
              <w:t>地面效应引起的倍频带衰减，</w:t>
            </w:r>
            <w:r>
              <w:rPr>
                <w:rStyle w:val="80"/>
                <w:b w:val="0"/>
                <w:bCs w:val="0"/>
                <w:color w:val="auto"/>
                <w:highlight w:val="none"/>
              </w:rPr>
              <w:t>GB</w:t>
            </w:r>
            <w:r>
              <w:rPr>
                <w:rStyle w:val="80"/>
                <w:rFonts w:hint="eastAsia" w:cs="宋体"/>
                <w:b w:val="0"/>
                <w:bCs w:val="0"/>
                <w:color w:val="auto"/>
                <w:highlight w:val="none"/>
              </w:rPr>
              <w:t>；</w:t>
            </w:r>
          </w:p>
          <w:p>
            <w:pPr>
              <w:spacing w:line="360" w:lineRule="auto"/>
              <w:ind w:left="630" w:leftChars="300" w:firstLine="480" w:firstLineChars="200"/>
              <w:rPr>
                <w:rStyle w:val="80"/>
                <w:b w:val="0"/>
                <w:bCs w:val="0"/>
                <w:color w:val="auto"/>
                <w:highlight w:val="none"/>
              </w:rPr>
            </w:pPr>
            <w:r>
              <w:rPr>
                <w:rStyle w:val="80"/>
                <w:b w:val="0"/>
                <w:bCs w:val="0"/>
                <w:color w:val="auto"/>
                <w:highlight w:val="none"/>
              </w:rPr>
              <w:t>Abar——</w:t>
            </w:r>
            <w:r>
              <w:rPr>
                <w:rStyle w:val="80"/>
                <w:rFonts w:hint="eastAsia" w:cs="宋体"/>
                <w:b w:val="0"/>
                <w:bCs w:val="0"/>
                <w:color w:val="auto"/>
                <w:highlight w:val="none"/>
              </w:rPr>
              <w:t>声屏障引起的倍频带衰减，</w:t>
            </w:r>
            <w:r>
              <w:rPr>
                <w:rStyle w:val="80"/>
                <w:b w:val="0"/>
                <w:bCs w:val="0"/>
                <w:color w:val="auto"/>
                <w:highlight w:val="none"/>
              </w:rPr>
              <w:t>GB</w:t>
            </w:r>
            <w:r>
              <w:rPr>
                <w:rStyle w:val="80"/>
                <w:rFonts w:hint="eastAsia" w:cs="宋体"/>
                <w:b w:val="0"/>
                <w:bCs w:val="0"/>
                <w:color w:val="auto"/>
                <w:highlight w:val="none"/>
              </w:rPr>
              <w:t>；</w:t>
            </w:r>
          </w:p>
          <w:p>
            <w:pPr>
              <w:spacing w:line="360" w:lineRule="auto"/>
              <w:ind w:firstLine="1200" w:firstLineChars="500"/>
              <w:rPr>
                <w:color w:val="auto"/>
                <w:sz w:val="24"/>
                <w:szCs w:val="24"/>
                <w:highlight w:val="none"/>
              </w:rPr>
            </w:pPr>
            <w:r>
              <w:rPr>
                <w:color w:val="auto"/>
                <w:sz w:val="24"/>
                <w:szCs w:val="24"/>
                <w:highlight w:val="none"/>
              </w:rPr>
              <w:t>A</w:t>
            </w:r>
            <w:r>
              <w:rPr>
                <w:color w:val="auto"/>
                <w:sz w:val="24"/>
                <w:szCs w:val="24"/>
                <w:highlight w:val="none"/>
                <w:vertAlign w:val="subscript"/>
              </w:rPr>
              <w:t>misc</w:t>
            </w:r>
            <w:r>
              <w:rPr>
                <w:color w:val="auto"/>
                <w:sz w:val="24"/>
                <w:szCs w:val="24"/>
                <w:highlight w:val="none"/>
              </w:rPr>
              <w:t>——</w:t>
            </w:r>
            <w:r>
              <w:rPr>
                <w:rFonts w:hint="eastAsia" w:cs="宋体"/>
                <w:color w:val="auto"/>
                <w:sz w:val="24"/>
                <w:szCs w:val="24"/>
                <w:highlight w:val="none"/>
              </w:rPr>
              <w:t>其他多方面效应引起的倍频带衰减，</w:t>
            </w:r>
            <w:r>
              <w:rPr>
                <w:color w:val="auto"/>
                <w:sz w:val="24"/>
                <w:szCs w:val="24"/>
                <w:highlight w:val="none"/>
              </w:rPr>
              <w:t>GB</w:t>
            </w:r>
            <w:r>
              <w:rPr>
                <w:rFonts w:hint="eastAsia" w:cs="宋体"/>
                <w:color w:val="auto"/>
                <w:sz w:val="24"/>
                <w:szCs w:val="24"/>
                <w:highlight w:val="none"/>
              </w:rPr>
              <w:t>。</w:t>
            </w:r>
          </w:p>
          <w:p>
            <w:pPr>
              <w:tabs>
                <w:tab w:val="left" w:pos="900"/>
              </w:tabs>
              <w:spacing w:line="360" w:lineRule="auto"/>
              <w:ind w:firstLine="482"/>
              <w:rPr>
                <w:color w:val="auto"/>
                <w:sz w:val="24"/>
                <w:szCs w:val="24"/>
                <w:highlight w:val="none"/>
              </w:rPr>
            </w:pPr>
            <w:r>
              <w:rPr>
                <w:rFonts w:hint="eastAsia" w:cs="宋体"/>
                <w:color w:val="auto"/>
                <w:sz w:val="24"/>
                <w:szCs w:val="24"/>
                <w:highlight w:val="none"/>
              </w:rPr>
              <w:t>②室内声源等效室外声源声功率级计算方法</w:t>
            </w:r>
          </w:p>
          <w:p>
            <w:pPr>
              <w:tabs>
                <w:tab w:val="left" w:pos="900"/>
              </w:tabs>
              <w:spacing w:line="360" w:lineRule="auto"/>
              <w:ind w:firstLine="480" w:firstLineChars="200"/>
              <w:rPr>
                <w:color w:val="auto"/>
                <w:sz w:val="24"/>
                <w:szCs w:val="24"/>
                <w:highlight w:val="none"/>
              </w:rPr>
            </w:pPr>
            <w:r>
              <w:rPr>
                <w:rFonts w:hint="eastAsia" w:cs="宋体"/>
                <w:color w:val="auto"/>
                <w:sz w:val="24"/>
                <w:szCs w:val="24"/>
                <w:highlight w:val="none"/>
              </w:rPr>
              <w:t>声源位于室内，室内声源可采用等效室外声源声功率级法进行计算。设靠近开口处（或窗户）室内、室外某倍频带的声压级分别为</w:t>
            </w:r>
            <w:r>
              <w:rPr>
                <w:color w:val="auto"/>
                <w:sz w:val="24"/>
                <w:szCs w:val="24"/>
                <w:highlight w:val="none"/>
              </w:rPr>
              <w:t>L</w:t>
            </w:r>
            <w:r>
              <w:rPr>
                <w:color w:val="auto"/>
                <w:sz w:val="24"/>
                <w:szCs w:val="24"/>
                <w:highlight w:val="none"/>
                <w:vertAlign w:val="subscript"/>
              </w:rPr>
              <w:t>P1</w:t>
            </w:r>
            <w:r>
              <w:rPr>
                <w:rFonts w:hint="eastAsia" w:cs="宋体"/>
                <w:color w:val="auto"/>
                <w:sz w:val="24"/>
                <w:szCs w:val="24"/>
                <w:highlight w:val="none"/>
              </w:rPr>
              <w:t>和</w:t>
            </w:r>
            <w:r>
              <w:rPr>
                <w:color w:val="auto"/>
                <w:sz w:val="24"/>
                <w:szCs w:val="24"/>
                <w:highlight w:val="none"/>
              </w:rPr>
              <w:t>L</w:t>
            </w:r>
            <w:r>
              <w:rPr>
                <w:color w:val="auto"/>
                <w:sz w:val="24"/>
                <w:szCs w:val="24"/>
                <w:highlight w:val="none"/>
                <w:vertAlign w:val="subscript"/>
              </w:rPr>
              <w:t>P2</w:t>
            </w:r>
            <w:r>
              <w:rPr>
                <w:rFonts w:hint="eastAsia" w:cs="宋体"/>
                <w:color w:val="auto"/>
                <w:sz w:val="24"/>
                <w:szCs w:val="24"/>
                <w:highlight w:val="none"/>
              </w:rPr>
              <w:t>。若声源所在室内声场为近似扩散声场，则室外的倍频带声压级可按以下计算公式如下：</w:t>
            </w:r>
          </w:p>
          <w:p>
            <w:pPr>
              <w:tabs>
                <w:tab w:val="left" w:pos="900"/>
              </w:tabs>
              <w:spacing w:line="360" w:lineRule="auto"/>
              <w:jc w:val="center"/>
              <w:rPr>
                <w:color w:val="auto"/>
                <w:sz w:val="24"/>
                <w:szCs w:val="24"/>
                <w:highlight w:val="none"/>
              </w:rPr>
            </w:pPr>
            <w:r>
              <w:rPr>
                <w:color w:val="auto"/>
                <w:sz w:val="24"/>
                <w:szCs w:val="24"/>
                <w:highlight w:val="none"/>
              </w:rPr>
              <w:drawing>
                <wp:inline distT="0" distB="0" distL="114300" distR="114300">
                  <wp:extent cx="1876425" cy="3238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1876425" cy="323850"/>
                          </a:xfrm>
                          <a:prstGeom prst="rect">
                            <a:avLst/>
                          </a:prstGeom>
                          <a:noFill/>
                          <a:ln>
                            <a:noFill/>
                          </a:ln>
                        </pic:spPr>
                      </pic:pic>
                    </a:graphicData>
                  </a:graphic>
                </wp:inline>
              </w:drawing>
            </w:r>
          </w:p>
          <w:p>
            <w:pPr>
              <w:pStyle w:val="20"/>
              <w:spacing w:line="360" w:lineRule="auto"/>
              <w:ind w:firstLine="482"/>
              <w:rPr>
                <w:rFonts w:ascii="Times New Roman" w:hAnsi="Times New Roman" w:cs="Times New Roman"/>
                <w:color w:val="auto"/>
                <w:sz w:val="24"/>
                <w:szCs w:val="24"/>
                <w:highlight w:val="none"/>
              </w:rPr>
            </w:pPr>
            <w:r>
              <w:rPr>
                <w:rFonts w:hint="eastAsia" w:ascii="Times New Roman" w:hAnsi="Times New Roman"/>
                <w:color w:val="auto"/>
                <w:sz w:val="24"/>
                <w:szCs w:val="24"/>
                <w:highlight w:val="none"/>
              </w:rPr>
              <w:t>式中：</w:t>
            </w:r>
            <w:r>
              <w:rPr>
                <w:rFonts w:ascii="Times New Roman" w:hAnsi="Times New Roman" w:cs="Times New Roman"/>
                <w:color w:val="auto"/>
                <w:sz w:val="24"/>
                <w:szCs w:val="24"/>
                <w:highlight w:val="none"/>
              </w:rPr>
              <w:t>TL——</w:t>
            </w:r>
            <w:r>
              <w:rPr>
                <w:rFonts w:hint="eastAsia" w:ascii="Times New Roman" w:hAnsi="Times New Roman"/>
                <w:color w:val="auto"/>
                <w:sz w:val="24"/>
                <w:szCs w:val="24"/>
                <w:highlight w:val="none"/>
              </w:rPr>
              <w:t>隔墙（或窗户）倍频带的隔声量，</w:t>
            </w:r>
            <w:r>
              <w:rPr>
                <w:rFonts w:ascii="Times New Roman" w:hAnsi="Times New Roman" w:cs="Times New Roman"/>
                <w:color w:val="auto"/>
                <w:sz w:val="24"/>
                <w:szCs w:val="24"/>
                <w:highlight w:val="none"/>
              </w:rPr>
              <w:t>GB</w:t>
            </w:r>
            <w:r>
              <w:rPr>
                <w:rFonts w:hint="eastAsia" w:ascii="Times New Roman" w:hAnsi="Times New Roman"/>
                <w:color w:val="auto"/>
                <w:sz w:val="24"/>
                <w:szCs w:val="24"/>
                <w:highlight w:val="none"/>
              </w:rPr>
              <w:t>；</w:t>
            </w:r>
          </w:p>
          <w:p>
            <w:pPr>
              <w:pStyle w:val="20"/>
              <w:spacing w:line="360" w:lineRule="auto"/>
              <w:ind w:firstLine="482"/>
              <w:rPr>
                <w:rFonts w:ascii="Times New Roman" w:hAnsi="Times New Roman" w:cs="Times New Roman"/>
                <w:color w:val="auto"/>
                <w:sz w:val="24"/>
                <w:szCs w:val="24"/>
                <w:highlight w:val="none"/>
              </w:rPr>
            </w:pPr>
            <w:r>
              <w:rPr>
                <w:rFonts w:hint="eastAsia" w:ascii="Times New Roman" w:hAnsi="Times New Roman"/>
                <w:color w:val="auto"/>
                <w:sz w:val="24"/>
                <w:szCs w:val="24"/>
                <w:highlight w:val="none"/>
              </w:rPr>
              <w:t>按下式计算某一室内声源靠近围护结构处产生的倍频带声压级：</w:t>
            </w:r>
          </w:p>
          <w:p>
            <w:pPr>
              <w:tabs>
                <w:tab w:val="left" w:pos="900"/>
              </w:tabs>
              <w:spacing w:line="360" w:lineRule="auto"/>
              <w:ind w:firstLine="480" w:firstLineChars="200"/>
              <w:jc w:val="center"/>
              <w:rPr>
                <w:color w:val="auto"/>
                <w:sz w:val="24"/>
                <w:szCs w:val="24"/>
                <w:highlight w:val="none"/>
              </w:rPr>
            </w:pPr>
            <w:r>
              <w:rPr>
                <w:color w:val="auto"/>
                <w:sz w:val="24"/>
                <w:szCs w:val="24"/>
                <w:highlight w:val="none"/>
              </w:rPr>
              <w:drawing>
                <wp:inline distT="0" distB="0" distL="114300" distR="114300">
                  <wp:extent cx="2600325" cy="609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2600325" cy="609600"/>
                          </a:xfrm>
                          <a:prstGeom prst="rect">
                            <a:avLst/>
                          </a:prstGeom>
                          <a:noFill/>
                          <a:ln>
                            <a:noFill/>
                          </a:ln>
                        </pic:spPr>
                      </pic:pic>
                    </a:graphicData>
                  </a:graphic>
                </wp:inline>
              </w:drawing>
            </w:r>
          </w:p>
          <w:p>
            <w:pPr>
              <w:tabs>
                <w:tab w:val="left" w:pos="900"/>
              </w:tabs>
              <w:spacing w:line="360" w:lineRule="auto"/>
              <w:ind w:firstLine="480" w:firstLineChars="200"/>
              <w:jc w:val="center"/>
              <w:rPr>
                <w:color w:val="auto"/>
                <w:sz w:val="24"/>
                <w:szCs w:val="24"/>
                <w:highlight w:val="none"/>
              </w:rPr>
            </w:pPr>
            <w:r>
              <w:rPr>
                <w:rFonts w:hint="eastAsia" w:cs="宋体"/>
                <w:color w:val="auto"/>
                <w:sz w:val="24"/>
                <w:szCs w:val="24"/>
                <w:highlight w:val="none"/>
              </w:rPr>
              <w:t>式中：</w:t>
            </w:r>
            <w:r>
              <w:rPr>
                <w:color w:val="auto"/>
                <w:sz w:val="24"/>
                <w:szCs w:val="24"/>
                <w:highlight w:val="none"/>
              </w:rPr>
              <w:t>Q——</w:t>
            </w:r>
            <w:r>
              <w:rPr>
                <w:rFonts w:hint="eastAsia" w:cs="宋体"/>
                <w:color w:val="auto"/>
                <w:sz w:val="24"/>
                <w:szCs w:val="24"/>
                <w:highlight w:val="none"/>
              </w:rPr>
              <w:t>指向性因数，通常对无指向性声源，当声源放在房间中心时，</w:t>
            </w:r>
            <w:r>
              <w:rPr>
                <w:color w:val="auto"/>
                <w:sz w:val="24"/>
                <w:szCs w:val="24"/>
                <w:highlight w:val="none"/>
              </w:rPr>
              <w:t>Q=1</w:t>
            </w:r>
            <w:r>
              <w:rPr>
                <w:rFonts w:hint="eastAsia" w:cs="宋体"/>
                <w:color w:val="auto"/>
                <w:sz w:val="24"/>
                <w:szCs w:val="24"/>
                <w:highlight w:val="none"/>
              </w:rPr>
              <w:t>；当放在一面墙的中心时，</w:t>
            </w:r>
            <w:r>
              <w:rPr>
                <w:color w:val="auto"/>
                <w:sz w:val="24"/>
                <w:szCs w:val="24"/>
                <w:highlight w:val="none"/>
              </w:rPr>
              <w:t>Q=2</w:t>
            </w:r>
            <w:r>
              <w:rPr>
                <w:rFonts w:hint="eastAsia" w:cs="宋体"/>
                <w:color w:val="auto"/>
                <w:sz w:val="24"/>
                <w:szCs w:val="24"/>
                <w:highlight w:val="none"/>
              </w:rPr>
              <w:t>；当放在两面墙夹角处时，</w:t>
            </w:r>
            <w:r>
              <w:rPr>
                <w:color w:val="auto"/>
                <w:sz w:val="24"/>
                <w:szCs w:val="24"/>
                <w:highlight w:val="none"/>
              </w:rPr>
              <w:t>Q=4</w:t>
            </w:r>
            <w:r>
              <w:rPr>
                <w:rFonts w:hint="eastAsia" w:cs="宋体"/>
                <w:color w:val="auto"/>
                <w:sz w:val="24"/>
                <w:szCs w:val="24"/>
                <w:highlight w:val="none"/>
              </w:rPr>
              <w:t>；当放在三面墙夹角处时，</w:t>
            </w:r>
            <w:r>
              <w:rPr>
                <w:color w:val="auto"/>
                <w:sz w:val="24"/>
                <w:szCs w:val="24"/>
                <w:highlight w:val="none"/>
              </w:rPr>
              <w:t>Q=8</w:t>
            </w:r>
            <w:r>
              <w:rPr>
                <w:rFonts w:hint="eastAsia" w:cs="宋体"/>
                <w:color w:val="auto"/>
                <w:sz w:val="24"/>
                <w:szCs w:val="24"/>
                <w:highlight w:val="none"/>
              </w:rPr>
              <w:t>；</w:t>
            </w:r>
          </w:p>
          <w:p>
            <w:pPr>
              <w:tabs>
                <w:tab w:val="left" w:pos="900"/>
              </w:tabs>
              <w:spacing w:line="360" w:lineRule="auto"/>
              <w:ind w:firstLine="1200" w:firstLineChars="500"/>
              <w:rPr>
                <w:color w:val="auto"/>
                <w:sz w:val="24"/>
                <w:szCs w:val="24"/>
                <w:highlight w:val="none"/>
              </w:rPr>
            </w:pPr>
            <w:r>
              <w:rPr>
                <w:color w:val="auto"/>
                <w:sz w:val="24"/>
                <w:szCs w:val="24"/>
                <w:highlight w:val="none"/>
              </w:rPr>
              <w:t>R——</w:t>
            </w:r>
            <w:r>
              <w:rPr>
                <w:rFonts w:hint="eastAsia" w:cs="宋体"/>
                <w:color w:val="auto"/>
                <w:sz w:val="24"/>
                <w:szCs w:val="24"/>
                <w:highlight w:val="none"/>
              </w:rPr>
              <w:t>房间常数，</w:t>
            </w:r>
            <w:r>
              <w:rPr>
                <w:color w:val="auto"/>
                <w:sz w:val="24"/>
                <w:szCs w:val="24"/>
                <w:highlight w:val="none"/>
              </w:rPr>
              <w:drawing>
                <wp:inline distT="0" distB="0" distL="114300" distR="114300">
                  <wp:extent cx="1400175" cy="2190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1400175" cy="219075"/>
                          </a:xfrm>
                          <a:prstGeom prst="rect">
                            <a:avLst/>
                          </a:prstGeom>
                          <a:noFill/>
                          <a:ln>
                            <a:noFill/>
                          </a:ln>
                        </pic:spPr>
                      </pic:pic>
                    </a:graphicData>
                  </a:graphic>
                </wp:inline>
              </w:drawing>
            </w:r>
            <w:r>
              <w:rPr>
                <w:rFonts w:hint="eastAsia" w:cs="宋体"/>
                <w:color w:val="auto"/>
                <w:sz w:val="24"/>
                <w:szCs w:val="24"/>
                <w:highlight w:val="none"/>
              </w:rPr>
              <w:t>；</w:t>
            </w:r>
          </w:p>
          <w:p>
            <w:pPr>
              <w:tabs>
                <w:tab w:val="left" w:pos="900"/>
              </w:tabs>
              <w:spacing w:line="360" w:lineRule="auto"/>
              <w:ind w:firstLine="1200" w:firstLineChars="500"/>
              <w:rPr>
                <w:color w:val="auto"/>
                <w:sz w:val="24"/>
                <w:szCs w:val="24"/>
                <w:highlight w:val="none"/>
              </w:rPr>
            </w:pPr>
            <w:r>
              <w:rPr>
                <w:color w:val="auto"/>
                <w:sz w:val="24"/>
                <w:szCs w:val="24"/>
                <w:highlight w:val="none"/>
              </w:rPr>
              <w:t>S——</w:t>
            </w:r>
            <w:r>
              <w:rPr>
                <w:rFonts w:hint="eastAsia" w:cs="宋体"/>
                <w:color w:val="auto"/>
                <w:sz w:val="24"/>
                <w:szCs w:val="24"/>
                <w:highlight w:val="none"/>
              </w:rPr>
              <w:t>为房间内表面面积，</w:t>
            </w:r>
            <w:r>
              <w:rPr>
                <w:color w:val="auto"/>
                <w:sz w:val="24"/>
                <w:szCs w:val="24"/>
                <w:highlight w:val="none"/>
              </w:rPr>
              <w:t>m</w:t>
            </w:r>
            <w:r>
              <w:rPr>
                <w:color w:val="auto"/>
                <w:sz w:val="24"/>
                <w:szCs w:val="24"/>
                <w:highlight w:val="none"/>
                <w:vertAlign w:val="superscript"/>
              </w:rPr>
              <w:t>2</w:t>
            </w:r>
            <w:r>
              <w:rPr>
                <w:rFonts w:hint="eastAsia" w:cs="宋体"/>
                <w:color w:val="auto"/>
                <w:sz w:val="24"/>
                <w:szCs w:val="24"/>
                <w:highlight w:val="none"/>
              </w:rPr>
              <w:t>，</w:t>
            </w:r>
            <w:r>
              <w:rPr>
                <w:color w:val="auto"/>
                <w:sz w:val="24"/>
                <w:szCs w:val="24"/>
                <w:highlight w:val="none"/>
              </w:rPr>
              <w:t xml:space="preserve">α </w:t>
            </w:r>
            <w:r>
              <w:rPr>
                <w:rFonts w:hint="eastAsia" w:cs="宋体"/>
                <w:color w:val="auto"/>
                <w:sz w:val="24"/>
                <w:szCs w:val="24"/>
                <w:highlight w:val="none"/>
              </w:rPr>
              <w:t>为平均吸声系数；</w:t>
            </w:r>
          </w:p>
          <w:p>
            <w:pPr>
              <w:tabs>
                <w:tab w:val="left" w:pos="900"/>
              </w:tabs>
              <w:spacing w:line="360" w:lineRule="auto"/>
              <w:ind w:firstLine="1200" w:firstLineChars="500"/>
              <w:rPr>
                <w:color w:val="auto"/>
                <w:sz w:val="24"/>
                <w:szCs w:val="24"/>
                <w:highlight w:val="none"/>
              </w:rPr>
            </w:pPr>
            <w:r>
              <w:rPr>
                <w:color w:val="auto"/>
                <w:sz w:val="24"/>
                <w:szCs w:val="24"/>
                <w:highlight w:val="none"/>
              </w:rPr>
              <w:t>r——</w:t>
            </w:r>
            <w:r>
              <w:rPr>
                <w:rFonts w:hint="eastAsia" w:cs="宋体"/>
                <w:color w:val="auto"/>
                <w:sz w:val="24"/>
                <w:szCs w:val="24"/>
                <w:highlight w:val="none"/>
              </w:rPr>
              <w:t>声源到靠近围护结构某点处的距离，</w:t>
            </w:r>
            <w:r>
              <w:rPr>
                <w:color w:val="auto"/>
                <w:sz w:val="24"/>
                <w:szCs w:val="24"/>
                <w:highlight w:val="none"/>
              </w:rPr>
              <w:t>m</w:t>
            </w:r>
            <w:r>
              <w:rPr>
                <w:rFonts w:hint="eastAsia" w:cs="宋体"/>
                <w:color w:val="auto"/>
                <w:sz w:val="24"/>
                <w:szCs w:val="24"/>
                <w:highlight w:val="none"/>
              </w:rPr>
              <w:t>。</w:t>
            </w:r>
          </w:p>
          <w:p>
            <w:pPr>
              <w:pStyle w:val="20"/>
              <w:spacing w:line="360" w:lineRule="auto"/>
              <w:ind w:firstLine="482"/>
              <w:rPr>
                <w:rFonts w:ascii="Times New Roman" w:hAnsi="Times New Roman" w:cs="Times New Roman"/>
                <w:color w:val="auto"/>
                <w:sz w:val="24"/>
                <w:szCs w:val="24"/>
                <w:highlight w:val="none"/>
              </w:rPr>
            </w:pPr>
            <w:r>
              <w:rPr>
                <w:rFonts w:hint="eastAsia" w:ascii="Times New Roman" w:hAnsi="Times New Roman"/>
                <w:color w:val="auto"/>
                <w:sz w:val="24"/>
                <w:szCs w:val="24"/>
                <w:highlight w:val="none"/>
              </w:rPr>
              <w:t>然后按下式计算出所有室内声源在围护结构处产生的</w:t>
            </w:r>
            <w:r>
              <w:rPr>
                <w:rFonts w:ascii="Times New Roman" w:hAnsi="Times New Roman" w:cs="Times New Roman"/>
                <w:color w:val="auto"/>
                <w:sz w:val="24"/>
                <w:szCs w:val="24"/>
                <w:highlight w:val="none"/>
              </w:rPr>
              <w:t>i</w:t>
            </w:r>
            <w:r>
              <w:rPr>
                <w:rFonts w:hint="eastAsia" w:ascii="Times New Roman" w:hAnsi="Times New Roman"/>
                <w:color w:val="auto"/>
                <w:sz w:val="24"/>
                <w:szCs w:val="24"/>
                <w:highlight w:val="none"/>
              </w:rPr>
              <w:t>倍频带叠加声压级。</w:t>
            </w:r>
          </w:p>
          <w:p>
            <w:pPr>
              <w:spacing w:line="360" w:lineRule="auto"/>
              <w:jc w:val="center"/>
              <w:rPr>
                <w:color w:val="auto"/>
                <w:sz w:val="24"/>
                <w:szCs w:val="24"/>
                <w:highlight w:val="none"/>
              </w:rPr>
            </w:pPr>
            <w:r>
              <w:rPr>
                <w:color w:val="auto"/>
                <w:sz w:val="24"/>
                <w:szCs w:val="24"/>
                <w:highlight w:val="none"/>
              </w:rPr>
              <w:drawing>
                <wp:inline distT="0" distB="0" distL="114300" distR="114300">
                  <wp:extent cx="2476500" cy="647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2476500" cy="647700"/>
                          </a:xfrm>
                          <a:prstGeom prst="rect">
                            <a:avLst/>
                          </a:prstGeom>
                          <a:noFill/>
                          <a:ln>
                            <a:noFill/>
                          </a:ln>
                        </pic:spPr>
                      </pic:pic>
                    </a:graphicData>
                  </a:graphic>
                </wp:inline>
              </w:drawing>
            </w:r>
          </w:p>
          <w:p>
            <w:pPr>
              <w:spacing w:line="360" w:lineRule="auto"/>
              <w:ind w:firstLine="480" w:firstLineChars="200"/>
              <w:rPr>
                <w:color w:val="auto"/>
                <w:sz w:val="24"/>
                <w:szCs w:val="24"/>
                <w:highlight w:val="none"/>
              </w:rPr>
            </w:pPr>
            <w:r>
              <w:rPr>
                <w:rFonts w:hint="eastAsia" w:cs="宋体"/>
                <w:color w:val="auto"/>
                <w:sz w:val="24"/>
                <w:szCs w:val="24"/>
                <w:highlight w:val="none"/>
              </w:rPr>
              <w:t>式中：</w:t>
            </w:r>
            <w:r>
              <w:rPr>
                <w:color w:val="auto"/>
                <w:sz w:val="24"/>
                <w:szCs w:val="24"/>
                <w:highlight w:val="none"/>
              </w:rPr>
              <w:t>LP1i——</w:t>
            </w:r>
            <w:r>
              <w:rPr>
                <w:rFonts w:hint="eastAsia" w:cs="宋体"/>
                <w:color w:val="auto"/>
                <w:sz w:val="24"/>
                <w:szCs w:val="24"/>
                <w:highlight w:val="none"/>
              </w:rPr>
              <w:t>靠近围护结构处室内</w:t>
            </w:r>
            <w:r>
              <w:rPr>
                <w:color w:val="auto"/>
                <w:sz w:val="24"/>
                <w:szCs w:val="24"/>
                <w:highlight w:val="none"/>
              </w:rPr>
              <w:t>N</w:t>
            </w:r>
            <w:r>
              <w:rPr>
                <w:rFonts w:hint="eastAsia" w:cs="宋体"/>
                <w:color w:val="auto"/>
                <w:sz w:val="24"/>
                <w:szCs w:val="24"/>
                <w:highlight w:val="none"/>
              </w:rPr>
              <w:t>个声源</w:t>
            </w:r>
            <w:r>
              <w:rPr>
                <w:color w:val="auto"/>
                <w:sz w:val="24"/>
                <w:szCs w:val="24"/>
                <w:highlight w:val="none"/>
              </w:rPr>
              <w:t>i</w:t>
            </w:r>
            <w:r>
              <w:rPr>
                <w:rFonts w:hint="eastAsia" w:cs="宋体"/>
                <w:color w:val="auto"/>
                <w:sz w:val="24"/>
                <w:szCs w:val="24"/>
                <w:highlight w:val="none"/>
              </w:rPr>
              <w:t>倍频带的叠加声压级，</w:t>
            </w:r>
            <w:r>
              <w:rPr>
                <w:color w:val="auto"/>
                <w:sz w:val="24"/>
                <w:szCs w:val="24"/>
                <w:highlight w:val="none"/>
              </w:rPr>
              <w:t>GB</w:t>
            </w:r>
            <w:r>
              <w:rPr>
                <w:rFonts w:hint="eastAsia" w:cs="宋体"/>
                <w:color w:val="auto"/>
                <w:sz w:val="24"/>
                <w:szCs w:val="24"/>
                <w:highlight w:val="none"/>
              </w:rPr>
              <w:t>；</w:t>
            </w:r>
          </w:p>
          <w:p>
            <w:pPr>
              <w:spacing w:line="360" w:lineRule="auto"/>
              <w:ind w:firstLine="1200" w:firstLineChars="500"/>
              <w:rPr>
                <w:color w:val="auto"/>
                <w:sz w:val="24"/>
                <w:szCs w:val="24"/>
                <w:highlight w:val="none"/>
              </w:rPr>
            </w:pPr>
            <w:r>
              <w:rPr>
                <w:color w:val="auto"/>
                <w:sz w:val="24"/>
                <w:szCs w:val="24"/>
                <w:highlight w:val="none"/>
              </w:rPr>
              <w:t>LP1ij——</w:t>
            </w:r>
            <w:r>
              <w:rPr>
                <w:rFonts w:hint="eastAsia" w:cs="宋体"/>
                <w:color w:val="auto"/>
                <w:sz w:val="24"/>
                <w:szCs w:val="24"/>
                <w:highlight w:val="none"/>
              </w:rPr>
              <w:t>室内</w:t>
            </w:r>
            <w:r>
              <w:rPr>
                <w:color w:val="auto"/>
                <w:sz w:val="24"/>
                <w:szCs w:val="24"/>
                <w:highlight w:val="none"/>
              </w:rPr>
              <w:t>j</w:t>
            </w:r>
            <w:r>
              <w:rPr>
                <w:rFonts w:hint="eastAsia" w:cs="宋体"/>
                <w:color w:val="auto"/>
                <w:sz w:val="24"/>
                <w:szCs w:val="24"/>
                <w:highlight w:val="none"/>
              </w:rPr>
              <w:t>声源</w:t>
            </w:r>
            <w:r>
              <w:rPr>
                <w:color w:val="auto"/>
                <w:sz w:val="24"/>
                <w:szCs w:val="24"/>
                <w:highlight w:val="none"/>
              </w:rPr>
              <w:t>i</w:t>
            </w:r>
            <w:r>
              <w:rPr>
                <w:rFonts w:hint="eastAsia" w:cs="宋体"/>
                <w:color w:val="auto"/>
                <w:sz w:val="24"/>
                <w:szCs w:val="24"/>
                <w:highlight w:val="none"/>
              </w:rPr>
              <w:t>倍频带的声压级，</w:t>
            </w:r>
            <w:r>
              <w:rPr>
                <w:color w:val="auto"/>
                <w:sz w:val="24"/>
                <w:szCs w:val="24"/>
                <w:highlight w:val="none"/>
              </w:rPr>
              <w:t>GB</w:t>
            </w:r>
            <w:r>
              <w:rPr>
                <w:rFonts w:hint="eastAsia" w:cs="宋体"/>
                <w:color w:val="auto"/>
                <w:sz w:val="24"/>
                <w:szCs w:val="24"/>
                <w:highlight w:val="none"/>
              </w:rPr>
              <w:t>；</w:t>
            </w:r>
          </w:p>
          <w:p>
            <w:pPr>
              <w:spacing w:line="360" w:lineRule="auto"/>
              <w:ind w:firstLine="1200" w:firstLineChars="500"/>
              <w:rPr>
                <w:color w:val="auto"/>
                <w:sz w:val="24"/>
                <w:szCs w:val="24"/>
                <w:highlight w:val="none"/>
              </w:rPr>
            </w:pPr>
            <w:r>
              <w:rPr>
                <w:color w:val="auto"/>
                <w:sz w:val="24"/>
                <w:szCs w:val="24"/>
                <w:highlight w:val="none"/>
              </w:rPr>
              <w:t>N——</w:t>
            </w:r>
            <w:r>
              <w:rPr>
                <w:rFonts w:hint="eastAsia" w:cs="宋体"/>
                <w:color w:val="auto"/>
                <w:sz w:val="24"/>
                <w:szCs w:val="24"/>
                <w:highlight w:val="none"/>
              </w:rPr>
              <w:t>室内声源总数。</w:t>
            </w:r>
          </w:p>
          <w:p>
            <w:pPr>
              <w:spacing w:line="360" w:lineRule="auto"/>
              <w:ind w:firstLine="480" w:firstLineChars="200"/>
              <w:rPr>
                <w:color w:val="auto"/>
                <w:sz w:val="24"/>
                <w:szCs w:val="24"/>
                <w:highlight w:val="none"/>
              </w:rPr>
            </w:pPr>
            <w:r>
              <w:rPr>
                <w:rFonts w:hint="eastAsia" w:cs="宋体"/>
                <w:color w:val="auto"/>
                <w:sz w:val="24"/>
                <w:szCs w:val="24"/>
                <w:highlight w:val="none"/>
              </w:rPr>
              <w:t>然后按下式将室外声源的声压级和透过面积换算成等效的室外声源，计算出中心位置位于透声面积（</w:t>
            </w:r>
            <w:r>
              <w:rPr>
                <w:color w:val="auto"/>
                <w:sz w:val="24"/>
                <w:szCs w:val="24"/>
                <w:highlight w:val="none"/>
              </w:rPr>
              <w:t>S</w:t>
            </w:r>
            <w:r>
              <w:rPr>
                <w:rFonts w:hint="eastAsia" w:cs="宋体"/>
                <w:color w:val="auto"/>
                <w:sz w:val="24"/>
                <w:szCs w:val="24"/>
                <w:highlight w:val="none"/>
              </w:rPr>
              <w:t>）处的等效声源的倍频带声功率级。</w:t>
            </w:r>
          </w:p>
          <w:p>
            <w:pPr>
              <w:spacing w:line="360" w:lineRule="auto"/>
              <w:jc w:val="center"/>
              <w:rPr>
                <w:color w:val="auto"/>
                <w:sz w:val="24"/>
                <w:szCs w:val="24"/>
                <w:highlight w:val="none"/>
              </w:rPr>
            </w:pPr>
            <w:r>
              <w:rPr>
                <w:color w:val="auto"/>
                <w:sz w:val="24"/>
                <w:szCs w:val="24"/>
                <w:highlight w:val="none"/>
              </w:rPr>
              <w:drawing>
                <wp:inline distT="0" distB="0" distL="114300" distR="114300">
                  <wp:extent cx="1876425" cy="3048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1876425" cy="304800"/>
                          </a:xfrm>
                          <a:prstGeom prst="rect">
                            <a:avLst/>
                          </a:prstGeom>
                          <a:noFill/>
                          <a:ln>
                            <a:noFill/>
                          </a:ln>
                        </pic:spPr>
                      </pic:pic>
                    </a:graphicData>
                  </a:graphic>
                </wp:inline>
              </w:drawing>
            </w:r>
          </w:p>
          <w:p>
            <w:pPr>
              <w:spacing w:line="360" w:lineRule="auto"/>
              <w:ind w:firstLine="480" w:firstLineChars="200"/>
              <w:rPr>
                <w:color w:val="auto"/>
                <w:sz w:val="24"/>
                <w:szCs w:val="24"/>
                <w:highlight w:val="none"/>
              </w:rPr>
            </w:pPr>
            <w:r>
              <w:rPr>
                <w:rFonts w:hint="eastAsia" w:cs="宋体"/>
                <w:color w:val="auto"/>
                <w:sz w:val="24"/>
                <w:szCs w:val="24"/>
                <w:highlight w:val="none"/>
              </w:rPr>
              <w:t>然后按室外声源预测方法计算预测点处的</w:t>
            </w:r>
            <w:r>
              <w:rPr>
                <w:color w:val="auto"/>
                <w:sz w:val="24"/>
                <w:szCs w:val="24"/>
                <w:highlight w:val="none"/>
              </w:rPr>
              <w:t xml:space="preserve"> A</w:t>
            </w:r>
            <w:r>
              <w:rPr>
                <w:rFonts w:hint="eastAsia" w:cs="宋体"/>
                <w:color w:val="auto"/>
                <w:sz w:val="24"/>
                <w:szCs w:val="24"/>
                <w:highlight w:val="none"/>
              </w:rPr>
              <w:t>声级。</w:t>
            </w:r>
          </w:p>
          <w:p>
            <w:pPr>
              <w:spacing w:line="360" w:lineRule="auto"/>
              <w:ind w:firstLine="480" w:firstLineChars="200"/>
              <w:rPr>
                <w:color w:val="auto"/>
                <w:sz w:val="24"/>
                <w:szCs w:val="24"/>
                <w:highlight w:val="none"/>
              </w:rPr>
            </w:pPr>
            <w:r>
              <w:rPr>
                <w:rFonts w:hint="eastAsia" w:cs="宋体"/>
                <w:color w:val="auto"/>
                <w:sz w:val="24"/>
                <w:szCs w:val="24"/>
                <w:highlight w:val="none"/>
              </w:rPr>
              <w:t>③噪声贡献值计算</w:t>
            </w:r>
          </w:p>
          <w:p>
            <w:pPr>
              <w:spacing w:line="360" w:lineRule="auto"/>
              <w:ind w:firstLine="480" w:firstLineChars="200"/>
              <w:rPr>
                <w:color w:val="auto"/>
                <w:sz w:val="24"/>
                <w:szCs w:val="24"/>
                <w:highlight w:val="none"/>
              </w:rPr>
            </w:pPr>
            <w:r>
              <w:rPr>
                <w:rFonts w:hint="eastAsia" w:cs="宋体"/>
                <w:color w:val="auto"/>
                <w:sz w:val="24"/>
                <w:szCs w:val="24"/>
                <w:highlight w:val="none"/>
              </w:rPr>
              <w:t>设第</w:t>
            </w:r>
            <w:r>
              <w:rPr>
                <w:color w:val="auto"/>
                <w:sz w:val="24"/>
                <w:szCs w:val="24"/>
                <w:highlight w:val="none"/>
              </w:rPr>
              <w:t>i</w:t>
            </w:r>
            <w:r>
              <w:rPr>
                <w:rFonts w:hint="eastAsia" w:cs="宋体"/>
                <w:color w:val="auto"/>
                <w:sz w:val="24"/>
                <w:szCs w:val="24"/>
                <w:highlight w:val="none"/>
              </w:rPr>
              <w:t>个室外声源在预测点产生的</w:t>
            </w:r>
            <w:r>
              <w:rPr>
                <w:color w:val="auto"/>
                <w:sz w:val="24"/>
                <w:szCs w:val="24"/>
                <w:highlight w:val="none"/>
              </w:rPr>
              <w:t>A</w:t>
            </w:r>
            <w:r>
              <w:rPr>
                <w:rFonts w:hint="eastAsia" w:cs="宋体"/>
                <w:color w:val="auto"/>
                <w:sz w:val="24"/>
                <w:szCs w:val="24"/>
                <w:highlight w:val="none"/>
              </w:rPr>
              <w:t>声级为</w:t>
            </w:r>
            <w:r>
              <w:rPr>
                <w:color w:val="auto"/>
                <w:sz w:val="24"/>
                <w:szCs w:val="24"/>
                <w:highlight w:val="none"/>
              </w:rPr>
              <w:t>LAi</w:t>
            </w:r>
            <w:r>
              <w:rPr>
                <w:rFonts w:hint="eastAsia" w:cs="宋体"/>
                <w:color w:val="auto"/>
                <w:sz w:val="24"/>
                <w:szCs w:val="24"/>
                <w:highlight w:val="none"/>
              </w:rPr>
              <w:t>，在</w:t>
            </w:r>
            <w:r>
              <w:rPr>
                <w:color w:val="auto"/>
                <w:sz w:val="24"/>
                <w:szCs w:val="24"/>
                <w:highlight w:val="none"/>
              </w:rPr>
              <w:t>T</w:t>
            </w:r>
            <w:r>
              <w:rPr>
                <w:rFonts w:hint="eastAsia" w:cs="宋体"/>
                <w:color w:val="auto"/>
                <w:sz w:val="24"/>
                <w:szCs w:val="24"/>
                <w:highlight w:val="none"/>
              </w:rPr>
              <w:t>时间内该声源工作时间为</w:t>
            </w:r>
            <w:r>
              <w:rPr>
                <w:color w:val="auto"/>
                <w:sz w:val="24"/>
                <w:szCs w:val="24"/>
                <w:highlight w:val="none"/>
              </w:rPr>
              <w:t>ti</w:t>
            </w:r>
            <w:r>
              <w:rPr>
                <w:rFonts w:hint="eastAsia" w:cs="宋体"/>
                <w:color w:val="auto"/>
                <w:sz w:val="24"/>
                <w:szCs w:val="24"/>
                <w:highlight w:val="none"/>
              </w:rPr>
              <w:t>；第</w:t>
            </w:r>
            <w:r>
              <w:rPr>
                <w:color w:val="auto"/>
                <w:sz w:val="24"/>
                <w:szCs w:val="24"/>
                <w:highlight w:val="none"/>
              </w:rPr>
              <w:t>j</w:t>
            </w:r>
            <w:r>
              <w:rPr>
                <w:rFonts w:hint="eastAsia" w:cs="宋体"/>
                <w:color w:val="auto"/>
                <w:sz w:val="24"/>
                <w:szCs w:val="24"/>
                <w:highlight w:val="none"/>
              </w:rPr>
              <w:t>个等效室外声源在预测点产生的</w:t>
            </w:r>
            <w:r>
              <w:rPr>
                <w:color w:val="auto"/>
                <w:sz w:val="24"/>
                <w:szCs w:val="24"/>
                <w:highlight w:val="none"/>
              </w:rPr>
              <w:t>A</w:t>
            </w:r>
            <w:r>
              <w:rPr>
                <w:rFonts w:hint="eastAsia" w:cs="宋体"/>
                <w:color w:val="auto"/>
                <w:sz w:val="24"/>
                <w:szCs w:val="24"/>
                <w:highlight w:val="none"/>
              </w:rPr>
              <w:t>声级为</w:t>
            </w:r>
            <w:r>
              <w:rPr>
                <w:color w:val="auto"/>
                <w:sz w:val="24"/>
                <w:szCs w:val="24"/>
                <w:highlight w:val="none"/>
              </w:rPr>
              <w:t>LAj</w:t>
            </w:r>
            <w:r>
              <w:rPr>
                <w:rFonts w:hint="eastAsia" w:cs="宋体"/>
                <w:color w:val="auto"/>
                <w:sz w:val="24"/>
                <w:szCs w:val="24"/>
                <w:highlight w:val="none"/>
              </w:rPr>
              <w:t>，在</w:t>
            </w:r>
            <w:r>
              <w:rPr>
                <w:color w:val="auto"/>
                <w:sz w:val="24"/>
                <w:szCs w:val="24"/>
                <w:highlight w:val="none"/>
              </w:rPr>
              <w:t>T</w:t>
            </w:r>
            <w:r>
              <w:rPr>
                <w:rFonts w:hint="eastAsia" w:cs="宋体"/>
                <w:color w:val="auto"/>
                <w:sz w:val="24"/>
                <w:szCs w:val="24"/>
                <w:highlight w:val="none"/>
              </w:rPr>
              <w:t>时间内该声源工作时间为</w:t>
            </w:r>
            <w:r>
              <w:rPr>
                <w:color w:val="auto"/>
                <w:sz w:val="24"/>
                <w:szCs w:val="24"/>
                <w:highlight w:val="none"/>
              </w:rPr>
              <w:t>tj</w:t>
            </w:r>
            <w:r>
              <w:rPr>
                <w:rFonts w:hint="eastAsia" w:cs="宋体"/>
                <w:color w:val="auto"/>
                <w:sz w:val="24"/>
                <w:szCs w:val="24"/>
                <w:highlight w:val="none"/>
              </w:rPr>
              <w:t>，则拟建工程声源对预测点产生的贡献值（</w:t>
            </w:r>
            <w:r>
              <w:rPr>
                <w:color w:val="auto"/>
                <w:sz w:val="24"/>
                <w:szCs w:val="24"/>
                <w:highlight w:val="none"/>
              </w:rPr>
              <w:t>Leqg</w:t>
            </w:r>
            <w:r>
              <w:rPr>
                <w:rFonts w:hint="eastAsia" w:cs="宋体"/>
                <w:color w:val="auto"/>
                <w:sz w:val="24"/>
                <w:szCs w:val="24"/>
                <w:highlight w:val="none"/>
              </w:rPr>
              <w:t>）为：</w:t>
            </w:r>
          </w:p>
          <w:p>
            <w:pPr>
              <w:spacing w:line="360" w:lineRule="auto"/>
              <w:jc w:val="center"/>
              <w:rPr>
                <w:color w:val="auto"/>
                <w:sz w:val="24"/>
                <w:szCs w:val="24"/>
                <w:highlight w:val="none"/>
              </w:rPr>
            </w:pPr>
            <w:r>
              <w:rPr>
                <w:color w:val="auto"/>
                <w:sz w:val="24"/>
                <w:szCs w:val="24"/>
                <w:highlight w:val="none"/>
              </w:rPr>
              <w:drawing>
                <wp:inline distT="0" distB="0" distL="114300" distR="114300">
                  <wp:extent cx="3895725" cy="6953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3895725" cy="695325"/>
                          </a:xfrm>
                          <a:prstGeom prst="rect">
                            <a:avLst/>
                          </a:prstGeom>
                          <a:noFill/>
                          <a:ln>
                            <a:noFill/>
                          </a:ln>
                        </pic:spPr>
                      </pic:pic>
                    </a:graphicData>
                  </a:graphic>
                </wp:inline>
              </w:drawing>
            </w:r>
          </w:p>
          <w:p>
            <w:pPr>
              <w:spacing w:line="360" w:lineRule="auto"/>
              <w:ind w:firstLine="480" w:firstLineChars="200"/>
              <w:rPr>
                <w:color w:val="auto"/>
                <w:sz w:val="24"/>
                <w:szCs w:val="24"/>
                <w:highlight w:val="none"/>
              </w:rPr>
            </w:pPr>
            <w:r>
              <w:rPr>
                <w:rFonts w:hint="eastAsia" w:cs="宋体"/>
                <w:color w:val="auto"/>
                <w:sz w:val="24"/>
                <w:szCs w:val="24"/>
                <w:highlight w:val="none"/>
              </w:rPr>
              <w:t>式中：</w:t>
            </w:r>
            <w:r>
              <w:rPr>
                <w:color w:val="auto"/>
                <w:sz w:val="24"/>
                <w:szCs w:val="24"/>
                <w:highlight w:val="none"/>
              </w:rPr>
              <w:t>tj——</w:t>
            </w:r>
            <w:r>
              <w:rPr>
                <w:rFonts w:hint="eastAsia" w:cs="宋体"/>
                <w:color w:val="auto"/>
                <w:sz w:val="24"/>
                <w:szCs w:val="24"/>
                <w:highlight w:val="none"/>
              </w:rPr>
              <w:t>在</w:t>
            </w:r>
            <w:r>
              <w:rPr>
                <w:color w:val="auto"/>
                <w:sz w:val="24"/>
                <w:szCs w:val="24"/>
                <w:highlight w:val="none"/>
              </w:rPr>
              <w:t>T</w:t>
            </w:r>
            <w:r>
              <w:rPr>
                <w:rFonts w:hint="eastAsia" w:cs="宋体"/>
                <w:color w:val="auto"/>
                <w:sz w:val="24"/>
                <w:szCs w:val="24"/>
                <w:highlight w:val="none"/>
              </w:rPr>
              <w:t>时间内</w:t>
            </w:r>
            <w:r>
              <w:rPr>
                <w:color w:val="auto"/>
                <w:sz w:val="24"/>
                <w:szCs w:val="24"/>
                <w:highlight w:val="none"/>
              </w:rPr>
              <w:t>j</w:t>
            </w:r>
            <w:r>
              <w:rPr>
                <w:rFonts w:hint="eastAsia" w:cs="宋体"/>
                <w:color w:val="auto"/>
                <w:sz w:val="24"/>
                <w:szCs w:val="24"/>
                <w:highlight w:val="none"/>
              </w:rPr>
              <w:t>声源工作时间，</w:t>
            </w:r>
            <w:r>
              <w:rPr>
                <w:color w:val="auto"/>
                <w:sz w:val="24"/>
                <w:szCs w:val="24"/>
                <w:highlight w:val="none"/>
              </w:rPr>
              <w:t>s</w:t>
            </w:r>
            <w:r>
              <w:rPr>
                <w:rFonts w:hint="eastAsia" w:cs="宋体"/>
                <w:color w:val="auto"/>
                <w:sz w:val="24"/>
                <w:szCs w:val="24"/>
                <w:highlight w:val="none"/>
              </w:rPr>
              <w:t>；</w:t>
            </w:r>
          </w:p>
          <w:p>
            <w:pPr>
              <w:spacing w:line="360" w:lineRule="auto"/>
              <w:ind w:firstLine="1200" w:firstLineChars="500"/>
              <w:rPr>
                <w:color w:val="auto"/>
                <w:sz w:val="24"/>
                <w:szCs w:val="24"/>
                <w:highlight w:val="none"/>
              </w:rPr>
            </w:pPr>
            <w:r>
              <w:rPr>
                <w:color w:val="auto"/>
                <w:sz w:val="24"/>
                <w:szCs w:val="24"/>
                <w:highlight w:val="none"/>
              </w:rPr>
              <w:t>ti——</w:t>
            </w:r>
            <w:r>
              <w:rPr>
                <w:rFonts w:hint="eastAsia" w:cs="宋体"/>
                <w:color w:val="auto"/>
                <w:sz w:val="24"/>
                <w:szCs w:val="24"/>
                <w:highlight w:val="none"/>
              </w:rPr>
              <w:t>在</w:t>
            </w:r>
            <w:r>
              <w:rPr>
                <w:color w:val="auto"/>
                <w:sz w:val="24"/>
                <w:szCs w:val="24"/>
                <w:highlight w:val="none"/>
              </w:rPr>
              <w:t>T</w:t>
            </w:r>
            <w:r>
              <w:rPr>
                <w:rFonts w:hint="eastAsia" w:cs="宋体"/>
                <w:color w:val="auto"/>
                <w:sz w:val="24"/>
                <w:szCs w:val="24"/>
                <w:highlight w:val="none"/>
              </w:rPr>
              <w:t>时间内</w:t>
            </w:r>
            <w:r>
              <w:rPr>
                <w:color w:val="auto"/>
                <w:sz w:val="24"/>
                <w:szCs w:val="24"/>
                <w:highlight w:val="none"/>
              </w:rPr>
              <w:t>i</w:t>
            </w:r>
            <w:r>
              <w:rPr>
                <w:rFonts w:hint="eastAsia" w:cs="宋体"/>
                <w:color w:val="auto"/>
                <w:sz w:val="24"/>
                <w:szCs w:val="24"/>
                <w:highlight w:val="none"/>
              </w:rPr>
              <w:t>声源工作时间，</w:t>
            </w:r>
            <w:r>
              <w:rPr>
                <w:color w:val="auto"/>
                <w:sz w:val="24"/>
                <w:szCs w:val="24"/>
                <w:highlight w:val="none"/>
              </w:rPr>
              <w:t>s</w:t>
            </w:r>
            <w:r>
              <w:rPr>
                <w:rFonts w:hint="eastAsia" w:cs="宋体"/>
                <w:color w:val="auto"/>
                <w:sz w:val="24"/>
                <w:szCs w:val="24"/>
                <w:highlight w:val="none"/>
              </w:rPr>
              <w:t>；</w:t>
            </w:r>
          </w:p>
          <w:p>
            <w:pPr>
              <w:spacing w:line="360" w:lineRule="auto"/>
              <w:ind w:firstLine="1200" w:firstLineChars="500"/>
              <w:rPr>
                <w:color w:val="auto"/>
                <w:sz w:val="24"/>
                <w:szCs w:val="24"/>
                <w:highlight w:val="none"/>
              </w:rPr>
            </w:pPr>
            <w:r>
              <w:rPr>
                <w:color w:val="auto"/>
                <w:sz w:val="24"/>
                <w:szCs w:val="24"/>
                <w:highlight w:val="none"/>
              </w:rPr>
              <w:t>T——</w:t>
            </w:r>
            <w:r>
              <w:rPr>
                <w:rFonts w:hint="eastAsia" w:cs="宋体"/>
                <w:color w:val="auto"/>
                <w:sz w:val="24"/>
                <w:szCs w:val="24"/>
                <w:highlight w:val="none"/>
              </w:rPr>
              <w:t>用于计算等效声级的时间，</w:t>
            </w:r>
            <w:r>
              <w:rPr>
                <w:color w:val="auto"/>
                <w:sz w:val="24"/>
                <w:szCs w:val="24"/>
                <w:highlight w:val="none"/>
              </w:rPr>
              <w:t>s</w:t>
            </w:r>
            <w:r>
              <w:rPr>
                <w:rFonts w:hint="eastAsia" w:cs="宋体"/>
                <w:color w:val="auto"/>
                <w:sz w:val="24"/>
                <w:szCs w:val="24"/>
                <w:highlight w:val="none"/>
              </w:rPr>
              <w:t>；</w:t>
            </w:r>
          </w:p>
          <w:p>
            <w:pPr>
              <w:spacing w:line="360" w:lineRule="auto"/>
              <w:ind w:firstLine="1200" w:firstLineChars="500"/>
              <w:rPr>
                <w:color w:val="auto"/>
                <w:sz w:val="24"/>
                <w:szCs w:val="24"/>
                <w:highlight w:val="none"/>
              </w:rPr>
            </w:pPr>
            <w:r>
              <w:rPr>
                <w:color w:val="auto"/>
                <w:sz w:val="24"/>
                <w:szCs w:val="24"/>
                <w:highlight w:val="none"/>
              </w:rPr>
              <w:t>N——</w:t>
            </w:r>
            <w:r>
              <w:rPr>
                <w:rFonts w:hint="eastAsia" w:cs="宋体"/>
                <w:color w:val="auto"/>
                <w:sz w:val="24"/>
                <w:szCs w:val="24"/>
                <w:highlight w:val="none"/>
              </w:rPr>
              <w:t>室外声源个数；</w:t>
            </w:r>
          </w:p>
          <w:p>
            <w:pPr>
              <w:spacing w:line="360" w:lineRule="auto"/>
              <w:ind w:firstLine="1200" w:firstLineChars="500"/>
              <w:rPr>
                <w:color w:val="auto"/>
                <w:sz w:val="24"/>
                <w:szCs w:val="24"/>
                <w:highlight w:val="none"/>
              </w:rPr>
            </w:pPr>
            <w:r>
              <w:rPr>
                <w:color w:val="auto"/>
                <w:sz w:val="24"/>
                <w:szCs w:val="24"/>
                <w:highlight w:val="none"/>
              </w:rPr>
              <w:t>M——</w:t>
            </w:r>
            <w:r>
              <w:rPr>
                <w:rFonts w:hint="eastAsia" w:cs="宋体"/>
                <w:color w:val="auto"/>
                <w:sz w:val="24"/>
                <w:szCs w:val="24"/>
                <w:highlight w:val="none"/>
              </w:rPr>
              <w:t>等效室外声源个数。</w:t>
            </w:r>
          </w:p>
          <w:p>
            <w:pPr>
              <w:tabs>
                <w:tab w:val="left" w:pos="1219"/>
              </w:tabs>
              <w:autoSpaceDE w:val="0"/>
              <w:autoSpaceDN w:val="0"/>
              <w:adjustRightInd w:val="0"/>
              <w:spacing w:line="360" w:lineRule="auto"/>
              <w:ind w:right="193" w:firstLine="436" w:firstLineChars="182"/>
              <w:rPr>
                <w:color w:val="auto"/>
                <w:sz w:val="24"/>
                <w:szCs w:val="24"/>
                <w:highlight w:val="none"/>
              </w:rPr>
            </w:pPr>
            <w:r>
              <w:rPr>
                <w:rFonts w:hint="eastAsia" w:cs="宋体"/>
                <w:color w:val="auto"/>
                <w:sz w:val="24"/>
                <w:szCs w:val="24"/>
                <w:highlight w:val="none"/>
              </w:rPr>
              <w:t>④预测结果</w:t>
            </w:r>
          </w:p>
          <w:p>
            <w:pPr>
              <w:spacing w:line="360" w:lineRule="auto"/>
              <w:ind w:firstLine="480" w:firstLineChars="200"/>
              <w:rPr>
                <w:color w:val="auto"/>
                <w:sz w:val="24"/>
                <w:szCs w:val="24"/>
                <w:highlight w:val="none"/>
              </w:rPr>
            </w:pPr>
            <w:r>
              <w:rPr>
                <w:rFonts w:hint="eastAsia" w:cs="宋体"/>
                <w:color w:val="auto"/>
                <w:sz w:val="24"/>
                <w:szCs w:val="24"/>
                <w:highlight w:val="none"/>
              </w:rPr>
              <w:t>预测结果详见下表</w:t>
            </w:r>
            <w:r>
              <w:rPr>
                <w:color w:val="auto"/>
                <w:kern w:val="0"/>
                <w:sz w:val="24"/>
                <w:szCs w:val="24"/>
                <w:highlight w:val="none"/>
              </w:rPr>
              <w:t>4-11</w:t>
            </w:r>
            <w:r>
              <w:rPr>
                <w:rFonts w:hint="eastAsia" w:cs="宋体"/>
                <w:color w:val="auto"/>
                <w:sz w:val="24"/>
                <w:szCs w:val="24"/>
                <w:highlight w:val="none"/>
              </w:rPr>
              <w:t>。</w:t>
            </w:r>
          </w:p>
          <w:p>
            <w:pPr>
              <w:jc w:val="center"/>
              <w:rPr>
                <w:rFonts w:hint="eastAsia" w:cs="宋体"/>
                <w:color w:val="auto"/>
                <w:sz w:val="22"/>
                <w:szCs w:val="22"/>
                <w:highlight w:val="none"/>
              </w:rPr>
            </w:pPr>
          </w:p>
          <w:p>
            <w:pPr>
              <w:jc w:val="center"/>
              <w:rPr>
                <w:rFonts w:hint="eastAsia" w:cs="宋体"/>
                <w:color w:val="auto"/>
                <w:sz w:val="22"/>
                <w:szCs w:val="22"/>
                <w:highlight w:val="none"/>
              </w:rPr>
            </w:pPr>
          </w:p>
          <w:p>
            <w:pPr>
              <w:jc w:val="center"/>
              <w:rPr>
                <w:rFonts w:hint="eastAsia" w:cs="宋体"/>
                <w:color w:val="auto"/>
                <w:sz w:val="22"/>
                <w:szCs w:val="22"/>
                <w:highlight w:val="none"/>
              </w:rPr>
            </w:pPr>
          </w:p>
          <w:p>
            <w:pPr>
              <w:jc w:val="center"/>
              <w:rPr>
                <w:rFonts w:hint="eastAsia" w:cs="宋体"/>
                <w:color w:val="auto"/>
                <w:sz w:val="22"/>
                <w:szCs w:val="22"/>
                <w:highlight w:val="none"/>
              </w:rPr>
            </w:pPr>
          </w:p>
          <w:p>
            <w:pPr>
              <w:jc w:val="center"/>
              <w:rPr>
                <w:color w:val="auto"/>
                <w:sz w:val="22"/>
                <w:szCs w:val="22"/>
                <w:highlight w:val="none"/>
              </w:rPr>
            </w:pPr>
            <w:r>
              <w:rPr>
                <w:rFonts w:hint="eastAsia" w:cs="宋体"/>
                <w:color w:val="auto"/>
                <w:sz w:val="22"/>
                <w:szCs w:val="22"/>
                <w:highlight w:val="none"/>
              </w:rPr>
              <w:t>表</w:t>
            </w:r>
            <w:r>
              <w:rPr>
                <w:color w:val="auto"/>
                <w:sz w:val="22"/>
                <w:szCs w:val="22"/>
                <w:highlight w:val="none"/>
              </w:rPr>
              <w:t xml:space="preserve">4-11  </w:t>
            </w:r>
            <w:r>
              <w:rPr>
                <w:rFonts w:hint="eastAsia" w:cs="宋体"/>
                <w:color w:val="auto"/>
                <w:sz w:val="22"/>
                <w:szCs w:val="22"/>
                <w:highlight w:val="none"/>
              </w:rPr>
              <w:t>厂界噪声预测结果一览表</w:t>
            </w:r>
          </w:p>
          <w:tbl>
            <w:tblPr>
              <w:tblStyle w:val="36"/>
              <w:tblpPr w:leftFromText="180" w:rightFromText="180" w:vertAnchor="text" w:horzAnchor="page" w:tblpXSpec="center" w:tblpY="315"/>
              <w:tblOverlap w:val="never"/>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109"/>
              <w:gridCol w:w="1098"/>
              <w:gridCol w:w="1116"/>
              <w:gridCol w:w="5"/>
              <w:gridCol w:w="1112"/>
              <w:gridCol w:w="1116"/>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381" w:type="dxa"/>
                  <w:vMerge w:val="restart"/>
                  <w:tcBorders>
                    <w:top w:val="single" w:color="auto" w:sz="4" w:space="0"/>
                    <w:left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厂界</w:t>
                  </w:r>
                </w:p>
              </w:tc>
              <w:tc>
                <w:tcPr>
                  <w:tcW w:w="220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cs="宋体"/>
                      <w:color w:val="auto"/>
                      <w:sz w:val="22"/>
                      <w:szCs w:val="22"/>
                      <w:highlight w:val="none"/>
                    </w:rPr>
                  </w:pPr>
                  <w:r>
                    <w:rPr>
                      <w:rFonts w:hint="eastAsia" w:cs="宋体"/>
                      <w:color w:val="auto"/>
                      <w:sz w:val="22"/>
                      <w:szCs w:val="22"/>
                      <w:highlight w:val="none"/>
                      <w:lang w:eastAsia="zh-CN"/>
                    </w:rPr>
                    <w:t>贡献值</w:t>
                  </w:r>
                </w:p>
              </w:tc>
              <w:tc>
                <w:tcPr>
                  <w:tcW w:w="2233" w:type="dxa"/>
                  <w:gridSpan w:val="3"/>
                  <w:tcBorders>
                    <w:top w:val="single" w:color="auto" w:sz="4" w:space="0"/>
                    <w:left w:val="single" w:color="auto" w:sz="4" w:space="0"/>
                    <w:right w:val="single" w:color="auto" w:sz="4" w:space="0"/>
                  </w:tcBorders>
                  <w:vAlign w:val="center"/>
                </w:tcPr>
                <w:p>
                  <w:pPr>
                    <w:jc w:val="center"/>
                    <w:rPr>
                      <w:rFonts w:hint="eastAsia"/>
                      <w:color w:val="auto"/>
                      <w:sz w:val="22"/>
                      <w:szCs w:val="22"/>
                      <w:highlight w:val="none"/>
                      <w:lang w:val="en-US" w:eastAsia="zh-CN"/>
                    </w:rPr>
                  </w:pPr>
                  <w:r>
                    <w:rPr>
                      <w:rFonts w:hint="eastAsia"/>
                      <w:color w:val="auto"/>
                      <w:sz w:val="22"/>
                      <w:szCs w:val="22"/>
                      <w:highlight w:val="none"/>
                      <w:lang w:val="en-US" w:eastAsia="zh-CN"/>
                    </w:rPr>
                    <w:t>标准值</w:t>
                  </w:r>
                </w:p>
              </w:tc>
              <w:tc>
                <w:tcPr>
                  <w:tcW w:w="1116" w:type="dxa"/>
                  <w:vMerge w:val="restart"/>
                  <w:tcBorders>
                    <w:top w:val="single" w:color="auto" w:sz="4" w:space="0"/>
                    <w:left w:val="single" w:color="auto" w:sz="4" w:space="0"/>
                    <w:right w:val="single" w:color="auto" w:sz="4" w:space="0"/>
                  </w:tcBorders>
                  <w:vAlign w:val="center"/>
                </w:tcPr>
                <w:p>
                  <w:pPr>
                    <w:jc w:val="center"/>
                    <w:rPr>
                      <w:rFonts w:hint="eastAsia" w:cs="宋体"/>
                      <w:color w:val="auto"/>
                      <w:sz w:val="22"/>
                      <w:szCs w:val="22"/>
                      <w:highlight w:val="none"/>
                    </w:rPr>
                  </w:pPr>
                  <w:r>
                    <w:rPr>
                      <w:rFonts w:hint="eastAsia" w:cs="宋体"/>
                      <w:color w:val="auto"/>
                      <w:sz w:val="22"/>
                      <w:szCs w:val="22"/>
                      <w:highlight w:val="none"/>
                    </w:rPr>
                    <w:t>评价标准</w:t>
                  </w:r>
                </w:p>
              </w:tc>
              <w:tc>
                <w:tcPr>
                  <w:tcW w:w="1121" w:type="dxa"/>
                  <w:vMerge w:val="restart"/>
                  <w:tcBorders>
                    <w:top w:val="single" w:color="auto" w:sz="4" w:space="0"/>
                    <w:left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381" w:type="dxa"/>
                  <w:vMerge w:val="continue"/>
                  <w:tcBorders>
                    <w:left w:val="single" w:color="auto" w:sz="4" w:space="0"/>
                    <w:bottom w:val="single" w:color="auto" w:sz="4" w:space="0"/>
                    <w:right w:val="single" w:color="auto" w:sz="4" w:space="0"/>
                  </w:tcBorders>
                  <w:vAlign w:val="center"/>
                </w:tcPr>
                <w:p>
                  <w:pPr>
                    <w:jc w:val="center"/>
                    <w:rPr>
                      <w:color w:val="auto"/>
                    </w:rPr>
                  </w:pPr>
                </w:p>
              </w:tc>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s="宋体"/>
                      <w:color w:val="auto"/>
                      <w:sz w:val="22"/>
                      <w:szCs w:val="22"/>
                      <w:highlight w:val="none"/>
                      <w:lang w:eastAsia="zh-CN"/>
                    </w:rPr>
                  </w:pPr>
                  <w:r>
                    <w:rPr>
                      <w:rFonts w:hint="eastAsia" w:cs="宋体"/>
                      <w:color w:val="auto"/>
                      <w:sz w:val="22"/>
                      <w:szCs w:val="22"/>
                      <w:highlight w:val="none"/>
                      <w:lang w:eastAsia="zh-CN"/>
                    </w:rPr>
                    <w:t>昼间</w:t>
                  </w:r>
                </w:p>
              </w:tc>
              <w:tc>
                <w:tcPr>
                  <w:tcW w:w="109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s="宋体"/>
                      <w:color w:val="auto"/>
                      <w:sz w:val="22"/>
                      <w:szCs w:val="22"/>
                      <w:highlight w:val="none"/>
                      <w:lang w:eastAsia="zh-CN"/>
                    </w:rPr>
                  </w:pPr>
                  <w:r>
                    <w:rPr>
                      <w:rFonts w:hint="eastAsia" w:cs="宋体"/>
                      <w:color w:val="auto"/>
                      <w:sz w:val="22"/>
                      <w:szCs w:val="22"/>
                      <w:highlight w:val="none"/>
                      <w:lang w:eastAsia="zh-CN"/>
                    </w:rPr>
                    <w:t>夜间</w:t>
                  </w:r>
                </w:p>
              </w:tc>
              <w:tc>
                <w:tcPr>
                  <w:tcW w:w="1121" w:type="dxa"/>
                  <w:gridSpan w:val="2"/>
                  <w:tcBorders>
                    <w:left w:val="single" w:color="auto" w:sz="4" w:space="0"/>
                    <w:bottom w:val="single" w:color="auto" w:sz="4" w:space="0"/>
                    <w:right w:val="single" w:color="auto" w:sz="4" w:space="0"/>
                  </w:tcBorders>
                  <w:vAlign w:val="center"/>
                </w:tcPr>
                <w:p>
                  <w:pPr>
                    <w:jc w:val="center"/>
                    <w:rPr>
                      <w:rFonts w:hint="eastAsia" w:cs="宋体"/>
                      <w:color w:val="auto"/>
                      <w:sz w:val="22"/>
                      <w:szCs w:val="22"/>
                      <w:highlight w:val="none"/>
                    </w:rPr>
                  </w:pPr>
                  <w:r>
                    <w:rPr>
                      <w:rFonts w:hint="eastAsia" w:cs="宋体"/>
                      <w:color w:val="auto"/>
                      <w:sz w:val="22"/>
                      <w:szCs w:val="22"/>
                      <w:highlight w:val="none"/>
                      <w:lang w:eastAsia="zh-CN"/>
                    </w:rPr>
                    <w:t>昼间</w:t>
                  </w:r>
                </w:p>
              </w:tc>
              <w:tc>
                <w:tcPr>
                  <w:tcW w:w="1112" w:type="dxa"/>
                  <w:tcBorders>
                    <w:left w:val="single" w:color="auto" w:sz="4" w:space="0"/>
                    <w:bottom w:val="single" w:color="auto" w:sz="4" w:space="0"/>
                    <w:right w:val="single" w:color="auto" w:sz="4" w:space="0"/>
                  </w:tcBorders>
                  <w:vAlign w:val="center"/>
                </w:tcPr>
                <w:p>
                  <w:pPr>
                    <w:jc w:val="center"/>
                    <w:rPr>
                      <w:rFonts w:hint="eastAsia" w:cs="宋体"/>
                      <w:color w:val="auto"/>
                      <w:sz w:val="22"/>
                      <w:szCs w:val="22"/>
                      <w:highlight w:val="none"/>
                    </w:rPr>
                  </w:pPr>
                  <w:r>
                    <w:rPr>
                      <w:rFonts w:hint="eastAsia" w:cs="宋体"/>
                      <w:color w:val="auto"/>
                      <w:sz w:val="22"/>
                      <w:szCs w:val="22"/>
                      <w:highlight w:val="none"/>
                      <w:lang w:eastAsia="zh-CN"/>
                    </w:rPr>
                    <w:t>夜间</w:t>
                  </w:r>
                </w:p>
              </w:tc>
              <w:tc>
                <w:tcPr>
                  <w:tcW w:w="1116" w:type="dxa"/>
                  <w:vMerge w:val="continue"/>
                  <w:tcBorders>
                    <w:left w:val="single" w:color="auto" w:sz="4" w:space="0"/>
                    <w:bottom w:val="single" w:color="auto" w:sz="4" w:space="0"/>
                    <w:right w:val="single" w:color="auto" w:sz="4" w:space="0"/>
                  </w:tcBorders>
                  <w:vAlign w:val="center"/>
                </w:tcPr>
                <w:p>
                  <w:pPr>
                    <w:jc w:val="center"/>
                    <w:rPr>
                      <w:rFonts w:hint="eastAsia" w:cs="宋体"/>
                      <w:color w:val="auto"/>
                      <w:sz w:val="22"/>
                      <w:szCs w:val="22"/>
                      <w:highlight w:val="none"/>
                    </w:rPr>
                  </w:pPr>
                </w:p>
              </w:tc>
              <w:tc>
                <w:tcPr>
                  <w:tcW w:w="1121" w:type="dxa"/>
                  <w:vMerge w:val="continue"/>
                  <w:tcBorders>
                    <w:left w:val="single" w:color="auto" w:sz="4" w:space="0"/>
                    <w:bottom w:val="single" w:color="auto" w:sz="4" w:space="0"/>
                    <w:right w:val="single" w:color="auto" w:sz="4" w:space="0"/>
                  </w:tcBorders>
                  <w:vAlign w:val="center"/>
                </w:tcPr>
                <w:p>
                  <w:pPr>
                    <w:jc w:val="center"/>
                    <w:rPr>
                      <w:rFonts w:hint="eastAsia"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厂界东侧</w:t>
                  </w:r>
                </w:p>
              </w:tc>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51.8</w:t>
                  </w:r>
                </w:p>
              </w:tc>
              <w:tc>
                <w:tcPr>
                  <w:tcW w:w="1098" w:type="dxa"/>
                  <w:tcBorders>
                    <w:top w:val="single" w:color="auto" w:sz="4" w:space="0"/>
                    <w:left w:val="single" w:color="auto" w:sz="4" w:space="0"/>
                    <w:bottom w:val="single" w:color="auto" w:sz="4" w:space="0"/>
                    <w:right w:val="single" w:color="auto" w:sz="4" w:space="0"/>
                  </w:tcBorders>
                  <w:vAlign w:val="center"/>
                </w:tcPr>
                <w:p>
                  <w:pPr>
                    <w:jc w:val="center"/>
                    <w:rPr>
                      <w:rFonts w:hint="default"/>
                      <w:color w:val="auto"/>
                      <w:sz w:val="22"/>
                      <w:szCs w:val="22"/>
                      <w:highlight w:val="none"/>
                      <w:lang w:val="en-US" w:eastAsia="zh-CN"/>
                    </w:rPr>
                  </w:pPr>
                  <w:r>
                    <w:rPr>
                      <w:rFonts w:hint="eastAsia"/>
                      <w:color w:val="auto"/>
                      <w:sz w:val="22"/>
                      <w:szCs w:val="22"/>
                      <w:highlight w:val="none"/>
                      <w:lang w:val="en-US" w:eastAsia="zh-CN"/>
                    </w:rPr>
                    <w:t>45.4</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65</w:t>
                  </w:r>
                </w:p>
              </w:tc>
              <w:tc>
                <w:tcPr>
                  <w:tcW w:w="1117" w:type="dxa"/>
                  <w:gridSpan w:val="2"/>
                  <w:tcBorders>
                    <w:top w:val="single" w:color="auto" w:sz="4" w:space="0"/>
                    <w:left w:val="single" w:color="auto" w:sz="4" w:space="0"/>
                    <w:right w:val="single" w:color="auto" w:sz="4" w:space="0"/>
                  </w:tcBorders>
                  <w:vAlign w:val="center"/>
                </w:tcPr>
                <w:p>
                  <w:pPr>
                    <w:jc w:val="center"/>
                    <w:rPr>
                      <w:rFonts w:hint="default"/>
                      <w:color w:val="auto"/>
                      <w:sz w:val="22"/>
                      <w:szCs w:val="22"/>
                      <w:highlight w:val="none"/>
                      <w:lang w:val="en-US" w:eastAsia="zh-CN"/>
                    </w:rPr>
                  </w:pPr>
                  <w:r>
                    <w:rPr>
                      <w:rFonts w:hint="eastAsia"/>
                      <w:color w:val="auto"/>
                      <w:sz w:val="22"/>
                      <w:szCs w:val="22"/>
                      <w:highlight w:val="none"/>
                      <w:lang w:val="en-US" w:eastAsia="zh-CN"/>
                    </w:rPr>
                    <w:t>55</w:t>
                  </w:r>
                </w:p>
              </w:tc>
              <w:tc>
                <w:tcPr>
                  <w:tcW w:w="1116" w:type="dxa"/>
                  <w:vMerge w:val="restart"/>
                  <w:tcBorders>
                    <w:top w:val="single" w:color="auto" w:sz="4" w:space="0"/>
                    <w:left w:val="single" w:color="auto" w:sz="4" w:space="0"/>
                    <w:right w:val="single" w:color="auto" w:sz="4" w:space="0"/>
                  </w:tcBorders>
                  <w:vAlign w:val="center"/>
                </w:tcPr>
                <w:p>
                  <w:pPr>
                    <w:jc w:val="center"/>
                    <w:rPr>
                      <w:rFonts w:hint="eastAsia" w:cs="宋体"/>
                      <w:color w:val="auto"/>
                      <w:sz w:val="22"/>
                      <w:szCs w:val="22"/>
                      <w:highlight w:val="none"/>
                    </w:rPr>
                  </w:pPr>
                  <w:r>
                    <w:rPr>
                      <w:rFonts w:hint="eastAsia" w:cs="宋体"/>
                      <w:color w:val="auto"/>
                      <w:sz w:val="22"/>
                      <w:szCs w:val="22"/>
                      <w:highlight w:val="none"/>
                    </w:rPr>
                    <w:t>《工业企业厂界环境噪声排放标准》（</w:t>
                  </w:r>
                  <w:r>
                    <w:rPr>
                      <w:color w:val="auto"/>
                      <w:sz w:val="22"/>
                      <w:szCs w:val="22"/>
                      <w:highlight w:val="none"/>
                    </w:rPr>
                    <w:t>GB12348-2008</w:t>
                  </w:r>
                  <w:r>
                    <w:rPr>
                      <w:rFonts w:hint="eastAsia" w:cs="宋体"/>
                      <w:color w:val="auto"/>
                      <w:sz w:val="22"/>
                      <w:szCs w:val="22"/>
                      <w:highlight w:val="none"/>
                    </w:rPr>
                    <w:t>）中</w:t>
                  </w:r>
                  <w:r>
                    <w:rPr>
                      <w:color w:val="auto"/>
                      <w:sz w:val="22"/>
                      <w:szCs w:val="22"/>
                      <w:highlight w:val="none"/>
                    </w:rPr>
                    <w:t>3</w:t>
                  </w:r>
                  <w:r>
                    <w:rPr>
                      <w:rFonts w:hint="eastAsia" w:cs="宋体"/>
                      <w:color w:val="auto"/>
                      <w:sz w:val="22"/>
                      <w:szCs w:val="22"/>
                      <w:highlight w:val="none"/>
                    </w:rPr>
                    <w:t>类标准</w:t>
                  </w: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厂界南侧</w:t>
                  </w:r>
                </w:p>
              </w:tc>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50.5</w:t>
                  </w:r>
                </w:p>
              </w:tc>
              <w:tc>
                <w:tcPr>
                  <w:tcW w:w="1098"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 w:val="22"/>
                      <w:szCs w:val="22"/>
                      <w:highlight w:val="none"/>
                      <w:lang w:val="en-US" w:eastAsia="zh-CN"/>
                    </w:rPr>
                  </w:pPr>
                  <w:r>
                    <w:rPr>
                      <w:rFonts w:hint="eastAsia"/>
                      <w:color w:val="auto"/>
                      <w:sz w:val="22"/>
                      <w:szCs w:val="22"/>
                      <w:highlight w:val="none"/>
                      <w:lang w:val="en-US" w:eastAsia="zh-CN"/>
                    </w:rPr>
                    <w:t>42.1</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65</w:t>
                  </w:r>
                </w:p>
              </w:tc>
              <w:tc>
                <w:tcPr>
                  <w:tcW w:w="1117" w:type="dxa"/>
                  <w:gridSpan w:val="2"/>
                  <w:tcBorders>
                    <w:left w:val="single" w:color="auto" w:sz="4" w:space="0"/>
                    <w:right w:val="single" w:color="auto" w:sz="4" w:space="0"/>
                  </w:tcBorders>
                  <w:vAlign w:val="center"/>
                </w:tcPr>
                <w:p>
                  <w:pPr>
                    <w:jc w:val="center"/>
                    <w:rPr>
                      <w:rFonts w:hint="default"/>
                      <w:color w:val="auto"/>
                      <w:sz w:val="22"/>
                      <w:szCs w:val="22"/>
                      <w:highlight w:val="none"/>
                      <w:lang w:val="en-US" w:eastAsia="zh-CN"/>
                    </w:rPr>
                  </w:pPr>
                  <w:r>
                    <w:rPr>
                      <w:rFonts w:hint="eastAsia"/>
                      <w:color w:val="auto"/>
                      <w:sz w:val="22"/>
                      <w:szCs w:val="22"/>
                      <w:highlight w:val="none"/>
                      <w:lang w:val="en-US" w:eastAsia="zh-CN"/>
                    </w:rPr>
                    <w:t>55</w:t>
                  </w:r>
                </w:p>
              </w:tc>
              <w:tc>
                <w:tcPr>
                  <w:tcW w:w="1116"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厂界西侧</w:t>
                  </w:r>
                </w:p>
              </w:tc>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 w:val="22"/>
                      <w:szCs w:val="22"/>
                      <w:highlight w:val="none"/>
                      <w:lang w:val="en-US" w:eastAsia="zh-CN"/>
                    </w:rPr>
                  </w:pPr>
                  <w:r>
                    <w:rPr>
                      <w:rFonts w:hint="eastAsia"/>
                      <w:color w:val="auto"/>
                      <w:sz w:val="22"/>
                      <w:szCs w:val="22"/>
                      <w:highlight w:val="none"/>
                      <w:lang w:val="en-US" w:eastAsia="zh-CN"/>
                    </w:rPr>
                    <w:t>50</w:t>
                  </w:r>
                  <w:r>
                    <w:rPr>
                      <w:color w:val="auto"/>
                      <w:sz w:val="22"/>
                      <w:szCs w:val="22"/>
                      <w:highlight w:val="none"/>
                    </w:rPr>
                    <w:t>.</w:t>
                  </w:r>
                  <w:r>
                    <w:rPr>
                      <w:rFonts w:hint="eastAsia"/>
                      <w:color w:val="auto"/>
                      <w:sz w:val="22"/>
                      <w:szCs w:val="22"/>
                      <w:highlight w:val="none"/>
                      <w:lang w:val="en-US" w:eastAsia="zh-CN"/>
                    </w:rPr>
                    <w:t>8</w:t>
                  </w:r>
                </w:p>
              </w:tc>
              <w:tc>
                <w:tcPr>
                  <w:tcW w:w="1098"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olor w:val="auto"/>
                      <w:sz w:val="22"/>
                      <w:szCs w:val="22"/>
                      <w:highlight w:val="none"/>
                      <w:lang w:val="en-US" w:eastAsia="zh-CN"/>
                    </w:rPr>
                    <w:t>47.4</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65</w:t>
                  </w:r>
                </w:p>
              </w:tc>
              <w:tc>
                <w:tcPr>
                  <w:tcW w:w="1117" w:type="dxa"/>
                  <w:gridSpan w:val="2"/>
                  <w:tcBorders>
                    <w:left w:val="single" w:color="auto" w:sz="4" w:space="0"/>
                    <w:right w:val="single" w:color="auto" w:sz="4" w:space="0"/>
                  </w:tcBorders>
                  <w:vAlign w:val="center"/>
                </w:tcPr>
                <w:p>
                  <w:pPr>
                    <w:jc w:val="center"/>
                    <w:rPr>
                      <w:rFonts w:hint="default"/>
                      <w:color w:val="auto"/>
                      <w:sz w:val="22"/>
                      <w:szCs w:val="22"/>
                      <w:highlight w:val="none"/>
                      <w:lang w:val="en-US" w:eastAsia="zh-CN"/>
                    </w:rPr>
                  </w:pPr>
                  <w:r>
                    <w:rPr>
                      <w:rFonts w:hint="eastAsia"/>
                      <w:color w:val="auto"/>
                      <w:sz w:val="22"/>
                      <w:szCs w:val="22"/>
                      <w:highlight w:val="none"/>
                      <w:lang w:val="en-US" w:eastAsia="zh-CN"/>
                    </w:rPr>
                    <w:t>55</w:t>
                  </w:r>
                </w:p>
              </w:tc>
              <w:tc>
                <w:tcPr>
                  <w:tcW w:w="1116"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厂界北侧</w:t>
                  </w:r>
                </w:p>
              </w:tc>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 w:val="22"/>
                      <w:szCs w:val="22"/>
                      <w:highlight w:val="none"/>
                      <w:lang w:eastAsia="zh-CN"/>
                    </w:rPr>
                  </w:pPr>
                  <w:r>
                    <w:rPr>
                      <w:rFonts w:hint="eastAsia"/>
                      <w:color w:val="auto"/>
                      <w:sz w:val="22"/>
                      <w:szCs w:val="22"/>
                      <w:highlight w:val="none"/>
                      <w:lang w:val="en-US" w:eastAsia="zh-CN"/>
                    </w:rPr>
                    <w:t>52.5</w:t>
                  </w:r>
                </w:p>
              </w:tc>
              <w:tc>
                <w:tcPr>
                  <w:tcW w:w="1098"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 w:val="22"/>
                      <w:szCs w:val="22"/>
                      <w:highlight w:val="none"/>
                      <w:lang w:val="en-US" w:eastAsia="zh-CN"/>
                    </w:rPr>
                  </w:pPr>
                  <w:r>
                    <w:rPr>
                      <w:rFonts w:hint="eastAsia"/>
                      <w:color w:val="auto"/>
                      <w:sz w:val="22"/>
                      <w:szCs w:val="22"/>
                      <w:highlight w:val="none"/>
                      <w:lang w:val="en-US" w:eastAsia="zh-CN"/>
                    </w:rPr>
                    <w:t>47.8</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65</w:t>
                  </w:r>
                </w:p>
              </w:tc>
              <w:tc>
                <w:tcPr>
                  <w:tcW w:w="1117" w:type="dxa"/>
                  <w:gridSpan w:val="2"/>
                  <w:tcBorders>
                    <w:left w:val="single" w:color="auto" w:sz="4" w:space="0"/>
                    <w:bottom w:val="single" w:color="auto" w:sz="4" w:space="0"/>
                    <w:right w:val="single" w:color="auto" w:sz="4" w:space="0"/>
                  </w:tcBorders>
                  <w:vAlign w:val="center"/>
                </w:tcPr>
                <w:p>
                  <w:pPr>
                    <w:jc w:val="center"/>
                    <w:rPr>
                      <w:rFonts w:hint="default"/>
                      <w:color w:val="auto"/>
                      <w:sz w:val="22"/>
                      <w:szCs w:val="22"/>
                      <w:highlight w:val="none"/>
                      <w:lang w:val="en-US" w:eastAsia="zh-CN"/>
                    </w:rPr>
                  </w:pPr>
                  <w:r>
                    <w:rPr>
                      <w:rFonts w:hint="eastAsia"/>
                      <w:color w:val="auto"/>
                      <w:sz w:val="22"/>
                      <w:szCs w:val="22"/>
                      <w:highlight w:val="none"/>
                      <w:lang w:val="en-US" w:eastAsia="zh-CN"/>
                    </w:rPr>
                    <w:t>55</w:t>
                  </w:r>
                </w:p>
              </w:tc>
              <w:tc>
                <w:tcPr>
                  <w:tcW w:w="1116" w:type="dxa"/>
                  <w:vMerge w:val="continue"/>
                  <w:tcBorders>
                    <w:left w:val="single" w:color="auto" w:sz="4" w:space="0"/>
                    <w:bottom w:val="single" w:color="auto" w:sz="4" w:space="0"/>
                    <w:right w:val="single" w:color="auto" w:sz="4" w:space="0"/>
                  </w:tcBorders>
                  <w:vAlign w:val="center"/>
                </w:tcPr>
                <w:p>
                  <w:pPr>
                    <w:jc w:val="center"/>
                    <w:rPr>
                      <w:color w:val="auto"/>
                      <w:sz w:val="22"/>
                      <w:szCs w:val="22"/>
                      <w:highlight w:val="none"/>
                    </w:rPr>
                  </w:pP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达标</w:t>
                  </w:r>
                </w:p>
              </w:tc>
            </w:tr>
            <w:bookmarkEnd w:id="3"/>
          </w:tbl>
          <w:p>
            <w:pPr>
              <w:tabs>
                <w:tab w:val="left" w:pos="900"/>
              </w:tabs>
              <w:spacing w:beforeLines="100" w:line="360" w:lineRule="auto"/>
              <w:ind w:firstLine="480" w:firstLineChars="200"/>
              <w:rPr>
                <w:color w:val="auto"/>
                <w:sz w:val="24"/>
                <w:szCs w:val="24"/>
                <w:highlight w:val="none"/>
              </w:rPr>
            </w:pPr>
            <w:r>
              <w:rPr>
                <w:rFonts w:hint="eastAsia" w:cs="宋体"/>
                <w:color w:val="auto"/>
                <w:sz w:val="24"/>
                <w:szCs w:val="24"/>
                <w:highlight w:val="none"/>
              </w:rPr>
              <w:t>由上表可见，项目采取以上噪声防治措施后，项目厂界噪声可以达到《工业企业厂界环境噪声排放标准》（</w:t>
            </w:r>
            <w:r>
              <w:rPr>
                <w:color w:val="auto"/>
                <w:sz w:val="24"/>
                <w:szCs w:val="24"/>
                <w:highlight w:val="none"/>
              </w:rPr>
              <w:t>GB12348-2008</w:t>
            </w:r>
            <w:r>
              <w:rPr>
                <w:rFonts w:hint="eastAsia" w:cs="宋体"/>
                <w:color w:val="auto"/>
                <w:sz w:val="24"/>
                <w:szCs w:val="24"/>
                <w:highlight w:val="none"/>
              </w:rPr>
              <w:t>）中</w:t>
            </w:r>
            <w:r>
              <w:rPr>
                <w:color w:val="auto"/>
                <w:sz w:val="24"/>
                <w:szCs w:val="24"/>
                <w:highlight w:val="none"/>
              </w:rPr>
              <w:t>3</w:t>
            </w:r>
            <w:r>
              <w:rPr>
                <w:rFonts w:hint="eastAsia" w:cs="宋体"/>
                <w:color w:val="auto"/>
                <w:sz w:val="24"/>
                <w:szCs w:val="24"/>
                <w:highlight w:val="none"/>
              </w:rPr>
              <w:t>类标准。</w:t>
            </w:r>
          </w:p>
          <w:p>
            <w:pPr>
              <w:tabs>
                <w:tab w:val="left" w:pos="900"/>
              </w:tabs>
              <w:spacing w:line="360" w:lineRule="auto"/>
              <w:ind w:firstLine="480" w:firstLineChars="200"/>
              <w:rPr>
                <w:color w:val="auto"/>
                <w:sz w:val="24"/>
                <w:szCs w:val="24"/>
                <w:highlight w:val="none"/>
              </w:rPr>
            </w:pPr>
            <w:r>
              <w:rPr>
                <w:rFonts w:hint="eastAsia" w:cs="宋体"/>
                <w:color w:val="auto"/>
                <w:sz w:val="24"/>
                <w:szCs w:val="24"/>
                <w:highlight w:val="none"/>
              </w:rPr>
              <w:t>根据现场查勘，本项目</w:t>
            </w:r>
            <w:r>
              <w:rPr>
                <w:color w:val="auto"/>
                <w:sz w:val="24"/>
                <w:szCs w:val="24"/>
                <w:highlight w:val="none"/>
              </w:rPr>
              <w:t>50</w:t>
            </w:r>
            <w:r>
              <w:rPr>
                <w:rFonts w:hint="eastAsia" w:cs="宋体"/>
                <w:color w:val="auto"/>
                <w:sz w:val="24"/>
                <w:szCs w:val="24"/>
                <w:highlight w:val="none"/>
              </w:rPr>
              <w:t>米范围内无环境敏感点，综上，本项目噪声对区域声环境影响较小。</w:t>
            </w:r>
          </w:p>
          <w:p>
            <w:pPr>
              <w:tabs>
                <w:tab w:val="left" w:pos="900"/>
              </w:tabs>
              <w:spacing w:line="360" w:lineRule="auto"/>
              <w:ind w:firstLine="480" w:firstLineChars="200"/>
              <w:rPr>
                <w:color w:val="auto"/>
                <w:sz w:val="24"/>
                <w:szCs w:val="24"/>
                <w:highlight w:val="none"/>
              </w:rPr>
            </w:pPr>
            <w:r>
              <w:rPr>
                <w:rFonts w:hint="eastAsia" w:cs="宋体"/>
                <w:color w:val="auto"/>
                <w:sz w:val="24"/>
                <w:szCs w:val="24"/>
                <w:highlight w:val="none"/>
              </w:rPr>
              <w:t>经治理后噪声设备可隔声</w:t>
            </w:r>
            <w:r>
              <w:rPr>
                <w:color w:val="auto"/>
                <w:sz w:val="24"/>
                <w:szCs w:val="24"/>
                <w:highlight w:val="none"/>
              </w:rPr>
              <w:t>15~20GB(A)</w:t>
            </w:r>
            <w:r>
              <w:rPr>
                <w:rFonts w:hint="eastAsia" w:cs="宋体"/>
                <w:color w:val="auto"/>
                <w:sz w:val="24"/>
                <w:szCs w:val="24"/>
                <w:highlight w:val="none"/>
              </w:rPr>
              <w:t>，再通过厂房隔声，通常厂房的隔声量为</w:t>
            </w:r>
            <w:r>
              <w:rPr>
                <w:color w:val="auto"/>
                <w:sz w:val="24"/>
                <w:szCs w:val="24"/>
                <w:highlight w:val="none"/>
              </w:rPr>
              <w:t>15</w:t>
            </w:r>
            <w:r>
              <w:rPr>
                <w:rFonts w:hint="eastAsia" w:cs="宋体"/>
                <w:color w:val="auto"/>
                <w:sz w:val="24"/>
                <w:szCs w:val="24"/>
                <w:highlight w:val="none"/>
              </w:rPr>
              <w:t>～</w:t>
            </w:r>
            <w:r>
              <w:rPr>
                <w:color w:val="auto"/>
                <w:sz w:val="24"/>
                <w:szCs w:val="24"/>
                <w:highlight w:val="none"/>
              </w:rPr>
              <w:t>25GB(A)</w:t>
            </w:r>
            <w:r>
              <w:rPr>
                <w:rFonts w:hint="eastAsia" w:cs="宋体"/>
                <w:color w:val="auto"/>
                <w:sz w:val="24"/>
                <w:szCs w:val="24"/>
                <w:highlight w:val="none"/>
              </w:rPr>
              <w:t>，最后厂界噪声能满足《工业企业厂界环境噪声排放标准》（</w:t>
            </w:r>
            <w:r>
              <w:rPr>
                <w:color w:val="auto"/>
                <w:sz w:val="24"/>
                <w:szCs w:val="24"/>
                <w:highlight w:val="none"/>
              </w:rPr>
              <w:t>GB12348-2008</w:t>
            </w:r>
            <w:r>
              <w:rPr>
                <w:rFonts w:hint="eastAsia" w:cs="宋体"/>
                <w:color w:val="auto"/>
                <w:sz w:val="24"/>
                <w:szCs w:val="24"/>
                <w:highlight w:val="none"/>
              </w:rPr>
              <w:t>）中的</w:t>
            </w:r>
            <w:r>
              <w:rPr>
                <w:color w:val="auto"/>
                <w:sz w:val="24"/>
                <w:szCs w:val="24"/>
                <w:highlight w:val="none"/>
              </w:rPr>
              <w:t>3</w:t>
            </w:r>
            <w:r>
              <w:rPr>
                <w:rFonts w:hint="eastAsia" w:cs="宋体"/>
                <w:color w:val="auto"/>
                <w:sz w:val="24"/>
                <w:szCs w:val="24"/>
                <w:highlight w:val="none"/>
              </w:rPr>
              <w:t>类标准，不会对周围声环境造成影响。</w:t>
            </w:r>
          </w:p>
          <w:p>
            <w:pPr>
              <w:tabs>
                <w:tab w:val="left" w:pos="900"/>
              </w:tabs>
              <w:spacing w:line="360" w:lineRule="auto"/>
              <w:ind w:firstLine="480" w:firstLineChars="200"/>
              <w:rPr>
                <w:color w:val="auto"/>
                <w:sz w:val="24"/>
                <w:szCs w:val="24"/>
                <w:highlight w:val="none"/>
              </w:rPr>
            </w:pPr>
            <w:r>
              <w:rPr>
                <w:rFonts w:hint="eastAsia" w:cs="宋体"/>
                <w:color w:val="auto"/>
                <w:sz w:val="24"/>
                <w:szCs w:val="24"/>
                <w:highlight w:val="none"/>
              </w:rPr>
              <w:t>为进一步减小本项目对区域声环境的影响，企业应加强噪声的治理，具体治理措施如下：</w:t>
            </w:r>
          </w:p>
          <w:p>
            <w:pPr>
              <w:numPr>
                <w:ilvl w:val="0"/>
                <w:numId w:val="0"/>
              </w:numPr>
              <w:spacing w:line="360" w:lineRule="auto"/>
              <w:ind w:firstLine="480" w:firstLineChars="200"/>
              <w:jc w:val="left"/>
              <w:rPr>
                <w:rFonts w:hint="default" w:ascii="Times New Roman" w:hAnsi="Times New Roman" w:eastAsia="宋体" w:cs="宋体"/>
                <w:color w:val="auto"/>
                <w:sz w:val="24"/>
                <w:szCs w:val="24"/>
                <w:highlight w:val="none"/>
                <w:lang w:eastAsia="zh-CN"/>
              </w:rPr>
            </w:pPr>
            <w:r>
              <w:rPr>
                <w:rFonts w:hint="default" w:ascii="Times New Roman" w:hAnsi="Times New Roman" w:eastAsia="宋体" w:cs="宋体"/>
                <w:color w:val="auto"/>
                <w:sz w:val="24"/>
                <w:szCs w:val="24"/>
                <w:highlight w:val="none"/>
                <w:lang w:eastAsia="zh-CN"/>
              </w:rPr>
              <w:t>1</w:t>
            </w:r>
            <w:r>
              <w:rPr>
                <w:rFonts w:hint="eastAsia" w:ascii="Times New Roman" w:hAnsi="Times New Roman" w:eastAsia="宋体" w:cs="宋体"/>
                <w:color w:val="auto"/>
                <w:sz w:val="24"/>
                <w:szCs w:val="24"/>
                <w:highlight w:val="none"/>
                <w:lang w:eastAsia="zh-CN"/>
              </w:rPr>
              <w:t>）在生产过程中严格操作规程，做好生产设备运行期间的维护保养，以使其处于正常工况；</w:t>
            </w:r>
          </w:p>
          <w:p>
            <w:pPr>
              <w:numPr>
                <w:ilvl w:val="0"/>
                <w:numId w:val="0"/>
              </w:numPr>
              <w:spacing w:line="360" w:lineRule="auto"/>
              <w:ind w:firstLine="480" w:firstLineChars="200"/>
              <w:jc w:val="left"/>
              <w:rPr>
                <w:rFonts w:hint="default" w:ascii="Times New Roman" w:hAnsi="Times New Roman" w:eastAsia="宋体" w:cs="宋体"/>
                <w:color w:val="auto"/>
                <w:sz w:val="24"/>
                <w:szCs w:val="24"/>
                <w:highlight w:val="none"/>
                <w:lang w:eastAsia="zh-CN"/>
              </w:rPr>
            </w:pPr>
            <w:r>
              <w:rPr>
                <w:rFonts w:hint="default" w:ascii="Times New Roman" w:hAnsi="Times New Roman" w:eastAsia="宋体" w:cs="宋体"/>
                <w:color w:val="auto"/>
                <w:sz w:val="24"/>
                <w:szCs w:val="24"/>
                <w:highlight w:val="none"/>
                <w:lang w:eastAsia="zh-CN"/>
              </w:rPr>
              <w:t>2</w:t>
            </w:r>
            <w:r>
              <w:rPr>
                <w:rFonts w:hint="eastAsia" w:ascii="Times New Roman" w:hAnsi="Times New Roman" w:eastAsia="宋体" w:cs="宋体"/>
                <w:color w:val="auto"/>
                <w:sz w:val="24"/>
                <w:szCs w:val="24"/>
                <w:highlight w:val="none"/>
                <w:lang w:eastAsia="zh-CN"/>
              </w:rPr>
              <w:t>）在厂区内应对产生噪声的机械设备进行合理布局，使高噪声设备远离厂界。</w:t>
            </w:r>
          </w:p>
          <w:p>
            <w:pPr>
              <w:spacing w:line="360" w:lineRule="auto"/>
              <w:ind w:firstLine="480" w:firstLineChars="200"/>
              <w:jc w:val="left"/>
              <w:rPr>
                <w:rStyle w:val="80"/>
                <w:b w:val="0"/>
                <w:bCs w:val="0"/>
                <w:color w:val="auto"/>
                <w:highlight w:val="none"/>
              </w:rPr>
            </w:pPr>
            <w:r>
              <w:rPr>
                <w:rStyle w:val="80"/>
                <w:b w:val="0"/>
                <w:bCs w:val="0"/>
                <w:color w:val="auto"/>
                <w:highlight w:val="none"/>
              </w:rPr>
              <w:t xml:space="preserve">3.2 </w:t>
            </w:r>
            <w:r>
              <w:rPr>
                <w:rStyle w:val="80"/>
                <w:rFonts w:hint="eastAsia" w:cs="宋体"/>
                <w:b w:val="0"/>
                <w:bCs w:val="0"/>
                <w:color w:val="auto"/>
                <w:highlight w:val="none"/>
              </w:rPr>
              <w:t>噪声环境监测计划</w:t>
            </w:r>
          </w:p>
          <w:p>
            <w:pPr>
              <w:numPr>
                <w:ilvl w:val="0"/>
                <w:numId w:val="0"/>
              </w:numPr>
              <w:spacing w:line="360" w:lineRule="auto"/>
              <w:ind w:firstLine="480" w:firstLineChars="200"/>
              <w:jc w:val="left"/>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按照《排污许可证申请与核发技术规范-工业噪声》（HJ 1301-2023）本项目噪声监测计划如下：</w:t>
            </w:r>
          </w:p>
          <w:p>
            <w:pPr>
              <w:pStyle w:val="106"/>
              <w:keepNext w:val="0"/>
              <w:keepLines w:val="0"/>
              <w:pageBreakBefore w:val="0"/>
              <w:widowControl/>
              <w:kinsoku/>
              <w:wordWrap/>
              <w:overflowPunct/>
              <w:topLinePunct w:val="0"/>
              <w:autoSpaceDE/>
              <w:autoSpaceDN/>
              <w:bidi w:val="0"/>
              <w:adjustRightInd/>
              <w:snapToGrid w:val="0"/>
              <w:spacing w:before="0" w:afterLines="50" w:line="240" w:lineRule="auto"/>
              <w:ind w:right="113"/>
              <w:textAlignment w:val="auto"/>
              <w:rPr>
                <w:rFonts w:eastAsia="宋体"/>
                <w:color w:val="auto"/>
                <w:sz w:val="22"/>
                <w:szCs w:val="22"/>
                <w:highlight w:val="none"/>
              </w:rPr>
            </w:pPr>
            <w:r>
              <w:rPr>
                <w:rFonts w:hint="eastAsia" w:eastAsia="宋体" w:cs="宋体"/>
                <w:color w:val="auto"/>
                <w:sz w:val="22"/>
                <w:szCs w:val="22"/>
                <w:highlight w:val="none"/>
              </w:rPr>
              <w:t>表</w:t>
            </w:r>
            <w:r>
              <w:rPr>
                <w:rFonts w:eastAsia="宋体"/>
                <w:color w:val="auto"/>
                <w:sz w:val="22"/>
                <w:szCs w:val="22"/>
                <w:highlight w:val="none"/>
              </w:rPr>
              <w:t xml:space="preserve">4-12  </w:t>
            </w:r>
            <w:r>
              <w:rPr>
                <w:rFonts w:hint="eastAsia" w:eastAsia="宋体" w:cs="宋体"/>
                <w:color w:val="auto"/>
                <w:sz w:val="22"/>
                <w:szCs w:val="22"/>
                <w:highlight w:val="none"/>
              </w:rPr>
              <w:t>声环境监测计划一览表</w:t>
            </w:r>
          </w:p>
          <w:tbl>
            <w:tblPr>
              <w:tblStyle w:val="36"/>
              <w:tblW w:w="80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86"/>
              <w:gridCol w:w="1730"/>
              <w:gridCol w:w="1164"/>
              <w:gridCol w:w="1118"/>
              <w:gridCol w:w="1169"/>
              <w:gridCol w:w="23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722" w:hRule="atLeast"/>
                <w:jc w:val="center"/>
              </w:trPr>
              <w:tc>
                <w:tcPr>
                  <w:tcW w:w="362" w:type="pct"/>
                  <w:tcBorders>
                    <w:top w:val="single" w:color="auto" w:sz="6" w:space="0"/>
                    <w:left w:val="single" w:color="auto" w:sz="6" w:space="0"/>
                    <w:bottom w:val="single" w:color="auto" w:sz="6" w:space="0"/>
                    <w:right w:val="single" w:color="auto" w:sz="6" w:space="0"/>
                  </w:tcBorders>
                  <w:vAlign w:val="center"/>
                </w:tcPr>
                <w:p>
                  <w:pPr>
                    <w:bidi w:val="0"/>
                    <w:jc w:val="center"/>
                    <w:rPr>
                      <w:color w:val="auto"/>
                      <w:highlight w:val="none"/>
                    </w:rPr>
                  </w:pPr>
                  <w:r>
                    <w:rPr>
                      <w:rFonts w:hint="eastAsia"/>
                      <w:color w:val="auto"/>
                      <w:highlight w:val="none"/>
                    </w:rPr>
                    <w:t>序号</w:t>
                  </w:r>
                </w:p>
              </w:tc>
              <w:tc>
                <w:tcPr>
                  <w:tcW w:w="1070" w:type="pct"/>
                  <w:tcBorders>
                    <w:top w:val="single" w:color="auto" w:sz="6" w:space="0"/>
                    <w:left w:val="single" w:color="auto" w:sz="6" w:space="0"/>
                    <w:bottom w:val="single" w:color="auto" w:sz="6" w:space="0"/>
                    <w:right w:val="single" w:color="auto" w:sz="6" w:space="0"/>
                  </w:tcBorders>
                  <w:vAlign w:val="center"/>
                </w:tcPr>
                <w:p>
                  <w:pPr>
                    <w:bidi w:val="0"/>
                    <w:jc w:val="center"/>
                    <w:rPr>
                      <w:color w:val="auto"/>
                      <w:highlight w:val="none"/>
                    </w:rPr>
                  </w:pPr>
                  <w:r>
                    <w:rPr>
                      <w:rFonts w:hint="eastAsia"/>
                      <w:color w:val="auto"/>
                      <w:highlight w:val="none"/>
                    </w:rPr>
                    <w:t>监测点位</w:t>
                  </w:r>
                </w:p>
              </w:tc>
              <w:tc>
                <w:tcPr>
                  <w:tcW w:w="720" w:type="pct"/>
                  <w:tcBorders>
                    <w:top w:val="single" w:color="auto" w:sz="6" w:space="0"/>
                    <w:left w:val="single" w:color="auto" w:sz="6" w:space="0"/>
                    <w:bottom w:val="single" w:color="auto" w:sz="6" w:space="0"/>
                    <w:right w:val="single" w:color="auto" w:sz="6" w:space="0"/>
                  </w:tcBorders>
                  <w:vAlign w:val="center"/>
                </w:tcPr>
                <w:p>
                  <w:pPr>
                    <w:bidi w:val="0"/>
                    <w:jc w:val="center"/>
                    <w:rPr>
                      <w:color w:val="auto"/>
                      <w:highlight w:val="none"/>
                    </w:rPr>
                  </w:pPr>
                  <w:r>
                    <w:rPr>
                      <w:rFonts w:hint="eastAsia"/>
                      <w:color w:val="auto"/>
                      <w:highlight w:val="none"/>
                    </w:rPr>
                    <w:t>监测项目</w:t>
                  </w:r>
                </w:p>
              </w:tc>
              <w:tc>
                <w:tcPr>
                  <w:tcW w:w="692" w:type="pct"/>
                  <w:tcBorders>
                    <w:top w:val="single" w:color="auto" w:sz="6" w:space="0"/>
                    <w:left w:val="single" w:color="auto" w:sz="6" w:space="0"/>
                    <w:bottom w:val="single" w:color="auto" w:sz="6" w:space="0"/>
                    <w:right w:val="single" w:color="auto" w:sz="6" w:space="0"/>
                  </w:tcBorders>
                  <w:vAlign w:val="center"/>
                </w:tcPr>
                <w:p>
                  <w:pPr>
                    <w:bidi w:val="0"/>
                    <w:jc w:val="center"/>
                    <w:rPr>
                      <w:color w:val="auto"/>
                      <w:highlight w:val="none"/>
                    </w:rPr>
                  </w:pPr>
                  <w:r>
                    <w:rPr>
                      <w:rFonts w:hint="eastAsia"/>
                      <w:color w:val="auto"/>
                      <w:highlight w:val="none"/>
                    </w:rPr>
                    <w:t>频率</w:t>
                  </w:r>
                </w:p>
              </w:tc>
              <w:tc>
                <w:tcPr>
                  <w:tcW w:w="723" w:type="pct"/>
                  <w:tcBorders>
                    <w:top w:val="single" w:color="auto" w:sz="6" w:space="0"/>
                    <w:left w:val="single" w:color="auto" w:sz="6" w:space="0"/>
                    <w:bottom w:val="single" w:color="auto" w:sz="4" w:space="0"/>
                    <w:right w:val="single" w:color="auto" w:sz="6" w:space="0"/>
                  </w:tcBorders>
                  <w:vAlign w:val="center"/>
                </w:tcPr>
                <w:p>
                  <w:pPr>
                    <w:bidi w:val="0"/>
                    <w:jc w:val="center"/>
                    <w:rPr>
                      <w:color w:val="auto"/>
                      <w:highlight w:val="none"/>
                    </w:rPr>
                  </w:pPr>
                  <w:r>
                    <w:rPr>
                      <w:rFonts w:hint="eastAsia"/>
                      <w:color w:val="auto"/>
                      <w:highlight w:val="none"/>
                    </w:rPr>
                    <w:t>实施单位</w:t>
                  </w:r>
                </w:p>
              </w:tc>
              <w:tc>
                <w:tcPr>
                  <w:tcW w:w="1429" w:type="pct"/>
                  <w:tcBorders>
                    <w:top w:val="single" w:color="auto" w:sz="6" w:space="0"/>
                    <w:left w:val="single" w:color="auto" w:sz="6" w:space="0"/>
                    <w:bottom w:val="single" w:color="auto" w:sz="4" w:space="0"/>
                    <w:right w:val="single" w:color="auto" w:sz="6" w:space="0"/>
                  </w:tcBorders>
                  <w:vAlign w:val="center"/>
                </w:tcPr>
                <w:p>
                  <w:pPr>
                    <w:bidi w:val="0"/>
                    <w:jc w:val="center"/>
                    <w:rPr>
                      <w:color w:val="auto"/>
                      <w:highlight w:val="none"/>
                    </w:rPr>
                  </w:pPr>
                  <w:r>
                    <w:rPr>
                      <w:rFonts w:hint="eastAsia"/>
                      <w:color w:val="auto"/>
                      <w:highlight w:val="none"/>
                    </w:rPr>
                    <w:t>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41" w:hRule="atLeast"/>
                <w:jc w:val="center"/>
              </w:trPr>
              <w:tc>
                <w:tcPr>
                  <w:tcW w:w="362" w:type="pct"/>
                  <w:tcBorders>
                    <w:top w:val="single" w:color="auto" w:sz="6" w:space="0"/>
                    <w:left w:val="single" w:color="auto" w:sz="6" w:space="0"/>
                    <w:bottom w:val="single" w:color="auto" w:sz="6" w:space="0"/>
                    <w:right w:val="single" w:color="auto" w:sz="6" w:space="0"/>
                  </w:tcBorders>
                  <w:vAlign w:val="center"/>
                </w:tcPr>
                <w:p>
                  <w:pPr>
                    <w:bidi w:val="0"/>
                    <w:jc w:val="center"/>
                    <w:rPr>
                      <w:color w:val="auto"/>
                      <w:highlight w:val="none"/>
                    </w:rPr>
                  </w:pPr>
                  <w:r>
                    <w:rPr>
                      <w:color w:val="auto"/>
                      <w:highlight w:val="none"/>
                    </w:rPr>
                    <w:t>1</w:t>
                  </w:r>
                </w:p>
              </w:tc>
              <w:tc>
                <w:tcPr>
                  <w:tcW w:w="1070" w:type="pct"/>
                  <w:tcBorders>
                    <w:top w:val="single" w:color="auto" w:sz="6" w:space="0"/>
                    <w:left w:val="single" w:color="auto" w:sz="6" w:space="0"/>
                    <w:bottom w:val="single" w:color="auto" w:sz="6" w:space="0"/>
                    <w:right w:val="single" w:color="auto" w:sz="6" w:space="0"/>
                  </w:tcBorders>
                  <w:vAlign w:val="center"/>
                </w:tcPr>
                <w:p>
                  <w:pPr>
                    <w:bidi w:val="0"/>
                    <w:jc w:val="center"/>
                    <w:rPr>
                      <w:color w:val="auto"/>
                      <w:highlight w:val="none"/>
                    </w:rPr>
                  </w:pPr>
                  <w:r>
                    <w:rPr>
                      <w:rFonts w:hint="eastAsia"/>
                      <w:color w:val="auto"/>
                      <w:highlight w:val="none"/>
                    </w:rPr>
                    <w:t>项目厂界四周，东南西北各一个监测点</w:t>
                  </w:r>
                </w:p>
              </w:tc>
              <w:tc>
                <w:tcPr>
                  <w:tcW w:w="720" w:type="pct"/>
                  <w:tcBorders>
                    <w:top w:val="single" w:color="auto" w:sz="6" w:space="0"/>
                    <w:left w:val="single" w:color="auto" w:sz="6" w:space="0"/>
                    <w:bottom w:val="single" w:color="auto" w:sz="6" w:space="0"/>
                    <w:right w:val="single" w:color="auto" w:sz="6" w:space="0"/>
                  </w:tcBorders>
                  <w:vAlign w:val="center"/>
                </w:tcPr>
                <w:p>
                  <w:pPr>
                    <w:bidi w:val="0"/>
                    <w:jc w:val="center"/>
                    <w:rPr>
                      <w:color w:val="auto"/>
                      <w:highlight w:val="none"/>
                    </w:rPr>
                  </w:pPr>
                  <w:r>
                    <w:rPr>
                      <w:rFonts w:hint="eastAsia"/>
                      <w:color w:val="auto"/>
                      <w:highlight w:val="none"/>
                    </w:rPr>
                    <w:t>噪声</w:t>
                  </w:r>
                </w:p>
              </w:tc>
              <w:tc>
                <w:tcPr>
                  <w:tcW w:w="692" w:type="pct"/>
                  <w:tcBorders>
                    <w:top w:val="single" w:color="auto" w:sz="6" w:space="0"/>
                    <w:left w:val="single" w:color="auto" w:sz="6" w:space="0"/>
                    <w:bottom w:val="single" w:color="auto" w:sz="6" w:space="0"/>
                    <w:right w:val="single" w:color="auto" w:sz="6" w:space="0"/>
                  </w:tcBorders>
                  <w:vAlign w:val="center"/>
                </w:tcPr>
                <w:p>
                  <w:pPr>
                    <w:bidi w:val="0"/>
                    <w:jc w:val="center"/>
                    <w:rPr>
                      <w:color w:val="auto"/>
                      <w:highlight w:val="none"/>
                    </w:rPr>
                  </w:pPr>
                  <w:r>
                    <w:rPr>
                      <w:color w:val="auto"/>
                      <w:highlight w:val="none"/>
                    </w:rPr>
                    <w:t>1</w:t>
                  </w:r>
                  <w:r>
                    <w:rPr>
                      <w:rFonts w:hint="eastAsia"/>
                      <w:color w:val="auto"/>
                      <w:highlight w:val="none"/>
                    </w:rPr>
                    <w:t>次</w:t>
                  </w:r>
                  <w:r>
                    <w:rPr>
                      <w:color w:val="auto"/>
                      <w:highlight w:val="none"/>
                    </w:rPr>
                    <w:t>/</w:t>
                  </w:r>
                  <w:r>
                    <w:rPr>
                      <w:rFonts w:hint="eastAsia"/>
                      <w:color w:val="auto"/>
                      <w:highlight w:val="none"/>
                    </w:rPr>
                    <w:t>季度</w:t>
                  </w:r>
                </w:p>
              </w:tc>
              <w:tc>
                <w:tcPr>
                  <w:tcW w:w="723" w:type="pct"/>
                  <w:tcBorders>
                    <w:top w:val="single" w:color="auto" w:sz="6" w:space="0"/>
                    <w:left w:val="single" w:color="auto" w:sz="6" w:space="0"/>
                    <w:bottom w:val="single" w:color="auto" w:sz="6" w:space="0"/>
                    <w:right w:val="single" w:color="auto" w:sz="6" w:space="0"/>
                  </w:tcBorders>
                  <w:vAlign w:val="center"/>
                </w:tcPr>
                <w:p>
                  <w:pPr>
                    <w:bidi w:val="0"/>
                    <w:jc w:val="center"/>
                    <w:rPr>
                      <w:color w:val="auto"/>
                      <w:highlight w:val="none"/>
                    </w:rPr>
                  </w:pPr>
                  <w:r>
                    <w:rPr>
                      <w:rFonts w:hint="eastAsia"/>
                      <w:color w:val="auto"/>
                      <w:highlight w:val="none"/>
                    </w:rPr>
                    <w:t>有资质的监测单位</w:t>
                  </w:r>
                </w:p>
              </w:tc>
              <w:tc>
                <w:tcPr>
                  <w:tcW w:w="1429" w:type="pct"/>
                  <w:tcBorders>
                    <w:top w:val="single" w:color="auto" w:sz="6" w:space="0"/>
                    <w:left w:val="single" w:color="auto" w:sz="6" w:space="0"/>
                    <w:bottom w:val="single" w:color="auto" w:sz="6" w:space="0"/>
                    <w:right w:val="single" w:color="auto" w:sz="6" w:space="0"/>
                  </w:tcBorders>
                  <w:vAlign w:val="center"/>
                </w:tcPr>
                <w:p>
                  <w:pPr>
                    <w:bidi w:val="0"/>
                    <w:jc w:val="center"/>
                    <w:rPr>
                      <w:color w:val="auto"/>
                      <w:highlight w:val="none"/>
                    </w:rPr>
                  </w:pPr>
                  <w:r>
                    <w:rPr>
                      <w:rFonts w:hint="eastAsia"/>
                      <w:color w:val="auto"/>
                      <w:highlight w:val="none"/>
                    </w:rPr>
                    <w:t>《工业企业厂界环境噪声排放标准》（</w:t>
                  </w:r>
                  <w:r>
                    <w:rPr>
                      <w:color w:val="auto"/>
                      <w:highlight w:val="none"/>
                    </w:rPr>
                    <w:t>GB12348-2008</w:t>
                  </w:r>
                  <w:r>
                    <w:rPr>
                      <w:rFonts w:hint="eastAsia"/>
                      <w:color w:val="auto"/>
                      <w:highlight w:val="none"/>
                    </w:rPr>
                    <w:t>）</w:t>
                  </w:r>
                  <w:r>
                    <w:rPr>
                      <w:color w:val="auto"/>
                      <w:highlight w:val="none"/>
                    </w:rPr>
                    <w:t>3</w:t>
                  </w:r>
                  <w:r>
                    <w:rPr>
                      <w:rFonts w:hint="eastAsia"/>
                      <w:color w:val="auto"/>
                      <w:highlight w:val="none"/>
                    </w:rPr>
                    <w:t>类标准要求</w:t>
                  </w:r>
                </w:p>
              </w:tc>
            </w:tr>
          </w:tbl>
          <w:p>
            <w:pPr>
              <w:pStyle w:val="8"/>
              <w:spacing w:beforeLines="100" w:after="0" w:line="360" w:lineRule="auto"/>
              <w:ind w:firstLine="480" w:firstLineChars="200"/>
              <w:rPr>
                <w:rStyle w:val="80"/>
                <w:rFonts w:ascii="Times New Roman" w:hAnsi="Times New Roman" w:cs="Times New Roman"/>
                <w:b w:val="0"/>
                <w:bCs w:val="0"/>
                <w:color w:val="auto"/>
                <w:highlight w:val="none"/>
              </w:rPr>
            </w:pPr>
            <w:r>
              <w:rPr>
                <w:rStyle w:val="80"/>
                <w:rFonts w:ascii="Times New Roman" w:hAnsi="Times New Roman" w:cs="Times New Roman"/>
                <w:b w:val="0"/>
                <w:bCs w:val="0"/>
                <w:color w:val="auto"/>
                <w:highlight w:val="none"/>
              </w:rPr>
              <w:t>4</w:t>
            </w:r>
            <w:r>
              <w:rPr>
                <w:rStyle w:val="80"/>
                <w:rFonts w:hint="eastAsia" w:ascii="Times New Roman" w:hAnsi="Times New Roman" w:cs="Times New Roman"/>
                <w:b w:val="0"/>
                <w:bCs w:val="0"/>
                <w:color w:val="auto"/>
                <w:highlight w:val="none"/>
              </w:rPr>
              <w:t>、</w:t>
            </w:r>
            <w:r>
              <w:rPr>
                <w:rStyle w:val="80"/>
                <w:rFonts w:hint="eastAsia" w:ascii="Times New Roman" w:hAnsi="Times New Roman" w:cs="宋体"/>
                <w:b w:val="0"/>
                <w:bCs w:val="0"/>
                <w:color w:val="auto"/>
                <w:highlight w:val="none"/>
              </w:rPr>
              <w:t>固体废物环境影响及保护措施</w:t>
            </w:r>
          </w:p>
          <w:p>
            <w:pPr>
              <w:spacing w:line="360" w:lineRule="auto"/>
              <w:ind w:firstLine="480" w:firstLineChars="200"/>
              <w:jc w:val="left"/>
              <w:rPr>
                <w:rFonts w:hint="eastAsia" w:cs="宋体"/>
                <w:color w:val="auto"/>
                <w:sz w:val="24"/>
                <w:szCs w:val="24"/>
                <w:highlight w:val="none"/>
              </w:rPr>
            </w:pPr>
            <w:r>
              <w:rPr>
                <w:rFonts w:hint="eastAsia" w:cs="宋体"/>
                <w:color w:val="auto"/>
                <w:sz w:val="24"/>
                <w:szCs w:val="24"/>
                <w:highlight w:val="none"/>
              </w:rPr>
              <w:t>本项目固体废弃物主要为</w:t>
            </w:r>
            <w:r>
              <w:rPr>
                <w:rFonts w:hint="eastAsia" w:cs="宋体"/>
                <w:color w:val="auto"/>
                <w:sz w:val="24"/>
                <w:szCs w:val="24"/>
                <w:highlight w:val="none"/>
                <w:lang w:eastAsia="zh-CN"/>
              </w:rPr>
              <w:t>废包装袋、不合格品和生活垃圾。</w:t>
            </w:r>
          </w:p>
          <w:p>
            <w:pPr>
              <w:numPr>
                <w:ilvl w:val="0"/>
                <w:numId w:val="0"/>
              </w:numPr>
              <w:spacing w:line="360" w:lineRule="auto"/>
              <w:ind w:firstLine="480" w:firstLineChars="200"/>
              <w:jc w:val="left"/>
              <w:rPr>
                <w:rFonts w:hint="eastAsia" w:cs="宋体"/>
                <w:color w:val="auto"/>
                <w:sz w:val="24"/>
                <w:szCs w:val="24"/>
                <w:highlight w:val="none"/>
                <w:lang w:eastAsia="zh-CN"/>
              </w:rPr>
            </w:pPr>
            <w:r>
              <w:rPr>
                <w:rFonts w:hint="eastAsia" w:cs="宋体"/>
                <w:color w:val="auto"/>
                <w:sz w:val="24"/>
                <w:szCs w:val="24"/>
                <w:highlight w:val="none"/>
                <w:lang w:eastAsia="zh-CN"/>
              </w:rPr>
              <w:t>（</w:t>
            </w:r>
            <w:r>
              <w:rPr>
                <w:rFonts w:hint="eastAsia" w:cs="宋体"/>
                <w:color w:val="auto"/>
                <w:sz w:val="24"/>
                <w:szCs w:val="24"/>
                <w:highlight w:val="none"/>
                <w:lang w:val="en-US" w:eastAsia="zh-CN"/>
              </w:rPr>
              <w:t>1</w:t>
            </w:r>
            <w:r>
              <w:rPr>
                <w:rFonts w:hint="eastAsia" w:cs="宋体"/>
                <w:color w:val="auto"/>
                <w:sz w:val="24"/>
                <w:szCs w:val="24"/>
                <w:highlight w:val="none"/>
                <w:lang w:eastAsia="zh-CN"/>
              </w:rPr>
              <w:t>）废包装袋</w:t>
            </w:r>
          </w:p>
          <w:p>
            <w:pPr>
              <w:numPr>
                <w:ilvl w:val="0"/>
                <w:numId w:val="0"/>
              </w:numPr>
              <w:spacing w:line="360" w:lineRule="auto"/>
              <w:ind w:firstLine="480" w:firstLineChars="200"/>
              <w:jc w:val="left"/>
              <w:rPr>
                <w:rFonts w:hint="eastAsia" w:ascii="Times New Roman" w:hAnsi="Times New Roman" w:eastAsia="宋体" w:cs="宋体"/>
                <w:color w:val="auto"/>
                <w:sz w:val="24"/>
                <w:szCs w:val="24"/>
                <w:highlight w:val="none"/>
              </w:rPr>
            </w:pPr>
            <w:r>
              <w:rPr>
                <w:rFonts w:hint="default" w:ascii="Times New Roman" w:hAnsi="Times New Roman" w:eastAsia="宋体" w:cs="宋体"/>
                <w:color w:val="auto"/>
                <w:sz w:val="24"/>
                <w:szCs w:val="24"/>
                <w:highlight w:val="none"/>
                <w:lang w:eastAsia="zh-CN"/>
              </w:rPr>
              <w:t>根据企业提供资料可知，</w:t>
            </w:r>
            <w:r>
              <w:rPr>
                <w:rFonts w:hint="eastAsia" w:cs="宋体"/>
                <w:color w:val="auto"/>
                <w:sz w:val="24"/>
                <w:szCs w:val="24"/>
                <w:highlight w:val="none"/>
                <w:lang w:eastAsia="zh-CN"/>
              </w:rPr>
              <w:t>生产时使用的原料均为袋装，废包装袋产生量</w:t>
            </w:r>
            <w:r>
              <w:rPr>
                <w:rFonts w:hint="default" w:ascii="Times New Roman" w:hAnsi="Times New Roman" w:eastAsia="宋体" w:cs="宋体"/>
                <w:color w:val="auto"/>
                <w:sz w:val="24"/>
                <w:szCs w:val="24"/>
                <w:highlight w:val="none"/>
                <w:lang w:eastAsia="zh-CN"/>
              </w:rPr>
              <w:t>约为</w:t>
            </w:r>
            <w:r>
              <w:rPr>
                <w:rFonts w:hint="eastAsia" w:cs="宋体"/>
                <w:color w:val="auto"/>
                <w:sz w:val="24"/>
                <w:szCs w:val="24"/>
                <w:highlight w:val="none"/>
                <w:lang w:val="en-US" w:eastAsia="zh-CN"/>
              </w:rPr>
              <w:t>1.5</w:t>
            </w:r>
            <w:r>
              <w:rPr>
                <w:rFonts w:hint="default" w:ascii="Times New Roman" w:hAnsi="Times New Roman" w:eastAsia="宋体" w:cs="宋体"/>
                <w:color w:val="auto"/>
                <w:sz w:val="24"/>
                <w:szCs w:val="24"/>
                <w:highlight w:val="none"/>
                <w:lang w:eastAsia="zh-CN"/>
              </w:rPr>
              <w:t>t/a，打包后外售给物资回收</w:t>
            </w:r>
            <w:r>
              <w:rPr>
                <w:rFonts w:hint="eastAsia" w:cs="宋体"/>
                <w:color w:val="auto"/>
                <w:sz w:val="24"/>
                <w:szCs w:val="24"/>
                <w:highlight w:val="none"/>
                <w:lang w:eastAsia="zh-CN"/>
              </w:rPr>
              <w:t>部门</w:t>
            </w:r>
          </w:p>
          <w:p>
            <w:pPr>
              <w:spacing w:line="360" w:lineRule="auto"/>
              <w:ind w:firstLine="480" w:firstLineChars="200"/>
              <w:jc w:val="left"/>
              <w:rPr>
                <w:rFonts w:hint="default" w:ascii="Times New Roman" w:hAnsi="Times New Roman" w:eastAsia="宋体" w:cs="宋体"/>
                <w:color w:val="auto"/>
                <w:sz w:val="24"/>
                <w:szCs w:val="24"/>
                <w:highlight w:val="none"/>
              </w:rPr>
            </w:pPr>
            <w:r>
              <w:rPr>
                <w:rFonts w:hint="eastAsia" w:cs="宋体"/>
                <w:color w:val="auto"/>
                <w:sz w:val="24"/>
                <w:szCs w:val="24"/>
                <w:highlight w:val="none"/>
                <w:lang w:eastAsia="zh-CN"/>
              </w:rPr>
              <w:t>（</w:t>
            </w:r>
            <w:r>
              <w:rPr>
                <w:rFonts w:hint="eastAsia" w:cs="宋体"/>
                <w:color w:val="auto"/>
                <w:sz w:val="24"/>
                <w:szCs w:val="24"/>
                <w:highlight w:val="none"/>
                <w:lang w:val="en-US" w:eastAsia="zh-CN"/>
              </w:rPr>
              <w:t>2</w:t>
            </w:r>
            <w:r>
              <w:rPr>
                <w:rFonts w:hint="eastAsia" w:cs="宋体"/>
                <w:color w:val="auto"/>
                <w:sz w:val="24"/>
                <w:szCs w:val="24"/>
                <w:highlight w:val="none"/>
                <w:lang w:eastAsia="zh-CN"/>
              </w:rPr>
              <w:t>）不合格品</w:t>
            </w:r>
          </w:p>
          <w:p>
            <w:pPr>
              <w:spacing w:line="360" w:lineRule="auto"/>
              <w:ind w:firstLine="480" w:firstLineChars="200"/>
              <w:rPr>
                <w:rFonts w:hint="eastAsia" w:cs="宋体"/>
                <w:color w:val="auto"/>
                <w:sz w:val="24"/>
                <w:szCs w:val="24"/>
                <w:highlight w:val="none"/>
                <w:lang w:val="en-US" w:eastAsia="zh-CN"/>
              </w:rPr>
            </w:pPr>
            <w:r>
              <w:rPr>
                <w:rFonts w:hint="eastAsia" w:cs="宋体"/>
                <w:color w:val="auto"/>
                <w:sz w:val="24"/>
                <w:szCs w:val="24"/>
                <w:highlight w:val="none"/>
                <w:lang w:eastAsia="zh-CN"/>
              </w:rPr>
              <w:t>项目生产过程中产生部分不合格品</w:t>
            </w:r>
            <w:r>
              <w:rPr>
                <w:rFonts w:hint="default" w:ascii="Times New Roman" w:hAnsi="Times New Roman" w:eastAsia="宋体" w:cs="宋体"/>
                <w:color w:val="auto"/>
                <w:sz w:val="24"/>
                <w:szCs w:val="24"/>
                <w:highlight w:val="none"/>
                <w:lang w:eastAsia="zh-CN"/>
              </w:rPr>
              <w:t>，</w:t>
            </w:r>
            <w:r>
              <w:rPr>
                <w:rFonts w:hint="eastAsia" w:cs="宋体"/>
                <w:color w:val="auto"/>
                <w:sz w:val="24"/>
                <w:szCs w:val="24"/>
                <w:highlight w:val="none"/>
                <w:lang w:eastAsia="zh-CN"/>
              </w:rPr>
              <w:t>产生量约为</w:t>
            </w:r>
            <w:r>
              <w:rPr>
                <w:rFonts w:hint="eastAsia" w:cs="宋体"/>
                <w:color w:val="auto"/>
                <w:sz w:val="24"/>
                <w:szCs w:val="24"/>
                <w:highlight w:val="none"/>
                <w:lang w:val="en-US" w:eastAsia="zh-CN"/>
              </w:rPr>
              <w:t>20t/a，集中收集后破碎回用于生产</w:t>
            </w:r>
            <w:r>
              <w:rPr>
                <w:rFonts w:hint="default" w:ascii="Times New Roman" w:hAnsi="Times New Roman" w:eastAsia="宋体" w:cs="宋体"/>
                <w:color w:val="auto"/>
                <w:sz w:val="24"/>
                <w:szCs w:val="24"/>
                <w:highlight w:val="none"/>
                <w:lang w:eastAsia="zh-CN"/>
              </w:rPr>
              <w:t>。</w:t>
            </w:r>
            <w:r>
              <w:rPr>
                <w:rFonts w:hint="default" w:ascii="Times New Roman" w:hAnsi="Times New Roman" w:eastAsia="宋体" w:cs="宋体"/>
                <w:color w:val="auto"/>
                <w:sz w:val="24"/>
                <w:szCs w:val="24"/>
                <w:highlight w:val="none"/>
                <w:lang w:eastAsia="zh-CN"/>
              </w:rPr>
              <w:br w:type="textWrapping"/>
            </w:r>
            <w:r>
              <w:rPr>
                <w:rFonts w:hint="eastAsia" w:cs="宋体"/>
                <w:color w:val="auto"/>
                <w:sz w:val="24"/>
                <w:szCs w:val="24"/>
                <w:highlight w:val="none"/>
                <w:lang w:val="en-US" w:eastAsia="zh-CN"/>
              </w:rPr>
              <w:t xml:space="preserve">    （3）除尘器收集的粉尘</w:t>
            </w:r>
            <w:r>
              <w:rPr>
                <w:rFonts w:hint="eastAsia" w:cs="宋体"/>
                <w:color w:val="auto"/>
                <w:sz w:val="24"/>
                <w:szCs w:val="24"/>
                <w:highlight w:val="none"/>
                <w:lang w:val="en-US" w:eastAsia="zh-CN"/>
              </w:rPr>
              <w:br w:type="textWrapping"/>
            </w:r>
            <w:r>
              <w:rPr>
                <w:rFonts w:hint="eastAsia" w:cs="宋体"/>
                <w:color w:val="auto"/>
                <w:sz w:val="24"/>
                <w:szCs w:val="24"/>
                <w:highlight w:val="none"/>
                <w:lang w:val="en-US" w:eastAsia="zh-CN"/>
              </w:rPr>
              <w:t xml:space="preserve">     项目在破碎、投料粉尘处理过程中均使用布袋除尘器进行处理，经计算布袋除尘器收集的粉尘量约为1.894t/a， 收集后的粉尘定期外售物资回收部门。    </w:t>
            </w:r>
            <w:r>
              <w:rPr>
                <w:rFonts w:hint="default" w:ascii="Times New Roman" w:hAnsi="Times New Roman" w:eastAsia="宋体" w:cs="宋体"/>
                <w:color w:val="auto"/>
                <w:sz w:val="24"/>
                <w:szCs w:val="24"/>
                <w:highlight w:val="none"/>
                <w:lang w:eastAsia="zh-CN"/>
              </w:rPr>
              <w:br w:type="textWrapping"/>
            </w:r>
            <w:r>
              <w:rPr>
                <w:rFonts w:hint="eastAsia" w:cs="宋体"/>
                <w:color w:val="auto"/>
                <w:sz w:val="24"/>
                <w:szCs w:val="24"/>
                <w:highlight w:val="none"/>
                <w:lang w:val="en-US" w:eastAsia="zh-CN"/>
              </w:rPr>
              <w:t xml:space="preserve">    （4）废活性炭</w:t>
            </w:r>
            <w:r>
              <w:rPr>
                <w:rFonts w:hint="eastAsia" w:cs="宋体"/>
                <w:color w:val="auto"/>
                <w:sz w:val="24"/>
                <w:szCs w:val="24"/>
                <w:highlight w:val="none"/>
                <w:lang w:val="en-US" w:eastAsia="zh-CN"/>
              </w:rPr>
              <w:br w:type="textWrapping"/>
            </w:r>
            <w:r>
              <w:rPr>
                <w:rFonts w:hint="eastAsia" w:cs="宋体"/>
                <w:color w:val="auto"/>
                <w:sz w:val="24"/>
                <w:szCs w:val="24"/>
                <w:highlight w:val="none"/>
                <w:lang w:val="en-US" w:eastAsia="zh-CN"/>
              </w:rPr>
              <w:t xml:space="preserve">    本项目有机废气采用活性炭吸附/脱附催化燃烧装置进行处理，活性炭吸附装置设置4个活性炭吸附床（单个吸附床外形规格参考尺寸 1200*1200*900mm），根据设计单个吸附床中含约 0.4t 活性炭，该装置需定期更换活性炭，每年更换一次。折算后废活性炭产生量为1.6t/a。根据《国家危险废物名录》（2021 年版）中规定，废活性炭属于危险废物，废物类别为 HW49其他废物，危废代码 900-039-49，集中收集后暂存危废间，定期交由有资质单位处置。</w:t>
            </w:r>
            <w:r>
              <w:rPr>
                <w:rFonts w:hint="eastAsia" w:cs="宋体"/>
                <w:color w:val="auto"/>
                <w:sz w:val="24"/>
                <w:szCs w:val="24"/>
                <w:highlight w:val="none"/>
                <w:lang w:val="en-US" w:eastAsia="zh-CN"/>
              </w:rPr>
              <w:br w:type="textWrapping"/>
            </w:r>
            <w:r>
              <w:rPr>
                <w:rFonts w:hint="eastAsia" w:cs="宋体"/>
                <w:color w:val="auto"/>
                <w:sz w:val="24"/>
                <w:szCs w:val="24"/>
                <w:highlight w:val="none"/>
                <w:lang w:val="en-US" w:eastAsia="zh-CN"/>
              </w:rPr>
              <w:t xml:space="preserve">    （5）废催化剂</w:t>
            </w:r>
            <w:r>
              <w:rPr>
                <w:rFonts w:hint="eastAsia" w:cs="宋体"/>
                <w:color w:val="auto"/>
                <w:sz w:val="24"/>
                <w:szCs w:val="24"/>
                <w:highlight w:val="none"/>
                <w:lang w:val="en-US" w:eastAsia="zh-CN"/>
              </w:rPr>
              <w:br w:type="textWrapping"/>
            </w:r>
            <w:r>
              <w:rPr>
                <w:rFonts w:hint="eastAsia" w:cs="宋体"/>
                <w:color w:val="auto"/>
                <w:sz w:val="24"/>
                <w:szCs w:val="24"/>
                <w:highlight w:val="none"/>
                <w:lang w:val="en-US" w:eastAsia="zh-CN"/>
              </w:rPr>
              <w:t xml:space="preserve">    </w:t>
            </w:r>
            <w:r>
              <w:rPr>
                <w:rFonts w:hint="default" w:ascii="Times New Roman" w:hAnsi="Times New Roman" w:eastAsia="宋体" w:cs="宋体"/>
                <w:color w:val="auto"/>
                <w:sz w:val="24"/>
                <w:szCs w:val="24"/>
                <w:highlight w:val="none"/>
                <w:lang w:val="en-US" w:eastAsia="zh-CN"/>
              </w:rPr>
              <w:t>本</w:t>
            </w:r>
            <w:r>
              <w:rPr>
                <w:rFonts w:hint="eastAsia" w:ascii="Times New Roman" w:hAnsi="Times New Roman" w:eastAsia="宋体" w:cs="宋体"/>
                <w:color w:val="auto"/>
                <w:sz w:val="24"/>
                <w:szCs w:val="24"/>
                <w:highlight w:val="none"/>
                <w:lang w:val="en-US" w:eastAsia="zh-CN"/>
              </w:rPr>
              <w:t>项目产生的废气采用活性炭吸附/脱附催化燃烧装置进行处理，其中催化燃烧</w:t>
            </w:r>
            <w:r>
              <w:rPr>
                <w:rFonts w:hint="default" w:ascii="Times New Roman" w:hAnsi="Times New Roman" w:eastAsia="宋体" w:cs="宋体"/>
                <w:color w:val="auto"/>
                <w:sz w:val="24"/>
                <w:szCs w:val="24"/>
                <w:highlight w:val="none"/>
                <w:lang w:val="en-US" w:eastAsia="zh-CN"/>
              </w:rPr>
              <w:t>设备中催化剂一般三到四年需要更换一次。本项目共设置1套催化燃烧装置，催化剂设计体积为2m</w:t>
            </w:r>
            <w:r>
              <w:rPr>
                <w:rFonts w:hint="default" w:ascii="Times New Roman" w:hAnsi="Times New Roman" w:eastAsia="宋体" w:cs="宋体"/>
                <w:color w:val="auto"/>
                <w:sz w:val="24"/>
                <w:szCs w:val="24"/>
                <w:highlight w:val="none"/>
                <w:vertAlign w:val="superscript"/>
                <w:lang w:val="en-US" w:eastAsia="zh-CN"/>
              </w:rPr>
              <w:t>3</w:t>
            </w:r>
            <w:r>
              <w:rPr>
                <w:rFonts w:hint="default" w:ascii="Times New Roman" w:hAnsi="Times New Roman" w:eastAsia="宋体" w:cs="宋体"/>
                <w:color w:val="auto"/>
                <w:sz w:val="24"/>
                <w:szCs w:val="24"/>
                <w:highlight w:val="none"/>
                <w:lang w:val="en-US" w:eastAsia="zh-CN"/>
              </w:rPr>
              <w:t>（0.03 吨），设计更换年限为3 年，则废催化剂产生量为 2m</w:t>
            </w:r>
            <w:r>
              <w:rPr>
                <w:rFonts w:hint="default" w:ascii="Times New Roman" w:hAnsi="Times New Roman" w:eastAsia="宋体" w:cs="宋体"/>
                <w:color w:val="auto"/>
                <w:sz w:val="24"/>
                <w:szCs w:val="24"/>
                <w:highlight w:val="none"/>
                <w:vertAlign w:val="superscript"/>
                <w:lang w:val="en-US" w:eastAsia="zh-CN"/>
              </w:rPr>
              <w:t>3</w:t>
            </w:r>
            <w:r>
              <w:rPr>
                <w:rFonts w:hint="default" w:ascii="Times New Roman" w:hAnsi="Times New Roman" w:eastAsia="宋体" w:cs="宋体"/>
                <w:color w:val="auto"/>
                <w:sz w:val="24"/>
                <w:szCs w:val="24"/>
                <w:highlight w:val="none"/>
                <w:lang w:val="en-US" w:eastAsia="zh-CN"/>
              </w:rPr>
              <w:t xml:space="preserve"> /3a（0.03t/3a），折算为 0.01t/a。对照《国家危险废物名录》（2021 年版），废催化剂属于危险废物，危废编号：HW49 其他废物；900-041-49，集中收集后暂存危废间，定期交由有资质单位处置。</w:t>
            </w:r>
            <w:r>
              <w:rPr>
                <w:rFonts w:hint="default" w:ascii="Times New Roman" w:hAnsi="Times New Roman" w:eastAsia="宋体" w:cs="宋体"/>
                <w:color w:val="auto"/>
                <w:sz w:val="24"/>
                <w:szCs w:val="24"/>
                <w:highlight w:val="none"/>
                <w:lang w:val="en-US" w:eastAsia="zh-CN"/>
              </w:rPr>
              <w:br w:type="textWrapping"/>
            </w:r>
            <w:r>
              <w:rPr>
                <w:rFonts w:hint="eastAsia" w:cs="宋体"/>
                <w:color w:val="auto"/>
                <w:sz w:val="24"/>
                <w:szCs w:val="24"/>
                <w:highlight w:val="none"/>
                <w:lang w:val="en-US" w:eastAsia="zh-CN"/>
              </w:rPr>
              <w:t xml:space="preserve">    （6）废机油</w:t>
            </w:r>
            <w:r>
              <w:rPr>
                <w:rFonts w:hint="eastAsia" w:cs="宋体"/>
                <w:color w:val="auto"/>
                <w:sz w:val="24"/>
                <w:szCs w:val="24"/>
                <w:highlight w:val="none"/>
                <w:lang w:val="en-US" w:eastAsia="zh-CN"/>
              </w:rPr>
              <w:br w:type="textWrapping"/>
            </w:r>
            <w:r>
              <w:rPr>
                <w:rFonts w:hint="eastAsia" w:cs="宋体"/>
                <w:color w:val="auto"/>
                <w:sz w:val="24"/>
                <w:szCs w:val="24"/>
                <w:highlight w:val="none"/>
                <w:lang w:val="en-US" w:eastAsia="zh-CN"/>
              </w:rPr>
              <w:t xml:space="preserve">    项目生产设别维护时会产生少量废机油，废机油产生量约为0.02t/a。对照《国家危险废物名录（2021年版）》（部令第15号，2021年01月01日实施），废机油属于危险废物，废物类别为HW08废矿物油与含废矿物油废物，废物代码为900-214-08。废机油经收集后放入专用的储存桶内暂存于车间内危险废物暂存库内，委托具有危险废物处理资质单位处置。</w:t>
            </w:r>
          </w:p>
          <w:p>
            <w:pPr>
              <w:spacing w:line="360" w:lineRule="auto"/>
              <w:ind w:firstLine="480" w:firstLineChars="200"/>
              <w:rPr>
                <w:rFonts w:hint="eastAsia" w:cs="宋体"/>
                <w:color w:val="auto"/>
                <w:sz w:val="24"/>
                <w:szCs w:val="24"/>
                <w:highlight w:val="none"/>
                <w:lang w:val="en-US" w:eastAsia="zh-CN"/>
              </w:rPr>
            </w:pPr>
            <w:r>
              <w:rPr>
                <w:rFonts w:hint="eastAsia" w:cs="宋体"/>
                <w:color w:val="auto"/>
                <w:sz w:val="24"/>
                <w:szCs w:val="24"/>
                <w:highlight w:val="none"/>
                <w:lang w:val="en-US" w:eastAsia="zh-CN"/>
              </w:rPr>
              <w:t>（7）废切削液</w:t>
            </w:r>
          </w:p>
          <w:p>
            <w:pPr>
              <w:spacing w:line="360" w:lineRule="auto"/>
              <w:ind w:firstLine="480" w:firstLineChars="200"/>
              <w:rPr>
                <w:rFonts w:hint="eastAsia" w:cs="宋体"/>
                <w:color w:val="auto"/>
                <w:sz w:val="24"/>
                <w:szCs w:val="24"/>
                <w:highlight w:val="none"/>
                <w:lang w:val="en-US" w:eastAsia="zh-CN"/>
              </w:rPr>
            </w:pPr>
            <w:r>
              <w:rPr>
                <w:rFonts w:hint="eastAsia" w:cs="宋体"/>
                <w:color w:val="auto"/>
                <w:sz w:val="24"/>
                <w:szCs w:val="24"/>
                <w:highlight w:val="none"/>
                <w:lang w:val="en-US" w:eastAsia="zh-CN"/>
              </w:rPr>
              <w:t>切削液是一种用在金属切削、磨加工过程中，用来冷却和润滑刀具和加工件的工业用液体，废切削液的产生量约为0.02t/a。对照《国家危险废物名录（2021年版）》（部令第15号，2021年01月01日实施），废切削液属于危险废物，废物类别为HW09油/水、烃/水混合物或乳化液，废物代码为900-006-09。废切削液经收集后放入专用的储存桶内暂存于车间内危险废物暂存库内，委托具有危险废物处理资质单位处置。</w:t>
            </w:r>
          </w:p>
          <w:p>
            <w:pPr>
              <w:spacing w:line="360" w:lineRule="auto"/>
              <w:ind w:firstLine="480" w:firstLineChars="200"/>
              <w:rPr>
                <w:rFonts w:hint="eastAsia" w:cs="宋体"/>
                <w:color w:val="auto"/>
                <w:sz w:val="24"/>
                <w:szCs w:val="24"/>
                <w:highlight w:val="none"/>
                <w:lang w:val="en-US" w:eastAsia="zh-CN"/>
              </w:rPr>
            </w:pPr>
            <w:r>
              <w:rPr>
                <w:rFonts w:hint="eastAsia" w:cs="宋体"/>
                <w:color w:val="auto"/>
                <w:sz w:val="24"/>
                <w:szCs w:val="24"/>
                <w:highlight w:val="none"/>
                <w:lang w:val="en-US" w:eastAsia="zh-CN"/>
              </w:rPr>
              <w:t>（8）废油桶</w:t>
            </w:r>
          </w:p>
          <w:p>
            <w:pPr>
              <w:spacing w:line="360" w:lineRule="auto"/>
              <w:ind w:firstLine="480" w:firstLineChars="200"/>
              <w:rPr>
                <w:rFonts w:hint="eastAsia" w:cs="宋体"/>
                <w:color w:val="auto"/>
                <w:sz w:val="24"/>
                <w:szCs w:val="24"/>
                <w:highlight w:val="none"/>
                <w:lang w:val="en-US" w:eastAsia="zh-CN"/>
              </w:rPr>
            </w:pPr>
            <w:r>
              <w:rPr>
                <w:rFonts w:hint="eastAsia" w:cs="宋体"/>
                <w:color w:val="auto"/>
                <w:sz w:val="24"/>
                <w:szCs w:val="24"/>
                <w:highlight w:val="none"/>
                <w:lang w:val="en-US" w:eastAsia="zh-CN"/>
              </w:rPr>
              <w:t>废油桶产生量约0.01t/a，对照《国家危险废物名录（2021年版）》（部令第15号，2021年01月01日实施），废油桶属于危险废物，废物类别为HW49其他废物，废物代码为900-041-49，废油桶收集后委托具有危险废物处理资质单位处置。</w:t>
            </w:r>
          </w:p>
          <w:p>
            <w:pPr>
              <w:spacing w:line="360" w:lineRule="auto"/>
              <w:ind w:left="719" w:leftChars="228" w:hanging="240" w:hangingChars="100"/>
              <w:rPr>
                <w:rFonts w:hint="eastAsia"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（9）废含油抹布</w:t>
            </w:r>
          </w:p>
          <w:p>
            <w:pPr>
              <w:spacing w:line="360" w:lineRule="auto"/>
              <w:ind w:firstLine="480" w:firstLineChars="200"/>
              <w:rPr>
                <w:rFonts w:hint="eastAsia" w:cs="宋体"/>
                <w:color w:val="auto"/>
                <w:sz w:val="24"/>
                <w:szCs w:val="24"/>
                <w:highlight w:val="none"/>
                <w:lang w:val="en-US" w:eastAsia="zh-CN"/>
              </w:rPr>
            </w:pPr>
            <w:r>
              <w:rPr>
                <w:rFonts w:hint="eastAsia" w:cs="宋体"/>
                <w:color w:val="auto"/>
                <w:sz w:val="24"/>
                <w:szCs w:val="24"/>
                <w:highlight w:val="none"/>
                <w:lang w:val="en-US" w:eastAsia="zh-CN"/>
              </w:rPr>
              <w:t>在维修设备等过程中会产生一定量的废弃含油抹布、劳保用品，根据估算，项目废含油抹布、劳保用品产生总量约为0.01t/a。对照《国家危险废物名录（2021年版）》（部令第15号，2021年01月01日实施），废弃含油抹布、劳保用品属于危险废物，废物类别为HW49其他废物，废物代码为900-041-49，委托具有危险废物处理资质单位处置。</w:t>
            </w:r>
          </w:p>
          <w:p>
            <w:pPr>
              <w:pStyle w:val="4"/>
              <w:spacing w:after="0" w:line="360" w:lineRule="auto"/>
              <w:ind w:left="0" w:leftChars="0" w:firstLine="480" w:firstLineChars="200"/>
              <w:jc w:val="left"/>
              <w:rPr>
                <w:color w:val="auto"/>
                <w:highlight w:val="none"/>
              </w:rPr>
            </w:pPr>
            <w:r>
              <w:rPr>
                <w:rFonts w:hint="eastAsia" w:ascii="Times New Roman" w:hAnsi="Times New Roman" w:eastAsia="宋体" w:cs="宋体"/>
                <w:color w:val="auto"/>
                <w:kern w:val="2"/>
                <w:sz w:val="24"/>
                <w:szCs w:val="24"/>
                <w:highlight w:val="none"/>
                <w:lang w:val="en-US" w:eastAsia="zh-CN" w:bidi="ar-SA"/>
              </w:rPr>
              <w:t>（10）</w:t>
            </w:r>
            <w:r>
              <w:rPr>
                <w:rFonts w:hint="eastAsia" w:cs="宋体"/>
                <w:color w:val="auto"/>
                <w:highlight w:val="none"/>
              </w:rPr>
              <w:t>生活垃圾</w:t>
            </w:r>
          </w:p>
          <w:p>
            <w:pPr>
              <w:spacing w:line="360" w:lineRule="auto"/>
              <w:ind w:firstLine="480" w:firstLineChars="200"/>
              <w:rPr>
                <w:color w:val="auto"/>
                <w:sz w:val="24"/>
                <w:szCs w:val="24"/>
                <w:highlight w:val="none"/>
              </w:rPr>
            </w:pPr>
            <w:r>
              <w:rPr>
                <w:rFonts w:hint="eastAsia" w:cs="宋体"/>
                <w:color w:val="auto"/>
                <w:sz w:val="24"/>
                <w:szCs w:val="24"/>
                <w:highlight w:val="none"/>
              </w:rPr>
              <w:t>本项目劳动人员</w:t>
            </w:r>
            <w:r>
              <w:rPr>
                <w:rFonts w:hint="eastAsia"/>
                <w:color w:val="auto"/>
                <w:sz w:val="24"/>
                <w:szCs w:val="24"/>
                <w:highlight w:val="none"/>
                <w:lang w:val="en-US" w:eastAsia="zh-CN"/>
              </w:rPr>
              <w:t>2</w:t>
            </w:r>
            <w:r>
              <w:rPr>
                <w:color w:val="auto"/>
                <w:sz w:val="24"/>
                <w:szCs w:val="24"/>
                <w:highlight w:val="none"/>
              </w:rPr>
              <w:t>0</w:t>
            </w:r>
            <w:r>
              <w:rPr>
                <w:rFonts w:hint="eastAsia" w:cs="宋体"/>
                <w:color w:val="auto"/>
                <w:sz w:val="24"/>
                <w:szCs w:val="24"/>
                <w:highlight w:val="none"/>
              </w:rPr>
              <w:t>人，生活垃圾产生量按</w:t>
            </w:r>
            <w:r>
              <w:rPr>
                <w:color w:val="auto"/>
                <w:sz w:val="24"/>
                <w:szCs w:val="24"/>
                <w:highlight w:val="none"/>
              </w:rPr>
              <w:t>1.0kg/</w:t>
            </w:r>
            <w:r>
              <w:rPr>
                <w:rFonts w:hint="eastAsia" w:cs="宋体"/>
                <w:color w:val="auto"/>
                <w:sz w:val="24"/>
                <w:szCs w:val="24"/>
                <w:highlight w:val="none"/>
              </w:rPr>
              <w:t>人</w:t>
            </w:r>
            <w:r>
              <w:rPr>
                <w:color w:val="auto"/>
                <w:sz w:val="24"/>
                <w:szCs w:val="24"/>
                <w:highlight w:val="none"/>
              </w:rPr>
              <w:t>·</w:t>
            </w:r>
            <w:r>
              <w:rPr>
                <w:rFonts w:hint="eastAsia" w:cs="宋体"/>
                <w:color w:val="auto"/>
                <w:sz w:val="24"/>
                <w:szCs w:val="24"/>
                <w:highlight w:val="none"/>
              </w:rPr>
              <w:t>天计，为</w:t>
            </w:r>
            <w:r>
              <w:rPr>
                <w:color w:val="auto"/>
                <w:sz w:val="24"/>
                <w:szCs w:val="24"/>
                <w:highlight w:val="none"/>
              </w:rPr>
              <w:t>0.0</w:t>
            </w:r>
            <w:r>
              <w:rPr>
                <w:rFonts w:hint="eastAsia"/>
                <w:color w:val="auto"/>
                <w:sz w:val="24"/>
                <w:szCs w:val="24"/>
                <w:highlight w:val="none"/>
                <w:lang w:val="en-US" w:eastAsia="zh-CN"/>
              </w:rPr>
              <w:t>2</w:t>
            </w:r>
            <w:r>
              <w:rPr>
                <w:color w:val="auto"/>
                <w:sz w:val="24"/>
                <w:szCs w:val="24"/>
                <w:highlight w:val="none"/>
              </w:rPr>
              <w:t>t/d</w:t>
            </w:r>
            <w:r>
              <w:rPr>
                <w:rFonts w:hint="eastAsia" w:cs="宋体"/>
                <w:color w:val="auto"/>
                <w:sz w:val="24"/>
                <w:szCs w:val="24"/>
                <w:highlight w:val="none"/>
              </w:rPr>
              <w:t>（</w:t>
            </w:r>
            <w:r>
              <w:rPr>
                <w:rFonts w:hint="eastAsia" w:cs="宋体"/>
                <w:color w:val="auto"/>
                <w:sz w:val="24"/>
                <w:szCs w:val="24"/>
                <w:highlight w:val="none"/>
                <w:lang w:val="en-US" w:eastAsia="zh-CN"/>
              </w:rPr>
              <w:t>6</w:t>
            </w:r>
            <w:r>
              <w:rPr>
                <w:color w:val="auto"/>
                <w:sz w:val="24"/>
                <w:szCs w:val="24"/>
                <w:highlight w:val="none"/>
              </w:rPr>
              <w:t>t/a</w:t>
            </w:r>
            <w:r>
              <w:rPr>
                <w:rFonts w:hint="eastAsia" w:cs="宋体"/>
                <w:color w:val="auto"/>
                <w:sz w:val="24"/>
                <w:szCs w:val="24"/>
                <w:highlight w:val="none"/>
              </w:rPr>
              <w:t>），收集后交环卫部门处置。</w:t>
            </w:r>
          </w:p>
          <w:p>
            <w:pPr>
              <w:spacing w:line="360" w:lineRule="auto"/>
              <w:jc w:val="center"/>
              <w:rPr>
                <w:color w:val="auto"/>
                <w:sz w:val="24"/>
                <w:szCs w:val="24"/>
                <w:highlight w:val="none"/>
              </w:rPr>
            </w:pPr>
            <w:r>
              <w:rPr>
                <w:rFonts w:hint="eastAsia" w:cs="宋体"/>
                <w:color w:val="auto"/>
                <w:sz w:val="22"/>
                <w:szCs w:val="22"/>
                <w:highlight w:val="none"/>
              </w:rPr>
              <w:t>表</w:t>
            </w:r>
            <w:r>
              <w:rPr>
                <w:color w:val="auto"/>
                <w:sz w:val="22"/>
                <w:szCs w:val="22"/>
                <w:highlight w:val="none"/>
              </w:rPr>
              <w:t xml:space="preserve">4-13  </w:t>
            </w:r>
            <w:r>
              <w:rPr>
                <w:rFonts w:hint="eastAsia" w:cs="宋体"/>
                <w:color w:val="auto"/>
                <w:sz w:val="22"/>
                <w:szCs w:val="22"/>
                <w:highlight w:val="none"/>
              </w:rPr>
              <w:t>固体废物产生及处理处置情况一览表</w:t>
            </w:r>
          </w:p>
          <w:tbl>
            <w:tblPr>
              <w:tblStyle w:val="36"/>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400"/>
              <w:gridCol w:w="1173"/>
              <w:gridCol w:w="774"/>
              <w:gridCol w:w="1293"/>
              <w:gridCol w:w="1147"/>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序号</w:t>
                  </w:r>
                </w:p>
              </w:tc>
              <w:tc>
                <w:tcPr>
                  <w:tcW w:w="1400"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固废名称</w:t>
                  </w:r>
                </w:p>
              </w:tc>
              <w:tc>
                <w:tcPr>
                  <w:tcW w:w="117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属性</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性状</w:t>
                  </w:r>
                </w:p>
              </w:tc>
              <w:tc>
                <w:tcPr>
                  <w:tcW w:w="129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废物代码</w:t>
                  </w:r>
                </w:p>
              </w:tc>
              <w:tc>
                <w:tcPr>
                  <w:tcW w:w="114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 w:val="22"/>
                      <w:szCs w:val="22"/>
                      <w:highlight w:val="none"/>
                      <w:lang w:eastAsia="zh-CN"/>
                    </w:rPr>
                  </w:pPr>
                  <w:r>
                    <w:rPr>
                      <w:rFonts w:hint="eastAsia" w:cs="宋体"/>
                      <w:color w:val="auto"/>
                      <w:sz w:val="22"/>
                      <w:szCs w:val="22"/>
                      <w:highlight w:val="none"/>
                      <w:lang w:eastAsia="zh-CN"/>
                    </w:rPr>
                    <w:t>年</w:t>
                  </w:r>
                  <w:r>
                    <w:rPr>
                      <w:rFonts w:hint="eastAsia" w:cs="宋体"/>
                      <w:color w:val="auto"/>
                      <w:sz w:val="22"/>
                      <w:szCs w:val="22"/>
                      <w:highlight w:val="none"/>
                    </w:rPr>
                    <w:t>产生量</w:t>
                  </w:r>
                  <w:r>
                    <w:rPr>
                      <w:rFonts w:hint="eastAsia" w:cs="宋体"/>
                      <w:color w:val="auto"/>
                      <w:sz w:val="22"/>
                      <w:szCs w:val="22"/>
                      <w:highlight w:val="none"/>
                      <w:lang w:eastAsia="zh-CN"/>
                    </w:rPr>
                    <w:t>（</w:t>
                  </w:r>
                  <w:r>
                    <w:rPr>
                      <w:rFonts w:hint="eastAsia" w:cs="宋体"/>
                      <w:color w:val="auto"/>
                      <w:sz w:val="22"/>
                      <w:szCs w:val="22"/>
                      <w:highlight w:val="none"/>
                      <w:lang w:val="en-US" w:eastAsia="zh-CN"/>
                    </w:rPr>
                    <w:t>t/a</w:t>
                  </w:r>
                  <w:r>
                    <w:rPr>
                      <w:rFonts w:hint="eastAsia" w:cs="宋体"/>
                      <w:color w:val="auto"/>
                      <w:sz w:val="22"/>
                      <w:szCs w:val="22"/>
                      <w:highlight w:val="none"/>
                      <w:lang w:eastAsia="zh-CN"/>
                    </w:rPr>
                    <w:t>）</w:t>
                  </w:r>
                </w:p>
              </w:tc>
              <w:tc>
                <w:tcPr>
                  <w:tcW w:w="1540"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1</w:t>
                  </w:r>
                </w:p>
              </w:tc>
              <w:tc>
                <w:tcPr>
                  <w:tcW w:w="14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废包装袋</w:t>
                  </w:r>
                </w:p>
              </w:tc>
              <w:tc>
                <w:tcPr>
                  <w:tcW w:w="11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一般固废</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固态</w:t>
                  </w:r>
                </w:p>
              </w:tc>
              <w:tc>
                <w:tcPr>
                  <w:tcW w:w="12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900-999-66</w:t>
                  </w:r>
                </w:p>
              </w:tc>
              <w:tc>
                <w:tcPr>
                  <w:tcW w:w="114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宋体"/>
                      <w:color w:val="auto"/>
                      <w:highlight w:val="none"/>
                      <w:lang w:val="en-US" w:eastAsia="zh-CN"/>
                    </w:rPr>
                  </w:pPr>
                  <w:r>
                    <w:rPr>
                      <w:rFonts w:hint="eastAsia" w:cs="宋体"/>
                      <w:color w:val="auto"/>
                      <w:highlight w:val="none"/>
                      <w:lang w:val="en-US" w:eastAsia="zh-CN"/>
                    </w:rPr>
                    <w:t>1.5</w:t>
                  </w:r>
                </w:p>
              </w:tc>
              <w:tc>
                <w:tcPr>
                  <w:tcW w:w="1540" w:type="dxa"/>
                  <w:tcBorders>
                    <w:top w:val="single" w:color="auto" w:sz="4" w:space="0"/>
                    <w:left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集中收集后外售物资回收部门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2</w:t>
                  </w:r>
                </w:p>
              </w:tc>
              <w:tc>
                <w:tcPr>
                  <w:tcW w:w="14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不合格品</w:t>
                  </w:r>
                </w:p>
              </w:tc>
              <w:tc>
                <w:tcPr>
                  <w:tcW w:w="11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一般固废</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固态</w:t>
                  </w:r>
                </w:p>
              </w:tc>
              <w:tc>
                <w:tcPr>
                  <w:tcW w:w="12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900-999-66</w:t>
                  </w:r>
                </w:p>
              </w:tc>
              <w:tc>
                <w:tcPr>
                  <w:tcW w:w="114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宋体"/>
                      <w:color w:val="auto"/>
                      <w:highlight w:val="none"/>
                      <w:lang w:val="en-US" w:eastAsia="zh-CN"/>
                    </w:rPr>
                  </w:pPr>
                  <w:r>
                    <w:rPr>
                      <w:rFonts w:hint="eastAsia" w:cs="宋体"/>
                      <w:color w:val="auto"/>
                      <w:highlight w:val="none"/>
                      <w:lang w:val="en-US" w:eastAsia="zh-CN"/>
                    </w:rPr>
                    <w:t>20</w:t>
                  </w:r>
                </w:p>
              </w:tc>
              <w:tc>
                <w:tcPr>
                  <w:tcW w:w="1540" w:type="dxa"/>
                  <w:tcBorders>
                    <w:left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宋体"/>
                      <w:color w:val="auto"/>
                      <w:highlight w:val="none"/>
                      <w:lang w:val="en-US" w:eastAsia="zh-CN"/>
                    </w:rPr>
                  </w:pPr>
                  <w:r>
                    <w:rPr>
                      <w:rFonts w:hint="eastAsia" w:cs="宋体"/>
                      <w:color w:val="auto"/>
                      <w:highlight w:val="none"/>
                      <w:lang w:val="en-US" w:eastAsia="zh-CN"/>
                    </w:rPr>
                    <w:t>3</w:t>
                  </w:r>
                </w:p>
              </w:tc>
              <w:tc>
                <w:tcPr>
                  <w:tcW w:w="14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highlight w:val="none"/>
                      <w:lang w:val="en-US" w:eastAsia="zh-CN"/>
                    </w:rPr>
                    <w:t>除尘器收集的粉尘</w:t>
                  </w:r>
                </w:p>
              </w:tc>
              <w:tc>
                <w:tcPr>
                  <w:tcW w:w="11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一般固废</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固态</w:t>
                  </w:r>
                </w:p>
              </w:tc>
              <w:tc>
                <w:tcPr>
                  <w:tcW w:w="12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eastAsia="宋体" w:cs="宋体"/>
                      <w:color w:val="auto"/>
                      <w:sz w:val="22"/>
                      <w:szCs w:val="22"/>
                      <w:lang w:val="en-US" w:eastAsia="zh-CN"/>
                    </w:rPr>
                    <w:t>060-001-66</w:t>
                  </w:r>
                </w:p>
              </w:tc>
              <w:tc>
                <w:tcPr>
                  <w:tcW w:w="1147" w:type="dxa"/>
                  <w:tcBorders>
                    <w:top w:val="single" w:color="auto" w:sz="4" w:space="0"/>
                    <w:left w:val="single" w:color="auto" w:sz="4" w:space="0"/>
                    <w:bottom w:val="single" w:color="auto" w:sz="4" w:space="0"/>
                    <w:right w:val="single" w:color="auto" w:sz="4" w:space="0"/>
                  </w:tcBorders>
                  <w:vAlign w:val="center"/>
                </w:tcPr>
                <w:p>
                  <w:pPr>
                    <w:jc w:val="center"/>
                    <w:rPr>
                      <w:rFonts w:hint="default" w:cs="宋体"/>
                      <w:color w:val="auto"/>
                      <w:highlight w:val="none"/>
                      <w:lang w:val="en-US" w:eastAsia="zh-CN"/>
                    </w:rPr>
                  </w:pPr>
                  <w:r>
                    <w:rPr>
                      <w:rFonts w:hint="eastAsia" w:cs="宋体"/>
                      <w:color w:val="auto"/>
                      <w:highlight w:val="none"/>
                      <w:lang w:val="en-US" w:eastAsia="zh-CN"/>
                    </w:rPr>
                    <w:t>1.894</w:t>
                  </w:r>
                </w:p>
              </w:tc>
              <w:tc>
                <w:tcPr>
                  <w:tcW w:w="1540" w:type="dxa"/>
                  <w:tcBorders>
                    <w:left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集中收集后外售物资回收部门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宋体"/>
                      <w:color w:val="auto"/>
                      <w:highlight w:val="none"/>
                      <w:lang w:val="en-US" w:eastAsia="zh-CN"/>
                    </w:rPr>
                  </w:pPr>
                  <w:r>
                    <w:rPr>
                      <w:rFonts w:hint="eastAsia" w:cs="宋体"/>
                      <w:color w:val="auto"/>
                      <w:highlight w:val="none"/>
                      <w:lang w:val="en-US" w:eastAsia="zh-CN"/>
                    </w:rPr>
                    <w:t>4</w:t>
                  </w:r>
                </w:p>
              </w:tc>
              <w:tc>
                <w:tcPr>
                  <w:tcW w:w="14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highlight w:val="none"/>
                      <w:lang w:val="en-US" w:eastAsia="zh-CN"/>
                    </w:rPr>
                    <w:t>废活性炭</w:t>
                  </w:r>
                </w:p>
              </w:tc>
              <w:tc>
                <w:tcPr>
                  <w:tcW w:w="11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highlight w:val="none"/>
                      <w:lang w:val="en-US" w:eastAsia="zh-CN"/>
                    </w:rPr>
                    <w:t>危险废物</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固态</w:t>
                  </w:r>
                </w:p>
              </w:tc>
              <w:tc>
                <w:tcPr>
                  <w:tcW w:w="12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900-039-49</w:t>
                  </w:r>
                </w:p>
              </w:tc>
              <w:tc>
                <w:tcPr>
                  <w:tcW w:w="1147" w:type="dxa"/>
                  <w:tcBorders>
                    <w:top w:val="single" w:color="auto" w:sz="4" w:space="0"/>
                    <w:left w:val="single" w:color="auto" w:sz="4" w:space="0"/>
                    <w:bottom w:val="single" w:color="auto" w:sz="4" w:space="0"/>
                    <w:right w:val="single" w:color="auto" w:sz="4" w:space="0"/>
                  </w:tcBorders>
                  <w:vAlign w:val="center"/>
                </w:tcPr>
                <w:p>
                  <w:pPr>
                    <w:jc w:val="center"/>
                    <w:rPr>
                      <w:rFonts w:hint="default" w:cs="宋体"/>
                      <w:color w:val="auto"/>
                      <w:highlight w:val="none"/>
                      <w:lang w:val="en-US" w:eastAsia="zh-CN"/>
                    </w:rPr>
                  </w:pPr>
                  <w:r>
                    <w:rPr>
                      <w:rFonts w:hint="eastAsia" w:cs="宋体"/>
                      <w:color w:val="auto"/>
                      <w:highlight w:val="none"/>
                      <w:lang w:val="en-US" w:eastAsia="zh-CN"/>
                    </w:rPr>
                    <w:t>1.6</w:t>
                  </w:r>
                </w:p>
              </w:tc>
              <w:tc>
                <w:tcPr>
                  <w:tcW w:w="1540"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cs="宋体"/>
                      <w:color w:val="auto"/>
                      <w:highlight w:val="none"/>
                      <w:lang w:val="en-US" w:eastAsia="zh-CN"/>
                    </w:rPr>
                  </w:pPr>
                  <w:r>
                    <w:rPr>
                      <w:rFonts w:hint="eastAsia" w:ascii="Times New Roman" w:hAnsi="Times New Roman" w:eastAsia="宋体" w:cs="宋体"/>
                      <w:color w:val="auto"/>
                      <w:sz w:val="22"/>
                      <w:szCs w:val="22"/>
                      <w:lang w:val="en-US" w:eastAsia="zh-CN"/>
                    </w:rPr>
                    <w:t>集中收集后暂存危废间，定期交由有资质单位处置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宋体"/>
                      <w:color w:val="auto"/>
                      <w:highlight w:val="none"/>
                      <w:lang w:val="en-US" w:eastAsia="zh-CN"/>
                    </w:rPr>
                  </w:pPr>
                  <w:r>
                    <w:rPr>
                      <w:rFonts w:hint="eastAsia" w:cs="宋体"/>
                      <w:color w:val="auto"/>
                      <w:highlight w:val="none"/>
                      <w:lang w:val="en-US" w:eastAsia="zh-CN"/>
                    </w:rPr>
                    <w:t>5</w:t>
                  </w:r>
                </w:p>
              </w:tc>
              <w:tc>
                <w:tcPr>
                  <w:tcW w:w="14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highlight w:val="none"/>
                      <w:lang w:val="en-US" w:eastAsia="zh-CN"/>
                    </w:rPr>
                    <w:t>废催化剂</w:t>
                  </w:r>
                </w:p>
              </w:tc>
              <w:tc>
                <w:tcPr>
                  <w:tcW w:w="11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highlight w:val="none"/>
                      <w:lang w:val="en-US" w:eastAsia="zh-CN"/>
                    </w:rPr>
                    <w:t>危险废物</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固态</w:t>
                  </w:r>
                </w:p>
              </w:tc>
              <w:tc>
                <w:tcPr>
                  <w:tcW w:w="12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900-041-49</w:t>
                  </w:r>
                </w:p>
              </w:tc>
              <w:tc>
                <w:tcPr>
                  <w:tcW w:w="1147" w:type="dxa"/>
                  <w:tcBorders>
                    <w:top w:val="single" w:color="auto" w:sz="4" w:space="0"/>
                    <w:left w:val="single" w:color="auto" w:sz="4" w:space="0"/>
                    <w:bottom w:val="single" w:color="auto" w:sz="4" w:space="0"/>
                    <w:right w:val="single" w:color="auto" w:sz="4" w:space="0"/>
                  </w:tcBorders>
                  <w:vAlign w:val="center"/>
                </w:tcPr>
                <w:p>
                  <w:pPr>
                    <w:jc w:val="center"/>
                    <w:rPr>
                      <w:rFonts w:hint="default" w:cs="宋体"/>
                      <w:color w:val="auto"/>
                      <w:highlight w:val="none"/>
                      <w:lang w:val="en-US" w:eastAsia="zh-CN"/>
                    </w:rPr>
                  </w:pPr>
                  <w:r>
                    <w:rPr>
                      <w:rFonts w:hint="eastAsia" w:cs="宋体"/>
                      <w:color w:val="auto"/>
                      <w:highlight w:val="none"/>
                      <w:lang w:val="en-US" w:eastAsia="zh-CN"/>
                    </w:rPr>
                    <w:t>0.01</w:t>
                  </w:r>
                </w:p>
              </w:tc>
              <w:tc>
                <w:tcPr>
                  <w:tcW w:w="1540" w:type="dxa"/>
                  <w:vMerge w:val="continue"/>
                  <w:tcBorders>
                    <w:left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cs="宋体"/>
                      <w:color w:val="auto"/>
                      <w:highlight w:val="none"/>
                      <w:lang w:val="en-US" w:eastAsia="zh-CN"/>
                    </w:rPr>
                  </w:pPr>
                  <w:r>
                    <w:rPr>
                      <w:rFonts w:hint="eastAsia" w:cs="宋体"/>
                      <w:color w:val="auto"/>
                      <w:highlight w:val="none"/>
                      <w:lang w:val="en-US" w:eastAsia="zh-CN"/>
                    </w:rPr>
                    <w:t>6</w:t>
                  </w:r>
                </w:p>
              </w:tc>
              <w:tc>
                <w:tcPr>
                  <w:tcW w:w="1400"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color w:val="auto"/>
                      <w:highlight w:val="none"/>
                      <w:lang w:val="en-US" w:eastAsia="zh-CN"/>
                    </w:rPr>
                  </w:pPr>
                  <w:r>
                    <w:rPr>
                      <w:rFonts w:hint="eastAsia" w:cs="宋体"/>
                      <w:color w:val="auto"/>
                      <w:highlight w:val="none"/>
                      <w:lang w:val="en-US" w:eastAsia="zh-CN"/>
                    </w:rPr>
                    <w:t>废机油</w:t>
                  </w:r>
                </w:p>
              </w:tc>
              <w:tc>
                <w:tcPr>
                  <w:tcW w:w="1173"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color w:val="auto"/>
                      <w:highlight w:val="none"/>
                      <w:lang w:val="en-US" w:eastAsia="zh-CN"/>
                    </w:rPr>
                  </w:pPr>
                  <w:r>
                    <w:rPr>
                      <w:rFonts w:hint="eastAsia" w:cs="宋体"/>
                      <w:color w:val="auto"/>
                      <w:highlight w:val="none"/>
                      <w:lang w:val="en-US" w:eastAsia="zh-CN"/>
                    </w:rPr>
                    <w:t>危险废物</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固态</w:t>
                  </w:r>
                </w:p>
              </w:tc>
              <w:tc>
                <w:tcPr>
                  <w:tcW w:w="12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sz w:val="24"/>
                      <w:szCs w:val="24"/>
                      <w:highlight w:val="none"/>
                      <w:lang w:val="en-US" w:eastAsia="zh-CN"/>
                    </w:rPr>
                    <w:t>900-214-08</w:t>
                  </w:r>
                </w:p>
              </w:tc>
              <w:tc>
                <w:tcPr>
                  <w:tcW w:w="1147" w:type="dxa"/>
                  <w:tcBorders>
                    <w:top w:val="single" w:color="auto" w:sz="4" w:space="0"/>
                    <w:left w:val="single" w:color="auto" w:sz="4" w:space="0"/>
                    <w:bottom w:val="single" w:color="auto" w:sz="4" w:space="0"/>
                    <w:right w:val="single" w:color="auto" w:sz="4" w:space="0"/>
                  </w:tcBorders>
                  <w:vAlign w:val="center"/>
                </w:tcPr>
                <w:p>
                  <w:pPr>
                    <w:jc w:val="center"/>
                    <w:rPr>
                      <w:rFonts w:hint="default" w:cs="宋体"/>
                      <w:color w:val="auto"/>
                      <w:highlight w:val="none"/>
                      <w:lang w:val="en-US" w:eastAsia="zh-CN"/>
                    </w:rPr>
                  </w:pPr>
                  <w:r>
                    <w:rPr>
                      <w:rFonts w:hint="eastAsia" w:cs="宋体"/>
                      <w:color w:val="auto"/>
                      <w:highlight w:val="none"/>
                      <w:lang w:val="en-US" w:eastAsia="zh-CN"/>
                    </w:rPr>
                    <w:t>0.02</w:t>
                  </w:r>
                </w:p>
              </w:tc>
              <w:tc>
                <w:tcPr>
                  <w:tcW w:w="1540" w:type="dxa"/>
                  <w:vMerge w:val="continue"/>
                  <w:tcBorders>
                    <w:left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cs="宋体"/>
                      <w:color w:val="auto"/>
                      <w:highlight w:val="none"/>
                      <w:lang w:val="en-US" w:eastAsia="zh-CN"/>
                    </w:rPr>
                  </w:pPr>
                  <w:r>
                    <w:rPr>
                      <w:rFonts w:hint="eastAsia" w:cs="宋体"/>
                      <w:color w:val="auto"/>
                      <w:highlight w:val="none"/>
                      <w:lang w:val="en-US" w:eastAsia="zh-CN"/>
                    </w:rPr>
                    <w:t>7</w:t>
                  </w:r>
                </w:p>
              </w:tc>
              <w:tc>
                <w:tcPr>
                  <w:tcW w:w="1400"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color w:val="auto"/>
                      <w:highlight w:val="none"/>
                      <w:lang w:val="en-US" w:eastAsia="zh-CN"/>
                    </w:rPr>
                  </w:pPr>
                  <w:r>
                    <w:rPr>
                      <w:rFonts w:hint="eastAsia" w:cs="宋体"/>
                      <w:color w:val="auto"/>
                      <w:highlight w:val="none"/>
                      <w:lang w:val="en-US" w:eastAsia="zh-CN"/>
                    </w:rPr>
                    <w:t>废切削液</w:t>
                  </w:r>
                </w:p>
              </w:tc>
              <w:tc>
                <w:tcPr>
                  <w:tcW w:w="1173"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color w:val="auto"/>
                      <w:highlight w:val="none"/>
                      <w:lang w:val="en-US" w:eastAsia="zh-CN"/>
                    </w:rPr>
                  </w:pPr>
                  <w:r>
                    <w:rPr>
                      <w:rFonts w:hint="eastAsia" w:cs="宋体"/>
                      <w:color w:val="auto"/>
                      <w:highlight w:val="none"/>
                      <w:lang w:val="en-US" w:eastAsia="zh-CN"/>
                    </w:rPr>
                    <w:t>危险废物</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固态</w:t>
                  </w:r>
                </w:p>
              </w:tc>
              <w:tc>
                <w:tcPr>
                  <w:tcW w:w="12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sz w:val="24"/>
                      <w:szCs w:val="24"/>
                      <w:highlight w:val="none"/>
                      <w:lang w:val="en-US" w:eastAsia="zh-CN"/>
                    </w:rPr>
                    <w:t>900-006-09</w:t>
                  </w:r>
                </w:p>
              </w:tc>
              <w:tc>
                <w:tcPr>
                  <w:tcW w:w="1147" w:type="dxa"/>
                  <w:tcBorders>
                    <w:top w:val="single" w:color="auto" w:sz="4" w:space="0"/>
                    <w:left w:val="single" w:color="auto" w:sz="4" w:space="0"/>
                    <w:bottom w:val="single" w:color="auto" w:sz="4" w:space="0"/>
                    <w:right w:val="single" w:color="auto" w:sz="4" w:space="0"/>
                  </w:tcBorders>
                  <w:vAlign w:val="center"/>
                </w:tcPr>
                <w:p>
                  <w:pPr>
                    <w:jc w:val="center"/>
                    <w:rPr>
                      <w:rFonts w:hint="default" w:cs="宋体"/>
                      <w:color w:val="auto"/>
                      <w:highlight w:val="none"/>
                      <w:lang w:val="en-US" w:eastAsia="zh-CN"/>
                    </w:rPr>
                  </w:pPr>
                  <w:r>
                    <w:rPr>
                      <w:rFonts w:hint="eastAsia" w:cs="宋体"/>
                      <w:color w:val="auto"/>
                      <w:highlight w:val="none"/>
                      <w:lang w:val="en-US" w:eastAsia="zh-CN"/>
                    </w:rPr>
                    <w:t>0.02</w:t>
                  </w:r>
                </w:p>
              </w:tc>
              <w:tc>
                <w:tcPr>
                  <w:tcW w:w="1540" w:type="dxa"/>
                  <w:vMerge w:val="continue"/>
                  <w:tcBorders>
                    <w:left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cs="宋体"/>
                      <w:color w:val="auto"/>
                      <w:highlight w:val="none"/>
                      <w:lang w:val="en-US" w:eastAsia="zh-CN"/>
                    </w:rPr>
                  </w:pPr>
                  <w:r>
                    <w:rPr>
                      <w:rFonts w:hint="eastAsia" w:cs="宋体"/>
                      <w:color w:val="auto"/>
                      <w:highlight w:val="none"/>
                      <w:lang w:val="en-US" w:eastAsia="zh-CN"/>
                    </w:rPr>
                    <w:t>8</w:t>
                  </w:r>
                </w:p>
              </w:tc>
              <w:tc>
                <w:tcPr>
                  <w:tcW w:w="1400"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color w:val="auto"/>
                      <w:highlight w:val="none"/>
                      <w:lang w:val="en-US" w:eastAsia="zh-CN"/>
                    </w:rPr>
                  </w:pPr>
                  <w:r>
                    <w:rPr>
                      <w:rFonts w:hint="eastAsia" w:cs="宋体"/>
                      <w:color w:val="auto"/>
                      <w:highlight w:val="none"/>
                      <w:lang w:val="en-US" w:eastAsia="zh-CN"/>
                    </w:rPr>
                    <w:t>废油桶</w:t>
                  </w:r>
                </w:p>
              </w:tc>
              <w:tc>
                <w:tcPr>
                  <w:tcW w:w="1173"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color w:val="auto"/>
                      <w:highlight w:val="none"/>
                      <w:lang w:val="en-US" w:eastAsia="zh-CN"/>
                    </w:rPr>
                  </w:pPr>
                  <w:r>
                    <w:rPr>
                      <w:rFonts w:hint="eastAsia" w:cs="宋体"/>
                      <w:color w:val="auto"/>
                      <w:highlight w:val="none"/>
                      <w:lang w:val="en-US" w:eastAsia="zh-CN"/>
                    </w:rPr>
                    <w:t>危险废物</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固态</w:t>
                  </w:r>
                </w:p>
              </w:tc>
              <w:tc>
                <w:tcPr>
                  <w:tcW w:w="12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sz w:val="24"/>
                      <w:szCs w:val="24"/>
                      <w:highlight w:val="none"/>
                      <w:lang w:val="en-US" w:eastAsia="zh-CN"/>
                    </w:rPr>
                    <w:t>900-041-49</w:t>
                  </w:r>
                </w:p>
              </w:tc>
              <w:tc>
                <w:tcPr>
                  <w:tcW w:w="1147" w:type="dxa"/>
                  <w:tcBorders>
                    <w:top w:val="single" w:color="auto" w:sz="4" w:space="0"/>
                    <w:left w:val="single" w:color="auto" w:sz="4" w:space="0"/>
                    <w:bottom w:val="single" w:color="auto" w:sz="4" w:space="0"/>
                    <w:right w:val="single" w:color="auto" w:sz="4" w:space="0"/>
                  </w:tcBorders>
                  <w:vAlign w:val="center"/>
                </w:tcPr>
                <w:p>
                  <w:pPr>
                    <w:jc w:val="center"/>
                    <w:rPr>
                      <w:rFonts w:hint="default" w:cs="宋体"/>
                      <w:color w:val="auto"/>
                      <w:highlight w:val="none"/>
                      <w:lang w:val="en-US" w:eastAsia="zh-CN"/>
                    </w:rPr>
                  </w:pPr>
                  <w:r>
                    <w:rPr>
                      <w:rFonts w:hint="eastAsia" w:cs="宋体"/>
                      <w:color w:val="auto"/>
                      <w:highlight w:val="none"/>
                      <w:lang w:val="en-US" w:eastAsia="zh-CN"/>
                    </w:rPr>
                    <w:t>0.01</w:t>
                  </w:r>
                </w:p>
              </w:tc>
              <w:tc>
                <w:tcPr>
                  <w:tcW w:w="1540" w:type="dxa"/>
                  <w:vMerge w:val="continue"/>
                  <w:tcBorders>
                    <w:left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cs="宋体"/>
                      <w:color w:val="auto"/>
                      <w:highlight w:val="none"/>
                      <w:lang w:val="en-US" w:eastAsia="zh-CN"/>
                    </w:rPr>
                  </w:pPr>
                  <w:r>
                    <w:rPr>
                      <w:rFonts w:hint="eastAsia" w:cs="宋体"/>
                      <w:color w:val="auto"/>
                      <w:highlight w:val="none"/>
                      <w:lang w:val="en-US" w:eastAsia="zh-CN"/>
                    </w:rPr>
                    <w:t>9</w:t>
                  </w:r>
                </w:p>
              </w:tc>
              <w:tc>
                <w:tcPr>
                  <w:tcW w:w="1400"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color w:val="auto"/>
                      <w:highlight w:val="none"/>
                      <w:lang w:val="en-US" w:eastAsia="zh-CN"/>
                    </w:rPr>
                  </w:pPr>
                  <w:r>
                    <w:rPr>
                      <w:rFonts w:hint="eastAsia" w:cs="宋体"/>
                      <w:color w:val="auto"/>
                      <w:highlight w:val="none"/>
                      <w:lang w:val="en-US" w:eastAsia="zh-CN"/>
                    </w:rPr>
                    <w:t>废含油抹布</w:t>
                  </w:r>
                </w:p>
              </w:tc>
              <w:tc>
                <w:tcPr>
                  <w:tcW w:w="1173"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color w:val="auto"/>
                      <w:highlight w:val="none"/>
                      <w:lang w:val="en-US" w:eastAsia="zh-CN"/>
                    </w:rPr>
                  </w:pPr>
                  <w:r>
                    <w:rPr>
                      <w:rFonts w:hint="eastAsia" w:cs="宋体"/>
                      <w:color w:val="auto"/>
                      <w:highlight w:val="none"/>
                      <w:lang w:val="en-US" w:eastAsia="zh-CN"/>
                    </w:rPr>
                    <w:t>危险废物</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固态</w:t>
                  </w:r>
                </w:p>
              </w:tc>
              <w:tc>
                <w:tcPr>
                  <w:tcW w:w="12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sz w:val="24"/>
                      <w:szCs w:val="24"/>
                      <w:highlight w:val="none"/>
                      <w:lang w:val="en-US" w:eastAsia="zh-CN"/>
                    </w:rPr>
                    <w:t>900-041-49</w:t>
                  </w:r>
                </w:p>
              </w:tc>
              <w:tc>
                <w:tcPr>
                  <w:tcW w:w="1147" w:type="dxa"/>
                  <w:tcBorders>
                    <w:top w:val="single" w:color="auto" w:sz="4" w:space="0"/>
                    <w:left w:val="single" w:color="auto" w:sz="4" w:space="0"/>
                    <w:bottom w:val="single" w:color="auto" w:sz="4" w:space="0"/>
                    <w:right w:val="single" w:color="auto" w:sz="4" w:space="0"/>
                  </w:tcBorders>
                  <w:vAlign w:val="center"/>
                </w:tcPr>
                <w:p>
                  <w:pPr>
                    <w:jc w:val="center"/>
                    <w:rPr>
                      <w:rFonts w:hint="default" w:cs="宋体"/>
                      <w:color w:val="auto"/>
                      <w:highlight w:val="none"/>
                      <w:lang w:val="en-US" w:eastAsia="zh-CN"/>
                    </w:rPr>
                  </w:pPr>
                  <w:r>
                    <w:rPr>
                      <w:rFonts w:hint="eastAsia" w:cs="宋体"/>
                      <w:color w:val="auto"/>
                      <w:highlight w:val="none"/>
                      <w:lang w:val="en-US" w:eastAsia="zh-CN"/>
                    </w:rPr>
                    <w:t>0.01</w:t>
                  </w:r>
                </w:p>
              </w:tc>
              <w:tc>
                <w:tcPr>
                  <w:tcW w:w="1540" w:type="dxa"/>
                  <w:vMerge w:val="continue"/>
                  <w:tcBorders>
                    <w:left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宋体"/>
                      <w:color w:val="auto"/>
                      <w:highlight w:val="none"/>
                      <w:lang w:val="en-US" w:eastAsia="zh-CN"/>
                    </w:rPr>
                  </w:pPr>
                  <w:r>
                    <w:rPr>
                      <w:rFonts w:hint="eastAsia" w:cs="宋体"/>
                      <w:color w:val="auto"/>
                      <w:highlight w:val="none"/>
                      <w:lang w:val="en-US" w:eastAsia="zh-CN"/>
                    </w:rPr>
                    <w:t>10</w:t>
                  </w:r>
                </w:p>
              </w:tc>
              <w:tc>
                <w:tcPr>
                  <w:tcW w:w="14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生活垃圾</w:t>
                  </w:r>
                </w:p>
              </w:tc>
              <w:tc>
                <w:tcPr>
                  <w:tcW w:w="11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固态</w:t>
                  </w:r>
                </w:p>
              </w:tc>
              <w:tc>
                <w:tcPr>
                  <w:tcW w:w="12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w:t>
                  </w:r>
                </w:p>
              </w:tc>
              <w:tc>
                <w:tcPr>
                  <w:tcW w:w="114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宋体"/>
                      <w:color w:val="auto"/>
                      <w:highlight w:val="none"/>
                      <w:lang w:val="en-US" w:eastAsia="zh-CN"/>
                    </w:rPr>
                  </w:pPr>
                  <w:r>
                    <w:rPr>
                      <w:rFonts w:hint="eastAsia" w:cs="宋体"/>
                      <w:color w:val="auto"/>
                      <w:highlight w:val="none"/>
                      <w:lang w:val="en-US" w:eastAsia="zh-CN"/>
                    </w:rPr>
                    <w:t>6</w:t>
                  </w:r>
                </w:p>
              </w:tc>
              <w:tc>
                <w:tcPr>
                  <w:tcW w:w="1540" w:type="dxa"/>
                  <w:tcBorders>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ascii="Times New Roman" w:hAnsi="Times New Roman" w:cs="宋体"/>
                      <w:color w:val="auto"/>
                      <w:highlight w:val="none"/>
                      <w:lang w:val="en-US" w:eastAsia="zh-CN"/>
                    </w:rPr>
                    <w:t>环卫部门定期清运</w:t>
                  </w:r>
                </w:p>
              </w:tc>
            </w:tr>
          </w:tbl>
          <w:p>
            <w:pPr>
              <w:spacing w:beforeLines="100" w:line="360" w:lineRule="auto"/>
              <w:ind w:firstLine="480" w:firstLineChars="200"/>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br w:type="textWrapping"/>
            </w:r>
            <w:r>
              <w:rPr>
                <w:rFonts w:hint="eastAsia" w:ascii="新宋体" w:hAnsi="新宋体" w:eastAsia="新宋体" w:cs="新宋体"/>
                <w:color w:val="auto"/>
                <w:sz w:val="24"/>
                <w:lang w:val="en-US" w:bidi="zh-CN"/>
              </w:rPr>
              <w:t xml:space="preserve">    </w:t>
            </w:r>
            <w:r>
              <w:rPr>
                <w:rFonts w:ascii="新宋体" w:hAnsi="新宋体" w:eastAsia="新宋体" w:cs="新宋体"/>
                <w:color w:val="auto"/>
                <w:sz w:val="24"/>
                <w:lang w:bidi="zh-CN"/>
              </w:rPr>
              <w:t>固体废物污染防治措施</w:t>
            </w:r>
            <w:r>
              <w:rPr>
                <w:rFonts w:hint="eastAsia" w:ascii="新宋体" w:hAnsi="新宋体" w:eastAsia="新宋体" w:cs="新宋体"/>
                <w:color w:val="auto"/>
                <w:sz w:val="24"/>
                <w:lang w:bidi="zh-CN"/>
              </w:rPr>
              <w:t>：</w:t>
            </w:r>
            <w:r>
              <w:rPr>
                <w:rFonts w:hint="eastAsia" w:ascii="新宋体" w:hAnsi="新宋体" w:eastAsia="新宋体" w:cs="新宋体"/>
                <w:color w:val="auto"/>
                <w:sz w:val="24"/>
                <w:lang w:bidi="zh-CN"/>
              </w:rPr>
              <w:br w:type="textWrapping"/>
            </w:r>
            <w:r>
              <w:rPr>
                <w:rFonts w:hint="eastAsia" w:ascii="新宋体" w:hAnsi="新宋体" w:eastAsia="新宋体" w:cs="新宋体"/>
                <w:color w:val="auto"/>
                <w:sz w:val="24"/>
                <w:lang w:val="en-US" w:bidi="zh-CN"/>
              </w:rPr>
              <w:t xml:space="preserve">  </w:t>
            </w:r>
            <w:r>
              <w:rPr>
                <w:rFonts w:hint="eastAsia" w:ascii="新宋体" w:hAnsi="新宋体" w:eastAsia="新宋体" w:cs="新宋体"/>
                <w:color w:val="auto"/>
                <w:sz w:val="24"/>
                <w:lang w:bidi="zh-CN"/>
              </w:rPr>
              <w:t>（</w:t>
            </w:r>
            <w:r>
              <w:rPr>
                <w:rFonts w:hint="eastAsia" w:ascii="新宋体" w:hAnsi="新宋体" w:eastAsia="新宋体" w:cs="新宋体"/>
                <w:color w:val="auto"/>
                <w:sz w:val="24"/>
                <w:lang w:val="en-US" w:bidi="zh-CN"/>
              </w:rPr>
              <w:t>1</w:t>
            </w:r>
            <w:r>
              <w:rPr>
                <w:rFonts w:hint="eastAsia" w:ascii="新宋体" w:hAnsi="新宋体" w:eastAsia="新宋体" w:cs="新宋体"/>
                <w:color w:val="auto"/>
                <w:sz w:val="24"/>
                <w:lang w:bidi="zh-CN"/>
              </w:rPr>
              <w:t>）危险废物环境管理要求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拟建危险废物暂存间须严格按照《危险废物贮存污染控制标准》（GB18597-2023）要求进行设计、建造和管理，库房密闭，防风、防雨和防晒，暂存库周围设置导流渠，地面作防腐防渗处理。危险废物暂存间，位于厂房西</w:t>
            </w:r>
            <w:r>
              <w:rPr>
                <w:rFonts w:hint="eastAsia" w:ascii="新宋体" w:hAnsi="新宋体" w:eastAsia="新宋体" w:cs="新宋体"/>
                <w:color w:val="auto"/>
                <w:sz w:val="24"/>
                <w:lang w:eastAsia="zh-CN" w:bidi="zh-CN"/>
              </w:rPr>
              <w:t>北</w:t>
            </w:r>
            <w:r>
              <w:rPr>
                <w:rFonts w:hint="eastAsia" w:ascii="新宋体" w:hAnsi="新宋体" w:eastAsia="新宋体" w:cs="新宋体"/>
                <w:color w:val="auto"/>
                <w:sz w:val="24"/>
                <w:lang w:bidi="zh-CN"/>
              </w:rPr>
              <w:t>角，建筑面积约为10m</w:t>
            </w:r>
            <w:r>
              <w:rPr>
                <w:rFonts w:hint="eastAsia" w:ascii="新宋体" w:hAnsi="新宋体" w:eastAsia="新宋体" w:cs="新宋体"/>
                <w:color w:val="auto"/>
                <w:sz w:val="24"/>
                <w:vertAlign w:val="superscript"/>
                <w:lang w:bidi="zh-CN"/>
              </w:rPr>
              <w:t>2</w:t>
            </w:r>
            <w:r>
              <w:rPr>
                <w:rFonts w:hint="eastAsia" w:ascii="新宋体" w:hAnsi="新宋体" w:eastAsia="新宋体" w:cs="新宋体"/>
                <w:color w:val="auto"/>
                <w:sz w:val="24"/>
                <w:lang w:bidi="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宋体" w:hAnsi="宋体" w:eastAsia="宋体" w:cs="宋体"/>
                <w:color w:val="auto"/>
                <w:sz w:val="24"/>
                <w:lang w:bidi="zh-CN"/>
              </w:rPr>
              <w:t>①</w:t>
            </w:r>
            <w:r>
              <w:rPr>
                <w:rFonts w:hint="eastAsia" w:ascii="新宋体" w:hAnsi="新宋体" w:eastAsia="新宋体" w:cs="新宋体"/>
                <w:color w:val="auto"/>
                <w:sz w:val="24"/>
                <w:lang w:bidi="zh-CN"/>
              </w:rPr>
              <w:t>总体要求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ⅰ.产生、收集、贮存、利用、处置危险废物的单位应建造危险废物贮存设施或设置贮存场所，并根据需要选择贮存设施类型。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ⅱ.贮存危险废物应根据危险废物的类别、数量、形态、物理化学性质和环境风险等因素，确定贮存设施或场所类型和规模。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ⅲ.贮存危险废物应根据危险废物的类别、形态、物理化学性质和污染防治要求进行分类贮存，且应避免危险废物与不相容的物质或材料接触。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ⅳ.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ⅴ.危险废物贮存过程产生的液态废物和固态废物应分类收集，按其环境管理要求妥善处理。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ⅵ.贮存设施或场所、容器和包装物应按《危险废物识别标志设置技术规范》（HJ1276-2022）要求设置危险废物贮存设施或场所标志、危险废物贮存分区标志和危险废物标签等危险废物识别标志。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宋体" w:hAnsi="宋体" w:eastAsia="宋体" w:cs="宋体"/>
                <w:color w:val="auto"/>
                <w:sz w:val="24"/>
                <w:lang w:bidi="zh-CN"/>
              </w:rPr>
              <w:t>②</w:t>
            </w:r>
            <w:r>
              <w:rPr>
                <w:rFonts w:hint="eastAsia" w:ascii="新宋体" w:hAnsi="新宋体" w:eastAsia="新宋体" w:cs="新宋体"/>
                <w:color w:val="auto"/>
                <w:sz w:val="24"/>
                <w:lang w:bidi="zh-CN"/>
              </w:rPr>
              <w:t>贮存设施污染控制要求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ⅰ.贮存设施应根据危险废物的形态、物理化学性质、包装形式和污染物迁移途径，采取必要的防风、防晒、防雨、防漏、防渗、防腐以及其他环境污染防治措施，不应露天堆放危险废物。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ⅱ.贮存设施应根据危险废物的类别、数量、形态、物理化学性质和污染防治等要求设置必要的贮存分区，避免不相容的危险废物接触、混合。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ⅲ.贮存设施或贮存分区内地面、墙面裙脚、堵截泄漏的围堰、接触危险废物的隔板和墙体等应采用坚固的材料建造，表面无裂缝。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ⅳ.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-7cm/s），或至少2mm厚高密度聚乙烯膜等人工防渗材料（渗透系数不大于10-10 cm/s），或其他防渗性能等效的材料。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ⅴ.贮存设施应采取技术和管理措施防止无关人员进入。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宋体" w:hAnsi="宋体" w:eastAsia="宋体" w:cs="宋体"/>
                <w:color w:val="auto"/>
                <w:sz w:val="24"/>
                <w:lang w:bidi="zh-CN"/>
              </w:rPr>
              <w:t>③</w:t>
            </w:r>
            <w:r>
              <w:rPr>
                <w:rFonts w:hint="eastAsia" w:ascii="新宋体" w:hAnsi="新宋体" w:eastAsia="新宋体" w:cs="新宋体"/>
                <w:color w:val="auto"/>
                <w:sz w:val="24"/>
                <w:lang w:bidi="zh-CN"/>
              </w:rPr>
              <w:t>容器和包装物污染控制要求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ⅰ.容器和包装物材质、内衬应与盛装的危险废物相容。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ⅱ.针对不同类别、形态、物理化学性质的危险废物，其容器和包装物应满足相应的防渗、防漏、防腐和强度等要求。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ⅲ.硬质容器和包装物及其支护结构堆叠码放时不应有明显变形，无破损泄漏。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ⅳ.柔性容器和包装物堆叠码放时应封口严密，无破损泄漏。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ⅴ.使用容器盛装液态、半固态危险废物时，容器内部应留有适当的空间，以适应因温度变化等可能引发的收缩和膨胀，防止其导致容器渗漏或永久变形。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ⅵ.容器和包装物外表面应保持清洁。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宋体" w:hAnsi="宋体" w:eastAsia="宋体" w:cs="宋体"/>
                <w:color w:val="auto"/>
                <w:sz w:val="24"/>
                <w:lang w:bidi="zh-CN"/>
              </w:rPr>
              <w:t>④</w:t>
            </w:r>
            <w:r>
              <w:rPr>
                <w:rFonts w:hint="eastAsia" w:ascii="新宋体" w:hAnsi="新宋体" w:eastAsia="新宋体" w:cs="新宋体"/>
                <w:color w:val="auto"/>
                <w:sz w:val="24"/>
                <w:lang w:bidi="zh-CN"/>
              </w:rPr>
              <w:t>贮存过程污染控制要求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val="en-US" w:bidi="zh-CN"/>
              </w:rPr>
              <w:t xml:space="preserve">A </w:t>
            </w:r>
            <w:r>
              <w:rPr>
                <w:rFonts w:hint="eastAsia" w:ascii="新宋体" w:hAnsi="新宋体" w:eastAsia="新宋体" w:cs="新宋体"/>
                <w:color w:val="auto"/>
                <w:sz w:val="24"/>
                <w:lang w:bidi="zh-CN"/>
              </w:rPr>
              <w:t>一般要求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ⅰ.在常温常压下不易水解、不易挥发的固态危险废物可分类堆放贮存，其他固态危险废物应装入容器或包装物内贮存。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ⅱ.液态危险废物应装入容器内贮存，或直接采用贮存池、贮存罐区贮存。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ⅲ.半固态危险废物应装入容器或包装袋内贮存，或直接采用贮存池贮存。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ⅳ.具有热塑性的危险废物应装入容器或包装袋内进行贮存。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ⅴ.易产生粉尘、VOCs、酸雾、有毒有害大气污染物和刺激性气味气体的危险废物应装入闭口容器或包装物内贮存。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ⅵ.危险废物贮存过程中易产生粉尘等无组织排放的，应采取抑尘等有效措施。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val="en-US" w:bidi="zh-CN"/>
              </w:rPr>
              <w:t xml:space="preserve">B </w:t>
            </w:r>
            <w:r>
              <w:rPr>
                <w:rFonts w:hint="eastAsia" w:ascii="新宋体" w:hAnsi="新宋体" w:eastAsia="新宋体" w:cs="新宋体"/>
                <w:color w:val="auto"/>
                <w:sz w:val="24"/>
                <w:lang w:bidi="zh-CN"/>
              </w:rPr>
              <w:t>贮存设施运行环境管理要求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ⅰ.危险废物存入贮存设施前应对危险废物类别和特性与危险废物标签等危险废物识别标志的一致性进行核验，不一致的或类别、特性不明的不应存入。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ⅱ.应定期检查危险废物的贮存状况，及时清理贮存设施地面，更换破损泄漏的危险废物贮存容器和包装物，保证堆存危险废物的防雨、防风、防扬尘等设施功能完好。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ⅲ.作业设备及车辆等结束作业离开贮存设施时，应对其残留的危险废物进行清理，清理的废物或清洗废水应收集处理。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ⅳ.贮存设施运行期间，应按国家有关标准和规定建立危险废物管理台账并保存。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ⅴ.贮存设施所有者或运营者应建立贮存设施环境管理制度、管理人员岗位职责制度、设施运行操作制度、人员岗位培训制度等。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ⅵ.贮存设施所有者或运营者应依据国家土壤和地下水污染防治的有关规定，结合贮存设施特点建立土壤和地下水污染隐患排查制度，并定期开展隐患排查；发现隐患应及时采取措施消除隐患，并建立档案。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ⅶ.贮存设施所有者或运营者应建立贮存设施全部档案，包括设计、施工、验收、运行、监测和环境应急等，应按国家有关档案管理的法律法规进行整理和归档。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宋体" w:hAnsi="宋体" w:eastAsia="宋体" w:cs="宋体"/>
                <w:color w:val="auto"/>
                <w:sz w:val="24"/>
                <w:lang w:bidi="zh-CN"/>
              </w:rPr>
              <w:t>⑤</w:t>
            </w:r>
            <w:r>
              <w:rPr>
                <w:rFonts w:hint="eastAsia" w:ascii="新宋体" w:hAnsi="新宋体" w:eastAsia="新宋体" w:cs="新宋体"/>
                <w:color w:val="auto"/>
                <w:sz w:val="24"/>
                <w:lang w:bidi="zh-CN"/>
              </w:rPr>
              <w:t>环境监测要求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ⅰ.贮存设施的环境监测应纳入主体设施的环境监测计划。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ⅱ.贮存设施所有者或运营者应依据《大气污染防治法》《水污染防治法》《土壤污染防治法》等有关法律、《排污许可管理条例》等行政法规和HJ819、HJ1250等规定制订监测方案，对贮存设施污染物排放状况开展自行监测，保存原始监测记录，并公布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ⅲ.贮存设施废水污染物排放的监测方法和监测指标应符合国家相关标准要求。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ⅳ.HJ1259规定的危险废物环境重点监管单位贮存设施地下水环境监测点布设应符合HJ164要求，监测因子应根据贮存废物的特性选择具有代表性且能表征危险废物特性的指标，地下水监测因子分析方法按照GB/T14848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ⅴ.配有收集净化系统的贮存设施大气污染物排放的监测采样应按GB/T16157、HJ/T397、HJ732的规定执行。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ⅵ.贮存设施无组织气体排放监测因子应根据贮存废物的特性选择具有代表性且能表征危险废物特性的指标；采样点布设、采样及监测方法可按HJ/T55的规定执行，VOCs的无组织排放监测还应符合GB37822的规定。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ⅶ.贮存设施恶臭气体的排放监测应符合GB14554、HJ905的规定。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宋体" w:hAnsi="宋体" w:eastAsia="宋体" w:cs="宋体"/>
                <w:color w:val="auto"/>
                <w:sz w:val="24"/>
                <w:lang w:bidi="zh-CN"/>
              </w:rPr>
              <w:t>⑥</w:t>
            </w:r>
            <w:r>
              <w:rPr>
                <w:rFonts w:hint="eastAsia" w:ascii="新宋体" w:hAnsi="新宋体" w:eastAsia="新宋体" w:cs="新宋体"/>
                <w:color w:val="auto"/>
                <w:sz w:val="24"/>
                <w:lang w:bidi="zh-CN"/>
              </w:rPr>
              <w:t>其他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ⅰ.必须按照国家有关规定制定危险废物管理计划，并向所在地县级以上地方人民政府生态环境行政主管部门申报危险废物的种类、产生量、流向、贮存、处置等有关资料。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ⅱ.管理计划应当包括减少危险废物产生量和危害性的措施以及危险废物贮存、利用、处置措施。危险废物管理计划应当报产生危险废物的单位所在地生态环境保护行政主管部门备案。管理计划内容有重大改变的，应当及时申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ⅲ.禁止将危险废物提供或者委托给无经营许可证的单位从事收集、贮存、利用、处置的经营活动。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ⅳ.必须按照国家有关规定填写危险废物转移联单，并向危险废物移出地设区的市级以上地方人民政府生态环境行政主管部门提出申请。移出地设区的市级以上生态环境行政主管部门应当经接受地设区的市级以上生态环境保护行政主管部门同意后，方可批准转移该危险废物。未经批准的，不得转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转移危险废物途经移出地、接受地以外行政区域的，危险废物移出地设区的市级以上生态环境行政主管部门应当及时通知沿途经过的设区的市级以上生态环境行政主管部门。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ⅴ.运输危险废物，必须采取防止污染环境的措施，并遵守国家有关危险货物运输管理的规定。禁止将危险废物与旅客在同一运输工具上载运。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宋体" w:hAnsi="宋体" w:eastAsia="宋体" w:cs="宋体"/>
                <w:color w:val="auto"/>
                <w:sz w:val="24"/>
                <w:lang w:bidi="zh-CN"/>
              </w:rPr>
              <w:t>⑦</w:t>
            </w:r>
            <w:r>
              <w:rPr>
                <w:rFonts w:hint="eastAsia" w:ascii="新宋体" w:hAnsi="新宋体" w:eastAsia="新宋体" w:cs="新宋体"/>
                <w:color w:val="auto"/>
                <w:sz w:val="24"/>
                <w:lang w:bidi="zh-CN"/>
              </w:rPr>
              <w:t>危险废物环境管理台账记录要求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排污单位应建立环境管理台账，危险废物环境管理台账记录应符合《危险废物产生单位管理计划制定指南》等标准及管理文件的相关要求。待危险废物环境管理台账相关标准或管理文件发布实施后，从其规定。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w:t>
            </w:r>
            <w:r>
              <w:rPr>
                <w:rFonts w:hint="eastAsia" w:ascii="新宋体" w:hAnsi="新宋体" w:eastAsia="新宋体" w:cs="新宋体"/>
                <w:color w:val="auto"/>
                <w:sz w:val="24"/>
                <w:lang w:val="en-US" w:bidi="zh-CN"/>
              </w:rPr>
              <w:t>2</w:t>
            </w:r>
            <w:r>
              <w:rPr>
                <w:rFonts w:hint="eastAsia" w:ascii="新宋体" w:hAnsi="新宋体" w:eastAsia="新宋体" w:cs="新宋体"/>
                <w:color w:val="auto"/>
                <w:sz w:val="24"/>
                <w:lang w:bidi="zh-CN"/>
              </w:rPr>
              <w:t>）一般工业固体废物环境管理要求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宋体" w:hAnsi="宋体" w:eastAsia="宋体" w:cs="宋体"/>
                <w:color w:val="auto"/>
                <w:sz w:val="24"/>
                <w:lang w:bidi="zh-CN"/>
              </w:rPr>
              <w:t>①</w:t>
            </w:r>
            <w:r>
              <w:rPr>
                <w:rFonts w:hint="eastAsia" w:ascii="新宋体" w:hAnsi="新宋体" w:eastAsia="新宋体" w:cs="新宋体"/>
                <w:color w:val="auto"/>
                <w:sz w:val="24"/>
                <w:lang w:bidi="zh-CN"/>
              </w:rPr>
              <w:t>委托贮存/利用/处置环节污染防控技术要求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排污单位委托他人运输、利用、处置一般工业固体废物的，应落实《中华人民共和国固体废物污染环境防治法》等法律法规要求，对受托方的主体资格和技术能力进行核实，依法签订书面合同，在合同中约定污染防治要求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宋体" w:hAnsi="宋体" w:eastAsia="宋体" w:cs="宋体"/>
                <w:color w:val="auto"/>
                <w:sz w:val="24"/>
                <w:lang w:bidi="zh-CN"/>
              </w:rPr>
              <w:t>②</w:t>
            </w:r>
            <w:r>
              <w:rPr>
                <w:rFonts w:hint="eastAsia" w:ascii="新宋体" w:hAnsi="新宋体" w:eastAsia="新宋体" w:cs="新宋体"/>
                <w:color w:val="auto"/>
                <w:sz w:val="24"/>
                <w:lang w:bidi="zh-CN"/>
              </w:rPr>
              <w:t>自行贮存/利用/处置设施污染防控技术要求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采用库房、包装工具（罐、桶、包装袋等）贮存一般工业固体废物的，贮存过程应满足相应防渗漏、防雨淋、防扬尘等环境保护要求；危险废物和生活垃圾不得进入一般工业固体废物贮存场及填埋场；不相容的一般工业固体废物应设置不同的分区进行贮存和填埋作业；焚烧处置设施的炉渣与飞灰应分别收集、贮存和运输；贮存场、填埋场应设置清晰、完整的一般工业固体废物标志牌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排污单位生产运营期间一般工业固体废物自行贮存/利用/处置设施的环境管理和相关设施运行维护要求还应符合GB15562.2、GB18599、GB30485和HJ2035等相关标准规范要求。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宋体" w:hAnsi="宋体" w:eastAsia="宋体" w:cs="宋体"/>
                <w:color w:val="auto"/>
                <w:sz w:val="24"/>
                <w:lang w:bidi="zh-CN"/>
              </w:rPr>
              <w:t>③</w:t>
            </w:r>
            <w:r>
              <w:rPr>
                <w:rFonts w:hint="eastAsia" w:ascii="新宋体" w:hAnsi="新宋体" w:eastAsia="新宋体" w:cs="新宋体"/>
                <w:color w:val="auto"/>
                <w:sz w:val="24"/>
                <w:lang w:bidi="zh-CN"/>
              </w:rPr>
              <w:t>一般工业固体废物环境管理台账记录要求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lang w:bidi="zh-CN"/>
              </w:rPr>
            </w:pPr>
            <w:r>
              <w:rPr>
                <w:rFonts w:hint="eastAsia" w:ascii="新宋体" w:hAnsi="新宋体" w:eastAsia="新宋体" w:cs="新宋体"/>
                <w:color w:val="auto"/>
                <w:sz w:val="24"/>
                <w:lang w:bidi="zh-CN"/>
              </w:rPr>
              <w:t>排污单位应建立环境管理台账制度，一般工业固体废物环境管理台账记录应符合生态环境部规定的一般工业固体废物环境管理台账相关标准及管理文件要求。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ascii="新宋体" w:hAnsi="新宋体" w:eastAsia="新宋体" w:cs="新宋体"/>
                <w:color w:val="auto"/>
                <w:sz w:val="24"/>
                <w:lang w:bidi="zh-CN"/>
              </w:rPr>
              <w:t>可见，在采取上述预防措施和办法后，本项目所产生的一般工业固体废物、危险废物和生活垃圾均得到了合理有效的处理和处置，其产生的固体废弃物不会对周围环境造成二次污染。</w:t>
            </w:r>
          </w:p>
          <w:p>
            <w:pPr>
              <w:spacing w:line="360" w:lineRule="auto"/>
              <w:ind w:firstLine="480" w:firstLineChars="200"/>
              <w:rPr>
                <w:color w:val="auto"/>
                <w:sz w:val="24"/>
                <w:szCs w:val="24"/>
                <w:highlight w:val="none"/>
              </w:rPr>
            </w:pPr>
            <w:r>
              <w:rPr>
                <w:color w:val="auto"/>
                <w:sz w:val="24"/>
                <w:szCs w:val="24"/>
                <w:highlight w:val="none"/>
              </w:rPr>
              <w:t>5</w:t>
            </w:r>
            <w:r>
              <w:rPr>
                <w:rFonts w:hint="eastAsia"/>
                <w:color w:val="auto"/>
                <w:sz w:val="24"/>
                <w:szCs w:val="24"/>
                <w:highlight w:val="none"/>
                <w:lang w:eastAsia="zh-CN"/>
              </w:rPr>
              <w:t>、</w:t>
            </w:r>
            <w:r>
              <w:rPr>
                <w:rFonts w:hint="eastAsia" w:cs="宋体"/>
                <w:color w:val="auto"/>
                <w:sz w:val="24"/>
                <w:szCs w:val="24"/>
                <w:highlight w:val="none"/>
              </w:rPr>
              <w:t>地下水、土壤环境影响及保护措施</w:t>
            </w:r>
          </w:p>
          <w:p>
            <w:pPr>
              <w:spacing w:line="360" w:lineRule="auto"/>
              <w:ind w:firstLine="480" w:firstLineChars="200"/>
              <w:rPr>
                <w:color w:val="auto"/>
                <w:sz w:val="24"/>
                <w:szCs w:val="24"/>
                <w:highlight w:val="none"/>
              </w:rPr>
            </w:pPr>
            <w:r>
              <w:rPr>
                <w:rFonts w:hint="eastAsia" w:cs="宋体"/>
                <w:color w:val="auto"/>
                <w:sz w:val="24"/>
                <w:szCs w:val="24"/>
                <w:highlight w:val="none"/>
              </w:rPr>
              <w:t>本项目不开采利用地下水，无地下构筑物，项目建设和运营过程不会引起地下水流场或地下水位变化，不会导致新的环境水文地质问题的产生。厂区地面采用水泥硬地化处理，防止渗漏的产生。项目排放的废气污染物不涉及土壤污染因子。因此，本项目的建设不会对地下水及土壤环境产生影响。</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本项目污染防渗区分为一般防渗场区、重点防渗区：</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A</w:t>
            </w:r>
            <w:r>
              <w:rPr>
                <w:rFonts w:hint="eastAsia" w:ascii="Times New Roman" w:hAnsi="Times New Roman" w:eastAsia="宋体" w:cs="宋体"/>
                <w:color w:val="auto"/>
                <w:sz w:val="24"/>
              </w:rPr>
              <w:t>、一般防渗区：对土壤和地下水环境有污染的物料或污染物泄漏后可及时发现和处理的区域和部位。一般为装置区内除重点防渗区外的部分及装置区外管廊区；污染物污染防治区参照《一般工业固体废物贮存和填埋污染控制标准》（</w:t>
            </w:r>
            <w:r>
              <w:rPr>
                <w:rFonts w:ascii="Times New Roman" w:hAnsi="Times New Roman" w:eastAsia="宋体" w:cs="Times New Roman"/>
                <w:color w:val="auto"/>
                <w:sz w:val="24"/>
              </w:rPr>
              <w:t>GB18599-2020</w:t>
            </w:r>
            <w:r>
              <w:rPr>
                <w:rFonts w:hint="eastAsia" w:ascii="Times New Roman" w:hAnsi="Times New Roman" w:eastAsia="宋体" w:cs="宋体"/>
                <w:color w:val="auto"/>
                <w:sz w:val="24"/>
              </w:rPr>
              <w:t>）。一般防渗场区防渗层的性能应不低于</w:t>
            </w:r>
            <w:r>
              <w:rPr>
                <w:rFonts w:ascii="Times New Roman" w:hAnsi="Times New Roman" w:eastAsia="宋体" w:cs="Times New Roman"/>
                <w:color w:val="auto"/>
                <w:sz w:val="24"/>
              </w:rPr>
              <w:t>1.5m</w:t>
            </w:r>
            <w:r>
              <w:rPr>
                <w:rFonts w:hint="eastAsia" w:ascii="Times New Roman" w:hAnsi="Times New Roman" w:eastAsia="宋体" w:cs="宋体"/>
                <w:color w:val="auto"/>
                <w:sz w:val="24"/>
              </w:rPr>
              <w:t>厚渗透系数≤</w:t>
            </w:r>
            <w:r>
              <w:rPr>
                <w:rFonts w:ascii="Times New Roman" w:hAnsi="Times New Roman" w:eastAsia="宋体" w:cs="Times New Roman"/>
                <w:color w:val="auto"/>
                <w:sz w:val="24"/>
              </w:rPr>
              <w:t>1.0</w:t>
            </w:r>
            <w:r>
              <w:rPr>
                <w:rFonts w:hint="eastAsia" w:ascii="Times New Roman" w:hAnsi="Times New Roman" w:eastAsia="宋体" w:cs="宋体"/>
                <w:color w:val="auto"/>
                <w:sz w:val="24"/>
              </w:rPr>
              <w:t>×</w:t>
            </w:r>
            <w:r>
              <w:rPr>
                <w:rFonts w:ascii="Times New Roman" w:hAnsi="Times New Roman" w:eastAsia="宋体" w:cs="Times New Roman"/>
                <w:color w:val="auto"/>
                <w:sz w:val="24"/>
              </w:rPr>
              <w:t>10</w:t>
            </w:r>
            <w:r>
              <w:rPr>
                <w:rFonts w:ascii="Times New Roman" w:hAnsi="Times New Roman" w:eastAsia="宋体" w:cs="Times New Roman"/>
                <w:color w:val="auto"/>
                <w:sz w:val="24"/>
                <w:vertAlign w:val="superscript"/>
              </w:rPr>
              <w:t>-7</w:t>
            </w:r>
            <w:r>
              <w:rPr>
                <w:rFonts w:ascii="Times New Roman" w:hAnsi="Times New Roman" w:eastAsia="宋体" w:cs="Times New Roman"/>
                <w:color w:val="auto"/>
                <w:sz w:val="24"/>
              </w:rPr>
              <w:t>cm/s</w:t>
            </w:r>
            <w:r>
              <w:rPr>
                <w:rFonts w:hint="eastAsia" w:ascii="Times New Roman" w:hAnsi="Times New Roman" w:eastAsia="宋体" w:cs="宋体"/>
                <w:color w:val="auto"/>
                <w:sz w:val="24"/>
              </w:rPr>
              <w:t>的天然材料防渗结构或厚度不低于</w:t>
            </w:r>
            <w:r>
              <w:rPr>
                <w:rFonts w:ascii="Times New Roman" w:hAnsi="Times New Roman" w:eastAsia="宋体" w:cs="Times New Roman"/>
                <w:color w:val="auto"/>
                <w:sz w:val="24"/>
              </w:rPr>
              <w:t>1.5mm</w:t>
            </w:r>
            <w:r>
              <w:rPr>
                <w:rFonts w:hint="eastAsia" w:ascii="Times New Roman" w:hAnsi="Times New Roman" w:eastAsia="宋体" w:cs="宋体"/>
                <w:color w:val="auto"/>
                <w:sz w:val="24"/>
              </w:rPr>
              <w:t>厚的土工膜。</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B</w:t>
            </w:r>
            <w:r>
              <w:rPr>
                <w:rFonts w:hint="eastAsia" w:ascii="Times New Roman" w:hAnsi="Times New Roman" w:eastAsia="宋体" w:cs="宋体"/>
                <w:color w:val="auto"/>
                <w:sz w:val="24"/>
              </w:rPr>
              <w:t>、重点防渗区：对土壤和地下水环境有污染的物料或污染物泄漏后不易及时发现和处理的区域和部位。重点防渗区防渗层的性能应不低于</w:t>
            </w:r>
            <w:r>
              <w:rPr>
                <w:rFonts w:ascii="Times New Roman" w:hAnsi="Times New Roman" w:eastAsia="宋体" w:cs="Times New Roman"/>
                <w:color w:val="auto"/>
                <w:sz w:val="24"/>
              </w:rPr>
              <w:t>2m</w:t>
            </w:r>
            <w:r>
              <w:rPr>
                <w:rFonts w:hint="eastAsia" w:ascii="Times New Roman" w:hAnsi="Times New Roman" w:eastAsia="宋体" w:cs="宋体"/>
                <w:color w:val="auto"/>
                <w:sz w:val="24"/>
              </w:rPr>
              <w:t>厚渗透系数≤</w:t>
            </w:r>
            <w:r>
              <w:rPr>
                <w:rFonts w:ascii="Times New Roman" w:hAnsi="Times New Roman" w:eastAsia="宋体" w:cs="Times New Roman"/>
                <w:color w:val="auto"/>
                <w:sz w:val="24"/>
              </w:rPr>
              <w:t>1.0</w:t>
            </w:r>
            <w:r>
              <w:rPr>
                <w:rFonts w:hint="eastAsia" w:ascii="Times New Roman" w:hAnsi="Times New Roman" w:eastAsia="宋体" w:cs="宋体"/>
                <w:color w:val="auto"/>
                <w:sz w:val="24"/>
              </w:rPr>
              <w:t>×</w:t>
            </w:r>
            <w:r>
              <w:rPr>
                <w:rFonts w:ascii="Times New Roman" w:hAnsi="Times New Roman" w:eastAsia="宋体" w:cs="Times New Roman"/>
                <w:color w:val="auto"/>
                <w:sz w:val="24"/>
              </w:rPr>
              <w:t>10</w:t>
            </w:r>
            <w:r>
              <w:rPr>
                <w:rFonts w:ascii="Times New Roman" w:hAnsi="Times New Roman" w:eastAsia="宋体" w:cs="Times New Roman"/>
                <w:color w:val="auto"/>
                <w:sz w:val="24"/>
                <w:vertAlign w:val="superscript"/>
              </w:rPr>
              <w:t>-10</w:t>
            </w:r>
            <w:r>
              <w:rPr>
                <w:rFonts w:ascii="Times New Roman" w:hAnsi="Times New Roman" w:eastAsia="宋体" w:cs="Times New Roman"/>
                <w:color w:val="auto"/>
                <w:sz w:val="24"/>
              </w:rPr>
              <w:t>cm/s</w:t>
            </w:r>
            <w:r>
              <w:rPr>
                <w:rFonts w:hint="eastAsia" w:ascii="Times New Roman" w:hAnsi="Times New Roman" w:eastAsia="宋体" w:cs="宋体"/>
                <w:color w:val="auto"/>
                <w:sz w:val="24"/>
              </w:rPr>
              <w:t>的天然材料防渗结构或厚度不低于</w:t>
            </w:r>
            <w:r>
              <w:rPr>
                <w:rFonts w:ascii="Times New Roman" w:hAnsi="Times New Roman" w:eastAsia="宋体" w:cs="Times New Roman"/>
                <w:color w:val="auto"/>
                <w:sz w:val="24"/>
              </w:rPr>
              <w:t>1.5mm</w:t>
            </w:r>
            <w:r>
              <w:rPr>
                <w:rFonts w:hint="eastAsia" w:ascii="Times New Roman" w:hAnsi="Times New Roman" w:eastAsia="宋体" w:cs="宋体"/>
                <w:color w:val="auto"/>
                <w:sz w:val="24"/>
              </w:rPr>
              <w:t>的土工膜</w:t>
            </w:r>
            <w:r>
              <w:rPr>
                <w:rFonts w:ascii="Times New Roman" w:hAnsi="Times New Roman" w:eastAsia="宋体" w:cs="Times New Roman"/>
                <w:color w:val="auto"/>
                <w:sz w:val="24"/>
              </w:rPr>
              <w:t>+</w:t>
            </w:r>
            <w:r>
              <w:rPr>
                <w:rFonts w:hint="eastAsia" w:ascii="Times New Roman" w:hAnsi="Times New Roman" w:eastAsia="宋体" w:cs="宋体"/>
                <w:color w:val="auto"/>
                <w:sz w:val="24"/>
              </w:rPr>
              <w:t>厚度不低于</w:t>
            </w:r>
            <w:r>
              <w:rPr>
                <w:rFonts w:ascii="Times New Roman" w:hAnsi="Times New Roman" w:eastAsia="宋体" w:cs="Times New Roman"/>
                <w:color w:val="auto"/>
                <w:sz w:val="24"/>
              </w:rPr>
              <w:t>100mm</w:t>
            </w:r>
            <w:r>
              <w:rPr>
                <w:rFonts w:hint="eastAsia" w:ascii="Times New Roman" w:hAnsi="Times New Roman" w:eastAsia="宋体" w:cs="宋体"/>
                <w:color w:val="auto"/>
                <w:sz w:val="24"/>
              </w:rPr>
              <w:t>的抗渗混凝土（渗透系数≤</w:t>
            </w:r>
            <w:r>
              <w:rPr>
                <w:rFonts w:ascii="Times New Roman" w:hAnsi="Times New Roman" w:eastAsia="宋体" w:cs="Times New Roman"/>
                <w:color w:val="auto"/>
                <w:sz w:val="24"/>
              </w:rPr>
              <w:t>1.0</w:t>
            </w:r>
            <w:r>
              <w:rPr>
                <w:rFonts w:hint="eastAsia" w:ascii="Times New Roman" w:hAnsi="Times New Roman" w:eastAsia="宋体" w:cs="宋体"/>
                <w:color w:val="auto"/>
                <w:sz w:val="24"/>
              </w:rPr>
              <w:t>×</w:t>
            </w:r>
            <w:r>
              <w:rPr>
                <w:rFonts w:ascii="Times New Roman" w:hAnsi="Times New Roman" w:eastAsia="宋体" w:cs="Times New Roman"/>
                <w:color w:val="auto"/>
                <w:sz w:val="24"/>
              </w:rPr>
              <w:t>10</w:t>
            </w:r>
            <w:r>
              <w:rPr>
                <w:rFonts w:ascii="Times New Roman" w:hAnsi="Times New Roman" w:eastAsia="宋体" w:cs="Times New Roman"/>
                <w:color w:val="auto"/>
                <w:sz w:val="24"/>
                <w:vertAlign w:val="superscript"/>
              </w:rPr>
              <w:t>-10</w:t>
            </w:r>
            <w:r>
              <w:rPr>
                <w:rFonts w:ascii="Times New Roman" w:hAnsi="Times New Roman" w:eastAsia="宋体" w:cs="Times New Roman"/>
                <w:color w:val="auto"/>
                <w:sz w:val="24"/>
              </w:rPr>
              <w:t>cm/s</w:t>
            </w:r>
            <w:r>
              <w:rPr>
                <w:rFonts w:hint="eastAsia" w:ascii="Times New Roman" w:hAnsi="Times New Roman" w:eastAsia="宋体" w:cs="宋体"/>
                <w:color w:val="auto"/>
                <w:sz w:val="24"/>
              </w:rPr>
              <w:t>）。</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宋体"/>
                <w:color w:val="auto"/>
                <w:sz w:val="24"/>
              </w:rPr>
              <w:t>确定本项目污染防治分区情况详见下表。</w:t>
            </w:r>
          </w:p>
          <w:p>
            <w:pPr>
              <w:spacing w:line="360" w:lineRule="auto"/>
              <w:jc w:val="center"/>
              <w:rPr>
                <w:rFonts w:ascii="Times New Roman" w:hAnsi="Times New Roman" w:eastAsia="宋体" w:cs="Times New Roman"/>
                <w:color w:val="auto"/>
                <w:sz w:val="22"/>
                <w:szCs w:val="22"/>
              </w:rPr>
            </w:pPr>
            <w:r>
              <w:rPr>
                <w:rFonts w:hint="eastAsia" w:ascii="Times New Roman" w:hAnsi="Times New Roman" w:eastAsia="宋体" w:cs="宋体"/>
                <w:color w:val="auto"/>
                <w:sz w:val="22"/>
                <w:szCs w:val="22"/>
              </w:rPr>
              <w:t>表</w:t>
            </w:r>
            <w:r>
              <w:rPr>
                <w:rFonts w:ascii="Times New Roman" w:hAnsi="Times New Roman" w:eastAsia="宋体" w:cs="Times New Roman"/>
                <w:color w:val="auto"/>
                <w:sz w:val="22"/>
                <w:szCs w:val="22"/>
              </w:rPr>
              <w:t>4-1</w:t>
            </w:r>
            <w:r>
              <w:rPr>
                <w:rFonts w:hint="eastAsia" w:ascii="Times New Roman" w:hAnsi="Times New Roman" w:eastAsia="宋体" w:cs="Times New Roman"/>
                <w:color w:val="auto"/>
                <w:sz w:val="22"/>
                <w:szCs w:val="22"/>
                <w:lang w:val="en-US" w:eastAsia="zh-CN"/>
              </w:rPr>
              <w:t>5</w:t>
            </w:r>
            <w:r>
              <w:rPr>
                <w:rFonts w:ascii="Times New Roman" w:hAnsi="Times New Roman" w:eastAsia="宋体" w:cs="Times New Roman"/>
                <w:color w:val="auto"/>
                <w:sz w:val="22"/>
                <w:szCs w:val="22"/>
              </w:rPr>
              <w:t xml:space="preserve"> </w:t>
            </w:r>
            <w:r>
              <w:rPr>
                <w:rFonts w:hint="eastAsia" w:ascii="Times New Roman" w:hAnsi="Times New Roman" w:eastAsia="宋体" w:cs="宋体"/>
                <w:color w:val="auto"/>
                <w:sz w:val="22"/>
                <w:szCs w:val="22"/>
              </w:rPr>
              <w:t>地下水、土壤污染防治分区情况表</w:t>
            </w:r>
          </w:p>
          <w:tbl>
            <w:tblPr>
              <w:tblStyle w:val="36"/>
              <w:tblW w:w="7999"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90"/>
              <w:gridCol w:w="5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宋体"/>
                      <w:color w:val="auto"/>
                      <w:sz w:val="22"/>
                      <w:szCs w:val="22"/>
                    </w:rPr>
                    <w:t>重点污染防渗区</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2"/>
                      <w:szCs w:val="22"/>
                      <w:lang w:eastAsia="zh-CN"/>
                    </w:rPr>
                  </w:pPr>
                  <w:r>
                    <w:rPr>
                      <w:rFonts w:hint="eastAsia" w:ascii="Times New Roman" w:hAnsi="Times New Roman" w:eastAsia="宋体" w:cs="宋体"/>
                      <w:color w:val="auto"/>
                      <w:sz w:val="22"/>
                      <w:szCs w:val="22"/>
                    </w:rPr>
                    <w:t>污水管线（依托）、化粪池（依托）</w:t>
                  </w:r>
                  <w:r>
                    <w:rPr>
                      <w:rFonts w:hint="eastAsia" w:ascii="Times New Roman" w:hAnsi="Times New Roman" w:eastAsia="宋体" w:cs="宋体"/>
                      <w:color w:val="auto"/>
                      <w:sz w:val="22"/>
                      <w:szCs w:val="22"/>
                      <w:lang w:eastAsia="zh-CN"/>
                    </w:rPr>
                    <w:t>、危废间（新建）</w:t>
                  </w:r>
                </w:p>
              </w:tc>
              <w:tc>
                <w:tcPr>
                  <w:tcW w:w="57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宋体"/>
                      <w:color w:val="auto"/>
                      <w:sz w:val="22"/>
                      <w:szCs w:val="22"/>
                    </w:rPr>
                    <w:t>防渗层需满足等效黏土防水层</w:t>
                  </w:r>
                  <w:r>
                    <w:rPr>
                      <w:rFonts w:ascii="Times New Roman" w:hAnsi="Times New Roman" w:eastAsia="宋体" w:cs="Times New Roman"/>
                      <w:color w:val="auto"/>
                      <w:sz w:val="22"/>
                      <w:szCs w:val="22"/>
                    </w:rPr>
                    <w:t>Mb</w:t>
                  </w:r>
                  <w:r>
                    <w:rPr>
                      <w:rFonts w:hint="eastAsia" w:ascii="Times New Roman" w:hAnsi="Times New Roman" w:eastAsia="宋体" w:cs="宋体"/>
                      <w:color w:val="auto"/>
                      <w:sz w:val="22"/>
                      <w:szCs w:val="22"/>
                    </w:rPr>
                    <w:t>≥</w:t>
                  </w:r>
                  <w:r>
                    <w:rPr>
                      <w:rFonts w:ascii="Times New Roman" w:hAnsi="Times New Roman" w:eastAsia="宋体" w:cs="Times New Roman"/>
                      <w:color w:val="auto"/>
                      <w:sz w:val="22"/>
                      <w:szCs w:val="22"/>
                    </w:rPr>
                    <w:t>6.0m</w:t>
                  </w:r>
                  <w:r>
                    <w:rPr>
                      <w:rFonts w:hint="eastAsia" w:ascii="Times New Roman" w:hAnsi="Times New Roman" w:eastAsia="宋体" w:cs="宋体"/>
                      <w:color w:val="auto"/>
                      <w:sz w:val="22"/>
                      <w:szCs w:val="22"/>
                    </w:rPr>
                    <w:t>，</w:t>
                  </w:r>
                  <w:r>
                    <w:rPr>
                      <w:rFonts w:ascii="Times New Roman" w:hAnsi="Times New Roman" w:eastAsia="宋体" w:cs="Times New Roman"/>
                      <w:color w:val="auto"/>
                      <w:sz w:val="22"/>
                      <w:szCs w:val="22"/>
                    </w:rPr>
                    <w:t>K</w:t>
                  </w:r>
                  <w:r>
                    <w:rPr>
                      <w:rFonts w:hint="eastAsia" w:ascii="Times New Roman" w:hAnsi="Times New Roman" w:eastAsia="宋体" w:cs="宋体"/>
                      <w:color w:val="auto"/>
                      <w:sz w:val="22"/>
                      <w:szCs w:val="22"/>
                    </w:rPr>
                    <w:t>≤</w:t>
                  </w:r>
                  <w:r>
                    <w:rPr>
                      <w:rFonts w:ascii="Times New Roman" w:hAnsi="Times New Roman" w:eastAsia="宋体" w:cs="Times New Roman"/>
                      <w:color w:val="auto"/>
                      <w:sz w:val="22"/>
                      <w:szCs w:val="22"/>
                    </w:rPr>
                    <w:t>1.0</w:t>
                  </w:r>
                  <w:r>
                    <w:rPr>
                      <w:rFonts w:hint="eastAsia" w:ascii="Times New Roman" w:hAnsi="Times New Roman" w:eastAsia="宋体" w:cs="宋体"/>
                      <w:color w:val="auto"/>
                      <w:sz w:val="22"/>
                      <w:szCs w:val="22"/>
                    </w:rPr>
                    <w:t>×</w:t>
                  </w:r>
                  <w:r>
                    <w:rPr>
                      <w:rFonts w:ascii="Times New Roman" w:hAnsi="Times New Roman" w:eastAsia="宋体" w:cs="Times New Roman"/>
                      <w:color w:val="auto"/>
                      <w:sz w:val="22"/>
                      <w:szCs w:val="22"/>
                    </w:rPr>
                    <w:t>10</w:t>
                  </w:r>
                  <w:r>
                    <w:rPr>
                      <w:rFonts w:ascii="Times New Roman" w:hAnsi="Times New Roman" w:eastAsia="宋体" w:cs="Times New Roman"/>
                      <w:color w:val="auto"/>
                      <w:sz w:val="22"/>
                      <w:szCs w:val="22"/>
                      <w:vertAlign w:val="superscript"/>
                    </w:rPr>
                    <w:t>-7</w:t>
                  </w:r>
                  <w:r>
                    <w:rPr>
                      <w:rFonts w:ascii="Times New Roman" w:hAnsi="Times New Roman" w:eastAsia="宋体" w:cs="Times New Roman"/>
                      <w:color w:val="auto"/>
                      <w:sz w:val="22"/>
                      <w:szCs w:val="22"/>
                    </w:rPr>
                    <w:t>cm/s</w:t>
                  </w:r>
                  <w:r>
                    <w:rPr>
                      <w:rFonts w:hint="eastAsia" w:ascii="Times New Roman" w:hAnsi="Times New Roman" w:eastAsia="宋体" w:cs="宋体"/>
                      <w:color w:val="auto"/>
                      <w:sz w:val="22"/>
                      <w:szCs w:val="22"/>
                    </w:rPr>
                    <w:t>；或参照《危险废物贮存污染控制标准》（</w:t>
                  </w:r>
                  <w:r>
                    <w:rPr>
                      <w:rFonts w:ascii="Times New Roman" w:hAnsi="Times New Roman" w:eastAsia="宋体" w:cs="Times New Roman"/>
                      <w:color w:val="auto"/>
                      <w:sz w:val="22"/>
                      <w:szCs w:val="22"/>
                    </w:rPr>
                    <w:t>GB18597-2001</w:t>
                  </w:r>
                  <w:r>
                    <w:rPr>
                      <w:rFonts w:hint="eastAsia" w:ascii="Times New Roman" w:hAnsi="Times New Roman" w:eastAsia="宋体" w:cs="宋体"/>
                      <w:color w:val="auto"/>
                      <w:sz w:val="22"/>
                      <w:szCs w:val="22"/>
                    </w:rPr>
                    <w:t>）中对防渗层的要求为“人工合成材料衬层可以采用高密度聚乙烯（</w:t>
                  </w:r>
                  <w:r>
                    <w:rPr>
                      <w:rFonts w:ascii="Times New Roman" w:hAnsi="Times New Roman" w:eastAsia="宋体" w:cs="Times New Roman"/>
                      <w:color w:val="auto"/>
                      <w:sz w:val="22"/>
                      <w:szCs w:val="22"/>
                    </w:rPr>
                    <w:t>HDPE</w:t>
                  </w:r>
                  <w:r>
                    <w:rPr>
                      <w:rFonts w:hint="eastAsia" w:ascii="Times New Roman" w:hAnsi="Times New Roman" w:eastAsia="宋体" w:cs="宋体"/>
                      <w:color w:val="auto"/>
                      <w:sz w:val="22"/>
                      <w:szCs w:val="22"/>
                    </w:rPr>
                    <w:t>），其渗透系数不大于</w:t>
                  </w:r>
                  <w:r>
                    <w:rPr>
                      <w:rFonts w:ascii="Times New Roman" w:hAnsi="Times New Roman" w:eastAsia="宋体" w:cs="Times New Roman"/>
                      <w:color w:val="auto"/>
                      <w:sz w:val="22"/>
                      <w:szCs w:val="22"/>
                    </w:rPr>
                    <w:t>10</w:t>
                  </w:r>
                  <w:r>
                    <w:rPr>
                      <w:rFonts w:ascii="Times New Roman" w:hAnsi="Times New Roman" w:eastAsia="宋体" w:cs="Times New Roman"/>
                      <w:color w:val="auto"/>
                      <w:sz w:val="22"/>
                      <w:szCs w:val="22"/>
                      <w:vertAlign w:val="superscript"/>
                    </w:rPr>
                    <w:t>-10</w:t>
                  </w:r>
                  <w:r>
                    <w:rPr>
                      <w:rFonts w:ascii="Times New Roman" w:hAnsi="Times New Roman" w:eastAsia="宋体" w:cs="Times New Roman"/>
                      <w:color w:val="auto"/>
                      <w:sz w:val="22"/>
                      <w:szCs w:val="22"/>
                    </w:rPr>
                    <w:t>cm/s</w:t>
                  </w:r>
                  <w:r>
                    <w:rPr>
                      <w:rFonts w:hint="eastAsia" w:ascii="Times New Roman" w:hAnsi="Times New Roman" w:eastAsia="宋体" w:cs="宋体"/>
                      <w:color w:val="auto"/>
                      <w:sz w:val="22"/>
                      <w:szCs w:val="22"/>
                    </w:rPr>
                    <w:t>，厚度不小于</w:t>
                  </w:r>
                  <w:r>
                    <w:rPr>
                      <w:rFonts w:ascii="Times New Roman" w:hAnsi="Times New Roman" w:eastAsia="宋体" w:cs="Times New Roman"/>
                      <w:color w:val="auto"/>
                      <w:sz w:val="22"/>
                      <w:szCs w:val="22"/>
                    </w:rPr>
                    <w:t>1.5mm</w:t>
                  </w:r>
                  <w:r>
                    <w:rPr>
                      <w:rFonts w:hint="eastAsia" w:ascii="Times New Roman" w:hAnsi="Times New Roman" w:eastAsia="宋体" w:cs="宋体"/>
                      <w:color w:val="auto"/>
                      <w:sz w:val="22"/>
                      <w:szCs w:val="22"/>
                    </w:rPr>
                    <w:t>”。建议防渗层的设置必须达到“双人工衬层，且人工衬层的材料渗透系数不大于</w:t>
                  </w:r>
                  <w:r>
                    <w:rPr>
                      <w:rFonts w:ascii="Times New Roman" w:hAnsi="Times New Roman" w:eastAsia="宋体" w:cs="Times New Roman"/>
                      <w:color w:val="auto"/>
                      <w:sz w:val="22"/>
                      <w:szCs w:val="22"/>
                    </w:rPr>
                    <w:t>10</w:t>
                  </w:r>
                  <w:r>
                    <w:rPr>
                      <w:rFonts w:ascii="Times New Roman" w:hAnsi="Times New Roman" w:eastAsia="宋体" w:cs="Times New Roman"/>
                      <w:color w:val="auto"/>
                      <w:sz w:val="22"/>
                      <w:szCs w:val="22"/>
                      <w:vertAlign w:val="superscript"/>
                    </w:rPr>
                    <w:t>-10</w:t>
                  </w:r>
                  <w:r>
                    <w:rPr>
                      <w:rFonts w:ascii="Times New Roman" w:hAnsi="Times New Roman" w:eastAsia="宋体" w:cs="Times New Roman"/>
                      <w:color w:val="auto"/>
                      <w:sz w:val="22"/>
                      <w:szCs w:val="22"/>
                    </w:rPr>
                    <w:t>cm/s</w:t>
                  </w:r>
                  <w:r>
                    <w:rPr>
                      <w:rFonts w:hint="eastAsia" w:ascii="Times New Roman" w:hAnsi="Times New Roman" w:eastAsia="宋体" w:cs="宋体"/>
                      <w:color w:val="auto"/>
                      <w:sz w:val="22"/>
                      <w:szCs w:val="22"/>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宋体"/>
                      <w:color w:val="auto"/>
                      <w:sz w:val="22"/>
                      <w:szCs w:val="22"/>
                    </w:rPr>
                    <w:t>一般污染防渗区</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2"/>
                      <w:szCs w:val="22"/>
                    </w:rPr>
                  </w:pPr>
                  <w:r>
                    <w:rPr>
                      <w:rFonts w:hint="eastAsia" w:ascii="Times New Roman" w:hAnsi="Times New Roman" w:eastAsia="宋体" w:cs="宋体"/>
                      <w:color w:val="auto"/>
                      <w:sz w:val="22"/>
                      <w:szCs w:val="22"/>
                    </w:rPr>
                    <w:t>生产车间、办公区及其他区域（依托）</w:t>
                  </w:r>
                </w:p>
              </w:tc>
              <w:tc>
                <w:tcPr>
                  <w:tcW w:w="57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宋体"/>
                      <w:color w:val="auto"/>
                      <w:sz w:val="22"/>
                      <w:szCs w:val="22"/>
                    </w:rPr>
                    <w:t>防渗层需满足等效黏土防水层</w:t>
                  </w:r>
                  <w:r>
                    <w:rPr>
                      <w:rFonts w:ascii="Times New Roman" w:hAnsi="Times New Roman" w:eastAsia="宋体" w:cs="Times New Roman"/>
                      <w:color w:val="auto"/>
                      <w:sz w:val="22"/>
                      <w:szCs w:val="22"/>
                    </w:rPr>
                    <w:t>Mb</w:t>
                  </w:r>
                  <w:r>
                    <w:rPr>
                      <w:rFonts w:hint="eastAsia" w:ascii="Times New Roman" w:hAnsi="Times New Roman" w:eastAsia="宋体" w:cs="宋体"/>
                      <w:color w:val="auto"/>
                      <w:sz w:val="22"/>
                      <w:szCs w:val="22"/>
                    </w:rPr>
                    <w:t>≥</w:t>
                  </w:r>
                  <w:r>
                    <w:rPr>
                      <w:rFonts w:ascii="Times New Roman" w:hAnsi="Times New Roman" w:eastAsia="宋体" w:cs="Times New Roman"/>
                      <w:color w:val="auto"/>
                      <w:sz w:val="22"/>
                      <w:szCs w:val="22"/>
                    </w:rPr>
                    <w:t>1.5m</w:t>
                  </w:r>
                  <w:r>
                    <w:rPr>
                      <w:rFonts w:hint="eastAsia" w:ascii="Times New Roman" w:hAnsi="Times New Roman" w:eastAsia="宋体" w:cs="宋体"/>
                      <w:color w:val="auto"/>
                      <w:sz w:val="22"/>
                      <w:szCs w:val="22"/>
                    </w:rPr>
                    <w:t>，</w:t>
                  </w:r>
                  <w:r>
                    <w:rPr>
                      <w:rFonts w:ascii="Times New Roman" w:hAnsi="Times New Roman" w:eastAsia="宋体" w:cs="Times New Roman"/>
                      <w:color w:val="auto"/>
                      <w:sz w:val="22"/>
                      <w:szCs w:val="22"/>
                    </w:rPr>
                    <w:t>K</w:t>
                  </w:r>
                  <w:r>
                    <w:rPr>
                      <w:rFonts w:hint="eastAsia" w:ascii="Times New Roman" w:hAnsi="Times New Roman" w:eastAsia="宋体" w:cs="宋体"/>
                      <w:color w:val="auto"/>
                      <w:sz w:val="22"/>
                      <w:szCs w:val="22"/>
                    </w:rPr>
                    <w:t>≤</w:t>
                  </w:r>
                  <w:r>
                    <w:rPr>
                      <w:rFonts w:ascii="Times New Roman" w:hAnsi="Times New Roman" w:eastAsia="宋体" w:cs="Times New Roman"/>
                      <w:color w:val="auto"/>
                      <w:sz w:val="22"/>
                      <w:szCs w:val="22"/>
                    </w:rPr>
                    <w:t>1.0</w:t>
                  </w:r>
                  <w:r>
                    <w:rPr>
                      <w:rFonts w:hint="eastAsia" w:ascii="Times New Roman" w:hAnsi="Times New Roman" w:eastAsia="宋体" w:cs="宋体"/>
                      <w:color w:val="auto"/>
                      <w:sz w:val="22"/>
                      <w:szCs w:val="22"/>
                    </w:rPr>
                    <w:t>×</w:t>
                  </w:r>
                  <w:r>
                    <w:rPr>
                      <w:rFonts w:ascii="Times New Roman" w:hAnsi="Times New Roman" w:eastAsia="宋体" w:cs="Times New Roman"/>
                      <w:color w:val="auto"/>
                      <w:sz w:val="22"/>
                      <w:szCs w:val="22"/>
                    </w:rPr>
                    <w:t>10</w:t>
                  </w:r>
                  <w:r>
                    <w:rPr>
                      <w:rFonts w:ascii="Times New Roman" w:hAnsi="Times New Roman" w:eastAsia="宋体" w:cs="Times New Roman"/>
                      <w:color w:val="auto"/>
                      <w:sz w:val="22"/>
                      <w:szCs w:val="22"/>
                      <w:vertAlign w:val="superscript"/>
                    </w:rPr>
                    <w:t>-7</w:t>
                  </w:r>
                  <w:r>
                    <w:rPr>
                      <w:rFonts w:ascii="Times New Roman" w:hAnsi="Times New Roman" w:eastAsia="宋体" w:cs="Times New Roman"/>
                      <w:color w:val="auto"/>
                      <w:sz w:val="22"/>
                      <w:szCs w:val="22"/>
                    </w:rPr>
                    <w:t>cm/s</w:t>
                  </w:r>
                  <w:r>
                    <w:rPr>
                      <w:rFonts w:hint="eastAsia" w:ascii="Times New Roman" w:hAnsi="Times New Roman" w:eastAsia="宋体" w:cs="宋体"/>
                      <w:color w:val="auto"/>
                      <w:sz w:val="22"/>
                      <w:szCs w:val="22"/>
                    </w:rPr>
                    <w:t>；或参照《一般工业固体废弃物贮存和填埋污染控制标准》（</w:t>
                  </w:r>
                  <w:r>
                    <w:rPr>
                      <w:rFonts w:ascii="Times New Roman" w:hAnsi="Times New Roman" w:eastAsia="宋体" w:cs="Times New Roman"/>
                      <w:color w:val="auto"/>
                      <w:sz w:val="22"/>
                      <w:szCs w:val="22"/>
                    </w:rPr>
                    <w:t>GB18599-2020</w:t>
                  </w:r>
                  <w:r>
                    <w:rPr>
                      <w:rFonts w:hint="eastAsia" w:ascii="Times New Roman" w:hAnsi="Times New Roman" w:eastAsia="宋体" w:cs="宋体"/>
                      <w:color w:val="auto"/>
                      <w:sz w:val="22"/>
                      <w:szCs w:val="22"/>
                    </w:rPr>
                    <w:t>）的要求：“当天然基础层的渗透系统大于</w:t>
                  </w:r>
                  <w:r>
                    <w:rPr>
                      <w:rFonts w:ascii="Times New Roman" w:hAnsi="Times New Roman" w:eastAsia="宋体" w:cs="Times New Roman"/>
                      <w:color w:val="auto"/>
                      <w:sz w:val="22"/>
                      <w:szCs w:val="22"/>
                    </w:rPr>
                    <w:t>1.0</w:t>
                  </w:r>
                  <w:r>
                    <w:rPr>
                      <w:rFonts w:hint="eastAsia" w:ascii="Times New Roman" w:hAnsi="Times New Roman" w:eastAsia="宋体" w:cs="宋体"/>
                      <w:color w:val="auto"/>
                      <w:sz w:val="22"/>
                      <w:szCs w:val="22"/>
                    </w:rPr>
                    <w:t>×</w:t>
                  </w:r>
                  <w:r>
                    <w:rPr>
                      <w:rFonts w:ascii="Times New Roman" w:hAnsi="Times New Roman" w:eastAsia="宋体" w:cs="Times New Roman"/>
                      <w:color w:val="auto"/>
                      <w:sz w:val="22"/>
                      <w:szCs w:val="22"/>
                    </w:rPr>
                    <w:t>10</w:t>
                  </w:r>
                  <w:r>
                    <w:rPr>
                      <w:rFonts w:ascii="Times New Roman" w:hAnsi="Times New Roman" w:eastAsia="宋体" w:cs="Times New Roman"/>
                      <w:color w:val="auto"/>
                      <w:sz w:val="22"/>
                      <w:szCs w:val="22"/>
                      <w:vertAlign w:val="superscript"/>
                    </w:rPr>
                    <w:t>-7</w:t>
                  </w:r>
                  <w:r>
                    <w:rPr>
                      <w:rFonts w:ascii="Times New Roman" w:hAnsi="Times New Roman" w:eastAsia="宋体" w:cs="Times New Roman"/>
                      <w:color w:val="auto"/>
                      <w:sz w:val="22"/>
                      <w:szCs w:val="22"/>
                    </w:rPr>
                    <w:t>cm/s</w:t>
                  </w:r>
                  <w:r>
                    <w:rPr>
                      <w:rFonts w:hint="eastAsia" w:ascii="Times New Roman" w:hAnsi="Times New Roman" w:eastAsia="宋体" w:cs="宋体"/>
                      <w:color w:val="auto"/>
                      <w:sz w:val="22"/>
                      <w:szCs w:val="22"/>
                    </w:rPr>
                    <w:t>时，应采用天然或人工材料构筑防渗层，防渗层的厚度应相当于渗透系数</w:t>
                  </w:r>
                  <w:r>
                    <w:rPr>
                      <w:rFonts w:ascii="Times New Roman" w:hAnsi="Times New Roman" w:eastAsia="宋体" w:cs="Times New Roman"/>
                      <w:color w:val="auto"/>
                      <w:sz w:val="22"/>
                      <w:szCs w:val="22"/>
                    </w:rPr>
                    <w:t>1.0</w:t>
                  </w:r>
                  <w:r>
                    <w:rPr>
                      <w:rFonts w:hint="eastAsia" w:ascii="Times New Roman" w:hAnsi="Times New Roman" w:eastAsia="宋体" w:cs="宋体"/>
                      <w:color w:val="auto"/>
                      <w:sz w:val="22"/>
                      <w:szCs w:val="22"/>
                    </w:rPr>
                    <w:t>×</w:t>
                  </w:r>
                  <w:r>
                    <w:rPr>
                      <w:rFonts w:ascii="Times New Roman" w:hAnsi="Times New Roman" w:eastAsia="宋体" w:cs="Times New Roman"/>
                      <w:color w:val="auto"/>
                      <w:sz w:val="22"/>
                      <w:szCs w:val="22"/>
                    </w:rPr>
                    <w:t>10</w:t>
                  </w:r>
                  <w:r>
                    <w:rPr>
                      <w:rFonts w:ascii="Times New Roman" w:hAnsi="Times New Roman" w:eastAsia="宋体" w:cs="Times New Roman"/>
                      <w:color w:val="auto"/>
                      <w:sz w:val="22"/>
                      <w:szCs w:val="22"/>
                      <w:vertAlign w:val="superscript"/>
                    </w:rPr>
                    <w:t>-7</w:t>
                  </w:r>
                  <w:r>
                    <w:rPr>
                      <w:rFonts w:ascii="Times New Roman" w:hAnsi="Times New Roman" w:eastAsia="宋体" w:cs="Times New Roman"/>
                      <w:color w:val="auto"/>
                      <w:sz w:val="22"/>
                      <w:szCs w:val="22"/>
                    </w:rPr>
                    <w:t>cm/s</w:t>
                  </w:r>
                  <w:r>
                    <w:rPr>
                      <w:rFonts w:hint="eastAsia" w:ascii="Times New Roman" w:hAnsi="Times New Roman" w:eastAsia="宋体" w:cs="宋体"/>
                      <w:color w:val="auto"/>
                      <w:sz w:val="22"/>
                      <w:szCs w:val="22"/>
                    </w:rPr>
                    <w:t>和厚度</w:t>
                  </w:r>
                  <w:r>
                    <w:rPr>
                      <w:rFonts w:ascii="Times New Roman" w:hAnsi="Times New Roman" w:eastAsia="宋体" w:cs="Times New Roman"/>
                      <w:color w:val="auto"/>
                      <w:sz w:val="22"/>
                      <w:szCs w:val="22"/>
                    </w:rPr>
                    <w:t>1.5m</w:t>
                  </w:r>
                  <w:r>
                    <w:rPr>
                      <w:rFonts w:hint="eastAsia" w:ascii="Times New Roman" w:hAnsi="Times New Roman" w:eastAsia="宋体" w:cs="宋体"/>
                      <w:color w:val="auto"/>
                      <w:sz w:val="22"/>
                      <w:szCs w:val="22"/>
                    </w:rPr>
                    <w:t>的粘土层的防渗性能”。</w:t>
                  </w:r>
                </w:p>
              </w:tc>
            </w:tr>
          </w:tbl>
          <w:p>
            <w:pPr>
              <w:spacing w:beforeLines="100" w:line="360" w:lineRule="auto"/>
              <w:ind w:left="479" w:leftChars="228" w:firstLine="0" w:firstLineChars="0"/>
              <w:jc w:val="left"/>
              <w:rPr>
                <w:rStyle w:val="80"/>
                <w:b w:val="0"/>
                <w:bCs w:val="0"/>
                <w:color w:val="auto"/>
                <w:highlight w:val="none"/>
              </w:rPr>
            </w:pPr>
            <w:r>
              <w:rPr>
                <w:rStyle w:val="80"/>
                <w:b w:val="0"/>
                <w:bCs w:val="0"/>
                <w:color w:val="auto"/>
                <w:highlight w:val="none"/>
              </w:rPr>
              <w:t>6</w:t>
            </w:r>
            <w:r>
              <w:rPr>
                <w:rStyle w:val="80"/>
                <w:rFonts w:hint="eastAsia"/>
                <w:b w:val="0"/>
                <w:bCs w:val="0"/>
                <w:color w:val="auto"/>
                <w:highlight w:val="none"/>
              </w:rPr>
              <w:t>、</w:t>
            </w:r>
            <w:r>
              <w:rPr>
                <w:rStyle w:val="80"/>
                <w:rFonts w:hint="eastAsia" w:cs="宋体"/>
                <w:b w:val="0"/>
                <w:bCs w:val="0"/>
                <w:color w:val="auto"/>
                <w:highlight w:val="none"/>
              </w:rPr>
              <w:t>环境风险</w:t>
            </w:r>
          </w:p>
          <w:p>
            <w:pPr>
              <w:pStyle w:val="8"/>
              <w:spacing w:before="0" w:after="0" w:line="360" w:lineRule="auto"/>
              <w:ind w:firstLine="480" w:firstLineChars="200"/>
              <w:rPr>
                <w:rStyle w:val="80"/>
                <w:rFonts w:ascii="Times New Roman" w:hAnsi="Times New Roman" w:cs="Times New Roman"/>
                <w:b w:val="0"/>
                <w:bCs w:val="0"/>
                <w:color w:val="auto"/>
                <w:highlight w:val="none"/>
              </w:rPr>
            </w:pPr>
            <w:r>
              <w:rPr>
                <w:rStyle w:val="80"/>
                <w:rFonts w:ascii="Times New Roman" w:hAnsi="Times New Roman" w:cs="Times New Roman"/>
                <w:b w:val="0"/>
                <w:bCs w:val="0"/>
                <w:color w:val="auto"/>
                <w:highlight w:val="none"/>
              </w:rPr>
              <w:t>6.1</w:t>
            </w:r>
            <w:r>
              <w:rPr>
                <w:rStyle w:val="80"/>
                <w:rFonts w:hint="eastAsia" w:ascii="Times New Roman" w:hAnsi="Times New Roman" w:cs="宋体"/>
                <w:b w:val="0"/>
                <w:bCs w:val="0"/>
                <w:color w:val="auto"/>
                <w:highlight w:val="none"/>
              </w:rPr>
              <w:t>环境风险物质识别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根据《建设项目环境风险评价技术导则》（HJ/T169-2018）附录 B有关资料对本项目主要原料及产品的毒性及其风险危害特性进行识别，本项目无环境风险物质，本项目Q＜1，则本项目环境风险潜势为Ⅰ，仅需要对项目环境风险进行简单分析。</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Times New Roman" w:hAnsi="Times New Roman" w:eastAsia="宋体"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 xml:space="preserve">    </w:t>
            </w:r>
            <w:r>
              <w:rPr>
                <w:rFonts w:hint="eastAsia" w:ascii="Times New Roman" w:hAnsi="Times New Roman" w:eastAsia="宋体" w:cs="Times New Roman"/>
                <w:b w:val="0"/>
                <w:bCs/>
                <w:color w:val="auto"/>
                <w:kern w:val="2"/>
                <w:sz w:val="24"/>
                <w:szCs w:val="24"/>
                <w:highlight w:val="none"/>
                <w:lang w:val="en-US" w:eastAsia="zh-CN" w:bidi="ar-SA"/>
              </w:rPr>
              <w:t>6.2环境风险源分布：</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eastAsia"/>
                <w:color w:val="auto"/>
                <w:kern w:val="0"/>
                <w:sz w:val="24"/>
                <w:szCs w:val="24"/>
                <w:highlight w:val="none"/>
                <w:lang w:val="en-US" w:eastAsia="zh-CN" w:bidi="ar"/>
              </w:rPr>
            </w:pPr>
            <w:r>
              <w:rPr>
                <w:rFonts w:hint="eastAsia"/>
                <w:color w:val="auto"/>
                <w:kern w:val="0"/>
                <w:sz w:val="24"/>
                <w:szCs w:val="24"/>
                <w:highlight w:val="none"/>
                <w:lang w:eastAsia="zh-CN" w:bidi="ar"/>
              </w:rPr>
              <w:t>（</w:t>
            </w:r>
            <w:r>
              <w:rPr>
                <w:rFonts w:hint="eastAsia"/>
                <w:color w:val="auto"/>
                <w:kern w:val="0"/>
                <w:sz w:val="24"/>
                <w:szCs w:val="24"/>
                <w:highlight w:val="none"/>
                <w:lang w:val="en-US" w:eastAsia="zh-CN" w:bidi="ar"/>
              </w:rPr>
              <w:t>1</w:t>
            </w:r>
            <w:r>
              <w:rPr>
                <w:rFonts w:hint="eastAsia"/>
                <w:color w:val="auto"/>
                <w:kern w:val="0"/>
                <w:sz w:val="24"/>
                <w:szCs w:val="24"/>
                <w:highlight w:val="none"/>
                <w:lang w:eastAsia="zh-CN" w:bidi="ar"/>
              </w:rPr>
              <w:t>）</w:t>
            </w:r>
            <w:r>
              <w:rPr>
                <w:rFonts w:hint="eastAsia"/>
                <w:color w:val="auto"/>
                <w:kern w:val="0"/>
                <w:sz w:val="24"/>
                <w:szCs w:val="24"/>
                <w:highlight w:val="none"/>
                <w:lang w:val="en-US" w:eastAsia="zh-CN" w:bidi="ar"/>
              </w:rPr>
              <w:t>电气设备故障引起的火灾</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eastAsia" w:eastAsia="宋体"/>
                <w:color w:val="auto"/>
                <w:kern w:val="0"/>
                <w:sz w:val="24"/>
                <w:szCs w:val="24"/>
                <w:highlight w:val="none"/>
                <w:lang w:eastAsia="zh-CN" w:bidi="ar"/>
              </w:rPr>
            </w:pPr>
            <w:r>
              <w:rPr>
                <w:rFonts w:hint="eastAsia"/>
                <w:color w:val="auto"/>
                <w:kern w:val="0"/>
                <w:sz w:val="24"/>
                <w:szCs w:val="24"/>
                <w:highlight w:val="none"/>
                <w:lang w:bidi="ar"/>
              </w:rPr>
              <w:t>企业员工在厂区生产过程中不慎造成电气设备故障等，可能引起火灾</w:t>
            </w:r>
            <w:r>
              <w:rPr>
                <w:rFonts w:hint="eastAsia"/>
                <w:color w:val="auto"/>
                <w:kern w:val="0"/>
                <w:sz w:val="24"/>
                <w:szCs w:val="24"/>
                <w:highlight w:val="none"/>
                <w:lang w:eastAsia="zh-CN" w:bidi="ar"/>
              </w:rPr>
              <w:t>，</w:t>
            </w:r>
            <w:r>
              <w:rPr>
                <w:rFonts w:hint="eastAsia"/>
                <w:color w:val="auto"/>
                <w:kern w:val="0"/>
                <w:sz w:val="24"/>
                <w:szCs w:val="24"/>
                <w:highlight w:val="none"/>
                <w:lang w:bidi="ar"/>
              </w:rPr>
              <w:t>有时会发生火灾连片使大批设备烧毁。火灾是通过放出辐射热影响周围环境。如果辐射热的能量足够大，可引起其他可燃物燃烧。物质在燃烧过程中会产生大量浓烟和烟尘</w:t>
            </w:r>
            <w:r>
              <w:rPr>
                <w:rFonts w:hint="eastAsia"/>
                <w:color w:val="auto"/>
                <w:kern w:val="0"/>
                <w:sz w:val="24"/>
                <w:szCs w:val="24"/>
                <w:highlight w:val="none"/>
                <w:lang w:eastAsia="zh-CN" w:bidi="ar"/>
              </w:rPr>
              <w:t>，</w:t>
            </w:r>
            <w:r>
              <w:rPr>
                <w:rFonts w:hint="eastAsia"/>
                <w:color w:val="auto"/>
                <w:kern w:val="0"/>
                <w:sz w:val="24"/>
                <w:szCs w:val="24"/>
                <w:highlight w:val="none"/>
                <w:lang w:bidi="ar"/>
              </w:rPr>
              <w:t>其中含有大量的一氧化碳、二氧化碳及其他有毒气体，带来大气环境污染。</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bidi="ar"/>
              </w:rPr>
            </w:pPr>
            <w:r>
              <w:rPr>
                <w:rFonts w:hint="eastAsia" w:ascii="Times New Roman" w:hAnsi="Times New Roman" w:eastAsia="宋体" w:cs="Times New Roman"/>
                <w:color w:val="auto"/>
                <w:kern w:val="0"/>
                <w:sz w:val="24"/>
                <w:szCs w:val="24"/>
                <w:highlight w:val="none"/>
                <w:lang w:bidi="ar"/>
              </w:rPr>
              <w:t>①厂区内尤其是生产车间和仓库严禁吸烟。</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eastAsia="zh-CN" w:bidi="ar"/>
              </w:rPr>
            </w:pPr>
            <w:r>
              <w:rPr>
                <w:rFonts w:hint="eastAsia" w:ascii="Times New Roman" w:hAnsi="Times New Roman" w:eastAsia="宋体" w:cs="Times New Roman"/>
                <w:color w:val="auto"/>
                <w:kern w:val="0"/>
                <w:sz w:val="24"/>
                <w:szCs w:val="24"/>
                <w:highlight w:val="none"/>
                <w:lang w:bidi="ar"/>
              </w:rPr>
              <w:t>②定期检查设备的运行状况，发现不良问题及时解决</w:t>
            </w:r>
            <w:r>
              <w:rPr>
                <w:rFonts w:hint="eastAsia" w:ascii="Times New Roman" w:hAnsi="Times New Roman" w:eastAsia="宋体" w:cs="Times New Roman"/>
                <w:color w:val="auto"/>
                <w:kern w:val="0"/>
                <w:sz w:val="24"/>
                <w:szCs w:val="24"/>
                <w:highlight w:val="none"/>
                <w:lang w:eastAsia="zh-CN" w:bidi="ar"/>
              </w:rPr>
              <w:t>；</w:t>
            </w:r>
            <w:r>
              <w:rPr>
                <w:rFonts w:hint="eastAsia" w:ascii="Times New Roman" w:hAnsi="Times New Roman" w:eastAsia="宋体" w:cs="Times New Roman"/>
                <w:color w:val="auto"/>
                <w:kern w:val="0"/>
                <w:sz w:val="24"/>
                <w:szCs w:val="24"/>
                <w:highlight w:val="none"/>
                <w:lang w:bidi="ar"/>
              </w:rPr>
              <w:t xml:space="preserve">同时注重加强安全教育，提高职工的安全意识和安全防范能力。 </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eastAsia="zh-CN" w:bidi="ar"/>
              </w:rPr>
            </w:pPr>
            <w:r>
              <w:rPr>
                <w:rFonts w:hint="eastAsia" w:ascii="Times New Roman" w:hAnsi="Times New Roman" w:eastAsia="宋体" w:cs="Times New Roman"/>
                <w:color w:val="auto"/>
                <w:kern w:val="0"/>
                <w:sz w:val="24"/>
                <w:szCs w:val="24"/>
                <w:highlight w:val="none"/>
                <w:lang w:val="en-US" w:eastAsia="zh-CN" w:bidi="ar"/>
              </w:rPr>
              <w:t>③</w:t>
            </w:r>
            <w:r>
              <w:rPr>
                <w:rFonts w:hint="eastAsia" w:ascii="Times New Roman" w:hAnsi="Times New Roman" w:eastAsia="宋体" w:cs="Times New Roman"/>
                <w:color w:val="auto"/>
                <w:kern w:val="0"/>
                <w:sz w:val="24"/>
                <w:szCs w:val="24"/>
                <w:highlight w:val="none"/>
                <w:lang w:bidi="ar"/>
              </w:rPr>
              <w:t>按照相关规定设置逃生系统，设置足够并匹配的消防器材。</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（2）环保设施故障引起的环境污染</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厂区环保设施主要为</w:t>
            </w:r>
            <w:r>
              <w:rPr>
                <w:rFonts w:hint="eastAsia" w:cs="Times New Roman"/>
                <w:color w:val="auto"/>
                <w:kern w:val="0"/>
                <w:sz w:val="24"/>
                <w:szCs w:val="24"/>
                <w:highlight w:val="none"/>
                <w:lang w:val="en-US" w:eastAsia="zh-CN" w:bidi="ar"/>
              </w:rPr>
              <w:t>活性炭吸附/脱附催化燃烧装置</w:t>
            </w:r>
            <w:r>
              <w:rPr>
                <w:rFonts w:hint="eastAsia" w:ascii="Times New Roman" w:hAnsi="Times New Roman" w:eastAsia="宋体" w:cs="Times New Roman"/>
                <w:color w:val="auto"/>
                <w:kern w:val="0"/>
                <w:sz w:val="24"/>
                <w:szCs w:val="24"/>
                <w:highlight w:val="none"/>
                <w:lang w:val="en-US" w:eastAsia="zh-CN" w:bidi="ar"/>
              </w:rPr>
              <w:t>。生产运营过程中，</w:t>
            </w:r>
            <w:r>
              <w:rPr>
                <w:rFonts w:hint="eastAsia" w:cs="Times New Roman"/>
                <w:color w:val="auto"/>
                <w:kern w:val="0"/>
                <w:sz w:val="24"/>
                <w:szCs w:val="24"/>
                <w:highlight w:val="none"/>
                <w:lang w:val="en-US" w:eastAsia="zh-CN" w:bidi="ar"/>
              </w:rPr>
              <w:t>因环保</w:t>
            </w:r>
            <w:r>
              <w:rPr>
                <w:rFonts w:hint="eastAsia" w:ascii="Times New Roman" w:hAnsi="Times New Roman" w:eastAsia="宋体" w:cs="Times New Roman"/>
                <w:color w:val="auto"/>
                <w:kern w:val="0"/>
                <w:sz w:val="24"/>
                <w:szCs w:val="24"/>
                <w:highlight w:val="none"/>
                <w:lang w:val="en-US" w:eastAsia="zh-CN" w:bidi="ar"/>
              </w:rPr>
              <w:t>设施发生故障导致废气污染物超标排放，少量</w:t>
            </w:r>
            <w:r>
              <w:rPr>
                <w:rFonts w:hint="default" w:ascii="Times New Roman" w:hAnsi="Times New Roman" w:eastAsia="宋体" w:cs="Times New Roman"/>
                <w:color w:val="auto"/>
                <w:kern w:val="0"/>
                <w:sz w:val="24"/>
                <w:szCs w:val="24"/>
                <w:highlight w:val="none"/>
                <w:lang w:val="en-US" w:eastAsia="zh-CN" w:bidi="ar"/>
              </w:rPr>
              <w:t>未处理</w:t>
            </w:r>
            <w:r>
              <w:rPr>
                <w:rFonts w:hint="eastAsia" w:eastAsia="宋体" w:cs="Times New Roman"/>
                <w:color w:val="auto"/>
                <w:kern w:val="0"/>
                <w:sz w:val="24"/>
                <w:szCs w:val="24"/>
                <w:highlight w:val="none"/>
                <w:lang w:val="en-US" w:eastAsia="zh-CN" w:bidi="ar"/>
              </w:rPr>
              <w:t>废</w:t>
            </w:r>
            <w:r>
              <w:rPr>
                <w:rFonts w:hint="default" w:ascii="Times New Roman" w:hAnsi="Times New Roman" w:eastAsia="宋体" w:cs="Times New Roman"/>
                <w:color w:val="auto"/>
                <w:kern w:val="0"/>
                <w:sz w:val="24"/>
                <w:szCs w:val="24"/>
                <w:highlight w:val="none"/>
                <w:lang w:val="en-US" w:eastAsia="zh-CN" w:bidi="ar"/>
              </w:rPr>
              <w:t>气直接进入大气环境</w:t>
            </w:r>
            <w:r>
              <w:rPr>
                <w:rFonts w:hint="eastAsia" w:ascii="Times New Roman" w:hAnsi="Times New Roman" w:eastAsia="宋体" w:cs="Times New Roman"/>
                <w:color w:val="auto"/>
                <w:kern w:val="0"/>
                <w:sz w:val="24"/>
                <w:szCs w:val="24"/>
                <w:highlight w:val="none"/>
                <w:lang w:val="en-US" w:eastAsia="zh-CN" w:bidi="ar"/>
              </w:rPr>
              <w:t>，对大气环境造成污染。</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bidi="ar"/>
              </w:rPr>
              <w:t>①</w:t>
            </w:r>
            <w:r>
              <w:rPr>
                <w:rFonts w:hint="default" w:ascii="Times New Roman" w:hAnsi="Times New Roman" w:eastAsia="宋体" w:cs="Times New Roman"/>
                <w:color w:val="auto"/>
                <w:kern w:val="0"/>
                <w:sz w:val="24"/>
                <w:szCs w:val="24"/>
                <w:highlight w:val="none"/>
                <w:lang w:val="en-US" w:eastAsia="zh-CN" w:bidi="ar"/>
              </w:rPr>
              <w:t>企业重视</w:t>
            </w:r>
            <w:r>
              <w:rPr>
                <w:rFonts w:hint="eastAsia" w:cs="Times New Roman"/>
                <w:color w:val="auto"/>
                <w:kern w:val="0"/>
                <w:sz w:val="24"/>
                <w:szCs w:val="24"/>
                <w:highlight w:val="none"/>
                <w:lang w:val="en-US" w:eastAsia="zh-CN" w:bidi="ar"/>
              </w:rPr>
              <w:t>环保设施</w:t>
            </w:r>
            <w:r>
              <w:rPr>
                <w:rFonts w:hint="default" w:ascii="Times New Roman" w:hAnsi="Times New Roman" w:eastAsia="宋体" w:cs="Times New Roman"/>
                <w:color w:val="auto"/>
                <w:kern w:val="0"/>
                <w:sz w:val="24"/>
                <w:szCs w:val="24"/>
                <w:highlight w:val="none"/>
                <w:lang w:val="en-US" w:eastAsia="zh-CN" w:bidi="ar"/>
              </w:rPr>
              <w:t>的日常管理，保证</w:t>
            </w:r>
            <w:r>
              <w:rPr>
                <w:rFonts w:hint="eastAsia" w:cs="Times New Roman"/>
                <w:color w:val="auto"/>
                <w:kern w:val="0"/>
                <w:sz w:val="24"/>
                <w:szCs w:val="24"/>
                <w:highlight w:val="none"/>
                <w:lang w:val="en-US" w:eastAsia="zh-CN" w:bidi="ar"/>
              </w:rPr>
              <w:t>其</w:t>
            </w:r>
            <w:r>
              <w:rPr>
                <w:rFonts w:hint="default" w:ascii="Times New Roman" w:hAnsi="Times New Roman" w:eastAsia="宋体" w:cs="Times New Roman"/>
                <w:color w:val="auto"/>
                <w:kern w:val="0"/>
                <w:sz w:val="24"/>
                <w:szCs w:val="24"/>
                <w:highlight w:val="none"/>
                <w:lang w:val="en-US" w:eastAsia="zh-CN" w:bidi="ar"/>
              </w:rPr>
              <w:t>设计的</w:t>
            </w:r>
            <w:r>
              <w:rPr>
                <w:rFonts w:hint="eastAsia" w:cs="Times New Roman"/>
                <w:color w:val="auto"/>
                <w:kern w:val="0"/>
                <w:sz w:val="24"/>
                <w:szCs w:val="24"/>
                <w:highlight w:val="none"/>
                <w:lang w:val="en-US" w:eastAsia="zh-CN" w:bidi="ar"/>
              </w:rPr>
              <w:t>处理</w:t>
            </w:r>
            <w:r>
              <w:rPr>
                <w:rFonts w:hint="default" w:ascii="Times New Roman" w:hAnsi="Times New Roman" w:eastAsia="宋体" w:cs="Times New Roman"/>
                <w:color w:val="auto"/>
                <w:kern w:val="0"/>
                <w:sz w:val="24"/>
                <w:szCs w:val="24"/>
                <w:highlight w:val="none"/>
                <w:lang w:val="en-US" w:eastAsia="zh-CN" w:bidi="ar"/>
              </w:rPr>
              <w:t>效率，避免其发生事故的可能。</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②</w:t>
            </w:r>
            <w:r>
              <w:rPr>
                <w:rFonts w:hint="default" w:ascii="Times New Roman" w:hAnsi="Times New Roman" w:eastAsia="宋体" w:cs="Times New Roman"/>
                <w:color w:val="auto"/>
                <w:kern w:val="0"/>
                <w:sz w:val="24"/>
                <w:szCs w:val="24"/>
                <w:highlight w:val="none"/>
                <w:lang w:val="en-US" w:eastAsia="zh-CN" w:bidi="ar"/>
              </w:rPr>
              <w:t>加强人工观察，确保</w:t>
            </w:r>
            <w:r>
              <w:rPr>
                <w:rFonts w:hint="eastAsia" w:cs="Times New Roman"/>
                <w:color w:val="auto"/>
                <w:kern w:val="0"/>
                <w:sz w:val="24"/>
                <w:szCs w:val="24"/>
                <w:highlight w:val="none"/>
                <w:lang w:val="en-US" w:eastAsia="zh-CN" w:bidi="ar"/>
              </w:rPr>
              <w:t>环保设施及集气系统</w:t>
            </w:r>
            <w:r>
              <w:rPr>
                <w:rFonts w:hint="default" w:ascii="Times New Roman" w:hAnsi="Times New Roman" w:eastAsia="宋体" w:cs="Times New Roman"/>
                <w:color w:val="auto"/>
                <w:kern w:val="0"/>
                <w:sz w:val="24"/>
                <w:szCs w:val="24"/>
                <w:highlight w:val="none"/>
                <w:lang w:val="en-US" w:eastAsia="zh-CN" w:bidi="ar"/>
              </w:rPr>
              <w:t>能</w:t>
            </w:r>
            <w:r>
              <w:rPr>
                <w:rFonts w:hint="eastAsia" w:cs="Times New Roman"/>
                <w:color w:val="auto"/>
                <w:kern w:val="0"/>
                <w:sz w:val="24"/>
                <w:szCs w:val="24"/>
                <w:highlight w:val="none"/>
                <w:lang w:val="en-US" w:eastAsia="zh-CN" w:bidi="ar"/>
              </w:rPr>
              <w:t>正常工作</w:t>
            </w:r>
            <w:r>
              <w:rPr>
                <w:rFonts w:hint="default" w:ascii="Times New Roman" w:hAnsi="Times New Roman" w:eastAsia="宋体" w:cs="Times New Roman"/>
                <w:color w:val="auto"/>
                <w:kern w:val="0"/>
                <w:sz w:val="24"/>
                <w:szCs w:val="24"/>
                <w:highlight w:val="none"/>
                <w:lang w:val="en-US" w:eastAsia="zh-CN" w:bidi="ar"/>
              </w:rPr>
              <w:t>，防止由于</w:t>
            </w:r>
            <w:r>
              <w:rPr>
                <w:rFonts w:hint="eastAsia" w:cs="Times New Roman"/>
                <w:color w:val="auto"/>
                <w:kern w:val="0"/>
                <w:sz w:val="24"/>
                <w:szCs w:val="24"/>
                <w:highlight w:val="none"/>
                <w:lang w:val="en-US" w:eastAsia="zh-CN" w:bidi="ar"/>
              </w:rPr>
              <w:t>设施故障</w:t>
            </w:r>
            <w:r>
              <w:rPr>
                <w:rFonts w:hint="default" w:ascii="Times New Roman" w:hAnsi="Times New Roman" w:eastAsia="宋体" w:cs="Times New Roman"/>
                <w:color w:val="auto"/>
                <w:kern w:val="0"/>
                <w:sz w:val="24"/>
                <w:szCs w:val="24"/>
                <w:highlight w:val="none"/>
                <w:lang w:val="en-US" w:eastAsia="zh-CN" w:bidi="ar"/>
              </w:rPr>
              <w:t>而导致的</w:t>
            </w:r>
            <w:r>
              <w:rPr>
                <w:rFonts w:hint="eastAsia" w:cs="Times New Roman"/>
                <w:color w:val="auto"/>
                <w:kern w:val="0"/>
                <w:sz w:val="24"/>
                <w:szCs w:val="24"/>
                <w:highlight w:val="none"/>
                <w:lang w:val="en-US" w:eastAsia="zh-CN" w:bidi="ar"/>
              </w:rPr>
              <w:t>环境</w:t>
            </w:r>
            <w:r>
              <w:rPr>
                <w:rFonts w:hint="default" w:ascii="Times New Roman" w:hAnsi="Times New Roman" w:eastAsia="宋体" w:cs="Times New Roman"/>
                <w:color w:val="auto"/>
                <w:kern w:val="0"/>
                <w:sz w:val="24"/>
                <w:szCs w:val="24"/>
                <w:highlight w:val="none"/>
                <w:lang w:val="en-US" w:eastAsia="zh-CN" w:bidi="ar"/>
              </w:rPr>
              <w:t>污染事故发生</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③定期对环保设备进行检修并整理成册</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Times New Roman" w:hAnsi="Times New Roman" w:eastAsia="宋体"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 xml:space="preserve">    </w:t>
            </w:r>
            <w:r>
              <w:rPr>
                <w:rFonts w:hint="eastAsia" w:ascii="Times New Roman" w:hAnsi="Times New Roman" w:eastAsia="宋体" w:cs="Times New Roman"/>
                <w:b w:val="0"/>
                <w:bCs/>
                <w:color w:val="auto"/>
                <w:kern w:val="2"/>
                <w:sz w:val="24"/>
                <w:szCs w:val="24"/>
                <w:highlight w:val="none"/>
                <w:lang w:val="en-US" w:eastAsia="zh-CN" w:bidi="ar-SA"/>
              </w:rPr>
              <w:t>6.3</w:t>
            </w:r>
            <w:r>
              <w:rPr>
                <w:rFonts w:hint="eastAsia" w:cs="Times New Roman"/>
                <w:b w:val="0"/>
                <w:bCs/>
                <w:color w:val="auto"/>
                <w:kern w:val="2"/>
                <w:sz w:val="24"/>
                <w:szCs w:val="24"/>
                <w:highlight w:val="none"/>
                <w:lang w:val="en-US" w:eastAsia="zh-CN" w:bidi="ar-SA"/>
              </w:rPr>
              <w:t xml:space="preserve"> </w:t>
            </w:r>
            <w:r>
              <w:rPr>
                <w:rFonts w:hint="eastAsia" w:ascii="Times New Roman" w:hAnsi="Times New Roman" w:eastAsia="宋体" w:cs="Times New Roman"/>
                <w:b w:val="0"/>
                <w:bCs/>
                <w:color w:val="auto"/>
                <w:kern w:val="2"/>
                <w:sz w:val="24"/>
                <w:szCs w:val="24"/>
                <w:highlight w:val="none"/>
                <w:lang w:val="en-US" w:eastAsia="zh-CN" w:bidi="ar-SA"/>
              </w:rPr>
              <w:t>环境风险防范措施：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项目主要风险为项目生产原料以及产品</w:t>
            </w:r>
            <w:r>
              <w:rPr>
                <w:rFonts w:hint="eastAsia" w:cs="Times New Roman"/>
                <w:color w:val="auto"/>
                <w:sz w:val="24"/>
                <w:szCs w:val="24"/>
                <w:highlight w:val="none"/>
                <w:lang w:eastAsia="zh-CN"/>
              </w:rPr>
              <w:t>，均</w:t>
            </w:r>
            <w:r>
              <w:rPr>
                <w:rFonts w:hint="eastAsia" w:ascii="Times New Roman" w:hAnsi="Times New Roman" w:cs="Times New Roman"/>
                <w:color w:val="auto"/>
                <w:sz w:val="24"/>
                <w:szCs w:val="24"/>
                <w:highlight w:val="none"/>
              </w:rPr>
              <w:t>属于可燃物质，如发生火灾或爆炸，将在短时期内释放大量能量，造成建筑破坏及人员伤亡。因此必须对其加以严格控制以防止事故的发生，从而造成不必要的损失，本环评要求建设单位采取如下措施：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rPr>
              <w:t>建立安全生产岗位责任制，制定全套切实可行的安全生产规律和安全操作规程，并设专人负责安全；定期对职工进行安全方面知识的教育和学习；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（2）生产车间按有关规范要求配置灭火器和消防栓。生产车间内禁止一切烟火，并有相应的防火安全措施，设置防火标识牌。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（3）加强对公司职工方教育培训，实行上岗证制度，增强职工风险意识，提高事故自救能力，制定和强化各种安全管理、安全生产的规程，减少人为风险事故（如误操作）的发生。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（4）制订发生事故时迅速撤离人员至安全区的方案，一旦发生事故，则要根据具体情况采取应急措施，切断火源，控制事故扩大，立即报警。</w:t>
            </w:r>
          </w:p>
          <w:p>
            <w:pPr>
              <w:pStyle w:val="3"/>
              <w:spacing w:after="0" w:line="360" w:lineRule="auto"/>
              <w:ind w:left="0" w:leftChars="0" w:firstLine="31680"/>
              <w:jc w:val="left"/>
              <w:rPr>
                <w:color w:val="auto"/>
                <w:sz w:val="24"/>
                <w:szCs w:val="24"/>
                <w:highlight w:val="none"/>
              </w:rPr>
            </w:pPr>
            <w:r>
              <w:rPr>
                <w:rFonts w:hint="eastAsia" w:cs="宋体"/>
                <w:color w:val="auto"/>
                <w:sz w:val="24"/>
                <w:szCs w:val="24"/>
                <w:highlight w:val="none"/>
              </w:rPr>
              <w:t>应急预案：环境风险事故发生后，能否迅速而有效地作出应急反应，对于控制污染，减少污染损失以及消除污染等都起着关键性的作用。针对项目可能发生的环境风险事故，通过对事故的风险评价，制定突发性事故应急处理预案等，对事故快速作出反应，最大限度地减少事故污染对水环境的危害，建立应付突发性事故的抢险指挥系统，组织制定一份可操作的风险应急预案，定期进行演习是非常必要的。一旦出现重大事故，能有效的组织救援，及时控制污染、减少污染损失。结合工程实际情况，由项目运行管理方制定必要的风险事故应急预案，预案中应包括但不限于下列内容：配备必要的应急设备</w:t>
            </w:r>
            <w:r>
              <w:rPr>
                <w:rFonts w:hint="eastAsia" w:cs="宋体"/>
                <w:color w:val="auto"/>
                <w:sz w:val="24"/>
                <w:szCs w:val="24"/>
                <w:highlight w:val="none"/>
                <w:lang w:eastAsia="zh-CN"/>
              </w:rPr>
              <w:t>（事故池依托智能制造产业园园区内设计建设事故池）</w:t>
            </w:r>
            <w:r>
              <w:rPr>
                <w:rFonts w:hint="eastAsia" w:cs="宋体"/>
                <w:color w:val="auto"/>
                <w:sz w:val="24"/>
                <w:szCs w:val="24"/>
                <w:highlight w:val="none"/>
              </w:rPr>
              <w:t>、成立应急组织指挥系统、组建应急队伍、定期培训、其他防范措施、应急报告程序、应急反应程序和措施、消除物的去向等。</w:t>
            </w:r>
          </w:p>
          <w:p>
            <w:pPr>
              <w:pStyle w:val="8"/>
              <w:keepNext/>
              <w:keepLines/>
              <w:pageBreakBefore w:val="0"/>
              <w:widowControl w:val="0"/>
              <w:kinsoku/>
              <w:wordWrap/>
              <w:overflowPunct/>
              <w:topLinePunct w:val="0"/>
              <w:autoSpaceDE/>
              <w:autoSpaceDN/>
              <w:bidi w:val="0"/>
              <w:adjustRightInd/>
              <w:snapToGrid/>
              <w:spacing w:before="313" w:beforeLines="100" w:after="0" w:line="360" w:lineRule="auto"/>
              <w:textAlignment w:val="auto"/>
              <w:rPr>
                <w:rStyle w:val="80"/>
                <w:rFonts w:cs="Times New Roman"/>
                <w:b/>
                <w:bCs/>
                <w:color w:val="auto"/>
                <w:highlight w:val="none"/>
              </w:rPr>
            </w:pPr>
            <w:r>
              <w:rPr>
                <w:rStyle w:val="80"/>
                <w:rFonts w:hint="eastAsia" w:ascii="Times New Roman" w:hAnsi="Times New Roman" w:cs="Times New Roman"/>
                <w:b w:val="0"/>
                <w:bCs w:val="0"/>
                <w:color w:val="auto"/>
                <w:highlight w:val="none"/>
                <w:lang w:val="en-US"/>
              </w:rPr>
              <w:t xml:space="preserve">    </w:t>
            </w:r>
            <w:r>
              <w:rPr>
                <w:rStyle w:val="80"/>
                <w:rFonts w:ascii="Times New Roman" w:hAnsi="Times New Roman" w:cs="Times New Roman"/>
                <w:b w:val="0"/>
                <w:bCs w:val="0"/>
                <w:color w:val="auto"/>
                <w:highlight w:val="none"/>
              </w:rPr>
              <w:t>7</w:t>
            </w:r>
            <w:r>
              <w:rPr>
                <w:rStyle w:val="80"/>
                <w:rFonts w:hint="eastAsia" w:ascii="Times New Roman" w:hAnsi="Times New Roman" w:cs="Times New Roman"/>
                <w:b w:val="0"/>
                <w:bCs w:val="0"/>
                <w:color w:val="auto"/>
                <w:highlight w:val="none"/>
              </w:rPr>
              <w:t>、</w:t>
            </w:r>
            <w:r>
              <w:rPr>
                <w:rStyle w:val="80"/>
                <w:rFonts w:hint="eastAsia" w:cs="宋体"/>
                <w:b w:val="0"/>
                <w:bCs w:val="0"/>
                <w:color w:val="auto"/>
                <w:highlight w:val="none"/>
              </w:rPr>
              <w:t>环保投资</w:t>
            </w:r>
          </w:p>
          <w:p>
            <w:pPr>
              <w:spacing w:line="360" w:lineRule="auto"/>
              <w:ind w:firstLine="573"/>
              <w:rPr>
                <w:rFonts w:hint="eastAsia" w:eastAsia="宋体" w:cs="宋体"/>
                <w:color w:val="auto"/>
                <w:sz w:val="24"/>
                <w:szCs w:val="24"/>
                <w:highlight w:val="none"/>
                <w:lang w:eastAsia="zh-CN"/>
              </w:rPr>
            </w:pPr>
            <w:r>
              <w:rPr>
                <w:rFonts w:hint="eastAsia" w:cs="宋体"/>
                <w:color w:val="auto"/>
                <w:sz w:val="24"/>
                <w:szCs w:val="24"/>
                <w:highlight w:val="none"/>
              </w:rPr>
              <w:t>本项目环保投资约为</w:t>
            </w:r>
            <w:r>
              <w:rPr>
                <w:rFonts w:hint="eastAsia" w:cs="宋体"/>
                <w:color w:val="auto"/>
                <w:sz w:val="24"/>
                <w:szCs w:val="24"/>
                <w:highlight w:val="none"/>
                <w:lang w:val="en-US" w:eastAsia="zh-CN"/>
              </w:rPr>
              <w:t>158.3</w:t>
            </w:r>
            <w:r>
              <w:rPr>
                <w:rFonts w:hint="eastAsia" w:cs="宋体"/>
                <w:color w:val="auto"/>
                <w:sz w:val="24"/>
                <w:szCs w:val="24"/>
                <w:highlight w:val="none"/>
              </w:rPr>
              <w:t>万元，占总投</w:t>
            </w:r>
            <w:r>
              <w:rPr>
                <w:rFonts w:hint="eastAsia" w:ascii="Times New Roman" w:hAnsi="Times New Roman" w:eastAsia="宋体" w:cs="宋体"/>
                <w:color w:val="auto"/>
                <w:sz w:val="24"/>
                <w:szCs w:val="24"/>
                <w:highlight w:val="none"/>
              </w:rPr>
              <w:t>资</w:t>
            </w:r>
            <w:r>
              <w:rPr>
                <w:rFonts w:hint="eastAsia" w:cs="宋体"/>
                <w:color w:val="auto"/>
                <w:sz w:val="24"/>
                <w:szCs w:val="24"/>
                <w:highlight w:val="none"/>
                <w:lang w:val="en-US" w:eastAsia="zh-CN"/>
              </w:rPr>
              <w:t>12</w:t>
            </w:r>
            <w:r>
              <w:rPr>
                <w:rFonts w:hint="eastAsia" w:ascii="Times New Roman" w:hAnsi="Times New Roman" w:eastAsia="宋体" w:cs="宋体"/>
                <w:color w:val="auto"/>
                <w:sz w:val="24"/>
                <w:szCs w:val="24"/>
                <w:highlight w:val="none"/>
              </w:rPr>
              <w:t>000万的</w:t>
            </w:r>
            <w:r>
              <w:rPr>
                <w:rFonts w:hint="eastAsia" w:cs="宋体"/>
                <w:color w:val="auto"/>
                <w:sz w:val="24"/>
                <w:szCs w:val="24"/>
                <w:highlight w:val="none"/>
                <w:lang w:val="en-US" w:eastAsia="zh-CN"/>
              </w:rPr>
              <w:t>1.32</w:t>
            </w:r>
            <w:r>
              <w:rPr>
                <w:color w:val="auto"/>
                <w:sz w:val="24"/>
                <w:szCs w:val="24"/>
                <w:highlight w:val="none"/>
              </w:rPr>
              <w:t>%</w:t>
            </w:r>
            <w:r>
              <w:rPr>
                <w:rFonts w:hint="eastAsia" w:cs="宋体"/>
                <w:color w:val="auto"/>
                <w:sz w:val="24"/>
                <w:szCs w:val="24"/>
                <w:highlight w:val="none"/>
              </w:rPr>
              <w:t>，主要环保投资见下表。</w:t>
            </w:r>
          </w:p>
          <w:p>
            <w:pPr>
              <w:spacing w:line="360" w:lineRule="auto"/>
              <w:ind w:firstLine="573"/>
              <w:rPr>
                <w:color w:val="auto"/>
                <w:sz w:val="22"/>
                <w:szCs w:val="22"/>
                <w:highlight w:val="none"/>
              </w:rPr>
            </w:pPr>
            <w:r>
              <w:rPr>
                <w:rFonts w:hint="eastAsia" w:cs="宋体"/>
                <w:color w:val="auto"/>
                <w:sz w:val="24"/>
                <w:szCs w:val="24"/>
                <w:highlight w:val="none"/>
                <w:lang w:val="en-US" w:eastAsia="zh-CN"/>
              </w:rPr>
              <w:t xml:space="preserve">             </w:t>
            </w:r>
            <w:r>
              <w:rPr>
                <w:rFonts w:hint="eastAsia" w:cs="宋体"/>
                <w:color w:val="auto"/>
                <w:sz w:val="22"/>
                <w:szCs w:val="22"/>
                <w:highlight w:val="none"/>
              </w:rPr>
              <w:t>表</w:t>
            </w:r>
            <w:r>
              <w:rPr>
                <w:color w:val="auto"/>
                <w:sz w:val="22"/>
                <w:szCs w:val="22"/>
                <w:highlight w:val="none"/>
              </w:rPr>
              <w:t xml:space="preserve">4-18  </w:t>
            </w:r>
            <w:r>
              <w:rPr>
                <w:rFonts w:hint="eastAsia" w:cs="宋体"/>
                <w:color w:val="auto"/>
                <w:sz w:val="22"/>
                <w:szCs w:val="22"/>
                <w:highlight w:val="none"/>
              </w:rPr>
              <w:t>环保投资及“三同时”验收一览表</w:t>
            </w:r>
          </w:p>
          <w:tbl>
            <w:tblPr>
              <w:tblStyle w:val="36"/>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638"/>
              <w:gridCol w:w="1889"/>
              <w:gridCol w:w="3003"/>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项目</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污染源</w:t>
                  </w:r>
                </w:p>
              </w:tc>
              <w:tc>
                <w:tcPr>
                  <w:tcW w:w="1889"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主要污染防治措施</w:t>
                  </w:r>
                </w:p>
              </w:tc>
              <w:tc>
                <w:tcPr>
                  <w:tcW w:w="300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所达标准</w:t>
                  </w:r>
                </w:p>
              </w:tc>
              <w:tc>
                <w:tcPr>
                  <w:tcW w:w="867"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投资</w:t>
                  </w:r>
                </w:p>
                <w:p>
                  <w:pPr>
                    <w:jc w:val="center"/>
                    <w:rPr>
                      <w:color w:val="auto"/>
                      <w:sz w:val="22"/>
                      <w:szCs w:val="22"/>
                      <w:highlight w:val="none"/>
                    </w:rPr>
                  </w:pPr>
                  <w:r>
                    <w:rPr>
                      <w:color w:val="auto"/>
                      <w:sz w:val="22"/>
                      <w:szCs w:val="22"/>
                      <w:highlight w:val="none"/>
                    </w:rPr>
                    <w:t>(</w:t>
                  </w:r>
                  <w:r>
                    <w:rPr>
                      <w:rFonts w:hint="eastAsia" w:cs="宋体"/>
                      <w:color w:val="auto"/>
                      <w:sz w:val="22"/>
                      <w:szCs w:val="22"/>
                      <w:highlight w:val="none"/>
                    </w:rPr>
                    <w:t>万元</w:t>
                  </w:r>
                  <w:r>
                    <w:rPr>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721" w:type="dxa"/>
                  <w:vMerge w:val="restart"/>
                  <w:tcBorders>
                    <w:top w:val="single" w:color="auto" w:sz="4" w:space="0"/>
                    <w:left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废气</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宋体"/>
                      <w:color w:val="auto"/>
                      <w:sz w:val="22"/>
                      <w:szCs w:val="22"/>
                      <w:highlight w:val="none"/>
                      <w:lang w:val="en-US"/>
                    </w:rPr>
                  </w:pPr>
                  <w:r>
                    <w:rPr>
                      <w:rFonts w:hint="eastAsia" w:hAnsi="宋体"/>
                      <w:color w:val="auto"/>
                      <w:sz w:val="22"/>
                      <w:szCs w:val="22"/>
                      <w:highlight w:val="none"/>
                      <w:lang w:eastAsia="zh-CN"/>
                    </w:rPr>
                    <w:t>挤出工序</w:t>
                  </w:r>
                </w:p>
              </w:tc>
              <w:tc>
                <w:tcPr>
                  <w:tcW w:w="1889" w:type="dxa"/>
                  <w:tcBorders>
                    <w:top w:val="single" w:color="auto" w:sz="4" w:space="0"/>
                    <w:left w:val="single" w:color="auto" w:sz="4" w:space="0"/>
                    <w:right w:val="single" w:color="auto" w:sz="4" w:space="0"/>
                  </w:tcBorders>
                  <w:vAlign w:val="center"/>
                </w:tcPr>
                <w:p>
                  <w:pPr>
                    <w:jc w:val="center"/>
                    <w:rPr>
                      <w:rFonts w:hint="eastAsia" w:hAnsi="宋体" w:eastAsia="宋体"/>
                      <w:color w:val="auto"/>
                      <w:sz w:val="22"/>
                      <w:szCs w:val="22"/>
                      <w:highlight w:val="none"/>
                      <w:lang w:eastAsia="zh-CN"/>
                    </w:rPr>
                  </w:pPr>
                  <w:r>
                    <w:rPr>
                      <w:rFonts w:hint="eastAsia" w:hAnsi="宋体"/>
                      <w:color w:val="auto"/>
                      <w:sz w:val="22"/>
                      <w:szCs w:val="22"/>
                      <w:highlight w:val="none"/>
                      <w:lang w:eastAsia="zh-CN"/>
                    </w:rPr>
                    <w:t>集气装置</w:t>
                  </w:r>
                  <w:r>
                    <w:rPr>
                      <w:rFonts w:hAnsi="宋体"/>
                      <w:color w:val="auto"/>
                      <w:sz w:val="22"/>
                      <w:szCs w:val="22"/>
                      <w:highlight w:val="none"/>
                    </w:rPr>
                    <w:t>+</w:t>
                  </w:r>
                  <w:r>
                    <w:rPr>
                      <w:rFonts w:hint="eastAsia" w:hAnsi="宋体"/>
                      <w:color w:val="auto"/>
                      <w:sz w:val="22"/>
                      <w:szCs w:val="22"/>
                      <w:highlight w:val="none"/>
                      <w:lang w:eastAsia="zh-CN"/>
                    </w:rPr>
                    <w:t>活性炭吸附</w:t>
                  </w:r>
                  <w:r>
                    <w:rPr>
                      <w:rFonts w:hint="eastAsia" w:hAnsi="宋体"/>
                      <w:color w:val="auto"/>
                      <w:sz w:val="22"/>
                      <w:szCs w:val="22"/>
                      <w:highlight w:val="none"/>
                      <w:lang w:val="en-US" w:eastAsia="zh-CN"/>
                    </w:rPr>
                    <w:t>/脱附</w:t>
                  </w:r>
                  <w:r>
                    <w:rPr>
                      <w:rFonts w:hint="eastAsia" w:hAnsi="宋体"/>
                      <w:color w:val="auto"/>
                      <w:sz w:val="22"/>
                      <w:szCs w:val="22"/>
                      <w:highlight w:val="none"/>
                      <w:lang w:eastAsia="zh-CN"/>
                    </w:rPr>
                    <w:t>催化燃烧装置</w:t>
                  </w:r>
                  <w:r>
                    <w:rPr>
                      <w:rFonts w:hAnsi="宋体"/>
                      <w:color w:val="auto"/>
                      <w:sz w:val="22"/>
                      <w:szCs w:val="22"/>
                      <w:highlight w:val="none"/>
                    </w:rPr>
                    <w:t>+15</w:t>
                  </w:r>
                  <w:r>
                    <w:rPr>
                      <w:rFonts w:hint="eastAsia" w:hAnsi="宋体" w:cs="宋体"/>
                      <w:color w:val="auto"/>
                      <w:sz w:val="22"/>
                      <w:szCs w:val="22"/>
                      <w:highlight w:val="none"/>
                    </w:rPr>
                    <w:t>米高排气筒</w:t>
                  </w:r>
                  <w:r>
                    <w:rPr>
                      <w:rFonts w:hint="eastAsia" w:hAnsi="宋体" w:cs="宋体"/>
                      <w:color w:val="auto"/>
                      <w:sz w:val="22"/>
                      <w:szCs w:val="22"/>
                      <w:highlight w:val="none"/>
                      <w:lang w:eastAsia="zh-CN"/>
                    </w:rPr>
                    <w:t>（</w:t>
                  </w:r>
                  <w:r>
                    <w:rPr>
                      <w:rFonts w:hint="eastAsia" w:hAnsi="宋体" w:cs="宋体"/>
                      <w:color w:val="auto"/>
                      <w:sz w:val="22"/>
                      <w:szCs w:val="22"/>
                      <w:highlight w:val="none"/>
                      <w:lang w:val="en-US" w:eastAsia="zh-CN"/>
                    </w:rPr>
                    <w:t>DA001</w:t>
                  </w:r>
                  <w:r>
                    <w:rPr>
                      <w:rFonts w:hint="eastAsia" w:hAnsi="宋体" w:cs="宋体"/>
                      <w:color w:val="auto"/>
                      <w:sz w:val="22"/>
                      <w:szCs w:val="22"/>
                      <w:highlight w:val="none"/>
                      <w:lang w:eastAsia="zh-CN"/>
                    </w:rPr>
                    <w:t>）</w:t>
                  </w:r>
                </w:p>
              </w:tc>
              <w:tc>
                <w:tcPr>
                  <w:tcW w:w="3003" w:type="dxa"/>
                  <w:tcBorders>
                    <w:top w:val="single" w:color="auto" w:sz="4" w:space="0"/>
                    <w:left w:val="single" w:color="auto" w:sz="4" w:space="0"/>
                    <w:right w:val="single" w:color="auto" w:sz="4" w:space="0"/>
                  </w:tcBorders>
                  <w:vAlign w:val="center"/>
                </w:tcPr>
                <w:p>
                  <w:pPr>
                    <w:jc w:val="center"/>
                    <w:rPr>
                      <w:rFonts w:hint="eastAsia" w:ascii="Times New Roman" w:hAnsi="Times New Roman" w:eastAsia="宋体" w:cs="宋体"/>
                      <w:color w:val="auto"/>
                      <w:sz w:val="22"/>
                      <w:szCs w:val="22"/>
                      <w:highlight w:val="none"/>
                    </w:rPr>
                  </w:pPr>
                  <w:r>
                    <w:rPr>
                      <w:rFonts w:hint="eastAsia" w:ascii="宋体" w:hAnsi="宋体" w:cs="宋体"/>
                      <w:color w:val="auto"/>
                    </w:rPr>
                    <w:t>《</w:t>
                  </w:r>
                  <w:r>
                    <w:rPr>
                      <w:rFonts w:hint="eastAsia" w:ascii="宋体" w:hAnsi="宋体" w:cs="宋体"/>
                      <w:color w:val="auto"/>
                      <w:lang w:eastAsia="zh-CN"/>
                    </w:rPr>
                    <w:t>合成树脂工业污染物排放标准</w:t>
                  </w:r>
                  <w:r>
                    <w:rPr>
                      <w:rFonts w:hint="eastAsia" w:ascii="宋体" w:hAnsi="宋体" w:cs="宋体"/>
                      <w:color w:val="auto"/>
                    </w:rPr>
                    <w:t>》（</w:t>
                  </w:r>
                  <w:r>
                    <w:rPr>
                      <w:rFonts w:hint="eastAsia" w:ascii="宋体" w:hAnsi="宋体" w:cs="宋体"/>
                      <w:color w:val="auto"/>
                      <w:lang w:eastAsia="zh-CN"/>
                    </w:rPr>
                    <w:t>GB 31572-2015</w:t>
                  </w:r>
                  <w:r>
                    <w:rPr>
                      <w:rFonts w:hint="eastAsia" w:ascii="宋体" w:hAnsi="宋体" w:cs="宋体"/>
                      <w:color w:val="auto"/>
                    </w:rPr>
                    <w:t>）表</w:t>
                  </w:r>
                  <w:r>
                    <w:rPr>
                      <w:rFonts w:hint="eastAsia" w:ascii="宋体" w:hAnsi="宋体" w:cs="宋体"/>
                      <w:color w:val="auto"/>
                      <w:lang w:val="en-US" w:eastAsia="zh-CN"/>
                    </w:rPr>
                    <w:t>5</w:t>
                  </w:r>
                  <w:r>
                    <w:rPr>
                      <w:rFonts w:hint="eastAsia" w:ascii="宋体" w:hAnsi="宋体" w:cs="宋体"/>
                      <w:color w:val="auto"/>
                    </w:rPr>
                    <w:t>中大气污染物特别排放限值要求</w:t>
                  </w:r>
                </w:p>
              </w:tc>
              <w:tc>
                <w:tcPr>
                  <w:tcW w:w="867" w:type="dxa"/>
                  <w:vMerge w:val="restart"/>
                  <w:tcBorders>
                    <w:top w:val="single" w:color="auto" w:sz="4" w:space="0"/>
                    <w:left w:val="single" w:color="auto" w:sz="4" w:space="0"/>
                    <w:right w:val="single" w:color="auto" w:sz="4" w:space="0"/>
                  </w:tcBorders>
                  <w:vAlign w:val="center"/>
                </w:tcPr>
                <w:p>
                  <w:pPr>
                    <w:jc w:val="center"/>
                    <w:rPr>
                      <w:rFonts w:hint="default"/>
                      <w:color w:val="auto"/>
                      <w:sz w:val="22"/>
                      <w:szCs w:val="22"/>
                      <w:highlight w:val="none"/>
                      <w:lang w:val="en-US" w:eastAsia="zh-CN"/>
                    </w:rPr>
                  </w:pPr>
                  <w:r>
                    <w:rPr>
                      <w:rFonts w:hint="eastAsia"/>
                      <w:color w:val="auto"/>
                      <w:sz w:val="22"/>
                      <w:szCs w:val="22"/>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721" w:type="dxa"/>
                  <w:vMerge w:val="continue"/>
                  <w:tcBorders>
                    <w:left w:val="single" w:color="auto" w:sz="4" w:space="0"/>
                    <w:right w:val="single" w:color="auto" w:sz="4" w:space="0"/>
                  </w:tcBorders>
                  <w:vAlign w:val="center"/>
                </w:tcPr>
                <w:p>
                  <w:pPr>
                    <w:jc w:val="center"/>
                    <w:rPr>
                      <w:rFonts w:hint="eastAsia" w:cs="宋体"/>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eastAsia" w:hAnsi="宋体"/>
                      <w:color w:val="auto"/>
                      <w:sz w:val="22"/>
                      <w:szCs w:val="22"/>
                      <w:highlight w:val="none"/>
                      <w:lang w:eastAsia="zh-CN"/>
                    </w:rPr>
                  </w:pPr>
                  <w:r>
                    <w:rPr>
                      <w:rFonts w:hint="eastAsia" w:hAnsi="宋体"/>
                      <w:color w:val="auto"/>
                      <w:sz w:val="22"/>
                      <w:szCs w:val="22"/>
                      <w:highlight w:val="none"/>
                      <w:lang w:eastAsia="zh-CN"/>
                    </w:rPr>
                    <w:t>破碎、投料工序</w:t>
                  </w:r>
                </w:p>
              </w:tc>
              <w:tc>
                <w:tcPr>
                  <w:tcW w:w="1889" w:type="dxa"/>
                  <w:tcBorders>
                    <w:top w:val="single" w:color="auto" w:sz="4" w:space="0"/>
                    <w:left w:val="single" w:color="auto" w:sz="4" w:space="0"/>
                    <w:right w:val="single" w:color="auto" w:sz="4" w:space="0"/>
                  </w:tcBorders>
                  <w:vAlign w:val="center"/>
                </w:tcPr>
                <w:p>
                  <w:pPr>
                    <w:jc w:val="center"/>
                    <w:rPr>
                      <w:rFonts w:hint="eastAsia" w:hAnsi="宋体"/>
                      <w:color w:val="auto"/>
                      <w:sz w:val="22"/>
                      <w:szCs w:val="22"/>
                      <w:highlight w:val="none"/>
                      <w:lang w:eastAsia="zh-CN"/>
                    </w:rPr>
                  </w:pPr>
                  <w:r>
                    <w:rPr>
                      <w:rFonts w:hint="eastAsia" w:hAnsi="宋体"/>
                      <w:color w:val="auto"/>
                      <w:sz w:val="22"/>
                      <w:szCs w:val="22"/>
                      <w:highlight w:val="none"/>
                      <w:lang w:eastAsia="zh-CN"/>
                    </w:rPr>
                    <w:t>集气装置</w:t>
                  </w:r>
                  <w:r>
                    <w:rPr>
                      <w:rFonts w:hAnsi="宋体"/>
                      <w:color w:val="auto"/>
                      <w:sz w:val="22"/>
                      <w:szCs w:val="22"/>
                      <w:highlight w:val="none"/>
                    </w:rPr>
                    <w:t>+</w:t>
                  </w:r>
                  <w:r>
                    <w:rPr>
                      <w:rFonts w:hint="eastAsia" w:hAnsi="宋体"/>
                      <w:color w:val="auto"/>
                      <w:sz w:val="22"/>
                      <w:szCs w:val="22"/>
                      <w:highlight w:val="none"/>
                      <w:lang w:eastAsia="zh-CN"/>
                    </w:rPr>
                    <w:t>布袋除尘器</w:t>
                  </w:r>
                  <w:r>
                    <w:rPr>
                      <w:rFonts w:hAnsi="宋体"/>
                      <w:color w:val="auto"/>
                      <w:sz w:val="22"/>
                      <w:szCs w:val="22"/>
                      <w:highlight w:val="none"/>
                    </w:rPr>
                    <w:t>+15</w:t>
                  </w:r>
                  <w:r>
                    <w:rPr>
                      <w:rFonts w:hint="eastAsia" w:hAnsi="宋体" w:cs="宋体"/>
                      <w:color w:val="auto"/>
                      <w:sz w:val="22"/>
                      <w:szCs w:val="22"/>
                      <w:highlight w:val="none"/>
                    </w:rPr>
                    <w:t>米高排气筒</w:t>
                  </w:r>
                  <w:r>
                    <w:rPr>
                      <w:rFonts w:hint="eastAsia" w:hAnsi="宋体" w:cs="宋体"/>
                      <w:color w:val="auto"/>
                      <w:sz w:val="22"/>
                      <w:szCs w:val="22"/>
                      <w:highlight w:val="none"/>
                      <w:lang w:eastAsia="zh-CN"/>
                    </w:rPr>
                    <w:t>（</w:t>
                  </w:r>
                  <w:r>
                    <w:rPr>
                      <w:rFonts w:hint="eastAsia" w:hAnsi="宋体" w:cs="宋体"/>
                      <w:color w:val="auto"/>
                      <w:sz w:val="22"/>
                      <w:szCs w:val="22"/>
                      <w:highlight w:val="none"/>
                      <w:lang w:val="en-US" w:eastAsia="zh-CN"/>
                    </w:rPr>
                    <w:t>DA002</w:t>
                  </w:r>
                  <w:r>
                    <w:rPr>
                      <w:rFonts w:hint="eastAsia" w:hAnsi="宋体" w:cs="宋体"/>
                      <w:color w:val="auto"/>
                      <w:sz w:val="22"/>
                      <w:szCs w:val="22"/>
                      <w:highlight w:val="none"/>
                      <w:lang w:eastAsia="zh-CN"/>
                    </w:rPr>
                    <w:t>）</w:t>
                  </w:r>
                </w:p>
              </w:tc>
              <w:tc>
                <w:tcPr>
                  <w:tcW w:w="3003" w:type="dxa"/>
                  <w:tcBorders>
                    <w:top w:val="single" w:color="auto" w:sz="4" w:space="0"/>
                    <w:left w:val="single" w:color="auto" w:sz="4" w:space="0"/>
                    <w:right w:val="single" w:color="auto" w:sz="4" w:space="0"/>
                  </w:tcBorders>
                  <w:vAlign w:val="center"/>
                </w:tcPr>
                <w:p>
                  <w:pPr>
                    <w:jc w:val="center"/>
                    <w:rPr>
                      <w:rFonts w:hint="eastAsia" w:ascii="宋体" w:hAnsi="宋体" w:cs="宋体"/>
                      <w:color w:val="auto"/>
                    </w:rPr>
                  </w:pPr>
                  <w:r>
                    <w:rPr>
                      <w:rFonts w:hint="eastAsia" w:ascii="宋体" w:hAnsi="宋体" w:cs="宋体"/>
                      <w:color w:val="auto"/>
                    </w:rPr>
                    <w:t>《</w:t>
                  </w:r>
                  <w:r>
                    <w:rPr>
                      <w:rFonts w:hint="eastAsia" w:ascii="宋体" w:hAnsi="宋体" w:cs="宋体"/>
                      <w:color w:val="auto"/>
                      <w:lang w:eastAsia="zh-CN"/>
                    </w:rPr>
                    <w:t>合成树脂工业污染物排放标准</w:t>
                  </w:r>
                  <w:r>
                    <w:rPr>
                      <w:rFonts w:hint="eastAsia" w:ascii="宋体" w:hAnsi="宋体" w:cs="宋体"/>
                      <w:color w:val="auto"/>
                    </w:rPr>
                    <w:t>》（</w:t>
                  </w:r>
                  <w:r>
                    <w:rPr>
                      <w:rFonts w:hint="eastAsia" w:ascii="宋体" w:hAnsi="宋体" w:cs="宋体"/>
                      <w:color w:val="auto"/>
                      <w:lang w:eastAsia="zh-CN"/>
                    </w:rPr>
                    <w:t>GB 31572-2015</w:t>
                  </w:r>
                  <w:r>
                    <w:rPr>
                      <w:rFonts w:hint="eastAsia" w:ascii="宋体" w:hAnsi="宋体" w:cs="宋体"/>
                      <w:color w:val="auto"/>
                    </w:rPr>
                    <w:t>）表</w:t>
                  </w:r>
                  <w:r>
                    <w:rPr>
                      <w:rFonts w:hint="eastAsia" w:ascii="宋体" w:hAnsi="宋体" w:cs="宋体"/>
                      <w:color w:val="auto"/>
                      <w:lang w:val="en-US" w:eastAsia="zh-CN"/>
                    </w:rPr>
                    <w:t>5</w:t>
                  </w:r>
                  <w:r>
                    <w:rPr>
                      <w:rFonts w:hint="eastAsia" w:ascii="宋体" w:hAnsi="宋体" w:cs="宋体"/>
                      <w:color w:val="auto"/>
                    </w:rPr>
                    <w:t>中大气污染物特别排放限值要求</w:t>
                  </w:r>
                </w:p>
              </w:tc>
              <w:tc>
                <w:tcPr>
                  <w:tcW w:w="867" w:type="dxa"/>
                  <w:vMerge w:val="continue"/>
                  <w:tcBorders>
                    <w:left w:val="single" w:color="auto" w:sz="4" w:space="0"/>
                    <w:right w:val="single" w:color="auto" w:sz="4" w:space="0"/>
                  </w:tcBorders>
                  <w:vAlign w:val="center"/>
                </w:tcPr>
                <w:p>
                  <w:pPr>
                    <w:jc w:val="center"/>
                    <w:rPr>
                      <w:rFonts w:hint="eastAsia"/>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废水</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生活污水</w:t>
                  </w:r>
                </w:p>
              </w:tc>
              <w:tc>
                <w:tcPr>
                  <w:tcW w:w="188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 w:val="22"/>
                      <w:szCs w:val="22"/>
                      <w:highlight w:val="none"/>
                      <w:lang w:eastAsia="zh-CN"/>
                    </w:rPr>
                  </w:pPr>
                  <w:r>
                    <w:rPr>
                      <w:rFonts w:hint="eastAsia" w:cs="宋体"/>
                      <w:color w:val="auto"/>
                      <w:sz w:val="22"/>
                      <w:szCs w:val="22"/>
                      <w:highlight w:val="none"/>
                    </w:rPr>
                    <w:t>化粪池</w:t>
                  </w:r>
                  <w:r>
                    <w:rPr>
                      <w:rFonts w:hint="eastAsia" w:cs="宋体"/>
                      <w:color w:val="auto"/>
                      <w:sz w:val="22"/>
                      <w:szCs w:val="22"/>
                      <w:highlight w:val="none"/>
                      <w:lang w:eastAsia="zh-CN"/>
                    </w:rPr>
                    <w:t>（依托）</w:t>
                  </w:r>
                </w:p>
              </w:tc>
              <w:tc>
                <w:tcPr>
                  <w:tcW w:w="300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lang w:eastAsia="zh-CN"/>
                    </w:rPr>
                    <w:t>淮北蓝海水处理有限公司</w:t>
                  </w:r>
                  <w:r>
                    <w:rPr>
                      <w:rFonts w:hint="eastAsia" w:cs="宋体"/>
                      <w:color w:val="auto"/>
                      <w:sz w:val="22"/>
                      <w:szCs w:val="22"/>
                      <w:highlight w:val="none"/>
                    </w:rPr>
                    <w:t>接管</w:t>
                  </w:r>
                  <w:r>
                    <w:rPr>
                      <w:rFonts w:hint="eastAsia" w:cs="宋体"/>
                      <w:color w:val="auto"/>
                      <w:sz w:val="22"/>
                      <w:szCs w:val="22"/>
                      <w:highlight w:val="none"/>
                      <w:lang w:eastAsia="zh-CN"/>
                    </w:rPr>
                    <w:t>限值</w:t>
                  </w:r>
                  <w:r>
                    <w:rPr>
                      <w:rFonts w:hint="eastAsia" w:cs="宋体"/>
                      <w:color w:val="auto"/>
                      <w:sz w:val="22"/>
                      <w:szCs w:val="22"/>
                      <w:highlight w:val="none"/>
                    </w:rPr>
                    <w:t>及《污水综合排放标准》（</w:t>
                  </w:r>
                  <w:r>
                    <w:rPr>
                      <w:color w:val="auto"/>
                      <w:sz w:val="22"/>
                      <w:szCs w:val="22"/>
                      <w:highlight w:val="none"/>
                    </w:rPr>
                    <w:t>GB8978-1996</w:t>
                  </w:r>
                  <w:r>
                    <w:rPr>
                      <w:rFonts w:hint="eastAsia" w:cs="宋体"/>
                      <w:color w:val="auto"/>
                      <w:sz w:val="22"/>
                      <w:szCs w:val="22"/>
                      <w:highlight w:val="none"/>
                    </w:rPr>
                    <w:t>）表</w:t>
                  </w:r>
                  <w:r>
                    <w:rPr>
                      <w:color w:val="auto"/>
                      <w:sz w:val="22"/>
                      <w:szCs w:val="22"/>
                      <w:highlight w:val="none"/>
                    </w:rPr>
                    <w:t>4</w:t>
                  </w:r>
                  <w:r>
                    <w:rPr>
                      <w:rFonts w:hint="eastAsia" w:cs="宋体"/>
                      <w:color w:val="auto"/>
                      <w:sz w:val="22"/>
                      <w:szCs w:val="22"/>
                      <w:highlight w:val="none"/>
                    </w:rPr>
                    <w:t>中三级标准</w:t>
                  </w:r>
                </w:p>
              </w:tc>
              <w:tc>
                <w:tcPr>
                  <w:tcW w:w="867"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噪声</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主要产噪</w:t>
                  </w:r>
                </w:p>
                <w:p>
                  <w:pPr>
                    <w:jc w:val="center"/>
                    <w:rPr>
                      <w:color w:val="auto"/>
                      <w:sz w:val="22"/>
                      <w:szCs w:val="22"/>
                      <w:highlight w:val="none"/>
                    </w:rPr>
                  </w:pPr>
                  <w:r>
                    <w:rPr>
                      <w:rFonts w:hint="eastAsia" w:cs="宋体"/>
                      <w:color w:val="auto"/>
                      <w:sz w:val="22"/>
                      <w:szCs w:val="22"/>
                      <w:highlight w:val="none"/>
                    </w:rPr>
                    <w:t>设备</w:t>
                  </w:r>
                </w:p>
              </w:tc>
              <w:tc>
                <w:tcPr>
                  <w:tcW w:w="1889"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合理布局、减振、消声、隔声、绿化等措施</w:t>
                  </w:r>
                </w:p>
              </w:tc>
              <w:tc>
                <w:tcPr>
                  <w:tcW w:w="3003"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s="宋体"/>
                      <w:color w:val="auto"/>
                      <w:sz w:val="22"/>
                      <w:szCs w:val="22"/>
                      <w:highlight w:val="none"/>
                      <w:lang w:eastAsia="zh-CN"/>
                    </w:rPr>
                  </w:pPr>
                  <w:r>
                    <w:rPr>
                      <w:rFonts w:hint="eastAsia" w:cs="宋体"/>
                      <w:color w:val="auto"/>
                      <w:sz w:val="22"/>
                      <w:szCs w:val="22"/>
                      <w:highlight w:val="none"/>
                    </w:rPr>
                    <w:t>《工业企业厂界环境噪声排放标准》（</w:t>
                  </w:r>
                  <w:r>
                    <w:rPr>
                      <w:color w:val="auto"/>
                      <w:sz w:val="22"/>
                      <w:szCs w:val="22"/>
                      <w:highlight w:val="none"/>
                    </w:rPr>
                    <w:t>GB12348-2008</w:t>
                  </w:r>
                  <w:r>
                    <w:rPr>
                      <w:rFonts w:hint="eastAsia" w:cs="宋体"/>
                      <w:color w:val="auto"/>
                      <w:sz w:val="22"/>
                      <w:szCs w:val="22"/>
                      <w:highlight w:val="none"/>
                    </w:rPr>
                    <w:t>）</w:t>
                  </w:r>
                </w:p>
                <w:p>
                  <w:pPr>
                    <w:jc w:val="center"/>
                    <w:rPr>
                      <w:color w:val="auto"/>
                      <w:sz w:val="22"/>
                      <w:szCs w:val="22"/>
                      <w:highlight w:val="none"/>
                    </w:rPr>
                  </w:pPr>
                  <w:r>
                    <w:rPr>
                      <w:color w:val="auto"/>
                      <w:sz w:val="22"/>
                      <w:szCs w:val="22"/>
                      <w:highlight w:val="none"/>
                    </w:rPr>
                    <w:t>3</w:t>
                  </w:r>
                  <w:r>
                    <w:rPr>
                      <w:rFonts w:hint="eastAsia" w:cs="宋体"/>
                      <w:color w:val="auto"/>
                      <w:sz w:val="22"/>
                      <w:szCs w:val="22"/>
                      <w:highlight w:val="none"/>
                    </w:rPr>
                    <w:t>类区标准</w:t>
                  </w:r>
                </w:p>
              </w:tc>
              <w:tc>
                <w:tcPr>
                  <w:tcW w:w="86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 w:val="22"/>
                      <w:szCs w:val="22"/>
                      <w:highlight w:val="none"/>
                      <w:lang w:eastAsia="zh-CN"/>
                    </w:rPr>
                  </w:pPr>
                  <w:r>
                    <w:rPr>
                      <w:rFonts w:hint="eastAsia"/>
                      <w:color w:val="auto"/>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21" w:type="dxa"/>
                  <w:vMerge w:val="restart"/>
                  <w:tcBorders>
                    <w:top w:val="single" w:color="auto" w:sz="4" w:space="0"/>
                    <w:left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固体</w:t>
                  </w:r>
                </w:p>
                <w:p>
                  <w:pPr>
                    <w:jc w:val="center"/>
                    <w:rPr>
                      <w:color w:val="auto"/>
                      <w:sz w:val="22"/>
                      <w:szCs w:val="22"/>
                      <w:highlight w:val="none"/>
                    </w:rPr>
                  </w:pPr>
                  <w:r>
                    <w:rPr>
                      <w:rFonts w:hint="eastAsia" w:cs="宋体"/>
                      <w:color w:val="auto"/>
                      <w:sz w:val="22"/>
                      <w:szCs w:val="22"/>
                      <w:highlight w:val="none"/>
                    </w:rPr>
                    <w:t>废物</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生活垃圾</w:t>
                  </w:r>
                </w:p>
              </w:tc>
              <w:tc>
                <w:tcPr>
                  <w:tcW w:w="1889"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垃圾桶，由环卫部门定期清运</w:t>
                  </w:r>
                </w:p>
              </w:tc>
              <w:tc>
                <w:tcPr>
                  <w:tcW w:w="3003"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color w:val="auto"/>
                      <w:sz w:val="22"/>
                      <w:szCs w:val="22"/>
                      <w:highlight w:val="none"/>
                    </w:rPr>
                    <w:t>/</w:t>
                  </w:r>
                </w:p>
              </w:tc>
              <w:tc>
                <w:tcPr>
                  <w:tcW w:w="867" w:type="dxa"/>
                  <w:tcBorders>
                    <w:top w:val="single" w:color="auto" w:sz="4" w:space="0"/>
                    <w:left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21"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ascii="Times New Roman" w:hAnsi="Times New Roman" w:cs="宋体"/>
                      <w:color w:val="auto"/>
                      <w:highlight w:val="none"/>
                      <w:lang w:val="en-US" w:eastAsia="zh-CN"/>
                    </w:rPr>
                    <w:t>废包装袋</w:t>
                  </w:r>
                </w:p>
              </w:tc>
              <w:tc>
                <w:tcPr>
                  <w:tcW w:w="1889" w:type="dxa"/>
                  <w:vMerge w:val="restart"/>
                  <w:tcBorders>
                    <w:top w:val="single" w:color="auto" w:sz="4" w:space="0"/>
                    <w:left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外售物资回收部门</w:t>
                  </w:r>
                </w:p>
              </w:tc>
              <w:tc>
                <w:tcPr>
                  <w:tcW w:w="3003" w:type="dxa"/>
                  <w:vMerge w:val="restart"/>
                  <w:tcBorders>
                    <w:top w:val="single" w:color="auto" w:sz="4" w:space="0"/>
                    <w:left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《一般工业固体废物贮存和填埋污染控制标准》</w:t>
                  </w:r>
                  <w:r>
                    <w:rPr>
                      <w:color w:val="auto"/>
                      <w:sz w:val="22"/>
                      <w:szCs w:val="22"/>
                      <w:highlight w:val="none"/>
                    </w:rPr>
                    <w:t>(GB18599-2020)</w:t>
                  </w:r>
                </w:p>
              </w:tc>
              <w:tc>
                <w:tcPr>
                  <w:tcW w:w="867" w:type="dxa"/>
                  <w:vMerge w:val="restart"/>
                  <w:tcBorders>
                    <w:left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21"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highlight w:val="none"/>
                      <w:lang w:val="en-US" w:eastAsia="zh-CN"/>
                    </w:rPr>
                    <w:t>除尘器收集的粉尘</w:t>
                  </w:r>
                </w:p>
              </w:tc>
              <w:tc>
                <w:tcPr>
                  <w:tcW w:w="1889" w:type="dxa"/>
                  <w:vMerge w:val="continue"/>
                  <w:tcBorders>
                    <w:left w:val="single" w:color="auto" w:sz="4" w:space="0"/>
                    <w:right w:val="single" w:color="auto" w:sz="4" w:space="0"/>
                  </w:tcBorders>
                  <w:vAlign w:val="center"/>
                </w:tcPr>
                <w:p>
                  <w:pPr>
                    <w:jc w:val="center"/>
                    <w:rPr>
                      <w:rFonts w:hint="eastAsia" w:cs="宋体"/>
                      <w:color w:val="auto"/>
                      <w:sz w:val="22"/>
                      <w:szCs w:val="22"/>
                      <w:highlight w:val="none"/>
                    </w:rPr>
                  </w:pPr>
                </w:p>
              </w:tc>
              <w:tc>
                <w:tcPr>
                  <w:tcW w:w="3003" w:type="dxa"/>
                  <w:vMerge w:val="continue"/>
                  <w:tcBorders>
                    <w:left w:val="single" w:color="auto" w:sz="4" w:space="0"/>
                    <w:right w:val="single" w:color="auto" w:sz="4" w:space="0"/>
                  </w:tcBorders>
                  <w:vAlign w:val="center"/>
                </w:tcPr>
                <w:p>
                  <w:pPr>
                    <w:jc w:val="center"/>
                    <w:rPr>
                      <w:rFonts w:hint="eastAsia" w:cs="宋体"/>
                      <w:color w:val="auto"/>
                      <w:sz w:val="22"/>
                      <w:szCs w:val="22"/>
                      <w:highlight w:val="none"/>
                    </w:rPr>
                  </w:pPr>
                </w:p>
              </w:tc>
              <w:tc>
                <w:tcPr>
                  <w:tcW w:w="867" w:type="dxa"/>
                  <w:vMerge w:val="continue"/>
                  <w:tcBorders>
                    <w:left w:val="single" w:color="auto" w:sz="4" w:space="0"/>
                    <w:right w:val="single" w:color="auto" w:sz="4" w:space="0"/>
                  </w:tcBorders>
                  <w:vAlign w:val="center"/>
                </w:tcPr>
                <w:p>
                  <w:pPr>
                    <w:jc w:val="center"/>
                    <w:rPr>
                      <w:rFonts w:hint="eastAsia"/>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21"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color w:val="auto"/>
                      <w:highlight w:val="none"/>
                      <w:lang w:eastAsia="zh-CN"/>
                    </w:rPr>
                  </w:pPr>
                  <w:r>
                    <w:rPr>
                      <w:rFonts w:hint="eastAsia" w:ascii="Times New Roman" w:hAnsi="Times New Roman" w:cs="宋体"/>
                      <w:color w:val="auto"/>
                      <w:highlight w:val="none"/>
                      <w:lang w:val="en-US" w:eastAsia="zh-CN"/>
                    </w:rPr>
                    <w:t>不合格品</w:t>
                  </w:r>
                </w:p>
              </w:tc>
              <w:tc>
                <w:tcPr>
                  <w:tcW w:w="1889" w:type="dxa"/>
                  <w:tcBorders>
                    <w:left w:val="single" w:color="auto" w:sz="4" w:space="0"/>
                    <w:right w:val="single" w:color="auto" w:sz="4" w:space="0"/>
                  </w:tcBorders>
                  <w:vAlign w:val="center"/>
                </w:tcPr>
                <w:p>
                  <w:pPr>
                    <w:jc w:val="center"/>
                    <w:rPr>
                      <w:rFonts w:hint="eastAsia" w:eastAsia="宋体"/>
                      <w:color w:val="auto"/>
                      <w:sz w:val="22"/>
                      <w:szCs w:val="22"/>
                      <w:highlight w:val="none"/>
                      <w:lang w:val="en-US" w:eastAsia="zh-CN"/>
                    </w:rPr>
                  </w:pPr>
                  <w:r>
                    <w:rPr>
                      <w:rFonts w:hint="eastAsia"/>
                      <w:color w:val="auto"/>
                      <w:sz w:val="22"/>
                      <w:szCs w:val="22"/>
                      <w:highlight w:val="none"/>
                      <w:lang w:val="en-US" w:eastAsia="zh-CN"/>
                    </w:rPr>
                    <w:t>回用于生产</w:t>
                  </w:r>
                </w:p>
              </w:tc>
              <w:tc>
                <w:tcPr>
                  <w:tcW w:w="3003"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867" w:type="dxa"/>
                  <w:vMerge w:val="continue"/>
                  <w:tcBorders>
                    <w:left w:val="single" w:color="auto" w:sz="4" w:space="0"/>
                    <w:right w:val="single" w:color="auto" w:sz="4" w:space="0"/>
                  </w:tcBorders>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21"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highlight w:val="none"/>
                      <w:lang w:val="en-US" w:eastAsia="zh-CN"/>
                    </w:rPr>
                    <w:t>废活性炭</w:t>
                  </w:r>
                </w:p>
              </w:tc>
              <w:tc>
                <w:tcPr>
                  <w:tcW w:w="1889" w:type="dxa"/>
                  <w:vMerge w:val="restart"/>
                  <w:tcBorders>
                    <w:left w:val="single" w:color="auto" w:sz="4" w:space="0"/>
                    <w:right w:val="single" w:color="auto" w:sz="4" w:space="0"/>
                  </w:tcBorders>
                  <w:vAlign w:val="center"/>
                </w:tcPr>
                <w:p>
                  <w:pPr>
                    <w:jc w:val="center"/>
                    <w:rPr>
                      <w:rFonts w:hint="default"/>
                      <w:color w:val="auto"/>
                      <w:sz w:val="22"/>
                      <w:szCs w:val="22"/>
                      <w:highlight w:val="none"/>
                      <w:lang w:val="en-US" w:eastAsia="zh-CN"/>
                    </w:rPr>
                  </w:pPr>
                  <w:r>
                    <w:rPr>
                      <w:rFonts w:hint="eastAsia"/>
                      <w:color w:val="auto"/>
                      <w:sz w:val="22"/>
                      <w:szCs w:val="22"/>
                      <w:highlight w:val="none"/>
                      <w:lang w:val="en-US" w:eastAsia="zh-CN"/>
                    </w:rPr>
                    <w:t>交由有资质单位处理</w:t>
                  </w:r>
                </w:p>
              </w:tc>
              <w:tc>
                <w:tcPr>
                  <w:tcW w:w="3003" w:type="dxa"/>
                  <w:vMerge w:val="restart"/>
                  <w:tcBorders>
                    <w:left w:val="single" w:color="auto" w:sz="4" w:space="0"/>
                    <w:right w:val="single" w:color="auto" w:sz="4" w:space="0"/>
                  </w:tcBorders>
                  <w:vAlign w:val="center"/>
                </w:tcPr>
                <w:p>
                  <w:pPr>
                    <w:jc w:val="center"/>
                    <w:rPr>
                      <w:color w:val="auto"/>
                      <w:sz w:val="22"/>
                      <w:szCs w:val="22"/>
                      <w:highlight w:val="none"/>
                    </w:rPr>
                  </w:pPr>
                  <w:r>
                    <w:rPr>
                      <w:rFonts w:hint="default" w:ascii="Times New Roman" w:hAnsi="Times New Roman" w:eastAsia="宋体" w:cs="宋体"/>
                      <w:color w:val="auto"/>
                      <w:sz w:val="22"/>
                      <w:szCs w:val="22"/>
                      <w:lang w:val="en-US" w:eastAsia="zh-CN"/>
                    </w:rPr>
                    <w:t>《危险废物贮存污染控制标准》（</w:t>
                  </w:r>
                  <w:r>
                    <w:rPr>
                      <w:rFonts w:hint="eastAsia" w:ascii="Times New Roman" w:hAnsi="Times New Roman" w:eastAsia="宋体" w:cs="宋体"/>
                      <w:color w:val="auto"/>
                      <w:sz w:val="22"/>
                      <w:szCs w:val="22"/>
                      <w:lang w:val="en-US" w:eastAsia="zh-CN"/>
                    </w:rPr>
                    <w:t>GB 18597—</w:t>
                  </w:r>
                  <w:r>
                    <w:rPr>
                      <w:rFonts w:hint="default" w:ascii="Times New Roman" w:hAnsi="Times New Roman" w:eastAsia="宋体" w:cs="宋体"/>
                      <w:color w:val="auto"/>
                      <w:sz w:val="22"/>
                      <w:szCs w:val="22"/>
                      <w:lang w:val="en-US" w:eastAsia="zh-CN"/>
                    </w:rPr>
                    <w:t>2023）</w:t>
                  </w:r>
                  <w:r>
                    <w:rPr>
                      <w:rFonts w:hint="eastAsia" w:ascii="Times New Roman" w:hAnsi="Times New Roman" w:eastAsia="宋体" w:cs="宋体"/>
                      <w:color w:val="auto"/>
                      <w:sz w:val="22"/>
                      <w:szCs w:val="22"/>
                      <w:lang w:val="en-US" w:eastAsia="zh-CN"/>
                    </w:rPr>
                    <w:t>标准要求</w:t>
                  </w:r>
                </w:p>
              </w:tc>
              <w:tc>
                <w:tcPr>
                  <w:tcW w:w="867" w:type="dxa"/>
                  <w:vMerge w:val="restart"/>
                  <w:tcBorders>
                    <w:left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21"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highlight w:val="none"/>
                      <w:lang w:val="en-US" w:eastAsia="zh-CN"/>
                    </w:rPr>
                    <w:t>废催化剂</w:t>
                  </w:r>
                </w:p>
              </w:tc>
              <w:tc>
                <w:tcPr>
                  <w:tcW w:w="1889" w:type="dxa"/>
                  <w:vMerge w:val="continue"/>
                  <w:tcBorders>
                    <w:left w:val="single" w:color="auto" w:sz="4" w:space="0"/>
                    <w:right w:val="single" w:color="auto" w:sz="4" w:space="0"/>
                  </w:tcBorders>
                  <w:vAlign w:val="center"/>
                </w:tcPr>
                <w:p>
                  <w:pPr>
                    <w:jc w:val="center"/>
                    <w:rPr>
                      <w:rFonts w:hint="eastAsia"/>
                      <w:color w:val="auto"/>
                      <w:sz w:val="22"/>
                      <w:szCs w:val="22"/>
                      <w:highlight w:val="none"/>
                      <w:lang w:val="en-US" w:eastAsia="zh-CN"/>
                    </w:rPr>
                  </w:pPr>
                </w:p>
              </w:tc>
              <w:tc>
                <w:tcPr>
                  <w:tcW w:w="3003"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867" w:type="dxa"/>
                  <w:vMerge w:val="continue"/>
                  <w:tcBorders>
                    <w:left w:val="single" w:color="auto" w:sz="4" w:space="0"/>
                    <w:right w:val="single" w:color="auto" w:sz="4" w:space="0"/>
                  </w:tcBorders>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21"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highlight w:val="none"/>
                      <w:lang w:val="en-US" w:eastAsia="zh-CN"/>
                    </w:rPr>
                    <w:t>废机油</w:t>
                  </w:r>
                </w:p>
              </w:tc>
              <w:tc>
                <w:tcPr>
                  <w:tcW w:w="1889" w:type="dxa"/>
                  <w:vMerge w:val="continue"/>
                  <w:tcBorders>
                    <w:left w:val="single" w:color="auto" w:sz="4" w:space="0"/>
                    <w:right w:val="single" w:color="auto" w:sz="4" w:space="0"/>
                  </w:tcBorders>
                  <w:vAlign w:val="center"/>
                </w:tcPr>
                <w:p>
                  <w:pPr>
                    <w:jc w:val="center"/>
                    <w:rPr>
                      <w:rFonts w:hint="eastAsia"/>
                      <w:color w:val="auto"/>
                      <w:sz w:val="22"/>
                      <w:szCs w:val="22"/>
                      <w:highlight w:val="none"/>
                      <w:lang w:val="en-US" w:eastAsia="zh-CN"/>
                    </w:rPr>
                  </w:pPr>
                </w:p>
              </w:tc>
              <w:tc>
                <w:tcPr>
                  <w:tcW w:w="3003"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867" w:type="dxa"/>
                  <w:vMerge w:val="continue"/>
                  <w:tcBorders>
                    <w:left w:val="single" w:color="auto" w:sz="4" w:space="0"/>
                    <w:right w:val="single" w:color="auto" w:sz="4" w:space="0"/>
                  </w:tcBorders>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21"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highlight w:val="none"/>
                      <w:lang w:val="en-US" w:eastAsia="zh-CN"/>
                    </w:rPr>
                    <w:t>废切削液</w:t>
                  </w:r>
                </w:p>
              </w:tc>
              <w:tc>
                <w:tcPr>
                  <w:tcW w:w="1889" w:type="dxa"/>
                  <w:vMerge w:val="continue"/>
                  <w:tcBorders>
                    <w:left w:val="single" w:color="auto" w:sz="4" w:space="0"/>
                    <w:right w:val="single" w:color="auto" w:sz="4" w:space="0"/>
                  </w:tcBorders>
                  <w:vAlign w:val="center"/>
                </w:tcPr>
                <w:p>
                  <w:pPr>
                    <w:jc w:val="center"/>
                    <w:rPr>
                      <w:rFonts w:hint="eastAsia"/>
                      <w:color w:val="auto"/>
                      <w:sz w:val="22"/>
                      <w:szCs w:val="22"/>
                      <w:highlight w:val="none"/>
                      <w:lang w:val="en-US" w:eastAsia="zh-CN"/>
                    </w:rPr>
                  </w:pPr>
                </w:p>
              </w:tc>
              <w:tc>
                <w:tcPr>
                  <w:tcW w:w="3003"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867" w:type="dxa"/>
                  <w:vMerge w:val="continue"/>
                  <w:tcBorders>
                    <w:left w:val="single" w:color="auto" w:sz="4" w:space="0"/>
                    <w:right w:val="single" w:color="auto" w:sz="4" w:space="0"/>
                  </w:tcBorders>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21"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highlight w:val="none"/>
                      <w:lang w:val="en-US" w:eastAsia="zh-CN"/>
                    </w:rPr>
                    <w:t>废油桶</w:t>
                  </w:r>
                </w:p>
              </w:tc>
              <w:tc>
                <w:tcPr>
                  <w:tcW w:w="1889" w:type="dxa"/>
                  <w:vMerge w:val="continue"/>
                  <w:tcBorders>
                    <w:left w:val="single" w:color="auto" w:sz="4" w:space="0"/>
                    <w:right w:val="single" w:color="auto" w:sz="4" w:space="0"/>
                  </w:tcBorders>
                  <w:vAlign w:val="center"/>
                </w:tcPr>
                <w:p>
                  <w:pPr>
                    <w:jc w:val="center"/>
                    <w:rPr>
                      <w:rFonts w:hint="eastAsia"/>
                      <w:color w:val="auto"/>
                      <w:sz w:val="22"/>
                      <w:szCs w:val="22"/>
                      <w:highlight w:val="none"/>
                      <w:lang w:val="en-US" w:eastAsia="zh-CN"/>
                    </w:rPr>
                  </w:pPr>
                </w:p>
              </w:tc>
              <w:tc>
                <w:tcPr>
                  <w:tcW w:w="3003"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867" w:type="dxa"/>
                  <w:vMerge w:val="continue"/>
                  <w:tcBorders>
                    <w:left w:val="single" w:color="auto" w:sz="4" w:space="0"/>
                    <w:right w:val="single" w:color="auto" w:sz="4" w:space="0"/>
                  </w:tcBorders>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1"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olor w:val="auto"/>
                      <w:highlight w:val="none"/>
                      <w:lang w:val="en-US" w:eastAsia="zh-CN"/>
                    </w:rPr>
                  </w:pPr>
                  <w:r>
                    <w:rPr>
                      <w:rFonts w:hint="eastAsia" w:cs="宋体"/>
                      <w:color w:val="auto"/>
                      <w:highlight w:val="none"/>
                      <w:lang w:val="en-US" w:eastAsia="zh-CN"/>
                    </w:rPr>
                    <w:t>废含油抹布</w:t>
                  </w:r>
                </w:p>
              </w:tc>
              <w:tc>
                <w:tcPr>
                  <w:tcW w:w="1889" w:type="dxa"/>
                  <w:vMerge w:val="continue"/>
                  <w:tcBorders>
                    <w:left w:val="single" w:color="auto" w:sz="4" w:space="0"/>
                    <w:right w:val="single" w:color="auto" w:sz="4" w:space="0"/>
                  </w:tcBorders>
                  <w:vAlign w:val="center"/>
                </w:tcPr>
                <w:p>
                  <w:pPr>
                    <w:jc w:val="center"/>
                    <w:rPr>
                      <w:rFonts w:hint="default"/>
                      <w:color w:val="auto"/>
                      <w:sz w:val="22"/>
                      <w:szCs w:val="22"/>
                      <w:highlight w:val="none"/>
                      <w:lang w:val="en-US" w:eastAsia="zh-CN"/>
                    </w:rPr>
                  </w:pPr>
                </w:p>
              </w:tc>
              <w:tc>
                <w:tcPr>
                  <w:tcW w:w="3003" w:type="dxa"/>
                  <w:vMerge w:val="continue"/>
                  <w:tcBorders>
                    <w:left w:val="single" w:color="auto" w:sz="4" w:space="0"/>
                    <w:right w:val="single" w:color="auto" w:sz="4" w:space="0"/>
                  </w:tcBorders>
                  <w:vAlign w:val="center"/>
                </w:tcPr>
                <w:p>
                  <w:pPr>
                    <w:jc w:val="center"/>
                    <w:rPr>
                      <w:color w:val="auto"/>
                      <w:sz w:val="22"/>
                      <w:szCs w:val="22"/>
                      <w:highlight w:val="none"/>
                    </w:rPr>
                  </w:pPr>
                </w:p>
              </w:tc>
              <w:tc>
                <w:tcPr>
                  <w:tcW w:w="867" w:type="dxa"/>
                  <w:vMerge w:val="continue"/>
                  <w:tcBorders>
                    <w:left w:val="single" w:color="auto" w:sz="4" w:space="0"/>
                    <w:right w:val="single" w:color="auto" w:sz="4" w:space="0"/>
                  </w:tcBorders>
                  <w:vAlign w:val="center"/>
                </w:tcPr>
                <w:p>
                  <w:pPr>
                    <w:jc w:val="center"/>
                    <w:rPr>
                      <w:rFonts w:hint="default" w:eastAsia="宋体"/>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235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地下水</w:t>
                  </w:r>
                </w:p>
              </w:tc>
              <w:tc>
                <w:tcPr>
                  <w:tcW w:w="4892" w:type="dxa"/>
                  <w:gridSpan w:val="2"/>
                  <w:tcBorders>
                    <w:top w:val="single" w:color="auto" w:sz="4" w:space="0"/>
                    <w:left w:val="single" w:color="auto" w:sz="4" w:space="0"/>
                    <w:bottom w:val="single" w:color="auto" w:sz="4" w:space="0"/>
                    <w:right w:val="single" w:color="auto" w:sz="4" w:space="0"/>
                  </w:tcBorders>
                  <w:vAlign w:val="center"/>
                </w:tcPr>
                <w:p>
                  <w:pPr>
                    <w:ind w:firstLine="440" w:firstLineChars="200"/>
                    <w:jc w:val="left"/>
                    <w:rPr>
                      <w:rFonts w:hint="eastAsia" w:eastAsia="宋体"/>
                      <w:color w:val="auto"/>
                      <w:sz w:val="22"/>
                      <w:szCs w:val="22"/>
                      <w:highlight w:val="none"/>
                      <w:lang w:eastAsia="zh-CN"/>
                    </w:rPr>
                  </w:pPr>
                  <w:r>
                    <w:rPr>
                      <w:rFonts w:hint="eastAsia" w:ascii="宋体" w:hAnsi="宋体" w:eastAsia="宋体" w:cs="宋体"/>
                      <w:color w:val="auto"/>
                      <w:sz w:val="22"/>
                      <w:szCs w:val="22"/>
                      <w:highlight w:val="none"/>
                      <w:lang w:eastAsia="zh-CN"/>
                    </w:rPr>
                    <w:t>分区防控措施：污水管线（依托）、化粪池（依托）、危废间（新建）设置为重点防渗区；生产车间、办公区及其他区域（依托）设置为一般防渗区。一般防渗区采用双层复合防渗结构，基础防渗层为至少1.5米厚粘土层（渗透系数≤10</w:t>
                  </w:r>
                  <w:r>
                    <w:rPr>
                      <w:rFonts w:hint="eastAsia" w:ascii="宋体" w:hAnsi="宋体" w:eastAsia="宋体" w:cs="宋体"/>
                      <w:color w:val="auto"/>
                      <w:sz w:val="22"/>
                      <w:szCs w:val="22"/>
                      <w:highlight w:val="none"/>
                      <w:vertAlign w:val="superscript"/>
                      <w:lang w:eastAsia="zh-CN"/>
                    </w:rPr>
                    <w:t>-7</w:t>
                  </w:r>
                  <w:r>
                    <w:rPr>
                      <w:rFonts w:hint="eastAsia" w:ascii="宋体" w:hAnsi="宋体" w:eastAsia="宋体" w:cs="宋体"/>
                      <w:color w:val="auto"/>
                      <w:sz w:val="22"/>
                      <w:szCs w:val="22"/>
                      <w:highlight w:val="none"/>
                      <w:lang w:eastAsia="zh-CN"/>
                    </w:rPr>
                    <w:t>cm/s），重点防渗区可采用至少2毫米厚的高密度聚乙烯等其它人工材料（渗透系数≤10</w:t>
                  </w:r>
                  <w:r>
                    <w:rPr>
                      <w:rFonts w:hint="eastAsia" w:ascii="宋体" w:hAnsi="宋体" w:eastAsia="宋体" w:cs="宋体"/>
                      <w:color w:val="auto"/>
                      <w:sz w:val="22"/>
                      <w:szCs w:val="22"/>
                      <w:highlight w:val="none"/>
                      <w:vertAlign w:val="superscript"/>
                      <w:lang w:eastAsia="zh-CN"/>
                    </w:rPr>
                    <w:t>-10</w:t>
                  </w:r>
                  <w:r>
                    <w:rPr>
                      <w:rFonts w:hint="eastAsia" w:ascii="宋体" w:hAnsi="宋体" w:eastAsia="宋体" w:cs="宋体"/>
                      <w:color w:val="auto"/>
                      <w:sz w:val="22"/>
                      <w:szCs w:val="22"/>
                      <w:highlight w:val="none"/>
                      <w:lang w:eastAsia="zh-CN"/>
                    </w:rPr>
                    <w:t>cm/s）或采用防渗涂料面层或防渗钢筋钢纤维混凝土面层（渗透系数≤10</w:t>
                  </w:r>
                  <w:r>
                    <w:rPr>
                      <w:rFonts w:hint="eastAsia" w:ascii="宋体" w:hAnsi="宋体" w:eastAsia="宋体" w:cs="宋体"/>
                      <w:color w:val="auto"/>
                      <w:sz w:val="22"/>
                      <w:szCs w:val="22"/>
                      <w:highlight w:val="none"/>
                      <w:vertAlign w:val="superscript"/>
                      <w:lang w:eastAsia="zh-CN"/>
                    </w:rPr>
                    <w:t>-12</w:t>
                  </w:r>
                  <w:r>
                    <w:rPr>
                      <w:rFonts w:hint="eastAsia" w:ascii="宋体" w:hAnsi="宋体" w:eastAsia="宋体" w:cs="宋体"/>
                      <w:color w:val="auto"/>
                      <w:sz w:val="22"/>
                      <w:szCs w:val="22"/>
                      <w:highlight w:val="none"/>
                      <w:lang w:eastAsia="zh-CN"/>
                    </w:rPr>
                    <w:t>cm/s）</w:t>
                  </w:r>
                </w:p>
              </w:tc>
              <w:tc>
                <w:tcPr>
                  <w:tcW w:w="867"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35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环境风险防范措施</w:t>
                  </w:r>
                </w:p>
              </w:tc>
              <w:tc>
                <w:tcPr>
                  <w:tcW w:w="4892"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突发环境事件风险应急预案，并报当地环保主管部门备案、配应急物资、安装消防器材。</w:t>
                  </w:r>
                </w:p>
              </w:tc>
              <w:tc>
                <w:tcPr>
                  <w:tcW w:w="867"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251" w:type="dxa"/>
                  <w:gridSpan w:val="4"/>
                  <w:tcBorders>
                    <w:top w:val="single" w:color="auto" w:sz="4" w:space="0"/>
                    <w:left w:val="single" w:color="auto" w:sz="4" w:space="0"/>
                    <w:bottom w:val="single" w:color="auto" w:sz="4" w:space="0"/>
                    <w:right w:val="single" w:color="auto" w:sz="4" w:space="0"/>
                  </w:tcBorders>
                  <w:vAlign w:val="center"/>
                </w:tcPr>
                <w:p>
                  <w:pPr>
                    <w:jc w:val="center"/>
                    <w:rPr>
                      <w:color w:val="auto"/>
                      <w:sz w:val="22"/>
                      <w:szCs w:val="22"/>
                      <w:highlight w:val="none"/>
                    </w:rPr>
                  </w:pPr>
                  <w:r>
                    <w:rPr>
                      <w:rFonts w:hint="eastAsia" w:cs="宋体"/>
                      <w:color w:val="auto"/>
                      <w:sz w:val="22"/>
                      <w:szCs w:val="22"/>
                      <w:highlight w:val="none"/>
                    </w:rPr>
                    <w:t>合计</w:t>
                  </w:r>
                </w:p>
              </w:tc>
              <w:tc>
                <w:tcPr>
                  <w:tcW w:w="867"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158.3</w:t>
                  </w:r>
                </w:p>
              </w:tc>
            </w:tr>
          </w:tbl>
          <w:p>
            <w:pPr>
              <w:pStyle w:val="8"/>
              <w:keepNext/>
              <w:keepLines/>
              <w:pageBreakBefore w:val="0"/>
              <w:widowControl w:val="0"/>
              <w:kinsoku/>
              <w:wordWrap/>
              <w:overflowPunct/>
              <w:topLinePunct w:val="0"/>
              <w:autoSpaceDE/>
              <w:autoSpaceDN/>
              <w:bidi w:val="0"/>
              <w:adjustRightInd/>
              <w:snapToGrid/>
              <w:spacing w:before="313" w:beforeLines="100" w:after="0" w:line="360" w:lineRule="auto"/>
              <w:ind w:firstLine="480" w:firstLineChars="200"/>
              <w:textAlignment w:val="auto"/>
              <w:rPr>
                <w:rStyle w:val="80"/>
                <w:rFonts w:cs="Times New Roman"/>
                <w:b/>
                <w:bCs/>
                <w:color w:val="auto"/>
                <w:highlight w:val="none"/>
              </w:rPr>
            </w:pPr>
            <w:r>
              <w:rPr>
                <w:rStyle w:val="80"/>
                <w:rFonts w:hint="eastAsia" w:ascii="Times New Roman" w:hAnsi="Times New Roman" w:cs="Times New Roman"/>
                <w:b w:val="0"/>
                <w:bCs w:val="0"/>
                <w:color w:val="auto"/>
                <w:highlight w:val="none"/>
                <w:lang w:val="en-US"/>
              </w:rPr>
              <w:t>8、</w:t>
            </w:r>
            <w:r>
              <w:rPr>
                <w:rStyle w:val="80"/>
                <w:rFonts w:hint="eastAsia" w:cs="宋体"/>
                <w:b w:val="0"/>
                <w:bCs w:val="0"/>
                <w:color w:val="auto"/>
                <w:highlight w:val="none"/>
              </w:rPr>
              <w:t>排污许可：</w:t>
            </w:r>
          </w:p>
          <w:p>
            <w:pPr>
              <w:pStyle w:val="8"/>
              <w:spacing w:before="0" w:after="0" w:line="360" w:lineRule="auto"/>
              <w:ind w:firstLine="480" w:firstLineChars="200"/>
              <w:rPr>
                <w:rFonts w:ascii="宋体" w:cs="Times New Roman"/>
                <w:color w:val="auto"/>
                <w:spacing w:val="-10"/>
                <w:highlight w:val="none"/>
              </w:rPr>
            </w:pPr>
            <w:r>
              <w:rPr>
                <w:rFonts w:hint="eastAsia" w:ascii="Times New Roman" w:hAnsi="Times New Roman" w:eastAsia="宋体" w:cs="宋体"/>
                <w:b w:val="0"/>
                <w:bCs w:val="0"/>
                <w:color w:val="auto"/>
                <w:kern w:val="2"/>
                <w:sz w:val="24"/>
                <w:szCs w:val="24"/>
                <w:highlight w:val="none"/>
                <w:lang w:val="en-US" w:eastAsia="zh-CN" w:bidi="ar-SA"/>
              </w:rPr>
              <w:t>根据安徽省生态环境厅文件2021年1月30号《安徽省生态环境厅关于统筹做好固定污染源排污许可日常监管工作的通知》（皖环发（2021）7号）文件内容：二、主要任务——第（七）条积极探索排污许可与环评制度的联动试点中——属于现行《固定污染源排污许可分类管理名录》内重点管理和简化管理的行业，建设单位在组织编制建设项目环境影响报告书（表）时，可结合相应行业排污许可证申请与核发技术规范，在环评文件中一并明确“建设项目环境影响评价与排污许可联动内容”和《建设项目排污许可申请与填报信息表》，生态环境部门在环评文件受理和审批过程中同步审核。本项目属于《固定污染源排污许可分类管理名录》（2019年版）中</w:t>
            </w:r>
            <w:r>
              <w:rPr>
                <w:rFonts w:hint="eastAsia" w:ascii="Times New Roman" w:hAnsi="Times New Roman" w:cs="宋体"/>
                <w:b w:val="0"/>
                <w:bCs w:val="0"/>
                <w:color w:val="auto"/>
                <w:kern w:val="2"/>
                <w:sz w:val="24"/>
                <w:szCs w:val="24"/>
                <w:highlight w:val="none"/>
                <w:lang w:val="en-US" w:eastAsia="zh-CN" w:bidi="ar-SA"/>
              </w:rPr>
              <w:t>二十四</w:t>
            </w:r>
            <w:r>
              <w:rPr>
                <w:rFonts w:hint="eastAsia" w:ascii="Times New Roman" w:hAnsi="Times New Roman" w:eastAsia="宋体" w:cs="宋体"/>
                <w:b w:val="0"/>
                <w:bCs w:val="0"/>
                <w:color w:val="auto"/>
                <w:kern w:val="2"/>
                <w:sz w:val="24"/>
                <w:szCs w:val="24"/>
                <w:highlight w:val="none"/>
                <w:lang w:val="en-US" w:eastAsia="zh-CN" w:bidi="ar-SA"/>
              </w:rPr>
              <w:t>、</w:t>
            </w:r>
            <w:r>
              <w:rPr>
                <w:rFonts w:hint="eastAsia" w:ascii="Times New Roman" w:hAnsi="Times New Roman" w:cs="宋体"/>
                <w:b w:val="0"/>
                <w:bCs w:val="0"/>
                <w:color w:val="auto"/>
                <w:kern w:val="2"/>
                <w:sz w:val="24"/>
                <w:szCs w:val="24"/>
                <w:highlight w:val="none"/>
                <w:lang w:val="en-US" w:eastAsia="zh-CN" w:bidi="ar-SA"/>
              </w:rPr>
              <w:t>橡胶和塑料制品业 29</w:t>
            </w:r>
            <w:r>
              <w:rPr>
                <w:rFonts w:hint="eastAsia" w:ascii="Times New Roman" w:hAnsi="Times New Roman" w:eastAsia="宋体" w:cs="宋体"/>
                <w:b w:val="0"/>
                <w:bCs w:val="0"/>
                <w:color w:val="auto"/>
                <w:kern w:val="2"/>
                <w:sz w:val="24"/>
                <w:szCs w:val="24"/>
                <w:highlight w:val="none"/>
                <w:lang w:val="en-US" w:eastAsia="zh-CN" w:bidi="ar-SA"/>
              </w:rPr>
              <w:t>——</w:t>
            </w:r>
            <w:r>
              <w:rPr>
                <w:rFonts w:hint="eastAsia" w:ascii="Times New Roman" w:hAnsi="Times New Roman" w:cs="宋体"/>
                <w:b w:val="0"/>
                <w:bCs w:val="0"/>
                <w:color w:val="auto"/>
                <w:kern w:val="2"/>
                <w:sz w:val="24"/>
                <w:szCs w:val="24"/>
                <w:highlight w:val="none"/>
                <w:lang w:val="en-US" w:eastAsia="zh-CN" w:bidi="ar-SA"/>
              </w:rPr>
              <w:t>61</w:t>
            </w:r>
            <w:r>
              <w:rPr>
                <w:rFonts w:hint="eastAsia" w:ascii="Times New Roman" w:hAnsi="Times New Roman" w:eastAsia="宋体" w:cs="宋体"/>
                <w:b w:val="0"/>
                <w:bCs w:val="0"/>
                <w:color w:val="auto"/>
                <w:kern w:val="2"/>
                <w:sz w:val="24"/>
                <w:szCs w:val="24"/>
                <w:highlight w:val="none"/>
                <w:lang w:val="en-US" w:eastAsia="zh-CN" w:bidi="ar-SA"/>
              </w:rPr>
              <w:t xml:space="preserve"> </w:t>
            </w:r>
            <w:r>
              <w:rPr>
                <w:rFonts w:hint="eastAsia" w:ascii="Times New Roman" w:hAnsi="Times New Roman" w:cs="宋体"/>
                <w:b w:val="0"/>
                <w:bCs w:val="0"/>
                <w:color w:val="auto"/>
                <w:kern w:val="2"/>
                <w:sz w:val="24"/>
                <w:szCs w:val="24"/>
                <w:highlight w:val="none"/>
                <w:lang w:val="en-US" w:eastAsia="zh-CN" w:bidi="ar-SA"/>
              </w:rPr>
              <w:t>橡胶制品业</w:t>
            </w:r>
            <w:r>
              <w:rPr>
                <w:rFonts w:hint="eastAsia" w:ascii="Times New Roman" w:hAnsi="Times New Roman" w:eastAsia="宋体" w:cs="宋体"/>
                <w:b w:val="0"/>
                <w:bCs w:val="0"/>
                <w:color w:val="auto"/>
                <w:kern w:val="2"/>
                <w:sz w:val="24"/>
                <w:szCs w:val="24"/>
                <w:highlight w:val="none"/>
                <w:lang w:val="en-US" w:eastAsia="zh-CN" w:bidi="ar-SA"/>
              </w:rPr>
              <w:t xml:space="preserve"> 2</w:t>
            </w:r>
            <w:r>
              <w:rPr>
                <w:rFonts w:hint="eastAsia" w:ascii="Times New Roman" w:hAnsi="Times New Roman" w:cs="宋体"/>
                <w:b w:val="0"/>
                <w:bCs w:val="0"/>
                <w:color w:val="auto"/>
                <w:kern w:val="2"/>
                <w:sz w:val="24"/>
                <w:szCs w:val="24"/>
                <w:highlight w:val="none"/>
                <w:lang w:val="en-US" w:eastAsia="zh-CN" w:bidi="ar-SA"/>
              </w:rPr>
              <w:t>91</w:t>
            </w:r>
            <w:r>
              <w:rPr>
                <w:rFonts w:hint="eastAsia" w:ascii="Times New Roman" w:hAnsi="Times New Roman" w:eastAsia="宋体" w:cs="宋体"/>
                <w:b w:val="0"/>
                <w:bCs w:val="0"/>
                <w:color w:val="auto"/>
                <w:kern w:val="2"/>
                <w:sz w:val="24"/>
                <w:szCs w:val="24"/>
                <w:highlight w:val="none"/>
                <w:lang w:val="en-US" w:eastAsia="zh-CN" w:bidi="ar-SA"/>
              </w:rPr>
              <w:t>，</w:t>
            </w:r>
            <w:r>
              <w:rPr>
                <w:rFonts w:hint="eastAsia" w:ascii="Times New Roman" w:hAnsi="Times New Roman" w:cs="宋体"/>
                <w:b w:val="0"/>
                <w:bCs w:val="0"/>
                <w:color w:val="auto"/>
                <w:kern w:val="2"/>
                <w:sz w:val="24"/>
                <w:szCs w:val="24"/>
                <w:highlight w:val="none"/>
                <w:lang w:val="en-US" w:eastAsia="zh-CN" w:bidi="ar-SA"/>
              </w:rPr>
              <w:t>同属于62 塑料制品业</w:t>
            </w:r>
            <w:r>
              <w:rPr>
                <w:rFonts w:hint="eastAsia" w:ascii="Times New Roman" w:hAnsi="Times New Roman" w:eastAsia="宋体" w:cs="宋体"/>
                <w:b w:val="0"/>
                <w:bCs w:val="0"/>
                <w:color w:val="auto"/>
                <w:kern w:val="2"/>
                <w:sz w:val="24"/>
                <w:szCs w:val="24"/>
                <w:highlight w:val="none"/>
                <w:lang w:val="en-US" w:eastAsia="zh-CN" w:bidi="ar-SA"/>
              </w:rPr>
              <w:t xml:space="preserve"> 2</w:t>
            </w:r>
            <w:r>
              <w:rPr>
                <w:rFonts w:hint="eastAsia" w:ascii="Times New Roman" w:hAnsi="Times New Roman" w:cs="宋体"/>
                <w:b w:val="0"/>
                <w:bCs w:val="0"/>
                <w:color w:val="auto"/>
                <w:kern w:val="2"/>
                <w:sz w:val="24"/>
                <w:szCs w:val="24"/>
                <w:highlight w:val="none"/>
                <w:lang w:val="en-US" w:eastAsia="zh-CN" w:bidi="ar-SA"/>
              </w:rPr>
              <w:t>92，</w:t>
            </w:r>
            <w:r>
              <w:rPr>
                <w:rFonts w:hint="eastAsia" w:ascii="Times New Roman" w:hAnsi="Times New Roman" w:eastAsia="宋体" w:cs="宋体"/>
                <w:b w:val="0"/>
                <w:bCs w:val="0"/>
                <w:color w:val="auto"/>
                <w:kern w:val="2"/>
                <w:sz w:val="24"/>
                <w:szCs w:val="24"/>
                <w:highlight w:val="none"/>
                <w:lang w:val="en-US" w:eastAsia="zh-CN" w:bidi="ar-SA"/>
              </w:rPr>
              <w:t>属于</w:t>
            </w:r>
            <w:r>
              <w:rPr>
                <w:rFonts w:hint="eastAsia" w:ascii="Times New Roman" w:hAnsi="Times New Roman" w:cs="宋体"/>
                <w:b w:val="0"/>
                <w:bCs w:val="0"/>
                <w:color w:val="auto"/>
                <w:kern w:val="2"/>
                <w:sz w:val="24"/>
                <w:szCs w:val="24"/>
                <w:highlight w:val="none"/>
                <w:lang w:val="en-US" w:eastAsia="zh-CN" w:bidi="ar-SA"/>
              </w:rPr>
              <w:t>简化</w:t>
            </w:r>
            <w:r>
              <w:rPr>
                <w:rFonts w:hint="eastAsia" w:ascii="Times New Roman" w:hAnsi="Times New Roman" w:eastAsia="宋体" w:cs="宋体"/>
                <w:b w:val="0"/>
                <w:bCs w:val="0"/>
                <w:color w:val="auto"/>
                <w:kern w:val="2"/>
                <w:sz w:val="24"/>
                <w:szCs w:val="24"/>
                <w:highlight w:val="none"/>
                <w:lang w:val="en-US" w:eastAsia="zh-CN" w:bidi="ar-SA"/>
              </w:rPr>
              <w:t>管理，需填报环评与排污许可联动内容。</w:t>
            </w:r>
          </w:p>
        </w:tc>
      </w:tr>
    </w:tbl>
    <w:p>
      <w:pPr>
        <w:adjustRightInd w:val="0"/>
        <w:snapToGrid w:val="0"/>
        <w:spacing w:line="360" w:lineRule="auto"/>
        <w:rPr>
          <w:rFonts w:ascii="宋体"/>
          <w:b/>
          <w:bCs/>
          <w:color w:val="auto"/>
          <w:kern w:val="0"/>
          <w:sz w:val="28"/>
          <w:szCs w:val="28"/>
        </w:rPr>
        <w:sectPr>
          <w:pgSz w:w="11907" w:h="16840"/>
          <w:pgMar w:top="1701" w:right="1531" w:bottom="1134" w:left="1531" w:header="851" w:footer="851" w:gutter="0"/>
          <w:pgBorders>
            <w:top w:val="none" w:sz="0" w:space="0"/>
            <w:left w:val="none" w:sz="0" w:space="0"/>
            <w:bottom w:val="none" w:sz="0" w:space="0"/>
            <w:right w:val="none" w:sz="0" w:space="0"/>
          </w:pgBorders>
          <w:cols w:space="720" w:num="1"/>
          <w:docGrid w:linePitch="312" w:charSpace="0"/>
        </w:sectPr>
      </w:pPr>
    </w:p>
    <w:p>
      <w:pPr>
        <w:pStyle w:val="33"/>
        <w:jc w:val="center"/>
        <w:outlineLvl w:val="0"/>
        <w:rPr>
          <w:rFonts w:ascii="黑体" w:hAnsi="黑体" w:eastAsia="黑体" w:cs="Times New Roman"/>
          <w:snapToGrid w:val="0"/>
          <w:color w:val="auto"/>
          <w:sz w:val="30"/>
          <w:szCs w:val="30"/>
        </w:rPr>
      </w:pPr>
      <w:r>
        <w:rPr>
          <w:rFonts w:hint="eastAsia" w:ascii="黑体" w:hAnsi="黑体" w:eastAsia="黑体" w:cs="黑体"/>
          <w:snapToGrid w:val="0"/>
          <w:color w:val="auto"/>
          <w:sz w:val="30"/>
          <w:szCs w:val="30"/>
        </w:rPr>
        <w:t>五、</w:t>
      </w:r>
      <w:bookmarkStart w:id="4" w:name="_Hlk54167917"/>
      <w:r>
        <w:rPr>
          <w:rFonts w:hint="eastAsia" w:ascii="黑体" w:hAnsi="黑体" w:eastAsia="黑体" w:cs="黑体"/>
          <w:snapToGrid w:val="0"/>
          <w:color w:val="auto"/>
          <w:sz w:val="30"/>
          <w:szCs w:val="30"/>
        </w:rPr>
        <w:t>环境保护措施监督检查清单</w:t>
      </w:r>
      <w:bookmarkEnd w:id="4"/>
    </w:p>
    <w:tbl>
      <w:tblPr>
        <w:tblStyle w:val="36"/>
        <w:tblW w:w="89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783"/>
        <w:gridCol w:w="1404"/>
        <w:gridCol w:w="1912"/>
        <w:gridCol w:w="25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241" w:type="dxa"/>
            <w:tcBorders>
              <w:top w:val="single" w:color="auto" w:sz="8" w:space="0"/>
              <w:tl2br w:val="single" w:color="auto" w:sz="4" w:space="0"/>
            </w:tcBorders>
          </w:tcPr>
          <w:p>
            <w:pPr>
              <w:adjustRightInd w:val="0"/>
              <w:snapToGrid w:val="0"/>
              <w:ind w:firstLine="480" w:firstLineChars="200"/>
              <w:rPr>
                <w:rFonts w:ascii="宋体"/>
                <w:color w:val="auto"/>
                <w:sz w:val="24"/>
                <w:szCs w:val="24"/>
              </w:rPr>
            </w:pPr>
            <w:r>
              <w:rPr>
                <w:rFonts w:hint="eastAsia" w:ascii="宋体" w:hAnsi="宋体" w:cs="宋体"/>
                <w:color w:val="auto"/>
                <w:sz w:val="24"/>
                <w:szCs w:val="24"/>
              </w:rPr>
              <w:t>内容</w:t>
            </w:r>
          </w:p>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ascii="宋体"/>
                <w:color w:val="auto"/>
                <w:sz w:val="24"/>
                <w:szCs w:val="24"/>
              </w:rPr>
            </w:pPr>
            <w:r>
              <w:rPr>
                <w:rFonts w:hint="eastAsia" w:ascii="宋体" w:hAnsi="宋体" w:cs="宋体"/>
                <w:color w:val="auto"/>
                <w:sz w:val="24"/>
                <w:szCs w:val="24"/>
              </w:rPr>
              <w:t>要素</w:t>
            </w:r>
          </w:p>
        </w:tc>
        <w:tc>
          <w:tcPr>
            <w:tcW w:w="1783" w:type="dxa"/>
            <w:tcBorders>
              <w:top w:val="single" w:color="auto" w:sz="8" w:space="0"/>
            </w:tcBorders>
            <w:vAlign w:val="center"/>
          </w:tcPr>
          <w:p>
            <w:pPr>
              <w:adjustRightInd w:val="0"/>
              <w:snapToGrid w:val="0"/>
              <w:jc w:val="center"/>
              <w:rPr>
                <w:rFonts w:ascii="宋体"/>
                <w:color w:val="auto"/>
                <w:sz w:val="24"/>
                <w:szCs w:val="24"/>
              </w:rPr>
            </w:pPr>
            <w:r>
              <w:rPr>
                <w:rFonts w:hint="eastAsia" w:ascii="宋体" w:hAnsi="宋体" w:cs="宋体"/>
                <w:color w:val="auto"/>
                <w:sz w:val="24"/>
                <w:szCs w:val="24"/>
              </w:rPr>
              <w:t>排放口</w:t>
            </w:r>
            <w:r>
              <w:rPr>
                <w:rFonts w:ascii="宋体" w:hAnsi="宋体" w:cs="宋体"/>
                <w:color w:val="auto"/>
                <w:sz w:val="24"/>
                <w:szCs w:val="24"/>
              </w:rPr>
              <w:t>(</w:t>
            </w:r>
            <w:r>
              <w:rPr>
                <w:rFonts w:hint="eastAsia" w:ascii="宋体" w:hAnsi="宋体" w:cs="宋体"/>
                <w:color w:val="auto"/>
                <w:sz w:val="24"/>
                <w:szCs w:val="24"/>
              </w:rPr>
              <w:t>编号、名称</w:t>
            </w:r>
            <w:r>
              <w:rPr>
                <w:rFonts w:ascii="宋体" w:hAnsi="宋体" w:cs="宋体"/>
                <w:color w:val="auto"/>
                <w:sz w:val="24"/>
                <w:szCs w:val="24"/>
              </w:rPr>
              <w:t>)/</w:t>
            </w:r>
            <w:r>
              <w:rPr>
                <w:rFonts w:hint="eastAsia" w:ascii="宋体" w:hAnsi="宋体" w:cs="宋体"/>
                <w:color w:val="auto"/>
                <w:sz w:val="24"/>
                <w:szCs w:val="24"/>
              </w:rPr>
              <w:t>污染源</w:t>
            </w:r>
          </w:p>
        </w:tc>
        <w:tc>
          <w:tcPr>
            <w:tcW w:w="1404" w:type="dxa"/>
            <w:tcBorders>
              <w:top w:val="single" w:color="auto" w:sz="8" w:space="0"/>
            </w:tcBorders>
            <w:vAlign w:val="center"/>
          </w:tcPr>
          <w:p>
            <w:pPr>
              <w:adjustRightInd w:val="0"/>
              <w:snapToGrid w:val="0"/>
              <w:jc w:val="center"/>
              <w:rPr>
                <w:rFonts w:ascii="宋体"/>
                <w:color w:val="auto"/>
                <w:sz w:val="24"/>
                <w:szCs w:val="24"/>
              </w:rPr>
            </w:pPr>
            <w:r>
              <w:rPr>
                <w:rFonts w:hint="eastAsia" w:ascii="宋体" w:hAnsi="宋体" w:cs="宋体"/>
                <w:color w:val="auto"/>
                <w:sz w:val="24"/>
                <w:szCs w:val="24"/>
              </w:rPr>
              <w:t>污染物项目</w:t>
            </w:r>
          </w:p>
        </w:tc>
        <w:tc>
          <w:tcPr>
            <w:tcW w:w="1912" w:type="dxa"/>
            <w:tcBorders>
              <w:top w:val="single" w:color="auto" w:sz="8" w:space="0"/>
            </w:tcBorders>
            <w:vAlign w:val="center"/>
          </w:tcPr>
          <w:p>
            <w:pPr>
              <w:adjustRightInd w:val="0"/>
              <w:snapToGrid w:val="0"/>
              <w:jc w:val="center"/>
              <w:rPr>
                <w:rFonts w:ascii="宋体"/>
                <w:color w:val="auto"/>
                <w:sz w:val="24"/>
                <w:szCs w:val="24"/>
              </w:rPr>
            </w:pPr>
            <w:r>
              <w:rPr>
                <w:rFonts w:hint="eastAsia" w:ascii="宋体" w:hAnsi="宋体" w:cs="宋体"/>
                <w:color w:val="auto"/>
                <w:sz w:val="24"/>
                <w:szCs w:val="24"/>
              </w:rPr>
              <w:t>环境保护措施</w:t>
            </w:r>
          </w:p>
        </w:tc>
        <w:tc>
          <w:tcPr>
            <w:tcW w:w="2598" w:type="dxa"/>
            <w:tcBorders>
              <w:top w:val="single" w:color="auto" w:sz="8" w:space="0"/>
            </w:tcBorders>
            <w:vAlign w:val="center"/>
          </w:tcPr>
          <w:p>
            <w:pPr>
              <w:adjustRightInd w:val="0"/>
              <w:snapToGrid w:val="0"/>
              <w:jc w:val="center"/>
              <w:rPr>
                <w:rFonts w:ascii="宋体"/>
                <w:color w:val="auto"/>
                <w:sz w:val="24"/>
                <w:szCs w:val="24"/>
              </w:rPr>
            </w:pPr>
            <w:r>
              <w:rPr>
                <w:rFonts w:hint="eastAsia" w:ascii="宋体" w:hAnsi="宋体" w:cs="宋体"/>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241" w:type="dxa"/>
            <w:vMerge w:val="restart"/>
            <w:vAlign w:val="center"/>
          </w:tcPr>
          <w:p>
            <w:pPr>
              <w:adjustRightInd w:val="0"/>
              <w:snapToGrid w:val="0"/>
              <w:jc w:val="center"/>
              <w:rPr>
                <w:rFonts w:ascii="宋体"/>
                <w:color w:val="auto"/>
                <w:sz w:val="24"/>
                <w:szCs w:val="24"/>
              </w:rPr>
            </w:pPr>
            <w:r>
              <w:rPr>
                <w:rFonts w:hint="eastAsia" w:ascii="宋体" w:hAnsi="宋体" w:cs="宋体"/>
                <w:color w:val="auto"/>
                <w:sz w:val="24"/>
                <w:szCs w:val="24"/>
              </w:rPr>
              <w:t>大气环境</w:t>
            </w:r>
          </w:p>
        </w:tc>
        <w:tc>
          <w:tcPr>
            <w:tcW w:w="1783" w:type="dxa"/>
            <w:vAlign w:val="center"/>
          </w:tcPr>
          <w:p>
            <w:pPr>
              <w:adjustRightInd w:val="0"/>
              <w:snapToGrid w:val="0"/>
              <w:jc w:val="center"/>
              <w:rPr>
                <w:rFonts w:ascii="宋体" w:hAnsi="宋体" w:cs="宋体"/>
                <w:color w:val="auto"/>
                <w:sz w:val="24"/>
                <w:szCs w:val="24"/>
              </w:rPr>
            </w:pPr>
            <w:r>
              <w:rPr>
                <w:rFonts w:ascii="宋体" w:hAnsi="宋体" w:cs="宋体"/>
                <w:color w:val="auto"/>
                <w:sz w:val="24"/>
                <w:szCs w:val="24"/>
              </w:rPr>
              <w:t xml:space="preserve">DA001 </w:t>
            </w:r>
            <w:r>
              <w:rPr>
                <w:rFonts w:hint="eastAsia" w:ascii="宋体" w:hAnsi="宋体" w:cs="宋体"/>
                <w:color w:val="auto"/>
                <w:sz w:val="24"/>
                <w:szCs w:val="24"/>
                <w:lang w:val="en-US" w:eastAsia="zh-CN"/>
              </w:rPr>
              <w:t>热熔、挤出工</w:t>
            </w:r>
            <w:r>
              <w:rPr>
                <w:rFonts w:hint="eastAsia" w:ascii="宋体" w:hAnsi="宋体" w:cs="宋体"/>
                <w:color w:val="auto"/>
                <w:sz w:val="24"/>
                <w:szCs w:val="24"/>
              </w:rPr>
              <w:t>序</w:t>
            </w:r>
          </w:p>
        </w:tc>
        <w:tc>
          <w:tcPr>
            <w:tcW w:w="1404"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val="en-US" w:eastAsia="zh-CN"/>
              </w:rPr>
              <w:t>非甲烷总烃</w:t>
            </w:r>
          </w:p>
        </w:tc>
        <w:tc>
          <w:tcPr>
            <w:tcW w:w="1912"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集气装置</w:t>
            </w:r>
            <w:r>
              <w:rPr>
                <w:rFonts w:hint="eastAsia" w:ascii="宋体" w:hAnsi="宋体" w:cs="宋体"/>
                <w:color w:val="auto"/>
                <w:sz w:val="24"/>
                <w:szCs w:val="24"/>
                <w:lang w:val="en-US" w:eastAsia="zh-CN"/>
              </w:rPr>
              <w:t>+活性炭吸附/脱附催化燃烧装置</w:t>
            </w:r>
            <w:r>
              <w:rPr>
                <w:rFonts w:ascii="宋体" w:hAnsi="宋体" w:cs="宋体"/>
                <w:color w:val="auto"/>
                <w:sz w:val="24"/>
                <w:szCs w:val="24"/>
              </w:rPr>
              <w:t>+15</w:t>
            </w:r>
            <w:r>
              <w:rPr>
                <w:rFonts w:hint="eastAsia" w:ascii="宋体" w:hAnsi="宋体" w:cs="宋体"/>
                <w:color w:val="auto"/>
                <w:sz w:val="24"/>
                <w:szCs w:val="24"/>
              </w:rPr>
              <w:t>米高排气筒</w:t>
            </w:r>
          </w:p>
        </w:tc>
        <w:tc>
          <w:tcPr>
            <w:tcW w:w="2598" w:type="dxa"/>
            <w:vMerge w:val="restart"/>
            <w:vAlign w:val="center"/>
          </w:tcPr>
          <w:p>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《合成树脂工业污染物排放标准》（GB 31572-2015）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241" w:type="dxa"/>
            <w:vMerge w:val="continue"/>
            <w:vAlign w:val="center"/>
          </w:tcPr>
          <w:p>
            <w:pPr>
              <w:adjustRightInd w:val="0"/>
              <w:snapToGrid w:val="0"/>
              <w:jc w:val="center"/>
              <w:rPr>
                <w:rFonts w:hint="eastAsia" w:ascii="宋体" w:hAnsi="宋体" w:cs="宋体"/>
                <w:color w:val="auto"/>
                <w:sz w:val="24"/>
                <w:szCs w:val="24"/>
              </w:rPr>
            </w:pPr>
          </w:p>
        </w:tc>
        <w:tc>
          <w:tcPr>
            <w:tcW w:w="1783" w:type="dxa"/>
            <w:vAlign w:val="center"/>
          </w:tcPr>
          <w:p>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DA002 破碎、投料工序</w:t>
            </w:r>
          </w:p>
        </w:tc>
        <w:tc>
          <w:tcPr>
            <w:tcW w:w="1404" w:type="dxa"/>
            <w:vAlign w:val="center"/>
          </w:tcPr>
          <w:p>
            <w:pPr>
              <w:adjustRightInd w:val="0"/>
              <w:snapToGrid w:val="0"/>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颗粒物</w:t>
            </w:r>
          </w:p>
        </w:tc>
        <w:tc>
          <w:tcPr>
            <w:tcW w:w="1912" w:type="dxa"/>
            <w:vAlign w:val="center"/>
          </w:tcPr>
          <w:p>
            <w:pPr>
              <w:adjustRightInd w:val="0"/>
              <w:snapToGrid w:val="0"/>
              <w:jc w:val="center"/>
              <w:rPr>
                <w:rFonts w:hint="default" w:ascii="宋体" w:hAnsi="宋体" w:cs="宋体"/>
                <w:color w:val="auto"/>
                <w:sz w:val="24"/>
                <w:szCs w:val="24"/>
                <w:lang w:val="en-US" w:eastAsia="zh-CN"/>
              </w:rPr>
            </w:pPr>
            <w:r>
              <w:rPr>
                <w:rFonts w:hint="eastAsia" w:ascii="宋体" w:hAnsi="宋体" w:cs="宋体"/>
                <w:color w:val="auto"/>
                <w:sz w:val="24"/>
                <w:szCs w:val="24"/>
                <w:lang w:eastAsia="zh-CN"/>
              </w:rPr>
              <w:t>集气装置</w:t>
            </w:r>
            <w:r>
              <w:rPr>
                <w:rFonts w:hint="eastAsia" w:ascii="宋体" w:hAnsi="宋体" w:cs="宋体"/>
                <w:color w:val="auto"/>
                <w:sz w:val="24"/>
                <w:szCs w:val="24"/>
                <w:lang w:val="en-US" w:eastAsia="zh-CN"/>
              </w:rPr>
              <w:t>+布袋除尘器</w:t>
            </w:r>
            <w:r>
              <w:rPr>
                <w:rFonts w:ascii="宋体" w:hAnsi="宋体" w:cs="宋体"/>
                <w:color w:val="auto"/>
                <w:sz w:val="24"/>
                <w:szCs w:val="24"/>
              </w:rPr>
              <w:t>+15</w:t>
            </w:r>
            <w:r>
              <w:rPr>
                <w:rFonts w:hint="eastAsia" w:ascii="宋体" w:hAnsi="宋体" w:cs="宋体"/>
                <w:color w:val="auto"/>
                <w:sz w:val="24"/>
                <w:szCs w:val="24"/>
              </w:rPr>
              <w:t>米高排气筒</w:t>
            </w:r>
          </w:p>
        </w:tc>
        <w:tc>
          <w:tcPr>
            <w:tcW w:w="2598" w:type="dxa"/>
            <w:vMerge w:val="continue"/>
            <w:vAlign w:val="center"/>
          </w:tcPr>
          <w:p>
            <w:pPr>
              <w:adjustRightInd w:val="0"/>
              <w:snapToGrid w:val="0"/>
              <w:jc w:val="center"/>
              <w:rPr>
                <w:rFonts w:hint="eastAsia" w:ascii="宋体" w:hAnsi="宋体" w:cs="宋体"/>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3" w:hRule="atLeast"/>
          <w:jc w:val="center"/>
        </w:trPr>
        <w:tc>
          <w:tcPr>
            <w:tcW w:w="1241"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地表水环境</w:t>
            </w:r>
          </w:p>
        </w:tc>
        <w:tc>
          <w:tcPr>
            <w:tcW w:w="1783" w:type="dxa"/>
            <w:vAlign w:val="center"/>
          </w:tcPr>
          <w:p>
            <w:pPr>
              <w:adjustRightInd w:val="0"/>
              <w:snapToGrid w:val="0"/>
              <w:jc w:val="center"/>
              <w:rPr>
                <w:rFonts w:hint="eastAsia" w:ascii="宋体" w:eastAsia="宋体"/>
                <w:color w:val="auto"/>
                <w:sz w:val="24"/>
                <w:szCs w:val="24"/>
                <w:lang w:eastAsia="zh-CN"/>
              </w:rPr>
            </w:pPr>
            <w:r>
              <w:rPr>
                <w:rFonts w:hint="eastAsia" w:ascii="宋体" w:hAnsi="宋体" w:cs="宋体"/>
                <w:color w:val="auto"/>
                <w:sz w:val="24"/>
                <w:szCs w:val="24"/>
              </w:rPr>
              <w:t>生活污水</w:t>
            </w:r>
          </w:p>
        </w:tc>
        <w:tc>
          <w:tcPr>
            <w:tcW w:w="1404" w:type="dxa"/>
            <w:vAlign w:val="center"/>
          </w:tcPr>
          <w:p>
            <w:pPr>
              <w:adjustRightInd w:val="0"/>
              <w:snapToGrid w:val="0"/>
              <w:jc w:val="center"/>
              <w:rPr>
                <w:rFonts w:ascii="宋体"/>
                <w:color w:val="auto"/>
                <w:sz w:val="24"/>
                <w:szCs w:val="24"/>
              </w:rPr>
            </w:pPr>
            <w:r>
              <w:rPr>
                <w:rFonts w:ascii="宋体" w:hAnsi="宋体" w:cs="宋体"/>
                <w:color w:val="auto"/>
                <w:sz w:val="24"/>
                <w:szCs w:val="24"/>
              </w:rPr>
              <w:t>COD</w:t>
            </w:r>
            <w:r>
              <w:rPr>
                <w:rFonts w:hint="eastAsia" w:ascii="宋体" w:hAnsi="宋体" w:cs="宋体"/>
                <w:color w:val="auto"/>
                <w:sz w:val="24"/>
                <w:szCs w:val="24"/>
              </w:rPr>
              <w:t>、</w:t>
            </w:r>
            <w:r>
              <w:rPr>
                <w:rFonts w:ascii="宋体" w:hAnsi="宋体" w:cs="宋体"/>
                <w:color w:val="auto"/>
                <w:sz w:val="24"/>
                <w:szCs w:val="24"/>
              </w:rPr>
              <w:t>SS</w:t>
            </w:r>
            <w:r>
              <w:rPr>
                <w:rFonts w:hint="eastAsia" w:ascii="宋体" w:hAnsi="宋体" w:cs="宋体"/>
                <w:color w:val="auto"/>
                <w:sz w:val="24"/>
                <w:szCs w:val="24"/>
              </w:rPr>
              <w:t>、氨氮、</w:t>
            </w:r>
            <w:r>
              <w:rPr>
                <w:rFonts w:ascii="宋体" w:hAnsi="宋体" w:cs="宋体"/>
                <w:color w:val="auto"/>
                <w:sz w:val="24"/>
                <w:szCs w:val="24"/>
              </w:rPr>
              <w:t>BOD5</w:t>
            </w:r>
          </w:p>
        </w:tc>
        <w:tc>
          <w:tcPr>
            <w:tcW w:w="1912"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经化粪池预处理</w:t>
            </w:r>
            <w:r>
              <w:rPr>
                <w:rFonts w:hint="eastAsia" w:ascii="宋体" w:hAnsi="宋体" w:cs="宋体"/>
                <w:color w:val="auto"/>
                <w:sz w:val="24"/>
                <w:szCs w:val="24"/>
                <w:lang w:eastAsia="zh-CN"/>
              </w:rPr>
              <w:t>后</w:t>
            </w:r>
            <w:r>
              <w:rPr>
                <w:rFonts w:hint="eastAsia" w:ascii="宋体" w:hAnsi="宋体" w:cs="宋体"/>
                <w:color w:val="auto"/>
                <w:sz w:val="24"/>
                <w:szCs w:val="24"/>
              </w:rPr>
              <w:t>排入污水管网</w:t>
            </w:r>
          </w:p>
        </w:tc>
        <w:tc>
          <w:tcPr>
            <w:tcW w:w="2598"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执行</w:t>
            </w:r>
            <w:r>
              <w:rPr>
                <w:rFonts w:hint="eastAsia" w:ascii="宋体" w:hAnsi="宋体" w:cs="宋体"/>
                <w:color w:val="auto"/>
                <w:sz w:val="24"/>
                <w:szCs w:val="24"/>
                <w:lang w:eastAsia="zh-CN"/>
              </w:rPr>
              <w:t>淮北蓝海水处理有限公司</w:t>
            </w:r>
            <w:r>
              <w:rPr>
                <w:rFonts w:hint="eastAsia" w:ascii="宋体" w:hAnsi="宋体" w:cs="宋体"/>
                <w:color w:val="auto"/>
                <w:sz w:val="24"/>
                <w:szCs w:val="24"/>
              </w:rPr>
              <w:t>接管</w:t>
            </w:r>
            <w:r>
              <w:rPr>
                <w:rFonts w:hint="eastAsia" w:ascii="宋体" w:hAnsi="宋体" w:cs="宋体"/>
                <w:color w:val="auto"/>
                <w:sz w:val="24"/>
                <w:szCs w:val="24"/>
                <w:lang w:eastAsia="zh-CN"/>
              </w:rPr>
              <w:t>限值</w:t>
            </w:r>
            <w:r>
              <w:rPr>
                <w:rFonts w:hint="eastAsia" w:ascii="宋体" w:hAnsi="宋体" w:cs="宋体"/>
                <w:color w:val="auto"/>
                <w:sz w:val="24"/>
                <w:szCs w:val="24"/>
              </w:rPr>
              <w:t>及《污水综合排放标准》（</w:t>
            </w:r>
            <w:r>
              <w:rPr>
                <w:rFonts w:ascii="宋体" w:hAnsi="宋体" w:cs="宋体"/>
                <w:color w:val="auto"/>
                <w:sz w:val="24"/>
                <w:szCs w:val="24"/>
              </w:rPr>
              <w:t>GB8978-1996</w:t>
            </w:r>
            <w:r>
              <w:rPr>
                <w:rFonts w:hint="eastAsia" w:ascii="宋体" w:hAnsi="宋体" w:cs="宋体"/>
                <w:color w:val="auto"/>
                <w:sz w:val="24"/>
                <w:szCs w:val="24"/>
              </w:rPr>
              <w:t>）表</w:t>
            </w:r>
            <w:r>
              <w:rPr>
                <w:rFonts w:ascii="宋体" w:hAnsi="宋体" w:cs="宋体"/>
                <w:color w:val="auto"/>
                <w:sz w:val="24"/>
                <w:szCs w:val="24"/>
              </w:rPr>
              <w:t>4</w:t>
            </w:r>
            <w:r>
              <w:rPr>
                <w:rFonts w:hint="eastAsia" w:ascii="宋体" w:hAnsi="宋体" w:cs="宋体"/>
                <w:color w:val="auto"/>
                <w:sz w:val="24"/>
                <w:szCs w:val="24"/>
              </w:rPr>
              <w:t>中三级标准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1241"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声环境</w:t>
            </w:r>
          </w:p>
        </w:tc>
        <w:tc>
          <w:tcPr>
            <w:tcW w:w="1783"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高噪声设备</w:t>
            </w:r>
          </w:p>
        </w:tc>
        <w:tc>
          <w:tcPr>
            <w:tcW w:w="1404"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等效噪声级</w:t>
            </w:r>
          </w:p>
        </w:tc>
        <w:tc>
          <w:tcPr>
            <w:tcW w:w="1912"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合理布局、减振、消声、隔声、</w:t>
            </w:r>
          </w:p>
          <w:p>
            <w:pPr>
              <w:adjustRightInd w:val="0"/>
              <w:snapToGrid w:val="0"/>
              <w:jc w:val="center"/>
              <w:rPr>
                <w:rFonts w:ascii="宋体"/>
                <w:color w:val="auto"/>
                <w:sz w:val="24"/>
                <w:szCs w:val="24"/>
              </w:rPr>
            </w:pPr>
            <w:r>
              <w:rPr>
                <w:rFonts w:hint="eastAsia" w:ascii="宋体" w:hAnsi="宋体" w:cs="宋体"/>
                <w:color w:val="auto"/>
                <w:sz w:val="24"/>
                <w:szCs w:val="24"/>
              </w:rPr>
              <w:t>绿化等措施等。</w:t>
            </w:r>
          </w:p>
        </w:tc>
        <w:tc>
          <w:tcPr>
            <w:tcW w:w="2598"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《工业企业厂界环境噪声排放标准》（</w:t>
            </w:r>
            <w:r>
              <w:rPr>
                <w:rFonts w:ascii="宋体" w:hAnsi="宋体" w:cs="宋体"/>
                <w:color w:val="auto"/>
                <w:sz w:val="24"/>
                <w:szCs w:val="24"/>
              </w:rPr>
              <w:t>GB12348-2008</w:t>
            </w:r>
            <w:r>
              <w:rPr>
                <w:rFonts w:hint="eastAsia" w:ascii="宋体" w:hAnsi="宋体" w:cs="宋体"/>
                <w:color w:val="auto"/>
                <w:sz w:val="24"/>
                <w:szCs w:val="24"/>
              </w:rPr>
              <w:t>）中</w:t>
            </w:r>
            <w:r>
              <w:rPr>
                <w:rFonts w:ascii="宋体" w:hAnsi="宋体" w:cs="宋体"/>
                <w:color w:val="auto"/>
                <w:sz w:val="24"/>
                <w:szCs w:val="24"/>
              </w:rPr>
              <w:t>3</w:t>
            </w:r>
            <w:r>
              <w:rPr>
                <w:rFonts w:hint="eastAsia" w:ascii="宋体" w:hAnsi="宋体" w:cs="宋体"/>
                <w:color w:val="auto"/>
                <w:sz w:val="24"/>
                <w:szCs w:val="24"/>
              </w:rPr>
              <w:t>类区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41"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电磁辐射</w:t>
            </w:r>
          </w:p>
        </w:tc>
        <w:tc>
          <w:tcPr>
            <w:tcW w:w="1783" w:type="dxa"/>
            <w:vAlign w:val="center"/>
          </w:tcPr>
          <w:p>
            <w:pPr>
              <w:adjustRightInd w:val="0"/>
              <w:snapToGrid w:val="0"/>
              <w:jc w:val="center"/>
              <w:rPr>
                <w:rFonts w:ascii="宋体"/>
                <w:color w:val="auto"/>
                <w:sz w:val="24"/>
                <w:szCs w:val="24"/>
              </w:rPr>
            </w:pPr>
            <w:r>
              <w:rPr>
                <w:rFonts w:ascii="宋体" w:hAnsi="宋体" w:cs="宋体"/>
                <w:color w:val="auto"/>
                <w:sz w:val="24"/>
                <w:szCs w:val="24"/>
              </w:rPr>
              <w:t>/</w:t>
            </w:r>
          </w:p>
        </w:tc>
        <w:tc>
          <w:tcPr>
            <w:tcW w:w="1404" w:type="dxa"/>
            <w:vAlign w:val="center"/>
          </w:tcPr>
          <w:p>
            <w:pPr>
              <w:adjustRightInd w:val="0"/>
              <w:snapToGrid w:val="0"/>
              <w:jc w:val="center"/>
              <w:rPr>
                <w:rFonts w:ascii="宋体"/>
                <w:color w:val="auto"/>
                <w:sz w:val="24"/>
                <w:szCs w:val="24"/>
              </w:rPr>
            </w:pPr>
            <w:r>
              <w:rPr>
                <w:rFonts w:ascii="宋体" w:hAnsi="宋体" w:cs="宋体"/>
                <w:color w:val="auto"/>
                <w:sz w:val="24"/>
                <w:szCs w:val="24"/>
              </w:rPr>
              <w:t>/</w:t>
            </w:r>
          </w:p>
        </w:tc>
        <w:tc>
          <w:tcPr>
            <w:tcW w:w="1912" w:type="dxa"/>
            <w:vAlign w:val="center"/>
          </w:tcPr>
          <w:p>
            <w:pPr>
              <w:adjustRightInd w:val="0"/>
              <w:snapToGrid w:val="0"/>
              <w:jc w:val="center"/>
              <w:rPr>
                <w:rFonts w:ascii="宋体"/>
                <w:color w:val="auto"/>
                <w:sz w:val="24"/>
                <w:szCs w:val="24"/>
              </w:rPr>
            </w:pPr>
            <w:r>
              <w:rPr>
                <w:rFonts w:ascii="宋体" w:hAnsi="宋体" w:cs="宋体"/>
                <w:color w:val="auto"/>
                <w:sz w:val="24"/>
                <w:szCs w:val="24"/>
              </w:rPr>
              <w:t>/</w:t>
            </w:r>
          </w:p>
        </w:tc>
        <w:tc>
          <w:tcPr>
            <w:tcW w:w="2598" w:type="dxa"/>
            <w:vAlign w:val="center"/>
          </w:tcPr>
          <w:p>
            <w:pPr>
              <w:adjustRightInd w:val="0"/>
              <w:snapToGrid w:val="0"/>
              <w:jc w:val="center"/>
              <w:rPr>
                <w:rFonts w:ascii="宋体"/>
                <w:color w:val="auto"/>
                <w:sz w:val="24"/>
                <w:szCs w:val="24"/>
              </w:rPr>
            </w:pPr>
            <w:r>
              <w:rPr>
                <w:rFonts w:ascii="宋体" w:hAnsi="宋体" w:cs="宋体"/>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241"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固体废物</w:t>
            </w:r>
          </w:p>
        </w:tc>
        <w:tc>
          <w:tcPr>
            <w:tcW w:w="7697" w:type="dxa"/>
            <w:gridSpan w:val="4"/>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宋体" w:eastAsia="宋体"/>
                <w:color w:val="auto"/>
                <w:sz w:val="24"/>
                <w:szCs w:val="24"/>
                <w:lang w:eastAsia="zh-CN"/>
              </w:rPr>
            </w:pPr>
            <w:r>
              <w:rPr>
                <w:rFonts w:hint="eastAsia" w:ascii="宋体" w:hAnsi="宋体" w:cs="宋体"/>
                <w:color w:val="auto"/>
                <w:sz w:val="24"/>
                <w:szCs w:val="24"/>
              </w:rPr>
              <w:t>废</w:t>
            </w:r>
            <w:r>
              <w:rPr>
                <w:rFonts w:hint="eastAsia" w:ascii="宋体" w:hAnsi="宋体" w:cs="宋体"/>
                <w:color w:val="auto"/>
                <w:sz w:val="24"/>
                <w:szCs w:val="24"/>
                <w:lang w:val="en-US" w:eastAsia="zh-CN"/>
              </w:rPr>
              <w:t>包装袋</w:t>
            </w:r>
            <w:r>
              <w:rPr>
                <w:rFonts w:hint="eastAsia" w:ascii="宋体" w:hAnsi="宋体" w:eastAsia="宋体" w:cs="宋体"/>
                <w:color w:val="auto"/>
                <w:sz w:val="24"/>
                <w:szCs w:val="24"/>
                <w:lang w:eastAsia="zh-CN"/>
              </w:rPr>
              <w:t>集中收</w:t>
            </w:r>
            <w:r>
              <w:rPr>
                <w:rFonts w:hint="eastAsia" w:ascii="宋体" w:hAnsi="宋体" w:cs="宋体"/>
                <w:color w:val="auto"/>
                <w:sz w:val="24"/>
                <w:szCs w:val="24"/>
                <w:lang w:eastAsia="zh-CN"/>
              </w:rPr>
              <w:t>集后外售物资回收部门，</w:t>
            </w:r>
            <w:r>
              <w:rPr>
                <w:rFonts w:hint="eastAsia" w:ascii="宋体" w:hAnsi="宋体" w:cs="宋体"/>
                <w:color w:val="auto"/>
                <w:sz w:val="24"/>
                <w:szCs w:val="24"/>
                <w:lang w:val="en-US" w:eastAsia="zh-CN"/>
              </w:rPr>
              <w:t>不合格品经破碎后回用于生产</w:t>
            </w:r>
            <w:r>
              <w:rPr>
                <w:rFonts w:hint="eastAsia" w:ascii="宋体" w:hAnsi="宋体" w:cs="宋体"/>
                <w:color w:val="auto"/>
                <w:sz w:val="24"/>
                <w:szCs w:val="24"/>
                <w:lang w:eastAsia="zh-CN"/>
              </w:rPr>
              <w:t>；废活性炭、废催化剂、废机油、废油桶及废含油抹布等集中收集后暂存于危废间，定期交由有资质单位进行处理；</w:t>
            </w:r>
            <w:r>
              <w:rPr>
                <w:rFonts w:hint="eastAsia" w:ascii="宋体" w:hAnsi="宋体" w:cs="宋体"/>
                <w:color w:val="auto"/>
                <w:sz w:val="24"/>
                <w:szCs w:val="24"/>
              </w:rPr>
              <w:t>生活垃圾由环卫部门定期清运</w:t>
            </w:r>
            <w:r>
              <w:rPr>
                <w:rFonts w:hint="eastAsia" w:ascii="宋体" w:hAnsi="宋体" w:cs="宋体"/>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1241"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土壤及地下水污染防治措施</w:t>
            </w:r>
          </w:p>
        </w:tc>
        <w:tc>
          <w:tcPr>
            <w:tcW w:w="7697" w:type="dxa"/>
            <w:gridSpan w:val="4"/>
            <w:vAlign w:val="center"/>
          </w:tcPr>
          <w:p>
            <w:pPr>
              <w:adjustRightInd w:val="0"/>
              <w:snapToGrid w:val="0"/>
              <w:jc w:val="left"/>
              <w:rPr>
                <w:rFonts w:hint="eastAsia" w:ascii="宋体" w:eastAsia="宋体"/>
                <w:color w:val="auto"/>
                <w:sz w:val="24"/>
                <w:szCs w:val="24"/>
                <w:lang w:eastAsia="zh-CN"/>
              </w:rPr>
            </w:pPr>
            <w:r>
              <w:rPr>
                <w:rFonts w:hint="eastAsia" w:ascii="宋体" w:hAnsi="宋体" w:eastAsia="宋体" w:cs="宋体"/>
                <w:color w:val="auto"/>
                <w:sz w:val="22"/>
                <w:szCs w:val="22"/>
                <w:highlight w:val="none"/>
                <w:lang w:eastAsia="zh-CN"/>
              </w:rPr>
              <w:t>分区防控措施：污水管线（依托）、化粪池（依托）、危废间（新建）设置为重点防渗区；生产车间、办公区及其他区域（依托）设置为一般防渗区。一般防渗区采用双层复合防渗结构，基础防渗层为至少1.5米厚粘土层（渗透系数≤10</w:t>
            </w:r>
            <w:r>
              <w:rPr>
                <w:rFonts w:hint="eastAsia" w:ascii="宋体" w:hAnsi="宋体" w:eastAsia="宋体" w:cs="宋体"/>
                <w:color w:val="auto"/>
                <w:sz w:val="22"/>
                <w:szCs w:val="22"/>
                <w:highlight w:val="none"/>
                <w:vertAlign w:val="superscript"/>
                <w:lang w:eastAsia="zh-CN"/>
              </w:rPr>
              <w:t>-7</w:t>
            </w:r>
            <w:r>
              <w:rPr>
                <w:rFonts w:hint="eastAsia" w:ascii="宋体" w:hAnsi="宋体" w:eastAsia="宋体" w:cs="宋体"/>
                <w:color w:val="auto"/>
                <w:sz w:val="22"/>
                <w:szCs w:val="22"/>
                <w:highlight w:val="none"/>
                <w:lang w:eastAsia="zh-CN"/>
              </w:rPr>
              <w:t>cm/s），重点防渗区可采用至少2毫米厚的高密度聚乙烯等其它人工材料（渗透系数≤10</w:t>
            </w:r>
            <w:r>
              <w:rPr>
                <w:rFonts w:hint="eastAsia" w:ascii="宋体" w:hAnsi="宋体" w:eastAsia="宋体" w:cs="宋体"/>
                <w:color w:val="auto"/>
                <w:sz w:val="22"/>
                <w:szCs w:val="22"/>
                <w:highlight w:val="none"/>
                <w:vertAlign w:val="superscript"/>
                <w:lang w:eastAsia="zh-CN"/>
              </w:rPr>
              <w:t>-10</w:t>
            </w:r>
            <w:r>
              <w:rPr>
                <w:rFonts w:hint="eastAsia" w:ascii="宋体" w:hAnsi="宋体" w:eastAsia="宋体" w:cs="宋体"/>
                <w:color w:val="auto"/>
                <w:sz w:val="22"/>
                <w:szCs w:val="22"/>
                <w:highlight w:val="none"/>
                <w:lang w:eastAsia="zh-CN"/>
              </w:rPr>
              <w:t>cm/s）或采用防渗涂料面层或防渗钢筋钢纤维混凝土面层（渗透系数≤10</w:t>
            </w:r>
            <w:r>
              <w:rPr>
                <w:rFonts w:hint="eastAsia" w:ascii="宋体" w:hAnsi="宋体" w:eastAsia="宋体" w:cs="宋体"/>
                <w:color w:val="auto"/>
                <w:sz w:val="22"/>
                <w:szCs w:val="22"/>
                <w:highlight w:val="none"/>
                <w:vertAlign w:val="superscript"/>
                <w:lang w:eastAsia="zh-CN"/>
              </w:rPr>
              <w:t>-12</w:t>
            </w:r>
            <w:r>
              <w:rPr>
                <w:rFonts w:hint="eastAsia" w:ascii="宋体" w:hAnsi="宋体" w:eastAsia="宋体" w:cs="宋体"/>
                <w:color w:val="auto"/>
                <w:sz w:val="22"/>
                <w:szCs w:val="22"/>
                <w:highlight w:val="none"/>
                <w:lang w:eastAsia="zh-CN"/>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241"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生态保护措施</w:t>
            </w:r>
          </w:p>
        </w:tc>
        <w:tc>
          <w:tcPr>
            <w:tcW w:w="7697" w:type="dxa"/>
            <w:gridSpan w:val="4"/>
            <w:vAlign w:val="center"/>
          </w:tcPr>
          <w:p>
            <w:pPr>
              <w:adjustRightInd w:val="0"/>
              <w:snapToGrid w:val="0"/>
              <w:jc w:val="center"/>
              <w:rPr>
                <w:rFonts w:ascii="宋体"/>
                <w:color w:val="auto"/>
                <w:sz w:val="24"/>
                <w:szCs w:val="24"/>
              </w:rPr>
            </w:pPr>
            <w:r>
              <w:rPr>
                <w:rFonts w:ascii="宋体" w:hAnsi="宋体" w:cs="宋体"/>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1241" w:type="dxa"/>
            <w:vAlign w:val="center"/>
          </w:tcPr>
          <w:p>
            <w:pPr>
              <w:adjustRightInd w:val="0"/>
              <w:snapToGrid w:val="0"/>
              <w:jc w:val="center"/>
              <w:rPr>
                <w:rFonts w:ascii="宋体"/>
                <w:color w:val="auto"/>
                <w:sz w:val="24"/>
                <w:szCs w:val="24"/>
              </w:rPr>
            </w:pPr>
            <w:r>
              <w:rPr>
                <w:rFonts w:hint="eastAsia" w:ascii="宋体" w:hAnsi="宋体" w:cs="宋体"/>
                <w:color w:val="auto"/>
                <w:sz w:val="24"/>
                <w:szCs w:val="24"/>
              </w:rPr>
              <w:t>环境风险</w:t>
            </w:r>
          </w:p>
          <w:p>
            <w:pPr>
              <w:adjustRightInd w:val="0"/>
              <w:snapToGrid w:val="0"/>
              <w:jc w:val="center"/>
              <w:rPr>
                <w:rFonts w:ascii="宋体"/>
                <w:color w:val="auto"/>
                <w:sz w:val="24"/>
                <w:szCs w:val="24"/>
              </w:rPr>
            </w:pPr>
            <w:r>
              <w:rPr>
                <w:rFonts w:hint="eastAsia" w:ascii="宋体" w:hAnsi="宋体" w:cs="宋体"/>
                <w:color w:val="auto"/>
                <w:sz w:val="24"/>
                <w:szCs w:val="24"/>
              </w:rPr>
              <w:t>防范措施</w:t>
            </w:r>
          </w:p>
        </w:tc>
        <w:tc>
          <w:tcPr>
            <w:tcW w:w="7697" w:type="dxa"/>
            <w:gridSpan w:val="4"/>
            <w:vAlign w:val="center"/>
          </w:tcPr>
          <w:p>
            <w:pPr>
              <w:adjustRightInd w:val="0"/>
              <w:snapToGrid w:val="0"/>
              <w:jc w:val="both"/>
              <w:rPr>
                <w:rFonts w:hint="eastAsia" w:ascii="宋体" w:hAnsi="宋体" w:cs="宋体"/>
                <w:color w:val="auto"/>
                <w:sz w:val="24"/>
                <w:szCs w:val="24"/>
              </w:rPr>
            </w:pPr>
            <w:r>
              <w:rPr>
                <w:rFonts w:hint="eastAsia" w:ascii="宋体" w:hAnsi="宋体" w:cs="宋体"/>
                <w:color w:val="auto"/>
                <w:sz w:val="24"/>
                <w:szCs w:val="24"/>
              </w:rPr>
              <w:t>(1)项目建成后建立安全巡视制度，制定安全规章，设置安全警示。</w:t>
            </w:r>
          </w:p>
          <w:p>
            <w:pPr>
              <w:adjustRightInd w:val="0"/>
              <w:snapToGrid w:val="0"/>
              <w:jc w:val="left"/>
              <w:rPr>
                <w:rFonts w:hint="eastAsia" w:ascii="宋体" w:hAnsi="宋体" w:eastAsia="宋体" w:cs="宋体"/>
                <w:color w:val="auto"/>
                <w:sz w:val="24"/>
                <w:szCs w:val="24"/>
                <w:lang w:eastAsia="zh-CN"/>
              </w:rPr>
            </w:pPr>
            <w:r>
              <w:rPr>
                <w:rFonts w:hint="eastAsia" w:ascii="宋体" w:hAnsi="宋体" w:cs="宋体"/>
                <w:color w:val="auto"/>
                <w:sz w:val="24"/>
                <w:szCs w:val="24"/>
              </w:rPr>
              <w:t>(2)在厂区配置消防直通电话，严格按</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《建筑设计防火规范》(GB50016-2014)设置消火栓</w:t>
            </w:r>
            <w:r>
              <w:rPr>
                <w:rFonts w:hint="eastAsia" w:ascii="宋体" w:hAnsi="宋体" w:cs="宋体"/>
                <w:color w:val="auto"/>
                <w:sz w:val="24"/>
                <w:szCs w:val="24"/>
                <w:lang w:eastAsia="zh-CN"/>
              </w:rPr>
              <w:t>。</w:t>
            </w:r>
          </w:p>
          <w:p>
            <w:pPr>
              <w:adjustRightInd w:val="0"/>
              <w:snapToGrid w:val="0"/>
              <w:jc w:val="left"/>
              <w:rPr>
                <w:rFonts w:hint="default" w:ascii="宋体" w:hAnsi="宋体" w:eastAsia="宋体" w:cs="宋体"/>
                <w:color w:val="auto"/>
                <w:sz w:val="24"/>
                <w:szCs w:val="24"/>
                <w:lang w:val="en-US" w:eastAsia="zh-CN"/>
              </w:rPr>
            </w:pPr>
            <w:r>
              <w:rPr>
                <w:rFonts w:hint="eastAsia" w:ascii="宋体" w:hAnsi="宋体" w:cs="宋体"/>
                <w:color w:val="auto"/>
                <w:sz w:val="24"/>
                <w:szCs w:val="24"/>
              </w:rPr>
              <w:t>(</w:t>
            </w:r>
            <w:r>
              <w:rPr>
                <w:rFonts w:hint="eastAsia" w:ascii="宋体" w:hAnsi="宋体" w:cs="宋体"/>
                <w:color w:val="auto"/>
                <w:sz w:val="24"/>
                <w:szCs w:val="24"/>
                <w:lang w:val="en-US" w:eastAsia="zh-CN"/>
              </w:rPr>
              <w:t>3</w:t>
            </w:r>
            <w:r>
              <w:rPr>
                <w:rFonts w:hint="eastAsia" w:ascii="宋体" w:hAnsi="宋体" w:cs="宋体"/>
                <w:color w:val="auto"/>
                <w:sz w:val="24"/>
                <w:szCs w:val="24"/>
              </w:rPr>
              <w:t>)设消防、火灾报警系统；编制应急预案</w:t>
            </w:r>
            <w:r>
              <w:rPr>
                <w:rFonts w:hint="eastAsia" w:ascii="宋体" w:hAnsi="宋体" w:cs="宋体"/>
                <w:color w:val="auto"/>
                <w:sz w:val="24"/>
                <w:szCs w:val="24"/>
                <w:lang w:eastAsia="zh-CN"/>
              </w:rPr>
              <w:t>并备案，</w:t>
            </w:r>
            <w:r>
              <w:rPr>
                <w:rFonts w:hint="eastAsia" w:cs="宋体"/>
                <w:color w:val="auto"/>
                <w:sz w:val="24"/>
                <w:szCs w:val="24"/>
                <w:highlight w:val="none"/>
                <w:lang w:eastAsia="zh-CN"/>
              </w:rPr>
              <w:t>事故池依托智能制造产业园园区内设计建设事故池</w:t>
            </w:r>
            <w:r>
              <w:rPr>
                <w:rFonts w:hint="eastAsia" w:ascii="宋体" w:hAnsi="宋体" w:cs="宋体"/>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8" w:hRule="atLeast"/>
          <w:jc w:val="center"/>
        </w:trPr>
        <w:tc>
          <w:tcPr>
            <w:tcW w:w="1241" w:type="dxa"/>
            <w:tcBorders>
              <w:bottom w:val="single" w:color="auto" w:sz="8" w:space="0"/>
            </w:tcBorders>
            <w:vAlign w:val="center"/>
          </w:tcPr>
          <w:p>
            <w:pPr>
              <w:adjustRightInd w:val="0"/>
              <w:snapToGrid w:val="0"/>
              <w:jc w:val="center"/>
              <w:rPr>
                <w:rFonts w:ascii="宋体"/>
                <w:color w:val="auto"/>
                <w:sz w:val="24"/>
                <w:szCs w:val="24"/>
              </w:rPr>
            </w:pPr>
            <w:r>
              <w:rPr>
                <w:rFonts w:hint="eastAsia" w:ascii="宋体" w:hAnsi="宋体" w:cs="宋体"/>
                <w:color w:val="auto"/>
                <w:sz w:val="24"/>
                <w:szCs w:val="24"/>
              </w:rPr>
              <w:t>其他环境管理要求</w:t>
            </w:r>
          </w:p>
        </w:tc>
        <w:tc>
          <w:tcPr>
            <w:tcW w:w="7697" w:type="dxa"/>
            <w:gridSpan w:val="4"/>
            <w:tcBorders>
              <w:bottom w:val="single" w:color="auto" w:sz="8" w:space="0"/>
            </w:tcBorders>
            <w:vAlign w:val="center"/>
          </w:tcPr>
          <w:p>
            <w:pPr>
              <w:adjustRightInd w:val="0"/>
              <w:snapToGrid w:val="0"/>
              <w:jc w:val="left"/>
              <w:rPr>
                <w:rFonts w:ascii="宋体"/>
                <w:color w:val="auto"/>
                <w:sz w:val="24"/>
                <w:szCs w:val="24"/>
              </w:rPr>
            </w:pPr>
            <w:r>
              <w:rPr>
                <w:rFonts w:ascii="宋体" w:hAnsi="宋体" w:cs="宋体"/>
                <w:color w:val="auto"/>
                <w:sz w:val="24"/>
                <w:szCs w:val="24"/>
              </w:rPr>
              <w:t>1</w:t>
            </w:r>
            <w:r>
              <w:rPr>
                <w:rFonts w:hint="eastAsia" w:ascii="宋体" w:hAnsi="宋体" w:cs="宋体"/>
                <w:color w:val="auto"/>
                <w:sz w:val="24"/>
                <w:szCs w:val="24"/>
              </w:rPr>
              <w:t>、严格落实“三同时”制度；</w:t>
            </w:r>
          </w:p>
          <w:p>
            <w:pPr>
              <w:adjustRightInd w:val="0"/>
              <w:snapToGrid w:val="0"/>
              <w:jc w:val="left"/>
              <w:rPr>
                <w:rFonts w:ascii="宋体"/>
                <w:color w:val="auto"/>
                <w:sz w:val="24"/>
                <w:szCs w:val="24"/>
              </w:rPr>
            </w:pPr>
            <w:r>
              <w:rPr>
                <w:rFonts w:ascii="宋体" w:hAnsi="宋体" w:cs="宋体"/>
                <w:color w:val="auto"/>
                <w:sz w:val="24"/>
                <w:szCs w:val="24"/>
              </w:rPr>
              <w:t>2</w:t>
            </w:r>
            <w:r>
              <w:rPr>
                <w:rFonts w:hint="eastAsia" w:ascii="宋体" w:hAnsi="宋体" w:cs="宋体"/>
                <w:color w:val="auto"/>
                <w:sz w:val="24"/>
                <w:szCs w:val="24"/>
              </w:rPr>
              <w:t>、严格执行和落实监测计划。</w:t>
            </w:r>
          </w:p>
          <w:p>
            <w:pPr>
              <w:keepNext w:val="0"/>
              <w:keepLines w:val="0"/>
              <w:widowControl/>
              <w:suppressLineNumbers w:val="0"/>
              <w:jc w:val="left"/>
              <w:rPr>
                <w:rFonts w:hint="eastAsia" w:ascii="Times New Roman" w:hAnsi="Times New Roman" w:eastAsia="宋体" w:cs="宋体"/>
                <w:b w:val="0"/>
                <w:bCs w:val="0"/>
                <w:color w:val="auto"/>
                <w:kern w:val="2"/>
                <w:sz w:val="24"/>
                <w:szCs w:val="24"/>
                <w:highlight w:val="none"/>
                <w:lang w:val="en-US" w:eastAsia="zh-CN" w:bidi="ar-SA"/>
              </w:rPr>
            </w:pPr>
            <w:r>
              <w:rPr>
                <w:rFonts w:ascii="宋体" w:hAnsi="宋体" w:cs="宋体"/>
                <w:color w:val="auto"/>
                <w:sz w:val="24"/>
                <w:szCs w:val="24"/>
              </w:rPr>
              <w:t>3</w:t>
            </w:r>
            <w:r>
              <w:rPr>
                <w:rFonts w:hint="eastAsia" w:ascii="宋体" w:hAnsi="宋体" w:cs="宋体"/>
                <w:color w:val="auto"/>
                <w:sz w:val="24"/>
                <w:szCs w:val="24"/>
              </w:rPr>
              <w:t>、按《固定污染源排污许可分类管理名录》（</w:t>
            </w:r>
            <w:r>
              <w:rPr>
                <w:rFonts w:ascii="宋体" w:hAnsi="宋体" w:cs="宋体"/>
                <w:color w:val="auto"/>
                <w:sz w:val="24"/>
                <w:szCs w:val="24"/>
              </w:rPr>
              <w:t>2019</w:t>
            </w:r>
            <w:r>
              <w:rPr>
                <w:rFonts w:hint="eastAsia" w:ascii="宋体" w:hAnsi="宋体" w:cs="宋体"/>
                <w:color w:val="auto"/>
                <w:sz w:val="24"/>
                <w:szCs w:val="24"/>
              </w:rPr>
              <w:t>年版）中</w:t>
            </w:r>
            <w:r>
              <w:rPr>
                <w:rFonts w:hint="eastAsia" w:ascii="Times New Roman" w:hAnsi="Times New Roman" w:cs="宋体"/>
                <w:b w:val="0"/>
                <w:bCs w:val="0"/>
                <w:color w:val="auto"/>
                <w:kern w:val="2"/>
                <w:sz w:val="24"/>
                <w:szCs w:val="24"/>
                <w:highlight w:val="none"/>
                <w:lang w:val="en-US" w:eastAsia="zh-CN" w:bidi="ar-SA"/>
              </w:rPr>
              <w:t>二十四</w:t>
            </w:r>
            <w:r>
              <w:rPr>
                <w:rFonts w:hint="eastAsia" w:ascii="Times New Roman" w:hAnsi="Times New Roman" w:eastAsia="宋体" w:cs="宋体"/>
                <w:b w:val="0"/>
                <w:bCs w:val="0"/>
                <w:color w:val="auto"/>
                <w:kern w:val="2"/>
                <w:sz w:val="24"/>
                <w:szCs w:val="24"/>
                <w:highlight w:val="none"/>
                <w:lang w:val="en-US" w:eastAsia="zh-CN" w:bidi="ar-SA"/>
              </w:rPr>
              <w:t>、</w:t>
            </w:r>
            <w:r>
              <w:rPr>
                <w:rFonts w:hint="eastAsia" w:ascii="Times New Roman" w:hAnsi="Times New Roman" w:cs="宋体"/>
                <w:b w:val="0"/>
                <w:bCs w:val="0"/>
                <w:color w:val="auto"/>
                <w:kern w:val="2"/>
                <w:sz w:val="24"/>
                <w:szCs w:val="24"/>
                <w:highlight w:val="none"/>
                <w:lang w:val="en-US" w:eastAsia="zh-CN" w:bidi="ar-SA"/>
              </w:rPr>
              <w:t>橡胶和塑料制品业 29</w:t>
            </w:r>
            <w:r>
              <w:rPr>
                <w:rFonts w:hint="eastAsia" w:ascii="Times New Roman" w:hAnsi="Times New Roman" w:eastAsia="宋体" w:cs="宋体"/>
                <w:b w:val="0"/>
                <w:bCs w:val="0"/>
                <w:color w:val="auto"/>
                <w:kern w:val="2"/>
                <w:sz w:val="24"/>
                <w:szCs w:val="24"/>
                <w:highlight w:val="none"/>
                <w:lang w:val="en-US" w:eastAsia="zh-CN" w:bidi="ar-SA"/>
              </w:rPr>
              <w:t>——</w:t>
            </w:r>
            <w:r>
              <w:rPr>
                <w:rFonts w:hint="eastAsia" w:ascii="Times New Roman" w:hAnsi="Times New Roman" w:cs="宋体"/>
                <w:b w:val="0"/>
                <w:bCs w:val="0"/>
                <w:color w:val="auto"/>
                <w:kern w:val="2"/>
                <w:sz w:val="24"/>
                <w:szCs w:val="24"/>
                <w:highlight w:val="none"/>
                <w:lang w:val="en-US" w:eastAsia="zh-CN" w:bidi="ar-SA"/>
              </w:rPr>
              <w:t>61</w:t>
            </w:r>
            <w:r>
              <w:rPr>
                <w:rFonts w:hint="eastAsia" w:ascii="Times New Roman" w:hAnsi="Times New Roman" w:eastAsia="宋体" w:cs="宋体"/>
                <w:b w:val="0"/>
                <w:bCs w:val="0"/>
                <w:color w:val="auto"/>
                <w:kern w:val="2"/>
                <w:sz w:val="24"/>
                <w:szCs w:val="24"/>
                <w:highlight w:val="none"/>
                <w:lang w:val="en-US" w:eastAsia="zh-CN" w:bidi="ar-SA"/>
              </w:rPr>
              <w:t xml:space="preserve"> </w:t>
            </w:r>
            <w:r>
              <w:rPr>
                <w:rFonts w:hint="eastAsia" w:ascii="Times New Roman" w:hAnsi="Times New Roman" w:cs="宋体"/>
                <w:b w:val="0"/>
                <w:bCs w:val="0"/>
                <w:color w:val="auto"/>
                <w:kern w:val="2"/>
                <w:sz w:val="24"/>
                <w:szCs w:val="24"/>
                <w:highlight w:val="none"/>
                <w:lang w:val="en-US" w:eastAsia="zh-CN" w:bidi="ar-SA"/>
              </w:rPr>
              <w:t>橡胶制品业</w:t>
            </w:r>
            <w:r>
              <w:rPr>
                <w:rFonts w:hint="eastAsia" w:ascii="Times New Roman" w:hAnsi="Times New Roman" w:eastAsia="宋体" w:cs="宋体"/>
                <w:b w:val="0"/>
                <w:bCs w:val="0"/>
                <w:color w:val="auto"/>
                <w:kern w:val="2"/>
                <w:sz w:val="24"/>
                <w:szCs w:val="24"/>
                <w:highlight w:val="none"/>
                <w:lang w:val="en-US" w:eastAsia="zh-CN" w:bidi="ar-SA"/>
              </w:rPr>
              <w:t xml:space="preserve"> 2</w:t>
            </w:r>
            <w:r>
              <w:rPr>
                <w:rFonts w:hint="eastAsia" w:ascii="Times New Roman" w:hAnsi="Times New Roman" w:cs="宋体"/>
                <w:b w:val="0"/>
                <w:bCs w:val="0"/>
                <w:color w:val="auto"/>
                <w:kern w:val="2"/>
                <w:sz w:val="24"/>
                <w:szCs w:val="24"/>
                <w:highlight w:val="none"/>
                <w:lang w:val="en-US" w:eastAsia="zh-CN" w:bidi="ar-SA"/>
              </w:rPr>
              <w:t>91</w:t>
            </w:r>
            <w:r>
              <w:rPr>
                <w:rFonts w:hint="eastAsia" w:ascii="Times New Roman" w:hAnsi="Times New Roman" w:eastAsia="宋体" w:cs="宋体"/>
                <w:b w:val="0"/>
                <w:bCs w:val="0"/>
                <w:color w:val="auto"/>
                <w:kern w:val="2"/>
                <w:sz w:val="24"/>
                <w:szCs w:val="24"/>
                <w:highlight w:val="none"/>
                <w:lang w:val="en-US" w:eastAsia="zh-CN" w:bidi="ar-SA"/>
              </w:rPr>
              <w:t>，</w:t>
            </w:r>
            <w:r>
              <w:rPr>
                <w:rFonts w:hint="eastAsia" w:ascii="Times New Roman" w:hAnsi="Times New Roman" w:cs="宋体"/>
                <w:b w:val="0"/>
                <w:bCs w:val="0"/>
                <w:color w:val="auto"/>
                <w:kern w:val="2"/>
                <w:sz w:val="24"/>
                <w:szCs w:val="24"/>
                <w:highlight w:val="none"/>
                <w:lang w:val="en-US" w:eastAsia="zh-CN" w:bidi="ar-SA"/>
              </w:rPr>
              <w:t>同属于62 塑料制品业</w:t>
            </w:r>
            <w:r>
              <w:rPr>
                <w:rFonts w:hint="eastAsia" w:ascii="Times New Roman" w:hAnsi="Times New Roman" w:eastAsia="宋体" w:cs="宋体"/>
                <w:b w:val="0"/>
                <w:bCs w:val="0"/>
                <w:color w:val="auto"/>
                <w:kern w:val="2"/>
                <w:sz w:val="24"/>
                <w:szCs w:val="24"/>
                <w:highlight w:val="none"/>
                <w:lang w:val="en-US" w:eastAsia="zh-CN" w:bidi="ar-SA"/>
              </w:rPr>
              <w:t xml:space="preserve"> 292，属于简化管理，及时申报排污许可。</w:t>
            </w:r>
            <w:r>
              <w:rPr>
                <w:rFonts w:hint="eastAsia" w:ascii="Times New Roman" w:hAnsi="Times New Roman" w:eastAsia="宋体" w:cs="宋体"/>
                <w:b w:val="0"/>
                <w:bCs w:val="0"/>
                <w:color w:val="auto"/>
                <w:kern w:val="2"/>
                <w:sz w:val="24"/>
                <w:szCs w:val="24"/>
                <w:highlight w:val="none"/>
                <w:lang w:val="en-US" w:eastAsia="zh-CN" w:bidi="ar-SA"/>
              </w:rPr>
              <w:br w:type="textWrapping"/>
            </w:r>
            <w:r>
              <w:rPr>
                <w:rFonts w:hint="eastAsia" w:ascii="Times New Roman" w:hAnsi="Times New Roman" w:eastAsia="宋体" w:cs="宋体"/>
                <w:b w:val="0"/>
                <w:bCs w:val="0"/>
                <w:color w:val="auto"/>
                <w:kern w:val="2"/>
                <w:sz w:val="24"/>
                <w:szCs w:val="24"/>
                <w:highlight w:val="none"/>
                <w:lang w:val="en-US" w:eastAsia="zh-CN" w:bidi="ar-SA"/>
              </w:rPr>
              <w:t xml:space="preserve">4、排污口规范化设置； </w:t>
            </w:r>
          </w:p>
          <w:p>
            <w:pPr>
              <w:keepNext w:val="0"/>
              <w:keepLines w:val="0"/>
              <w:widowControl/>
              <w:suppressLineNumbers w:val="0"/>
              <w:jc w:val="left"/>
              <w:rPr>
                <w:rFonts w:ascii="宋体"/>
                <w:color w:val="auto"/>
                <w:sz w:val="24"/>
                <w:szCs w:val="24"/>
              </w:rPr>
            </w:pPr>
            <w:r>
              <w:rPr>
                <w:rFonts w:hint="eastAsia" w:ascii="Times New Roman" w:hAnsi="Times New Roman" w:eastAsia="宋体" w:cs="宋体"/>
                <w:b w:val="0"/>
                <w:bCs w:val="0"/>
                <w:color w:val="auto"/>
                <w:kern w:val="2"/>
                <w:sz w:val="24"/>
                <w:szCs w:val="24"/>
                <w:highlight w:val="none"/>
                <w:lang w:val="en-US" w:eastAsia="zh-CN" w:bidi="ar-SA"/>
              </w:rPr>
              <w:t>5、</w:t>
            </w:r>
            <w:r>
              <w:rPr>
                <w:rFonts w:hint="default" w:ascii="Times New Roman" w:hAnsi="Times New Roman" w:eastAsia="宋体" w:cs="宋体"/>
                <w:b w:val="0"/>
                <w:bCs w:val="0"/>
                <w:color w:val="auto"/>
                <w:kern w:val="2"/>
                <w:sz w:val="24"/>
                <w:szCs w:val="24"/>
                <w:highlight w:val="none"/>
                <w:lang w:val="en-US" w:eastAsia="zh-CN" w:bidi="ar-SA"/>
              </w:rPr>
              <w:t>按要求开展环境管理台账记录和执行报告编制及提交</w:t>
            </w:r>
          </w:p>
        </w:tc>
      </w:tr>
    </w:tbl>
    <w:p>
      <w:pPr>
        <w:adjustRightInd w:val="0"/>
        <w:snapToGrid w:val="0"/>
        <w:jc w:val="center"/>
        <w:rPr>
          <w:rFonts w:ascii="黑体" w:hAnsi="黑体" w:eastAsia="黑体"/>
          <w:snapToGrid w:val="0"/>
          <w:color w:val="auto"/>
          <w:sz w:val="30"/>
          <w:szCs w:val="30"/>
        </w:rPr>
      </w:pPr>
      <w:r>
        <w:rPr>
          <w:rFonts w:ascii="宋体"/>
          <w:color w:val="auto"/>
          <w:sz w:val="24"/>
          <w:szCs w:val="24"/>
        </w:rPr>
        <w:br w:type="page"/>
      </w:r>
      <w:r>
        <w:rPr>
          <w:rFonts w:hint="eastAsia" w:ascii="黑体" w:hAnsi="黑体" w:eastAsia="黑体" w:cs="黑体"/>
          <w:snapToGrid w:val="0"/>
          <w:color w:val="auto"/>
          <w:sz w:val="30"/>
          <w:szCs w:val="30"/>
        </w:rPr>
        <w:t>六、结论</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50" w:hRule="atLeast"/>
          <w:jc w:val="center"/>
        </w:trPr>
        <w:tc>
          <w:tcPr>
            <w:tcW w:w="9000" w:type="dxa"/>
            <w:tcBorders>
              <w:top w:val="single" w:color="auto" w:sz="8" w:space="0"/>
              <w:bottom w:val="single" w:color="auto" w:sz="8" w:space="0"/>
            </w:tcBorders>
          </w:tcPr>
          <w:p>
            <w:pPr>
              <w:adjustRightInd w:val="0"/>
              <w:snapToGrid w:val="0"/>
              <w:spacing w:beforeLines="100" w:line="360" w:lineRule="auto"/>
              <w:ind w:firstLine="567"/>
              <w:rPr>
                <w:color w:val="auto"/>
                <w:sz w:val="24"/>
                <w:szCs w:val="24"/>
              </w:rPr>
            </w:pPr>
            <w:r>
              <w:rPr>
                <w:rFonts w:hint="eastAsia" w:cs="宋体"/>
                <w:color w:val="auto"/>
                <w:sz w:val="24"/>
                <w:szCs w:val="24"/>
                <w:lang w:eastAsia="zh-CN"/>
              </w:rPr>
              <w:t>淮北科美特环保科技有限公司恒山密封材料项目（一期）</w:t>
            </w:r>
            <w:r>
              <w:rPr>
                <w:rFonts w:hint="eastAsia" w:cs="宋体"/>
                <w:color w:val="auto"/>
                <w:sz w:val="24"/>
                <w:szCs w:val="24"/>
              </w:rPr>
              <w:t>符合国家和地方产业政策，选址符合用地要求；本项目采取各项污染防治措施后，可使产生的各项污染物达标排放。本次评价认为项目在建设和生产运行过程中，在严格落实环评报告中提出的各项污染防治措施的前提下，从环境影响角度，项目建设可行。</w:t>
            </w:r>
          </w:p>
          <w:p>
            <w:pPr>
              <w:pStyle w:val="44"/>
              <w:spacing w:line="360" w:lineRule="auto"/>
              <w:ind w:firstLine="482" w:firstLineChars="200"/>
              <w:rPr>
                <w:color w:val="auto"/>
              </w:rPr>
            </w:pPr>
          </w:p>
        </w:tc>
      </w:tr>
    </w:tbl>
    <w:p>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3"/>
        <w:adjustRightInd w:val="0"/>
        <w:snapToGrid w:val="0"/>
        <w:spacing w:before="0" w:beforeAutospacing="0" w:after="0" w:afterAutospacing="0"/>
        <w:outlineLvl w:val="0"/>
        <w:rPr>
          <w:rFonts w:cs="Times New Roman"/>
          <w:snapToGrid w:val="0"/>
          <w:color w:val="auto"/>
          <w:sz w:val="32"/>
          <w:szCs w:val="32"/>
        </w:rPr>
      </w:pPr>
      <w:r>
        <w:rPr>
          <w:rFonts w:hint="eastAsia"/>
          <w:snapToGrid w:val="0"/>
          <w:color w:val="auto"/>
          <w:sz w:val="32"/>
          <w:szCs w:val="32"/>
        </w:rPr>
        <w:t>附表</w:t>
      </w:r>
    </w:p>
    <w:p>
      <w:pPr>
        <w:pStyle w:val="33"/>
        <w:adjustRightInd w:val="0"/>
        <w:snapToGrid w:val="0"/>
        <w:spacing w:before="0" w:beforeAutospacing="0" w:after="0" w:afterAutospacing="0" w:line="360" w:lineRule="auto"/>
        <w:jc w:val="center"/>
        <w:outlineLvl w:val="0"/>
        <w:rPr>
          <w:rFonts w:cs="Times New Roman"/>
          <w:snapToGrid w:val="0"/>
          <w:color w:val="auto"/>
          <w:sz w:val="38"/>
          <w:szCs w:val="38"/>
        </w:rPr>
      </w:pPr>
      <w:r>
        <w:rPr>
          <w:rFonts w:hint="eastAsia"/>
          <w:snapToGrid w:val="0"/>
          <w:color w:val="auto"/>
          <w:sz w:val="38"/>
          <w:szCs w:val="38"/>
        </w:rPr>
        <w:t>建设项目污染物排放量汇总表</w:t>
      </w:r>
    </w:p>
    <w:tbl>
      <w:tblPr>
        <w:tblStyle w:val="36"/>
        <w:tblW w:w="137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600"/>
        <w:gridCol w:w="1501"/>
        <w:gridCol w:w="1269"/>
        <w:gridCol w:w="1690"/>
        <w:gridCol w:w="1550"/>
        <w:gridCol w:w="1758"/>
        <w:gridCol w:w="1778"/>
        <w:gridCol w:w="14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1158" w:type="dxa"/>
            <w:tcBorders>
              <w:top w:val="single" w:color="auto" w:sz="8" w:space="0"/>
              <w:tl2br w:val="single" w:color="auto" w:sz="4" w:space="0"/>
            </w:tcBorders>
            <w:tcMar>
              <w:left w:w="28" w:type="dxa"/>
              <w:right w:w="28" w:type="dxa"/>
            </w:tcMar>
            <w:vAlign w:val="center"/>
          </w:tcPr>
          <w:p>
            <w:pPr>
              <w:pStyle w:val="71"/>
              <w:spacing w:beforeLines="0" w:afterLines="0" w:line="240" w:lineRule="auto"/>
              <w:jc w:val="right"/>
              <w:rPr>
                <w:rFonts w:ascii="Times New Roman" w:cs="Times New Roman"/>
                <w:snapToGrid w:val="0"/>
                <w:color w:val="auto"/>
                <w:spacing w:val="-6"/>
                <w:kern w:val="21"/>
              </w:rPr>
            </w:pPr>
            <w:r>
              <w:rPr>
                <w:rFonts w:hint="eastAsia" w:ascii="Times New Roman"/>
                <w:snapToGrid w:val="0"/>
                <w:color w:val="auto"/>
                <w:spacing w:val="-6"/>
                <w:kern w:val="21"/>
              </w:rPr>
              <w:t>项目</w:t>
            </w:r>
          </w:p>
          <w:p>
            <w:pPr>
              <w:pStyle w:val="71"/>
              <w:spacing w:beforeLines="0" w:afterLines="0" w:line="240" w:lineRule="auto"/>
              <w:jc w:val="left"/>
              <w:rPr>
                <w:rFonts w:ascii="Times New Roman" w:cs="Times New Roman"/>
                <w:snapToGrid w:val="0"/>
                <w:color w:val="auto"/>
                <w:spacing w:val="-6"/>
                <w:kern w:val="21"/>
              </w:rPr>
            </w:pPr>
            <w:r>
              <w:rPr>
                <w:rFonts w:hint="eastAsia" w:ascii="Times New Roman"/>
                <w:snapToGrid w:val="0"/>
                <w:color w:val="auto"/>
                <w:spacing w:val="-6"/>
                <w:kern w:val="21"/>
              </w:rPr>
              <w:t>分类</w:t>
            </w:r>
          </w:p>
        </w:tc>
        <w:tc>
          <w:tcPr>
            <w:tcW w:w="1600" w:type="dxa"/>
            <w:tcBorders>
              <w:top w:val="single" w:color="auto" w:sz="8" w:space="0"/>
            </w:tcBorders>
            <w:tcMar>
              <w:left w:w="28" w:type="dxa"/>
              <w:right w:w="28" w:type="dxa"/>
            </w:tcMar>
            <w:vAlign w:val="center"/>
          </w:tcPr>
          <w:p>
            <w:pPr>
              <w:pStyle w:val="71"/>
              <w:spacing w:beforeLines="0" w:afterLines="0" w:line="240" w:lineRule="auto"/>
              <w:rPr>
                <w:rFonts w:ascii="Times New Roman" w:cs="Times New Roman"/>
                <w:snapToGrid w:val="0"/>
                <w:color w:val="auto"/>
                <w:spacing w:val="-6"/>
                <w:kern w:val="21"/>
              </w:rPr>
            </w:pPr>
            <w:r>
              <w:rPr>
                <w:rFonts w:hint="eastAsia" w:ascii="Times New Roman"/>
                <w:snapToGrid w:val="0"/>
                <w:color w:val="auto"/>
                <w:spacing w:val="-6"/>
                <w:kern w:val="21"/>
              </w:rPr>
              <w:t>污染物名称</w:t>
            </w:r>
          </w:p>
        </w:tc>
        <w:tc>
          <w:tcPr>
            <w:tcW w:w="1501" w:type="dxa"/>
            <w:tcBorders>
              <w:top w:val="single" w:color="auto" w:sz="8" w:space="0"/>
            </w:tcBorders>
            <w:tcMar>
              <w:left w:w="28" w:type="dxa"/>
              <w:right w:w="28" w:type="dxa"/>
            </w:tcMar>
            <w:vAlign w:val="center"/>
          </w:tcPr>
          <w:p>
            <w:pPr>
              <w:pStyle w:val="71"/>
              <w:spacing w:beforeLines="0" w:afterLines="0" w:line="240" w:lineRule="auto"/>
              <w:rPr>
                <w:rFonts w:ascii="Times New Roman" w:cs="Times New Roman"/>
                <w:snapToGrid w:val="0"/>
                <w:color w:val="auto"/>
                <w:spacing w:val="-6"/>
                <w:kern w:val="21"/>
              </w:rPr>
            </w:pPr>
            <w:r>
              <w:rPr>
                <w:rFonts w:hint="eastAsia" w:ascii="Times New Roman"/>
                <w:snapToGrid w:val="0"/>
                <w:color w:val="auto"/>
                <w:spacing w:val="-6"/>
                <w:kern w:val="21"/>
              </w:rPr>
              <w:t>原有工程</w:t>
            </w:r>
          </w:p>
          <w:p>
            <w:pPr>
              <w:pStyle w:val="71"/>
              <w:spacing w:beforeLines="0" w:afterLines="0" w:line="240" w:lineRule="auto"/>
              <w:rPr>
                <w:rFonts w:ascii="Times New Roman" w:cs="Times New Roman"/>
                <w:snapToGrid w:val="0"/>
                <w:color w:val="auto"/>
                <w:spacing w:val="-6"/>
                <w:kern w:val="21"/>
              </w:rPr>
            </w:pPr>
            <w:r>
              <w:rPr>
                <w:rFonts w:hint="eastAsia" w:ascii="Times New Roman"/>
                <w:snapToGrid w:val="0"/>
                <w:color w:val="auto"/>
                <w:spacing w:val="-6"/>
                <w:kern w:val="21"/>
              </w:rPr>
              <w:t>排放量（固体废物产生量）</w:t>
            </w:r>
            <w:r>
              <w:rPr>
                <w:rFonts w:ascii="Times New Roman" w:cs="Times New Roman"/>
                <w:snapToGrid w:val="0"/>
                <w:color w:val="auto"/>
                <w:spacing w:val="-6"/>
                <w:kern w:val="21"/>
              </w:rPr>
              <w:fldChar w:fldCharType="begin"/>
            </w:r>
            <w:r>
              <w:rPr>
                <w:rFonts w:ascii="Times New Roman" w:cs="Times New Roman"/>
                <w:snapToGrid w:val="0"/>
                <w:color w:val="auto"/>
                <w:spacing w:val="-6"/>
                <w:kern w:val="21"/>
              </w:rPr>
              <w:instrText xml:space="preserve"> = 1 \* GB3 \* MERGEFORMAT </w:instrText>
            </w:r>
            <w:r>
              <w:rPr>
                <w:rFonts w:ascii="Times New Roman" w:cs="Times New Roman"/>
                <w:snapToGrid w:val="0"/>
                <w:color w:val="auto"/>
                <w:spacing w:val="-6"/>
                <w:kern w:val="21"/>
              </w:rPr>
              <w:fldChar w:fldCharType="separate"/>
            </w:r>
            <w:r>
              <w:rPr>
                <w:rFonts w:hint="eastAsia" w:hAnsi="宋体"/>
                <w:color w:val="auto"/>
                <w:kern w:val="2"/>
              </w:rPr>
              <w:t>①</w:t>
            </w:r>
            <w:r>
              <w:rPr>
                <w:rFonts w:ascii="Times New Roman" w:cs="Times New Roman"/>
                <w:snapToGrid w:val="0"/>
                <w:color w:val="auto"/>
                <w:spacing w:val="-6"/>
                <w:kern w:val="21"/>
              </w:rPr>
              <w:fldChar w:fldCharType="end"/>
            </w:r>
          </w:p>
        </w:tc>
        <w:tc>
          <w:tcPr>
            <w:tcW w:w="1269" w:type="dxa"/>
            <w:tcBorders>
              <w:top w:val="single" w:color="auto" w:sz="8" w:space="0"/>
            </w:tcBorders>
            <w:tcMar>
              <w:left w:w="28" w:type="dxa"/>
              <w:right w:w="28" w:type="dxa"/>
            </w:tcMar>
            <w:vAlign w:val="center"/>
          </w:tcPr>
          <w:p>
            <w:pPr>
              <w:pStyle w:val="71"/>
              <w:spacing w:beforeLines="0" w:afterLines="0" w:line="240" w:lineRule="auto"/>
              <w:rPr>
                <w:rFonts w:ascii="Times New Roman" w:cs="Times New Roman"/>
                <w:snapToGrid w:val="0"/>
                <w:color w:val="auto"/>
                <w:spacing w:val="-6"/>
                <w:kern w:val="21"/>
              </w:rPr>
            </w:pPr>
            <w:r>
              <w:rPr>
                <w:rFonts w:hint="eastAsia" w:ascii="Times New Roman"/>
                <w:snapToGrid w:val="0"/>
                <w:color w:val="auto"/>
                <w:spacing w:val="-6"/>
                <w:kern w:val="21"/>
              </w:rPr>
              <w:t>原有工程</w:t>
            </w:r>
          </w:p>
          <w:p>
            <w:pPr>
              <w:pStyle w:val="71"/>
              <w:spacing w:beforeLines="0" w:afterLines="0" w:line="240" w:lineRule="auto"/>
              <w:rPr>
                <w:rFonts w:ascii="Times New Roman" w:cs="Times New Roman"/>
                <w:snapToGrid w:val="0"/>
                <w:color w:val="auto"/>
                <w:spacing w:val="-6"/>
                <w:kern w:val="21"/>
              </w:rPr>
            </w:pPr>
            <w:r>
              <w:rPr>
                <w:rFonts w:hint="eastAsia" w:ascii="Times New Roman"/>
                <w:snapToGrid w:val="0"/>
                <w:color w:val="auto"/>
                <w:spacing w:val="-6"/>
                <w:kern w:val="21"/>
              </w:rPr>
              <w:t>许可排放量</w:t>
            </w:r>
          </w:p>
          <w:p>
            <w:pPr>
              <w:pStyle w:val="71"/>
              <w:spacing w:beforeLines="0" w:afterLines="0"/>
              <w:rPr>
                <w:rFonts w:ascii="Times New Roman" w:cs="Times New Roman"/>
                <w:snapToGrid w:val="0"/>
                <w:color w:val="auto"/>
                <w:spacing w:val="-6"/>
                <w:kern w:val="21"/>
              </w:rPr>
            </w:pPr>
            <w:r>
              <w:rPr>
                <w:rFonts w:ascii="Times New Roman" w:cs="Times New Roman"/>
                <w:snapToGrid w:val="0"/>
                <w:color w:val="auto"/>
                <w:spacing w:val="-6"/>
                <w:kern w:val="21"/>
              </w:rPr>
              <w:fldChar w:fldCharType="begin"/>
            </w:r>
            <w:r>
              <w:rPr>
                <w:rFonts w:ascii="Times New Roman" w:cs="Times New Roman"/>
                <w:snapToGrid w:val="0"/>
                <w:color w:val="auto"/>
                <w:spacing w:val="-6"/>
                <w:kern w:val="21"/>
              </w:rPr>
              <w:instrText xml:space="preserve"> = 2 \* GB3 \* MERGEFORMAT </w:instrText>
            </w:r>
            <w:r>
              <w:rPr>
                <w:rFonts w:ascii="Times New Roman" w:cs="Times New Roman"/>
                <w:snapToGrid w:val="0"/>
                <w:color w:val="auto"/>
                <w:spacing w:val="-6"/>
                <w:kern w:val="21"/>
              </w:rPr>
              <w:fldChar w:fldCharType="separate"/>
            </w:r>
            <w:r>
              <w:rPr>
                <w:rFonts w:hint="eastAsia" w:hAnsi="宋体"/>
                <w:snapToGrid w:val="0"/>
                <w:color w:val="auto"/>
                <w:spacing w:val="-6"/>
                <w:kern w:val="21"/>
              </w:rPr>
              <w:t>②</w:t>
            </w:r>
            <w:r>
              <w:rPr>
                <w:rFonts w:ascii="Times New Roman" w:cs="Times New Roman"/>
                <w:snapToGrid w:val="0"/>
                <w:color w:val="auto"/>
                <w:spacing w:val="-6"/>
                <w:kern w:val="21"/>
              </w:rPr>
              <w:fldChar w:fldCharType="end"/>
            </w:r>
          </w:p>
        </w:tc>
        <w:tc>
          <w:tcPr>
            <w:tcW w:w="1690" w:type="dxa"/>
            <w:tcBorders>
              <w:top w:val="single" w:color="auto" w:sz="8" w:space="0"/>
            </w:tcBorders>
            <w:tcMar>
              <w:left w:w="28" w:type="dxa"/>
              <w:right w:w="28" w:type="dxa"/>
            </w:tcMar>
            <w:vAlign w:val="center"/>
          </w:tcPr>
          <w:p>
            <w:pPr>
              <w:pStyle w:val="71"/>
              <w:spacing w:beforeLines="0" w:afterLines="0" w:line="240" w:lineRule="auto"/>
              <w:rPr>
                <w:rFonts w:ascii="Times New Roman" w:cs="Times New Roman"/>
                <w:snapToGrid w:val="0"/>
                <w:color w:val="auto"/>
                <w:spacing w:val="-6"/>
                <w:kern w:val="21"/>
              </w:rPr>
            </w:pPr>
            <w:r>
              <w:rPr>
                <w:rFonts w:hint="eastAsia" w:ascii="Times New Roman"/>
                <w:snapToGrid w:val="0"/>
                <w:color w:val="auto"/>
                <w:spacing w:val="-6"/>
                <w:kern w:val="21"/>
              </w:rPr>
              <w:t>在建工程</w:t>
            </w:r>
          </w:p>
          <w:p>
            <w:pPr>
              <w:pStyle w:val="71"/>
              <w:spacing w:beforeLines="0" w:afterLines="0" w:line="240" w:lineRule="auto"/>
              <w:rPr>
                <w:rFonts w:ascii="Times New Roman" w:cs="Times New Roman"/>
                <w:snapToGrid w:val="0"/>
                <w:color w:val="auto"/>
                <w:spacing w:val="-6"/>
                <w:kern w:val="21"/>
              </w:rPr>
            </w:pPr>
            <w:r>
              <w:rPr>
                <w:rFonts w:hint="eastAsia" w:ascii="Times New Roman"/>
                <w:snapToGrid w:val="0"/>
                <w:color w:val="auto"/>
                <w:spacing w:val="-6"/>
                <w:kern w:val="21"/>
              </w:rPr>
              <w:t>排放量（固体废物产生量）</w:t>
            </w:r>
            <w:r>
              <w:rPr>
                <w:rFonts w:ascii="Times New Roman" w:cs="Times New Roman"/>
                <w:snapToGrid w:val="0"/>
                <w:color w:val="auto"/>
                <w:spacing w:val="-6"/>
                <w:kern w:val="21"/>
              </w:rPr>
              <w:fldChar w:fldCharType="begin"/>
            </w:r>
            <w:r>
              <w:rPr>
                <w:rFonts w:ascii="Times New Roman" w:cs="Times New Roman"/>
                <w:snapToGrid w:val="0"/>
                <w:color w:val="auto"/>
                <w:spacing w:val="-6"/>
                <w:kern w:val="21"/>
              </w:rPr>
              <w:instrText xml:space="preserve"> = 3 \* GB3 \* MERGEFORMAT </w:instrText>
            </w:r>
            <w:r>
              <w:rPr>
                <w:rFonts w:ascii="Times New Roman" w:cs="Times New Roman"/>
                <w:snapToGrid w:val="0"/>
                <w:color w:val="auto"/>
                <w:spacing w:val="-6"/>
                <w:kern w:val="21"/>
              </w:rPr>
              <w:fldChar w:fldCharType="separate"/>
            </w:r>
            <w:r>
              <w:rPr>
                <w:rFonts w:hint="eastAsia" w:hAnsi="宋体"/>
                <w:color w:val="auto"/>
                <w:kern w:val="2"/>
              </w:rPr>
              <w:t>③</w:t>
            </w:r>
            <w:r>
              <w:rPr>
                <w:rFonts w:ascii="Times New Roman" w:cs="Times New Roman"/>
                <w:snapToGrid w:val="0"/>
                <w:color w:val="auto"/>
                <w:spacing w:val="-6"/>
                <w:kern w:val="21"/>
              </w:rPr>
              <w:fldChar w:fldCharType="end"/>
            </w:r>
          </w:p>
        </w:tc>
        <w:tc>
          <w:tcPr>
            <w:tcW w:w="1550" w:type="dxa"/>
            <w:tcBorders>
              <w:top w:val="single" w:color="auto" w:sz="8" w:space="0"/>
            </w:tcBorders>
            <w:tcMar>
              <w:left w:w="28" w:type="dxa"/>
              <w:right w:w="28" w:type="dxa"/>
            </w:tcMar>
            <w:vAlign w:val="center"/>
          </w:tcPr>
          <w:p>
            <w:pPr>
              <w:pStyle w:val="71"/>
              <w:spacing w:beforeLines="0" w:afterLines="0" w:line="240" w:lineRule="auto"/>
              <w:rPr>
                <w:rFonts w:ascii="Times New Roman" w:cs="Times New Roman"/>
                <w:snapToGrid w:val="0"/>
                <w:color w:val="auto"/>
                <w:spacing w:val="-6"/>
                <w:kern w:val="21"/>
              </w:rPr>
            </w:pPr>
            <w:r>
              <w:rPr>
                <w:rFonts w:hint="eastAsia" w:ascii="Times New Roman"/>
                <w:snapToGrid w:val="0"/>
                <w:color w:val="auto"/>
                <w:spacing w:val="-6"/>
                <w:kern w:val="21"/>
              </w:rPr>
              <w:t>本项目</w:t>
            </w:r>
          </w:p>
          <w:p>
            <w:pPr>
              <w:pStyle w:val="71"/>
              <w:spacing w:beforeLines="0" w:afterLines="0" w:line="240" w:lineRule="auto"/>
              <w:rPr>
                <w:rFonts w:ascii="Times New Roman" w:cs="Times New Roman"/>
                <w:snapToGrid w:val="0"/>
                <w:color w:val="auto"/>
                <w:spacing w:val="-6"/>
                <w:kern w:val="21"/>
              </w:rPr>
            </w:pPr>
            <w:r>
              <w:rPr>
                <w:rFonts w:hint="eastAsia" w:ascii="Times New Roman"/>
                <w:snapToGrid w:val="0"/>
                <w:color w:val="auto"/>
                <w:spacing w:val="-6"/>
                <w:kern w:val="21"/>
              </w:rPr>
              <w:t>排放量（固体废物产生量）</w:t>
            </w:r>
            <w:r>
              <w:rPr>
                <w:rFonts w:ascii="Times New Roman" w:cs="Times New Roman"/>
                <w:snapToGrid w:val="0"/>
                <w:color w:val="auto"/>
                <w:spacing w:val="-6"/>
                <w:kern w:val="21"/>
              </w:rPr>
              <w:fldChar w:fldCharType="begin"/>
            </w:r>
            <w:r>
              <w:rPr>
                <w:rFonts w:ascii="Times New Roman" w:cs="Times New Roman"/>
                <w:snapToGrid w:val="0"/>
                <w:color w:val="auto"/>
                <w:spacing w:val="-6"/>
                <w:kern w:val="21"/>
              </w:rPr>
              <w:instrText xml:space="preserve"> = 4 \* GB3 \* MERGEFORMAT </w:instrText>
            </w:r>
            <w:r>
              <w:rPr>
                <w:rFonts w:ascii="Times New Roman" w:cs="Times New Roman"/>
                <w:snapToGrid w:val="0"/>
                <w:color w:val="auto"/>
                <w:spacing w:val="-6"/>
                <w:kern w:val="21"/>
              </w:rPr>
              <w:fldChar w:fldCharType="separate"/>
            </w:r>
            <w:r>
              <w:rPr>
                <w:rFonts w:hint="eastAsia" w:hAnsi="宋体"/>
                <w:color w:val="auto"/>
                <w:kern w:val="2"/>
              </w:rPr>
              <w:t>④</w:t>
            </w:r>
            <w:r>
              <w:rPr>
                <w:rFonts w:ascii="Times New Roman" w:cs="Times New Roman"/>
                <w:snapToGrid w:val="0"/>
                <w:color w:val="auto"/>
                <w:spacing w:val="-6"/>
                <w:kern w:val="21"/>
              </w:rPr>
              <w:fldChar w:fldCharType="end"/>
            </w:r>
          </w:p>
        </w:tc>
        <w:tc>
          <w:tcPr>
            <w:tcW w:w="1758" w:type="dxa"/>
            <w:tcBorders>
              <w:top w:val="single" w:color="auto" w:sz="8" w:space="0"/>
            </w:tcBorders>
            <w:tcMar>
              <w:left w:w="28" w:type="dxa"/>
              <w:right w:w="28" w:type="dxa"/>
            </w:tcMar>
            <w:vAlign w:val="center"/>
          </w:tcPr>
          <w:p>
            <w:pPr>
              <w:pStyle w:val="71"/>
              <w:spacing w:beforeLines="0" w:afterLines="0" w:line="240" w:lineRule="auto"/>
              <w:rPr>
                <w:rFonts w:ascii="Times New Roman" w:cs="Times New Roman"/>
                <w:snapToGrid w:val="0"/>
                <w:color w:val="auto"/>
                <w:spacing w:val="-16"/>
                <w:kern w:val="21"/>
              </w:rPr>
            </w:pPr>
            <w:r>
              <w:rPr>
                <w:rFonts w:hint="eastAsia" w:ascii="Times New Roman"/>
                <w:snapToGrid w:val="0"/>
                <w:color w:val="auto"/>
                <w:spacing w:val="-16"/>
                <w:kern w:val="21"/>
              </w:rPr>
              <w:t>以新带老削减量</w:t>
            </w:r>
          </w:p>
          <w:p>
            <w:pPr>
              <w:pStyle w:val="71"/>
              <w:spacing w:beforeLines="0" w:afterLines="0" w:line="240" w:lineRule="auto"/>
              <w:rPr>
                <w:rFonts w:ascii="Times New Roman" w:cs="Times New Roman"/>
                <w:snapToGrid w:val="0"/>
                <w:color w:val="auto"/>
                <w:spacing w:val="-16"/>
                <w:kern w:val="21"/>
              </w:rPr>
            </w:pPr>
            <w:r>
              <w:rPr>
                <w:rFonts w:hint="eastAsia" w:ascii="Times New Roman"/>
                <w:snapToGrid w:val="0"/>
                <w:color w:val="auto"/>
                <w:spacing w:val="-16"/>
                <w:kern w:val="21"/>
              </w:rPr>
              <w:t>（新建项目不填）</w:t>
            </w:r>
            <w:r>
              <w:rPr>
                <w:rFonts w:ascii="Times New Roman" w:cs="Times New Roman"/>
                <w:snapToGrid w:val="0"/>
                <w:color w:val="auto"/>
                <w:spacing w:val="-16"/>
                <w:kern w:val="21"/>
              </w:rPr>
              <w:fldChar w:fldCharType="begin"/>
            </w:r>
            <w:r>
              <w:rPr>
                <w:rFonts w:ascii="Times New Roman" w:cs="Times New Roman"/>
                <w:snapToGrid w:val="0"/>
                <w:color w:val="auto"/>
                <w:spacing w:val="-16"/>
                <w:kern w:val="21"/>
              </w:rPr>
              <w:instrText xml:space="preserve"> = 5 \* GB3 \* MERGEFORMAT </w:instrText>
            </w:r>
            <w:r>
              <w:rPr>
                <w:rFonts w:ascii="Times New Roman" w:cs="Times New Roman"/>
                <w:snapToGrid w:val="0"/>
                <w:color w:val="auto"/>
                <w:spacing w:val="-16"/>
                <w:kern w:val="21"/>
              </w:rPr>
              <w:fldChar w:fldCharType="separate"/>
            </w:r>
            <w:r>
              <w:rPr>
                <w:rFonts w:hint="eastAsia" w:hAnsi="宋体"/>
                <w:color w:val="auto"/>
                <w:kern w:val="2"/>
              </w:rPr>
              <w:t>⑤</w:t>
            </w:r>
            <w:r>
              <w:rPr>
                <w:rFonts w:ascii="Times New Roman" w:cs="Times New Roman"/>
                <w:snapToGrid w:val="0"/>
                <w:color w:val="auto"/>
                <w:spacing w:val="-16"/>
                <w:kern w:val="21"/>
              </w:rPr>
              <w:fldChar w:fldCharType="end"/>
            </w:r>
          </w:p>
        </w:tc>
        <w:tc>
          <w:tcPr>
            <w:tcW w:w="1778" w:type="dxa"/>
            <w:tcBorders>
              <w:top w:val="single" w:color="auto" w:sz="8" w:space="0"/>
            </w:tcBorders>
            <w:tcMar>
              <w:left w:w="28" w:type="dxa"/>
              <w:right w:w="28" w:type="dxa"/>
            </w:tcMar>
            <w:vAlign w:val="center"/>
          </w:tcPr>
          <w:p>
            <w:pPr>
              <w:pStyle w:val="71"/>
              <w:spacing w:beforeLines="0" w:afterLines="0" w:line="240" w:lineRule="auto"/>
              <w:rPr>
                <w:rFonts w:ascii="Times New Roman" w:cs="Times New Roman"/>
                <w:snapToGrid w:val="0"/>
                <w:color w:val="auto"/>
                <w:spacing w:val="-16"/>
                <w:kern w:val="21"/>
              </w:rPr>
            </w:pPr>
            <w:r>
              <w:rPr>
                <w:rFonts w:hint="eastAsia" w:ascii="Times New Roman"/>
                <w:snapToGrid w:val="0"/>
                <w:color w:val="auto"/>
                <w:spacing w:val="-16"/>
                <w:kern w:val="21"/>
              </w:rPr>
              <w:t>本项目建成后</w:t>
            </w:r>
          </w:p>
          <w:p>
            <w:pPr>
              <w:pStyle w:val="71"/>
              <w:spacing w:beforeLines="0" w:afterLines="0" w:line="240" w:lineRule="auto"/>
              <w:rPr>
                <w:rFonts w:ascii="Times New Roman" w:cs="Times New Roman"/>
                <w:snapToGrid w:val="0"/>
                <w:color w:val="auto"/>
                <w:spacing w:val="-16"/>
                <w:kern w:val="21"/>
              </w:rPr>
            </w:pPr>
            <w:r>
              <w:rPr>
                <w:rFonts w:hint="eastAsia" w:ascii="Times New Roman"/>
                <w:snapToGrid w:val="0"/>
                <w:color w:val="auto"/>
                <w:spacing w:val="-16"/>
                <w:kern w:val="21"/>
              </w:rPr>
              <w:t>全厂排放量（固体废物产生量）</w:t>
            </w:r>
            <w:r>
              <w:rPr>
                <w:rFonts w:ascii="Times New Roman" w:cs="Times New Roman"/>
                <w:snapToGrid w:val="0"/>
                <w:color w:val="auto"/>
                <w:spacing w:val="-16"/>
                <w:kern w:val="21"/>
              </w:rPr>
              <w:fldChar w:fldCharType="begin"/>
            </w:r>
            <w:r>
              <w:rPr>
                <w:rFonts w:ascii="Times New Roman" w:cs="Times New Roman"/>
                <w:snapToGrid w:val="0"/>
                <w:color w:val="auto"/>
                <w:spacing w:val="-16"/>
                <w:kern w:val="21"/>
              </w:rPr>
              <w:instrText xml:space="preserve"> = 6 \* GB3 \* MERGEFORMAT </w:instrText>
            </w:r>
            <w:r>
              <w:rPr>
                <w:rFonts w:ascii="Times New Roman" w:cs="Times New Roman"/>
                <w:snapToGrid w:val="0"/>
                <w:color w:val="auto"/>
                <w:spacing w:val="-16"/>
                <w:kern w:val="21"/>
              </w:rPr>
              <w:fldChar w:fldCharType="separate"/>
            </w:r>
            <w:r>
              <w:rPr>
                <w:rFonts w:hint="eastAsia" w:hAnsi="宋体"/>
                <w:color w:val="auto"/>
                <w:kern w:val="2"/>
              </w:rPr>
              <w:t>⑥</w:t>
            </w:r>
            <w:r>
              <w:rPr>
                <w:rFonts w:ascii="Times New Roman" w:cs="Times New Roman"/>
                <w:snapToGrid w:val="0"/>
                <w:color w:val="auto"/>
                <w:spacing w:val="-16"/>
                <w:kern w:val="21"/>
              </w:rPr>
              <w:fldChar w:fldCharType="end"/>
            </w:r>
          </w:p>
        </w:tc>
        <w:tc>
          <w:tcPr>
            <w:tcW w:w="1411" w:type="dxa"/>
            <w:tcBorders>
              <w:top w:val="single" w:color="auto" w:sz="8" w:space="0"/>
            </w:tcBorders>
            <w:tcMar>
              <w:left w:w="28" w:type="dxa"/>
              <w:right w:w="28" w:type="dxa"/>
            </w:tcMar>
            <w:vAlign w:val="center"/>
          </w:tcPr>
          <w:p>
            <w:pPr>
              <w:pStyle w:val="71"/>
              <w:spacing w:beforeLines="0" w:afterLines="0" w:line="240" w:lineRule="auto"/>
              <w:rPr>
                <w:rFonts w:ascii="Times New Roman" w:cs="Times New Roman"/>
                <w:snapToGrid w:val="0"/>
                <w:color w:val="auto"/>
                <w:spacing w:val="-6"/>
                <w:kern w:val="21"/>
              </w:rPr>
            </w:pPr>
            <w:r>
              <w:rPr>
                <w:rFonts w:hint="eastAsia" w:ascii="Times New Roman"/>
                <w:snapToGrid w:val="0"/>
                <w:color w:val="auto"/>
                <w:spacing w:val="-6"/>
                <w:kern w:val="21"/>
              </w:rPr>
              <w:t>变化量</w:t>
            </w:r>
          </w:p>
          <w:p>
            <w:pPr>
              <w:pStyle w:val="71"/>
              <w:spacing w:beforeLines="0" w:afterLines="0" w:line="240" w:lineRule="auto"/>
              <w:rPr>
                <w:rFonts w:ascii="Times New Roman" w:cs="Times New Roman"/>
                <w:snapToGrid w:val="0"/>
                <w:color w:val="auto"/>
                <w:spacing w:val="-6"/>
                <w:kern w:val="21"/>
              </w:rPr>
            </w:pPr>
            <w:r>
              <w:rPr>
                <w:rFonts w:ascii="Times New Roman" w:cs="Times New Roman"/>
                <w:snapToGrid w:val="0"/>
                <w:color w:val="auto"/>
                <w:spacing w:val="-6"/>
                <w:kern w:val="21"/>
              </w:rPr>
              <w:fldChar w:fldCharType="begin"/>
            </w:r>
            <w:r>
              <w:rPr>
                <w:rFonts w:ascii="Times New Roman" w:cs="Times New Roman"/>
                <w:snapToGrid w:val="0"/>
                <w:color w:val="auto"/>
                <w:spacing w:val="-6"/>
                <w:kern w:val="21"/>
              </w:rPr>
              <w:instrText xml:space="preserve"> = 7 \* GB3 \* MERGEFORMAT </w:instrText>
            </w:r>
            <w:r>
              <w:rPr>
                <w:rFonts w:ascii="Times New Roman" w:cs="Times New Roman"/>
                <w:snapToGrid w:val="0"/>
                <w:color w:val="auto"/>
                <w:spacing w:val="-6"/>
                <w:kern w:val="21"/>
              </w:rPr>
              <w:fldChar w:fldCharType="separate"/>
            </w:r>
            <w:r>
              <w:rPr>
                <w:rFonts w:hint="eastAsia" w:hAnsi="宋体"/>
                <w:color w:val="auto"/>
                <w:kern w:val="2"/>
              </w:rPr>
              <w:t>⑦</w:t>
            </w:r>
            <w:r>
              <w:rPr>
                <w:rFonts w:ascii="Times New Roman" w:cs="Times New Roman"/>
                <w:snapToGrid w:val="0"/>
                <w:color w:val="auto"/>
                <w:spacing w:val="-6"/>
                <w:kern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58" w:type="dxa"/>
            <w:vMerge w:val="restart"/>
            <w:vAlign w:val="center"/>
          </w:tcPr>
          <w:p>
            <w:pPr>
              <w:pStyle w:val="71"/>
              <w:spacing w:beforeLines="0" w:afterLines="0" w:line="240" w:lineRule="auto"/>
              <w:rPr>
                <w:rFonts w:ascii="Times New Roman" w:cs="Times New Roman"/>
                <w:snapToGrid w:val="0"/>
                <w:color w:val="auto"/>
                <w:kern w:val="21"/>
              </w:rPr>
            </w:pPr>
            <w:r>
              <w:rPr>
                <w:rFonts w:hint="eastAsia" w:ascii="Times New Roman"/>
                <w:snapToGrid w:val="0"/>
                <w:color w:val="auto"/>
                <w:kern w:val="21"/>
              </w:rPr>
              <w:t>废气</w:t>
            </w:r>
          </w:p>
        </w:tc>
        <w:tc>
          <w:tcPr>
            <w:tcW w:w="1600" w:type="dxa"/>
            <w:vAlign w:val="center"/>
          </w:tcPr>
          <w:p>
            <w:pPr>
              <w:pStyle w:val="71"/>
              <w:spacing w:beforeLines="0" w:afterLines="0" w:line="240" w:lineRule="auto"/>
              <w:rPr>
                <w:rFonts w:ascii="Times New Roman" w:cs="Times New Roman"/>
                <w:snapToGrid w:val="0"/>
                <w:color w:val="auto"/>
                <w:kern w:val="21"/>
                <w:highlight w:val="none"/>
              </w:rPr>
            </w:pPr>
            <w:r>
              <w:rPr>
                <w:rFonts w:hint="eastAsia" w:ascii="Times New Roman"/>
                <w:color w:val="auto"/>
                <w:highlight w:val="none"/>
              </w:rPr>
              <w:t>颗粒物</w:t>
            </w:r>
          </w:p>
        </w:tc>
        <w:tc>
          <w:tcPr>
            <w:tcW w:w="1501" w:type="dxa"/>
            <w:vAlign w:val="center"/>
          </w:tcPr>
          <w:p>
            <w:pPr>
              <w:adjustRightInd w:val="0"/>
              <w:snapToGrid w:val="0"/>
              <w:jc w:val="center"/>
              <w:rPr>
                <w:color w:val="auto"/>
                <w:kern w:val="0"/>
                <w:highlight w:val="none"/>
              </w:rPr>
            </w:pPr>
            <w:r>
              <w:rPr>
                <w:color w:val="auto"/>
                <w:kern w:val="0"/>
                <w:highlight w:val="none"/>
              </w:rPr>
              <w:t>/</w:t>
            </w:r>
          </w:p>
        </w:tc>
        <w:tc>
          <w:tcPr>
            <w:tcW w:w="1269" w:type="dxa"/>
            <w:vAlign w:val="center"/>
          </w:tcPr>
          <w:p>
            <w:pPr>
              <w:adjustRightInd w:val="0"/>
              <w:snapToGrid w:val="0"/>
              <w:jc w:val="center"/>
              <w:rPr>
                <w:color w:val="auto"/>
                <w:kern w:val="0"/>
                <w:highlight w:val="none"/>
              </w:rPr>
            </w:pPr>
            <w:r>
              <w:rPr>
                <w:color w:val="auto"/>
                <w:kern w:val="0"/>
                <w:highlight w:val="none"/>
              </w:rPr>
              <w:t>/</w:t>
            </w:r>
          </w:p>
        </w:tc>
        <w:tc>
          <w:tcPr>
            <w:tcW w:w="1690" w:type="dxa"/>
            <w:vAlign w:val="center"/>
          </w:tcPr>
          <w:p>
            <w:pPr>
              <w:adjustRightInd w:val="0"/>
              <w:snapToGrid w:val="0"/>
              <w:jc w:val="center"/>
              <w:rPr>
                <w:color w:val="auto"/>
                <w:kern w:val="0"/>
                <w:highlight w:val="none"/>
              </w:rPr>
            </w:pPr>
            <w:r>
              <w:rPr>
                <w:color w:val="auto"/>
                <w:kern w:val="0"/>
                <w:highlight w:val="none"/>
              </w:rPr>
              <w:t>/</w:t>
            </w:r>
          </w:p>
        </w:tc>
        <w:tc>
          <w:tcPr>
            <w:tcW w:w="1550" w:type="dxa"/>
            <w:vAlign w:val="center"/>
          </w:tcPr>
          <w:p>
            <w:pPr>
              <w:spacing w:beforeLines="0" w:afterLines="0" w:line="240" w:lineRule="auto"/>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0.0947</w:t>
            </w:r>
          </w:p>
        </w:tc>
        <w:tc>
          <w:tcPr>
            <w:tcW w:w="1758" w:type="dxa"/>
            <w:vAlign w:val="center"/>
          </w:tcPr>
          <w:p>
            <w:pPr>
              <w:spacing w:beforeLines="0" w:afterLines="0" w:line="240" w:lineRule="auto"/>
              <w:jc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w:t>
            </w:r>
          </w:p>
        </w:tc>
        <w:tc>
          <w:tcPr>
            <w:tcW w:w="1778" w:type="dxa"/>
            <w:vAlign w:val="center"/>
          </w:tcPr>
          <w:p>
            <w:pPr>
              <w:spacing w:beforeLines="0" w:afterLines="0" w:line="240" w:lineRule="auto"/>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0.0947</w:t>
            </w:r>
          </w:p>
        </w:tc>
        <w:tc>
          <w:tcPr>
            <w:tcW w:w="1411" w:type="dxa"/>
            <w:vAlign w:val="center"/>
          </w:tcPr>
          <w:p>
            <w:pPr>
              <w:spacing w:beforeLines="0" w:afterLines="0" w:line="240" w:lineRule="auto"/>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w:t>
            </w:r>
            <w:r>
              <w:rPr>
                <w:rFonts w:hint="eastAsia" w:ascii="Times New Roman" w:hAnsi="Times New Roman" w:eastAsia="宋体" w:cs="宋体"/>
                <w:color w:val="auto"/>
                <w:kern w:val="2"/>
                <w:sz w:val="21"/>
                <w:szCs w:val="21"/>
                <w:highlight w:val="none"/>
                <w:lang w:val="en-US" w:eastAsia="zh-CN" w:bidi="ar-SA"/>
              </w:rPr>
              <w:t>0.0947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58" w:type="dxa"/>
            <w:vMerge w:val="continue"/>
            <w:vAlign w:val="center"/>
          </w:tcPr>
          <w:p>
            <w:pPr>
              <w:pStyle w:val="71"/>
              <w:spacing w:beforeLines="0" w:afterLines="0" w:line="240" w:lineRule="auto"/>
              <w:rPr>
                <w:rFonts w:hint="eastAsia" w:ascii="Times New Roman"/>
                <w:snapToGrid w:val="0"/>
                <w:color w:val="auto"/>
                <w:kern w:val="21"/>
              </w:rPr>
            </w:pPr>
          </w:p>
        </w:tc>
        <w:tc>
          <w:tcPr>
            <w:tcW w:w="1600" w:type="dxa"/>
            <w:vAlign w:val="center"/>
          </w:tcPr>
          <w:p>
            <w:pPr>
              <w:pStyle w:val="71"/>
              <w:spacing w:beforeLines="0" w:afterLines="0" w:line="240" w:lineRule="auto"/>
              <w:rPr>
                <w:rFonts w:hint="default" w:ascii="Times New Roman" w:eastAsia="宋体"/>
                <w:color w:val="auto"/>
                <w:highlight w:val="none"/>
                <w:lang w:val="en-US" w:eastAsia="zh-CN"/>
              </w:rPr>
            </w:pPr>
            <w:r>
              <w:rPr>
                <w:rFonts w:hint="eastAsia" w:ascii="Times New Roman"/>
                <w:color w:val="auto"/>
                <w:highlight w:val="none"/>
                <w:lang w:val="en-US" w:eastAsia="zh-CN"/>
              </w:rPr>
              <w:t>VOCs</w:t>
            </w:r>
          </w:p>
        </w:tc>
        <w:tc>
          <w:tcPr>
            <w:tcW w:w="1501" w:type="dxa"/>
            <w:vAlign w:val="center"/>
          </w:tcPr>
          <w:p>
            <w:pPr>
              <w:adjustRightInd w:val="0"/>
              <w:snapToGrid w:val="0"/>
              <w:jc w:val="center"/>
              <w:rPr>
                <w:color w:val="auto"/>
                <w:kern w:val="0"/>
                <w:highlight w:val="none"/>
              </w:rPr>
            </w:pPr>
            <w:r>
              <w:rPr>
                <w:color w:val="auto"/>
                <w:kern w:val="0"/>
                <w:highlight w:val="none"/>
              </w:rPr>
              <w:t>/</w:t>
            </w:r>
          </w:p>
        </w:tc>
        <w:tc>
          <w:tcPr>
            <w:tcW w:w="1269" w:type="dxa"/>
            <w:vAlign w:val="center"/>
          </w:tcPr>
          <w:p>
            <w:pPr>
              <w:adjustRightInd w:val="0"/>
              <w:snapToGrid w:val="0"/>
              <w:jc w:val="center"/>
              <w:rPr>
                <w:color w:val="auto"/>
                <w:kern w:val="0"/>
                <w:highlight w:val="none"/>
              </w:rPr>
            </w:pPr>
            <w:r>
              <w:rPr>
                <w:color w:val="auto"/>
                <w:kern w:val="0"/>
                <w:highlight w:val="none"/>
              </w:rPr>
              <w:t>/</w:t>
            </w:r>
          </w:p>
        </w:tc>
        <w:tc>
          <w:tcPr>
            <w:tcW w:w="1690" w:type="dxa"/>
            <w:vAlign w:val="center"/>
          </w:tcPr>
          <w:p>
            <w:pPr>
              <w:adjustRightInd w:val="0"/>
              <w:snapToGrid w:val="0"/>
              <w:jc w:val="center"/>
              <w:rPr>
                <w:color w:val="auto"/>
                <w:kern w:val="0"/>
                <w:highlight w:val="none"/>
              </w:rPr>
            </w:pPr>
            <w:r>
              <w:rPr>
                <w:color w:val="auto"/>
                <w:kern w:val="0"/>
                <w:highlight w:val="none"/>
              </w:rPr>
              <w:t>/</w:t>
            </w:r>
          </w:p>
        </w:tc>
        <w:tc>
          <w:tcPr>
            <w:tcW w:w="1550" w:type="dxa"/>
            <w:vAlign w:val="center"/>
          </w:tcPr>
          <w:p>
            <w:pPr>
              <w:spacing w:beforeLines="0" w:afterLines="0" w:line="240" w:lineRule="auto"/>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1.802</w:t>
            </w:r>
          </w:p>
        </w:tc>
        <w:tc>
          <w:tcPr>
            <w:tcW w:w="1758" w:type="dxa"/>
            <w:vAlign w:val="center"/>
          </w:tcPr>
          <w:p>
            <w:pPr>
              <w:spacing w:beforeLines="0" w:afterLines="0" w:line="240" w:lineRule="auto"/>
              <w:jc w:val="center"/>
              <w:rPr>
                <w:rFonts w:hint="default"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宋体"/>
                <w:color w:val="auto"/>
                <w:kern w:val="2"/>
                <w:sz w:val="21"/>
                <w:szCs w:val="21"/>
                <w:highlight w:val="none"/>
                <w:lang w:val="en-US" w:eastAsia="zh-CN" w:bidi="ar-SA"/>
              </w:rPr>
              <w:t>/</w:t>
            </w:r>
          </w:p>
        </w:tc>
        <w:tc>
          <w:tcPr>
            <w:tcW w:w="1778" w:type="dxa"/>
            <w:vAlign w:val="center"/>
          </w:tcPr>
          <w:p>
            <w:pPr>
              <w:spacing w:beforeLines="0" w:afterLines="0" w:line="240" w:lineRule="auto"/>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1.802</w:t>
            </w:r>
          </w:p>
        </w:tc>
        <w:tc>
          <w:tcPr>
            <w:tcW w:w="1411" w:type="dxa"/>
            <w:vAlign w:val="center"/>
          </w:tcPr>
          <w:p>
            <w:pPr>
              <w:spacing w:beforeLines="0" w:afterLines="0" w:line="240" w:lineRule="auto"/>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+1.802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58" w:type="dxa"/>
            <w:vMerge w:val="restart"/>
            <w:vAlign w:val="center"/>
          </w:tcPr>
          <w:p>
            <w:pPr>
              <w:pStyle w:val="71"/>
              <w:spacing w:beforeLines="0" w:afterLines="0" w:line="240" w:lineRule="auto"/>
              <w:rPr>
                <w:rFonts w:ascii="Times New Roman" w:cs="Times New Roman"/>
                <w:snapToGrid w:val="0"/>
                <w:color w:val="auto"/>
                <w:kern w:val="21"/>
              </w:rPr>
            </w:pPr>
            <w:r>
              <w:rPr>
                <w:rFonts w:hint="eastAsia" w:ascii="Times New Roman"/>
                <w:snapToGrid w:val="0"/>
                <w:color w:val="auto"/>
                <w:kern w:val="21"/>
              </w:rPr>
              <w:t>废水</w:t>
            </w:r>
          </w:p>
        </w:tc>
        <w:tc>
          <w:tcPr>
            <w:tcW w:w="1600" w:type="dxa"/>
            <w:vAlign w:val="center"/>
          </w:tcPr>
          <w:p>
            <w:pPr>
              <w:adjustRightInd w:val="0"/>
              <w:snapToGrid w:val="0"/>
              <w:jc w:val="center"/>
              <w:rPr>
                <w:color w:val="auto"/>
                <w:highlight w:val="none"/>
              </w:rPr>
            </w:pPr>
            <w:r>
              <w:rPr>
                <w:color w:val="auto"/>
                <w:highlight w:val="none"/>
              </w:rPr>
              <w:t>COD</w:t>
            </w:r>
          </w:p>
        </w:tc>
        <w:tc>
          <w:tcPr>
            <w:tcW w:w="1501" w:type="dxa"/>
            <w:vAlign w:val="center"/>
          </w:tcPr>
          <w:p>
            <w:pPr>
              <w:adjustRightInd w:val="0"/>
              <w:snapToGrid w:val="0"/>
              <w:jc w:val="center"/>
              <w:rPr>
                <w:color w:val="auto"/>
                <w:kern w:val="0"/>
                <w:highlight w:val="none"/>
              </w:rPr>
            </w:pPr>
            <w:r>
              <w:rPr>
                <w:color w:val="auto"/>
                <w:kern w:val="0"/>
                <w:highlight w:val="none"/>
              </w:rPr>
              <w:t>/</w:t>
            </w:r>
          </w:p>
        </w:tc>
        <w:tc>
          <w:tcPr>
            <w:tcW w:w="1269" w:type="dxa"/>
            <w:vAlign w:val="center"/>
          </w:tcPr>
          <w:p>
            <w:pPr>
              <w:adjustRightInd w:val="0"/>
              <w:snapToGrid w:val="0"/>
              <w:jc w:val="center"/>
              <w:rPr>
                <w:color w:val="auto"/>
                <w:kern w:val="0"/>
                <w:highlight w:val="none"/>
              </w:rPr>
            </w:pPr>
            <w:r>
              <w:rPr>
                <w:color w:val="auto"/>
                <w:kern w:val="0"/>
                <w:highlight w:val="none"/>
              </w:rPr>
              <w:t>/</w:t>
            </w:r>
          </w:p>
        </w:tc>
        <w:tc>
          <w:tcPr>
            <w:tcW w:w="1690" w:type="dxa"/>
            <w:vAlign w:val="center"/>
          </w:tcPr>
          <w:p>
            <w:pPr>
              <w:adjustRightInd w:val="0"/>
              <w:snapToGrid w:val="0"/>
              <w:jc w:val="center"/>
              <w:rPr>
                <w:color w:val="auto"/>
                <w:kern w:val="0"/>
                <w:highlight w:val="none"/>
              </w:rPr>
            </w:pPr>
            <w:r>
              <w:rPr>
                <w:color w:val="auto"/>
                <w:kern w:val="0"/>
                <w:highlight w:val="none"/>
              </w:rPr>
              <w:t>/</w:t>
            </w:r>
          </w:p>
        </w:tc>
        <w:tc>
          <w:tcPr>
            <w:tcW w:w="1550" w:type="dxa"/>
            <w:vAlign w:val="center"/>
          </w:tcPr>
          <w:p>
            <w:pPr>
              <w:adjustRightInd w:val="0"/>
              <w:snapToGrid w:val="0"/>
              <w:jc w:val="center"/>
              <w:rPr>
                <w:color w:val="auto"/>
                <w:kern w:val="0"/>
                <w:highlight w:val="none"/>
              </w:rPr>
            </w:pPr>
            <w:r>
              <w:rPr>
                <w:color w:val="auto"/>
                <w:kern w:val="0"/>
                <w:highlight w:val="none"/>
              </w:rPr>
              <w:t>/</w:t>
            </w:r>
          </w:p>
        </w:tc>
        <w:tc>
          <w:tcPr>
            <w:tcW w:w="1758" w:type="dxa"/>
            <w:vAlign w:val="center"/>
          </w:tcPr>
          <w:p>
            <w:pPr>
              <w:adjustRightInd w:val="0"/>
              <w:snapToGrid w:val="0"/>
              <w:jc w:val="center"/>
              <w:rPr>
                <w:color w:val="auto"/>
                <w:kern w:val="0"/>
                <w:highlight w:val="none"/>
              </w:rPr>
            </w:pPr>
            <w:r>
              <w:rPr>
                <w:color w:val="auto"/>
                <w:kern w:val="0"/>
                <w:highlight w:val="none"/>
              </w:rPr>
              <w:t>/</w:t>
            </w:r>
          </w:p>
        </w:tc>
        <w:tc>
          <w:tcPr>
            <w:tcW w:w="1778" w:type="dxa"/>
            <w:vAlign w:val="center"/>
          </w:tcPr>
          <w:p>
            <w:pPr>
              <w:adjustRightInd w:val="0"/>
              <w:snapToGrid w:val="0"/>
              <w:jc w:val="center"/>
              <w:rPr>
                <w:color w:val="auto"/>
                <w:kern w:val="0"/>
                <w:highlight w:val="none"/>
              </w:rPr>
            </w:pPr>
            <w:r>
              <w:rPr>
                <w:color w:val="auto"/>
                <w:kern w:val="0"/>
                <w:highlight w:val="none"/>
              </w:rPr>
              <w:t>/</w:t>
            </w:r>
          </w:p>
        </w:tc>
        <w:tc>
          <w:tcPr>
            <w:tcW w:w="1411" w:type="dxa"/>
            <w:vAlign w:val="center"/>
          </w:tcPr>
          <w:p>
            <w:pPr>
              <w:adjustRightInd w:val="0"/>
              <w:snapToGrid w:val="0"/>
              <w:jc w:val="center"/>
              <w:rPr>
                <w:color w:val="auto"/>
                <w:kern w:val="0"/>
                <w:highlight w:val="none"/>
              </w:rPr>
            </w:pPr>
            <w:r>
              <w:rPr>
                <w:color w:val="auto"/>
                <w:kern w:val="0"/>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58" w:type="dxa"/>
            <w:vMerge w:val="continue"/>
            <w:vAlign w:val="center"/>
          </w:tcPr>
          <w:p>
            <w:pPr>
              <w:pStyle w:val="71"/>
              <w:spacing w:beforeLines="0" w:afterLines="0" w:line="240" w:lineRule="auto"/>
              <w:rPr>
                <w:rFonts w:ascii="Times New Roman" w:cs="Times New Roman"/>
                <w:snapToGrid w:val="0"/>
                <w:color w:val="auto"/>
                <w:kern w:val="21"/>
              </w:rPr>
            </w:pPr>
          </w:p>
        </w:tc>
        <w:tc>
          <w:tcPr>
            <w:tcW w:w="1600" w:type="dxa"/>
            <w:vAlign w:val="center"/>
          </w:tcPr>
          <w:p>
            <w:pPr>
              <w:adjustRightInd w:val="0"/>
              <w:snapToGrid w:val="0"/>
              <w:jc w:val="center"/>
              <w:rPr>
                <w:color w:val="auto"/>
                <w:highlight w:val="none"/>
              </w:rPr>
            </w:pPr>
            <w:r>
              <w:rPr>
                <w:rFonts w:hint="eastAsia" w:cs="宋体"/>
                <w:color w:val="auto"/>
                <w:highlight w:val="none"/>
              </w:rPr>
              <w:t>氨氮</w:t>
            </w:r>
          </w:p>
        </w:tc>
        <w:tc>
          <w:tcPr>
            <w:tcW w:w="1501" w:type="dxa"/>
            <w:vAlign w:val="center"/>
          </w:tcPr>
          <w:p>
            <w:pPr>
              <w:adjustRightInd w:val="0"/>
              <w:snapToGrid w:val="0"/>
              <w:jc w:val="center"/>
              <w:rPr>
                <w:color w:val="auto"/>
                <w:kern w:val="0"/>
                <w:highlight w:val="none"/>
              </w:rPr>
            </w:pPr>
            <w:r>
              <w:rPr>
                <w:color w:val="auto"/>
                <w:kern w:val="0"/>
                <w:highlight w:val="none"/>
              </w:rPr>
              <w:t>/</w:t>
            </w:r>
          </w:p>
        </w:tc>
        <w:tc>
          <w:tcPr>
            <w:tcW w:w="1269" w:type="dxa"/>
            <w:vAlign w:val="center"/>
          </w:tcPr>
          <w:p>
            <w:pPr>
              <w:adjustRightInd w:val="0"/>
              <w:snapToGrid w:val="0"/>
              <w:jc w:val="center"/>
              <w:rPr>
                <w:color w:val="auto"/>
                <w:kern w:val="0"/>
                <w:highlight w:val="none"/>
              </w:rPr>
            </w:pPr>
            <w:r>
              <w:rPr>
                <w:color w:val="auto"/>
                <w:kern w:val="0"/>
                <w:highlight w:val="none"/>
              </w:rPr>
              <w:t>/</w:t>
            </w:r>
          </w:p>
        </w:tc>
        <w:tc>
          <w:tcPr>
            <w:tcW w:w="1690" w:type="dxa"/>
            <w:vAlign w:val="center"/>
          </w:tcPr>
          <w:p>
            <w:pPr>
              <w:adjustRightInd w:val="0"/>
              <w:snapToGrid w:val="0"/>
              <w:jc w:val="center"/>
              <w:rPr>
                <w:color w:val="auto"/>
                <w:kern w:val="0"/>
                <w:highlight w:val="none"/>
              </w:rPr>
            </w:pPr>
            <w:r>
              <w:rPr>
                <w:color w:val="auto"/>
                <w:kern w:val="0"/>
                <w:highlight w:val="none"/>
              </w:rPr>
              <w:t>/</w:t>
            </w:r>
          </w:p>
        </w:tc>
        <w:tc>
          <w:tcPr>
            <w:tcW w:w="1550" w:type="dxa"/>
            <w:vAlign w:val="center"/>
          </w:tcPr>
          <w:p>
            <w:pPr>
              <w:adjustRightInd w:val="0"/>
              <w:snapToGrid w:val="0"/>
              <w:jc w:val="center"/>
              <w:rPr>
                <w:color w:val="auto"/>
                <w:kern w:val="0"/>
                <w:highlight w:val="none"/>
              </w:rPr>
            </w:pPr>
            <w:r>
              <w:rPr>
                <w:color w:val="auto"/>
                <w:kern w:val="0"/>
                <w:highlight w:val="none"/>
              </w:rPr>
              <w:t>/</w:t>
            </w:r>
          </w:p>
        </w:tc>
        <w:tc>
          <w:tcPr>
            <w:tcW w:w="1758" w:type="dxa"/>
            <w:vAlign w:val="center"/>
          </w:tcPr>
          <w:p>
            <w:pPr>
              <w:adjustRightInd w:val="0"/>
              <w:snapToGrid w:val="0"/>
              <w:jc w:val="center"/>
              <w:rPr>
                <w:color w:val="auto"/>
                <w:kern w:val="0"/>
                <w:highlight w:val="none"/>
              </w:rPr>
            </w:pPr>
            <w:r>
              <w:rPr>
                <w:color w:val="auto"/>
                <w:kern w:val="0"/>
                <w:highlight w:val="none"/>
              </w:rPr>
              <w:t>/</w:t>
            </w:r>
          </w:p>
        </w:tc>
        <w:tc>
          <w:tcPr>
            <w:tcW w:w="1778" w:type="dxa"/>
            <w:vAlign w:val="center"/>
          </w:tcPr>
          <w:p>
            <w:pPr>
              <w:adjustRightInd w:val="0"/>
              <w:snapToGrid w:val="0"/>
              <w:jc w:val="center"/>
              <w:rPr>
                <w:color w:val="auto"/>
                <w:kern w:val="0"/>
                <w:highlight w:val="none"/>
              </w:rPr>
            </w:pPr>
            <w:r>
              <w:rPr>
                <w:color w:val="auto"/>
                <w:kern w:val="0"/>
                <w:highlight w:val="none"/>
              </w:rPr>
              <w:t>/</w:t>
            </w:r>
          </w:p>
        </w:tc>
        <w:tc>
          <w:tcPr>
            <w:tcW w:w="1411" w:type="dxa"/>
            <w:vAlign w:val="center"/>
          </w:tcPr>
          <w:p>
            <w:pPr>
              <w:adjustRightInd w:val="0"/>
              <w:snapToGrid w:val="0"/>
              <w:jc w:val="center"/>
              <w:rPr>
                <w:color w:val="auto"/>
                <w:kern w:val="0"/>
                <w:highlight w:val="none"/>
              </w:rPr>
            </w:pPr>
            <w:r>
              <w:rPr>
                <w:color w:val="auto"/>
                <w:kern w:val="0"/>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58" w:type="dxa"/>
            <w:vMerge w:val="restart"/>
            <w:vAlign w:val="center"/>
          </w:tcPr>
          <w:p>
            <w:pPr>
              <w:pStyle w:val="71"/>
              <w:spacing w:beforeLines="0" w:afterLines="0" w:line="240" w:lineRule="auto"/>
              <w:rPr>
                <w:rFonts w:ascii="Times New Roman" w:cs="Times New Roman"/>
                <w:snapToGrid w:val="0"/>
                <w:color w:val="auto"/>
                <w:kern w:val="21"/>
              </w:rPr>
            </w:pPr>
            <w:r>
              <w:rPr>
                <w:rFonts w:hint="eastAsia" w:ascii="Times New Roman"/>
                <w:snapToGrid w:val="0"/>
                <w:color w:val="auto"/>
                <w:kern w:val="21"/>
              </w:rPr>
              <w:t>一般工业</w:t>
            </w:r>
          </w:p>
          <w:p>
            <w:pPr>
              <w:pStyle w:val="71"/>
              <w:spacing w:beforeLines="0" w:afterLines="0" w:line="240" w:lineRule="auto"/>
              <w:rPr>
                <w:rFonts w:ascii="Times New Roman" w:cs="Times New Roman"/>
                <w:snapToGrid w:val="0"/>
                <w:color w:val="auto"/>
                <w:kern w:val="21"/>
              </w:rPr>
            </w:pPr>
            <w:r>
              <w:rPr>
                <w:rFonts w:hint="eastAsia" w:ascii="Times New Roman"/>
                <w:snapToGrid w:val="0"/>
                <w:color w:val="auto"/>
                <w:kern w:val="21"/>
              </w:rPr>
              <w:t>固体废物</w:t>
            </w:r>
          </w:p>
          <w:p>
            <w:pPr>
              <w:pStyle w:val="71"/>
              <w:spacing w:beforeLines="0" w:afterLines="0" w:line="240" w:lineRule="auto"/>
              <w:rPr>
                <w:rFonts w:ascii="Times New Roman" w:cs="Times New Roman"/>
                <w:snapToGrid w:val="0"/>
                <w:color w:val="auto"/>
                <w:kern w:val="21"/>
              </w:rPr>
            </w:pPr>
            <w:r>
              <w:rPr>
                <w:rFonts w:ascii="Times New Roman" w:cs="Times New Roman"/>
                <w:snapToGrid w:val="0"/>
                <w:color w:val="auto"/>
                <w:kern w:val="21"/>
              </w:rPr>
              <w:t xml:space="preserve"> </w:t>
            </w:r>
          </w:p>
        </w:tc>
        <w:tc>
          <w:tcPr>
            <w:tcW w:w="1600" w:type="dxa"/>
            <w:vAlign w:val="center"/>
          </w:tcPr>
          <w:p>
            <w:pPr>
              <w:jc w:val="center"/>
              <w:rPr>
                <w:color w:val="auto"/>
                <w:highlight w:val="red"/>
              </w:rPr>
            </w:pPr>
            <w:r>
              <w:rPr>
                <w:rFonts w:hint="eastAsia" w:cs="宋体"/>
                <w:color w:val="auto"/>
                <w:highlight w:val="none"/>
              </w:rPr>
              <w:t>生活垃圾</w:t>
            </w:r>
          </w:p>
        </w:tc>
        <w:tc>
          <w:tcPr>
            <w:tcW w:w="1501" w:type="dxa"/>
            <w:vAlign w:val="center"/>
          </w:tcPr>
          <w:p>
            <w:pPr>
              <w:adjustRightInd w:val="0"/>
              <w:snapToGrid w:val="0"/>
              <w:jc w:val="center"/>
              <w:rPr>
                <w:rFonts w:ascii="Times New Roman" w:cs="Times New Roman"/>
                <w:color w:val="auto"/>
                <w:highlight w:val="red"/>
              </w:rPr>
            </w:pPr>
            <w:r>
              <w:rPr>
                <w:color w:val="auto"/>
                <w:kern w:val="0"/>
                <w:highlight w:val="none"/>
              </w:rPr>
              <w:t>/</w:t>
            </w:r>
          </w:p>
        </w:tc>
        <w:tc>
          <w:tcPr>
            <w:tcW w:w="1269" w:type="dxa"/>
            <w:vAlign w:val="center"/>
          </w:tcPr>
          <w:p>
            <w:pPr>
              <w:pStyle w:val="71"/>
              <w:spacing w:beforeLines="0" w:afterLines="0" w:line="240" w:lineRule="auto"/>
              <w:rPr>
                <w:rFonts w:ascii="Times New Roman" w:cs="Times New Roman"/>
                <w:color w:val="auto"/>
                <w:highlight w:val="none"/>
              </w:rPr>
            </w:pPr>
            <w:r>
              <w:rPr>
                <w:rFonts w:ascii="Times New Roman" w:cs="Times New Roman"/>
                <w:color w:val="auto"/>
                <w:highlight w:val="none"/>
              </w:rPr>
              <w:t>/</w:t>
            </w:r>
          </w:p>
        </w:tc>
        <w:tc>
          <w:tcPr>
            <w:tcW w:w="1690" w:type="dxa"/>
            <w:vAlign w:val="center"/>
          </w:tcPr>
          <w:p>
            <w:pPr>
              <w:pStyle w:val="71"/>
              <w:spacing w:beforeLines="0" w:afterLines="0" w:line="240" w:lineRule="auto"/>
              <w:rPr>
                <w:rFonts w:ascii="Times New Roman" w:cs="Times New Roman"/>
                <w:color w:val="auto"/>
                <w:highlight w:val="none"/>
              </w:rPr>
            </w:pPr>
            <w:r>
              <w:rPr>
                <w:rFonts w:ascii="Times New Roman" w:cs="Times New Roman"/>
                <w:color w:val="auto"/>
                <w:highlight w:val="none"/>
              </w:rPr>
              <w:t>/</w:t>
            </w:r>
          </w:p>
        </w:tc>
        <w:tc>
          <w:tcPr>
            <w:tcW w:w="1550" w:type="dxa"/>
            <w:vAlign w:val="center"/>
          </w:tcPr>
          <w:p>
            <w:pPr>
              <w:spacing w:beforeLines="0" w:afterLines="0" w:line="240" w:lineRule="auto"/>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kern w:val="0"/>
                <w:highlight w:val="none"/>
                <w:lang w:val="en-US" w:eastAsia="zh-CN"/>
              </w:rPr>
              <w:t>6</w:t>
            </w:r>
          </w:p>
        </w:tc>
        <w:tc>
          <w:tcPr>
            <w:tcW w:w="1758" w:type="dxa"/>
            <w:vAlign w:val="center"/>
          </w:tcPr>
          <w:p>
            <w:pPr>
              <w:spacing w:beforeLines="0" w:afterLines="0" w:line="240" w:lineRule="auto"/>
              <w:jc w:val="center"/>
              <w:rPr>
                <w:rFonts w:hint="eastAsia" w:ascii="Times New Roman" w:hAnsi="Times New Roman" w:eastAsia="宋体" w:cs="宋体"/>
                <w:color w:val="auto"/>
                <w:kern w:val="2"/>
                <w:sz w:val="21"/>
                <w:szCs w:val="21"/>
                <w:highlight w:val="none"/>
                <w:lang w:val="en-US" w:eastAsia="zh-CN" w:bidi="ar-SA"/>
              </w:rPr>
            </w:pPr>
            <w:r>
              <w:rPr>
                <w:color w:val="auto"/>
                <w:kern w:val="0"/>
                <w:highlight w:val="none"/>
              </w:rPr>
              <w:t>/</w:t>
            </w:r>
          </w:p>
        </w:tc>
        <w:tc>
          <w:tcPr>
            <w:tcW w:w="1778" w:type="dxa"/>
            <w:vAlign w:val="center"/>
          </w:tcPr>
          <w:p>
            <w:pPr>
              <w:spacing w:beforeLines="0" w:afterLines="0" w:line="240" w:lineRule="auto"/>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kern w:val="0"/>
                <w:highlight w:val="none"/>
                <w:lang w:val="en-US" w:eastAsia="zh-CN"/>
              </w:rPr>
              <w:t>6</w:t>
            </w:r>
          </w:p>
        </w:tc>
        <w:tc>
          <w:tcPr>
            <w:tcW w:w="1411" w:type="dxa"/>
            <w:vAlign w:val="center"/>
          </w:tcPr>
          <w:p>
            <w:pPr>
              <w:spacing w:beforeLines="0" w:afterLines="0" w:line="240" w:lineRule="auto"/>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kern w:val="0"/>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58" w:type="dxa"/>
            <w:vMerge w:val="continue"/>
            <w:vAlign w:val="center"/>
          </w:tcPr>
          <w:p>
            <w:pPr>
              <w:pStyle w:val="71"/>
              <w:spacing w:beforeLines="0" w:afterLines="0" w:line="240" w:lineRule="auto"/>
              <w:rPr>
                <w:rFonts w:ascii="Times New Roman" w:cs="Times New Roman"/>
                <w:snapToGrid w:val="0"/>
                <w:color w:val="auto"/>
                <w:kern w:val="21"/>
              </w:rPr>
            </w:pPr>
          </w:p>
        </w:tc>
        <w:tc>
          <w:tcPr>
            <w:tcW w:w="1600" w:type="dxa"/>
            <w:vAlign w:val="center"/>
          </w:tcPr>
          <w:p>
            <w:pPr>
              <w:jc w:val="center"/>
              <w:rPr>
                <w:rFonts w:hint="eastAsia" w:cs="宋体"/>
                <w:color w:val="auto"/>
                <w:highlight w:val="none"/>
              </w:rPr>
            </w:pPr>
            <w:r>
              <w:rPr>
                <w:rFonts w:hint="eastAsia" w:ascii="Times New Roman" w:hAnsi="Times New Roman" w:eastAsia="宋体" w:cs="宋体"/>
                <w:color w:val="auto"/>
                <w:highlight w:val="none"/>
                <w:lang w:val="en-US" w:eastAsia="zh-CN"/>
              </w:rPr>
              <w:t>废</w:t>
            </w:r>
            <w:r>
              <w:rPr>
                <w:rFonts w:hint="eastAsia" w:cs="宋体"/>
                <w:color w:val="auto"/>
                <w:highlight w:val="none"/>
                <w:lang w:val="en-US" w:eastAsia="zh-CN"/>
              </w:rPr>
              <w:t>包装袋</w:t>
            </w:r>
          </w:p>
        </w:tc>
        <w:tc>
          <w:tcPr>
            <w:tcW w:w="1501" w:type="dxa"/>
            <w:vAlign w:val="center"/>
          </w:tcPr>
          <w:p>
            <w:pPr>
              <w:adjustRightInd w:val="0"/>
              <w:snapToGrid w:val="0"/>
              <w:jc w:val="center"/>
              <w:rPr>
                <w:color w:val="auto"/>
                <w:kern w:val="0"/>
                <w:highlight w:val="none"/>
              </w:rPr>
            </w:pPr>
            <w:r>
              <w:rPr>
                <w:rFonts w:hint="eastAsia"/>
                <w:color w:val="auto"/>
                <w:kern w:val="0"/>
                <w:highlight w:val="none"/>
                <w:lang w:val="en-US" w:eastAsia="zh-CN"/>
              </w:rPr>
              <w:t>/</w:t>
            </w:r>
          </w:p>
        </w:tc>
        <w:tc>
          <w:tcPr>
            <w:tcW w:w="1269" w:type="dxa"/>
            <w:vAlign w:val="center"/>
          </w:tcPr>
          <w:p>
            <w:pPr>
              <w:pStyle w:val="71"/>
              <w:spacing w:beforeLines="0" w:afterLines="0" w:line="240" w:lineRule="auto"/>
              <w:ind w:left="0" w:leftChars="0" w:firstLine="0" w:firstLineChars="0"/>
              <w:rPr>
                <w:rFonts w:ascii="Times New Roman" w:cs="Times New Roman"/>
                <w:color w:val="auto"/>
                <w:highlight w:val="none"/>
              </w:rPr>
            </w:pPr>
            <w:r>
              <w:rPr>
                <w:rFonts w:hint="eastAsia" w:ascii="Times New Roman" w:cs="Times New Roman"/>
                <w:color w:val="auto"/>
                <w:highlight w:val="none"/>
                <w:lang w:val="en-US" w:eastAsia="zh-CN"/>
              </w:rPr>
              <w:t>/</w:t>
            </w:r>
          </w:p>
        </w:tc>
        <w:tc>
          <w:tcPr>
            <w:tcW w:w="1690" w:type="dxa"/>
            <w:vAlign w:val="center"/>
          </w:tcPr>
          <w:p>
            <w:pPr>
              <w:pStyle w:val="71"/>
              <w:spacing w:beforeLines="0" w:afterLines="0" w:line="240" w:lineRule="auto"/>
              <w:ind w:left="0" w:leftChars="0" w:firstLine="0" w:firstLineChars="0"/>
              <w:rPr>
                <w:rFonts w:ascii="Times New Roman" w:cs="Times New Roman"/>
                <w:color w:val="auto"/>
                <w:highlight w:val="none"/>
              </w:rPr>
            </w:pPr>
            <w:r>
              <w:rPr>
                <w:rFonts w:hint="eastAsia" w:ascii="Times New Roman" w:cs="Times New Roman"/>
                <w:color w:val="auto"/>
                <w:highlight w:val="none"/>
                <w:lang w:val="en-US" w:eastAsia="zh-CN"/>
              </w:rPr>
              <w:t>/</w:t>
            </w:r>
          </w:p>
        </w:tc>
        <w:tc>
          <w:tcPr>
            <w:tcW w:w="1550" w:type="dxa"/>
            <w:vAlign w:val="center"/>
          </w:tcPr>
          <w:p>
            <w:pPr>
              <w:jc w:val="center"/>
              <w:rPr>
                <w:rFonts w:hint="eastAsia"/>
                <w:color w:val="auto"/>
                <w:kern w:val="0"/>
                <w:highlight w:val="none"/>
                <w:lang w:val="en-US" w:eastAsia="zh-CN"/>
              </w:rPr>
            </w:pPr>
            <w:r>
              <w:rPr>
                <w:rFonts w:hint="eastAsia" w:cs="宋体"/>
                <w:color w:val="auto"/>
                <w:highlight w:val="none"/>
                <w:lang w:val="en-US" w:eastAsia="zh-CN"/>
              </w:rPr>
              <w:t>1.5</w:t>
            </w:r>
          </w:p>
        </w:tc>
        <w:tc>
          <w:tcPr>
            <w:tcW w:w="1758" w:type="dxa"/>
            <w:vAlign w:val="center"/>
          </w:tcPr>
          <w:p>
            <w:pPr>
              <w:spacing w:beforeLines="0" w:afterLines="0" w:line="240" w:lineRule="auto"/>
              <w:jc w:val="center"/>
              <w:rPr>
                <w:color w:val="auto"/>
                <w:kern w:val="0"/>
                <w:highlight w:val="none"/>
              </w:rPr>
            </w:pPr>
            <w:r>
              <w:rPr>
                <w:color w:val="auto"/>
                <w:kern w:val="0"/>
                <w:highlight w:val="none"/>
              </w:rPr>
              <w:t>/</w:t>
            </w:r>
          </w:p>
        </w:tc>
        <w:tc>
          <w:tcPr>
            <w:tcW w:w="1778" w:type="dxa"/>
            <w:vAlign w:val="center"/>
          </w:tcPr>
          <w:p>
            <w:pPr>
              <w:jc w:val="center"/>
              <w:rPr>
                <w:rFonts w:hint="eastAsia"/>
                <w:color w:val="auto"/>
                <w:kern w:val="0"/>
                <w:highlight w:val="none"/>
                <w:lang w:val="en-US" w:eastAsia="zh-CN"/>
              </w:rPr>
            </w:pPr>
            <w:r>
              <w:rPr>
                <w:rFonts w:hint="eastAsia" w:cs="宋体"/>
                <w:color w:val="auto"/>
                <w:highlight w:val="none"/>
                <w:lang w:val="en-US" w:eastAsia="zh-CN"/>
              </w:rPr>
              <w:t>1.5</w:t>
            </w:r>
          </w:p>
        </w:tc>
        <w:tc>
          <w:tcPr>
            <w:tcW w:w="1411" w:type="dxa"/>
            <w:vAlign w:val="center"/>
          </w:tcPr>
          <w:p>
            <w:pPr>
              <w:jc w:val="center"/>
              <w:rPr>
                <w:rFonts w:hint="eastAsia"/>
                <w:color w:val="auto"/>
                <w:kern w:val="0"/>
                <w:highlight w:val="none"/>
                <w:lang w:val="en-US" w:eastAsia="zh-CN"/>
              </w:rPr>
            </w:pPr>
            <w:r>
              <w:rPr>
                <w:rFonts w:hint="eastAsia" w:cs="宋体"/>
                <w:color w:val="auto"/>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158" w:type="dxa"/>
            <w:vMerge w:val="continue"/>
            <w:vAlign w:val="center"/>
          </w:tcPr>
          <w:p>
            <w:pPr>
              <w:jc w:val="center"/>
              <w:rPr>
                <w:rFonts w:ascii="Times New Roman" w:cs="Times New Roman"/>
                <w:snapToGrid w:val="0"/>
                <w:color w:val="auto"/>
                <w:kern w:val="21"/>
              </w:rPr>
            </w:pPr>
          </w:p>
        </w:tc>
        <w:tc>
          <w:tcPr>
            <w:tcW w:w="1600" w:type="dxa"/>
            <w:vAlign w:val="center"/>
          </w:tcPr>
          <w:p>
            <w:pPr>
              <w:jc w:val="center"/>
              <w:rPr>
                <w:rFonts w:hint="default" w:cs="宋体"/>
                <w:color w:val="auto"/>
                <w:highlight w:val="red"/>
                <w:lang w:val="en-US" w:eastAsia="zh-CN"/>
              </w:rPr>
            </w:pPr>
            <w:r>
              <w:rPr>
                <w:rFonts w:hint="eastAsia" w:cs="宋体"/>
                <w:color w:val="auto"/>
                <w:highlight w:val="none"/>
                <w:lang w:val="en-US" w:eastAsia="zh-CN"/>
              </w:rPr>
              <w:t>不合格品</w:t>
            </w:r>
          </w:p>
        </w:tc>
        <w:tc>
          <w:tcPr>
            <w:tcW w:w="1501" w:type="dxa"/>
            <w:vAlign w:val="center"/>
          </w:tcPr>
          <w:p>
            <w:pPr>
              <w:adjustRightInd w:val="0"/>
              <w:snapToGrid w:val="0"/>
              <w:jc w:val="center"/>
              <w:rPr>
                <w:color w:val="auto"/>
                <w:kern w:val="0"/>
                <w:highlight w:val="none"/>
              </w:rPr>
            </w:pPr>
            <w:r>
              <w:rPr>
                <w:rFonts w:hint="eastAsia"/>
                <w:color w:val="auto"/>
                <w:kern w:val="0"/>
                <w:highlight w:val="none"/>
                <w:lang w:val="en-US" w:eastAsia="zh-CN"/>
              </w:rPr>
              <w:t>/</w:t>
            </w:r>
          </w:p>
        </w:tc>
        <w:tc>
          <w:tcPr>
            <w:tcW w:w="1269" w:type="dxa"/>
            <w:vAlign w:val="center"/>
          </w:tcPr>
          <w:p>
            <w:pPr>
              <w:pStyle w:val="71"/>
              <w:spacing w:beforeLines="0" w:afterLines="0" w:line="240" w:lineRule="auto"/>
              <w:ind w:left="0" w:leftChars="0" w:firstLine="0" w:firstLineChars="0"/>
              <w:rPr>
                <w:color w:val="auto"/>
                <w:kern w:val="0"/>
                <w:highlight w:val="none"/>
              </w:rPr>
            </w:pPr>
            <w:r>
              <w:rPr>
                <w:rFonts w:hint="eastAsia" w:ascii="Times New Roman" w:cs="Times New Roman"/>
                <w:color w:val="auto"/>
                <w:highlight w:val="none"/>
                <w:lang w:val="en-US" w:eastAsia="zh-CN"/>
              </w:rPr>
              <w:t>/</w:t>
            </w:r>
          </w:p>
        </w:tc>
        <w:tc>
          <w:tcPr>
            <w:tcW w:w="1690" w:type="dxa"/>
            <w:vAlign w:val="center"/>
          </w:tcPr>
          <w:p>
            <w:pPr>
              <w:pStyle w:val="71"/>
              <w:spacing w:beforeLines="0" w:afterLines="0" w:line="240" w:lineRule="auto"/>
              <w:ind w:left="0" w:leftChars="0" w:firstLine="0" w:firstLineChars="0"/>
              <w:rPr>
                <w:color w:val="auto"/>
                <w:kern w:val="0"/>
                <w:highlight w:val="none"/>
              </w:rPr>
            </w:pPr>
            <w:r>
              <w:rPr>
                <w:rFonts w:hint="eastAsia" w:ascii="Times New Roman" w:cs="Times New Roman"/>
                <w:color w:val="auto"/>
                <w:highlight w:val="none"/>
                <w:lang w:val="en-US" w:eastAsia="zh-CN"/>
              </w:rPr>
              <w:t>/</w:t>
            </w:r>
          </w:p>
        </w:tc>
        <w:tc>
          <w:tcPr>
            <w:tcW w:w="1550" w:type="dxa"/>
            <w:vAlign w:val="center"/>
          </w:tcPr>
          <w:p>
            <w:pPr>
              <w:jc w:val="center"/>
              <w:rPr>
                <w:rFonts w:hint="eastAsia" w:ascii="Times New Roman" w:cs="宋体"/>
                <w:color w:val="auto"/>
                <w:kern w:val="2"/>
                <w:sz w:val="21"/>
                <w:szCs w:val="21"/>
                <w:highlight w:val="none"/>
                <w:lang w:val="en-US" w:eastAsia="zh-CN" w:bidi="ar-SA"/>
              </w:rPr>
            </w:pPr>
            <w:r>
              <w:rPr>
                <w:rFonts w:hint="eastAsia" w:cs="宋体"/>
                <w:color w:val="auto"/>
                <w:highlight w:val="none"/>
                <w:lang w:val="en-US" w:eastAsia="zh-CN"/>
              </w:rPr>
              <w:t>20</w:t>
            </w:r>
          </w:p>
        </w:tc>
        <w:tc>
          <w:tcPr>
            <w:tcW w:w="1758" w:type="dxa"/>
            <w:vAlign w:val="center"/>
          </w:tcPr>
          <w:p>
            <w:pPr>
              <w:spacing w:beforeLines="0" w:afterLines="0" w:line="240" w:lineRule="auto"/>
              <w:jc w:val="center"/>
              <w:rPr>
                <w:rFonts w:hint="eastAsia" w:ascii="Times New Roman" w:cs="宋体"/>
                <w:color w:val="auto"/>
                <w:kern w:val="2"/>
                <w:sz w:val="21"/>
                <w:szCs w:val="21"/>
                <w:highlight w:val="none"/>
                <w:lang w:val="en-US" w:eastAsia="zh-CN" w:bidi="ar-SA"/>
              </w:rPr>
            </w:pPr>
            <w:r>
              <w:rPr>
                <w:color w:val="auto"/>
                <w:kern w:val="0"/>
                <w:highlight w:val="none"/>
              </w:rPr>
              <w:t>/</w:t>
            </w:r>
          </w:p>
        </w:tc>
        <w:tc>
          <w:tcPr>
            <w:tcW w:w="1778" w:type="dxa"/>
            <w:vAlign w:val="center"/>
          </w:tcPr>
          <w:p>
            <w:pPr>
              <w:jc w:val="center"/>
              <w:rPr>
                <w:rFonts w:hint="eastAsia" w:ascii="Times New Roman" w:cs="宋体"/>
                <w:color w:val="auto"/>
                <w:kern w:val="2"/>
                <w:sz w:val="21"/>
                <w:szCs w:val="21"/>
                <w:highlight w:val="none"/>
                <w:lang w:val="en-US" w:eastAsia="zh-CN" w:bidi="ar-SA"/>
              </w:rPr>
            </w:pPr>
            <w:r>
              <w:rPr>
                <w:rFonts w:hint="eastAsia" w:cs="宋体"/>
                <w:color w:val="auto"/>
                <w:highlight w:val="none"/>
                <w:lang w:val="en-US" w:eastAsia="zh-CN"/>
              </w:rPr>
              <w:t>20</w:t>
            </w:r>
          </w:p>
        </w:tc>
        <w:tc>
          <w:tcPr>
            <w:tcW w:w="1411" w:type="dxa"/>
            <w:vAlign w:val="center"/>
          </w:tcPr>
          <w:p>
            <w:pPr>
              <w:jc w:val="center"/>
              <w:rPr>
                <w:rFonts w:hint="eastAsia" w:ascii="Times New Roman" w:cs="宋体"/>
                <w:color w:val="auto"/>
                <w:kern w:val="2"/>
                <w:sz w:val="21"/>
                <w:szCs w:val="21"/>
                <w:highlight w:val="none"/>
                <w:lang w:val="en-US" w:eastAsia="zh-CN" w:bidi="ar-SA"/>
              </w:rPr>
            </w:pPr>
            <w:r>
              <w:rPr>
                <w:rFonts w:hint="eastAsia" w:cs="宋体"/>
                <w:color w:val="auto"/>
                <w:highlight w:val="none"/>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158" w:type="dxa"/>
            <w:vMerge w:val="continue"/>
            <w:vAlign w:val="center"/>
          </w:tcPr>
          <w:p>
            <w:pPr>
              <w:jc w:val="center"/>
              <w:rPr>
                <w:rFonts w:ascii="Times New Roman" w:cs="Times New Roman"/>
                <w:snapToGrid w:val="0"/>
                <w:color w:val="auto"/>
                <w:kern w:val="21"/>
              </w:rPr>
            </w:pPr>
          </w:p>
        </w:tc>
        <w:tc>
          <w:tcPr>
            <w:tcW w:w="1600" w:type="dxa"/>
            <w:vAlign w:val="center"/>
          </w:tcPr>
          <w:p>
            <w:pPr>
              <w:jc w:val="center"/>
              <w:rPr>
                <w:rFonts w:hint="default" w:cs="宋体"/>
                <w:color w:val="auto"/>
                <w:highlight w:val="red"/>
                <w:lang w:val="en-US" w:eastAsia="zh-CN"/>
              </w:rPr>
            </w:pPr>
            <w:r>
              <w:rPr>
                <w:rFonts w:hint="eastAsia" w:cs="宋体"/>
                <w:color w:val="auto"/>
                <w:highlight w:val="none"/>
                <w:lang w:val="en-US" w:eastAsia="zh-CN"/>
              </w:rPr>
              <w:t>除尘器收集的粉尘</w:t>
            </w:r>
          </w:p>
        </w:tc>
        <w:tc>
          <w:tcPr>
            <w:tcW w:w="1501" w:type="dxa"/>
            <w:vAlign w:val="center"/>
          </w:tcPr>
          <w:p>
            <w:pPr>
              <w:spacing w:beforeLines="0" w:afterLines="0" w:line="240" w:lineRule="auto"/>
              <w:jc w:val="center"/>
              <w:rPr>
                <w:color w:val="auto"/>
                <w:kern w:val="0"/>
                <w:highlight w:val="none"/>
              </w:rPr>
            </w:pPr>
            <w:r>
              <w:rPr>
                <w:color w:val="auto"/>
                <w:kern w:val="0"/>
                <w:highlight w:val="none"/>
              </w:rPr>
              <w:t>/</w:t>
            </w:r>
          </w:p>
        </w:tc>
        <w:tc>
          <w:tcPr>
            <w:tcW w:w="1269" w:type="dxa"/>
            <w:vAlign w:val="center"/>
          </w:tcPr>
          <w:p>
            <w:pPr>
              <w:spacing w:beforeLines="0" w:afterLines="0" w:line="240" w:lineRule="auto"/>
              <w:jc w:val="center"/>
              <w:rPr>
                <w:color w:val="auto"/>
                <w:kern w:val="0"/>
                <w:highlight w:val="none"/>
              </w:rPr>
            </w:pPr>
            <w:r>
              <w:rPr>
                <w:color w:val="auto"/>
                <w:kern w:val="0"/>
                <w:highlight w:val="none"/>
              </w:rPr>
              <w:t>/</w:t>
            </w:r>
          </w:p>
        </w:tc>
        <w:tc>
          <w:tcPr>
            <w:tcW w:w="1690" w:type="dxa"/>
            <w:vAlign w:val="center"/>
          </w:tcPr>
          <w:p>
            <w:pPr>
              <w:spacing w:beforeLines="0" w:afterLines="0" w:line="240" w:lineRule="auto"/>
              <w:jc w:val="center"/>
              <w:rPr>
                <w:color w:val="auto"/>
                <w:kern w:val="0"/>
                <w:highlight w:val="none"/>
              </w:rPr>
            </w:pPr>
            <w:r>
              <w:rPr>
                <w:color w:val="auto"/>
                <w:kern w:val="0"/>
                <w:highlight w:val="none"/>
              </w:rPr>
              <w:t>/</w:t>
            </w:r>
          </w:p>
        </w:tc>
        <w:tc>
          <w:tcPr>
            <w:tcW w:w="1550" w:type="dxa"/>
            <w:vAlign w:val="center"/>
          </w:tcPr>
          <w:p>
            <w:pPr>
              <w:jc w:val="center"/>
              <w:rPr>
                <w:rFonts w:hint="eastAsia" w:ascii="Times New Roman" w:cs="宋体"/>
                <w:color w:val="auto"/>
                <w:kern w:val="2"/>
                <w:sz w:val="21"/>
                <w:szCs w:val="21"/>
                <w:highlight w:val="none"/>
                <w:lang w:val="en-US" w:eastAsia="zh-CN" w:bidi="ar-SA"/>
              </w:rPr>
            </w:pPr>
            <w:r>
              <w:rPr>
                <w:rFonts w:hint="eastAsia" w:cs="宋体"/>
                <w:color w:val="auto"/>
                <w:highlight w:val="none"/>
                <w:lang w:val="en-US" w:eastAsia="zh-CN"/>
              </w:rPr>
              <w:t>1.894</w:t>
            </w:r>
          </w:p>
        </w:tc>
        <w:tc>
          <w:tcPr>
            <w:tcW w:w="1758" w:type="dxa"/>
            <w:vAlign w:val="center"/>
          </w:tcPr>
          <w:p>
            <w:pPr>
              <w:spacing w:beforeLines="0" w:afterLines="0" w:line="240" w:lineRule="auto"/>
              <w:jc w:val="center"/>
              <w:rPr>
                <w:rFonts w:hint="eastAsia" w:ascii="Times New Roman" w:cs="宋体"/>
                <w:color w:val="auto"/>
                <w:kern w:val="2"/>
                <w:sz w:val="21"/>
                <w:szCs w:val="21"/>
                <w:highlight w:val="none"/>
                <w:lang w:val="en-US" w:eastAsia="zh-CN" w:bidi="ar-SA"/>
              </w:rPr>
            </w:pPr>
            <w:r>
              <w:rPr>
                <w:color w:val="auto"/>
                <w:kern w:val="0"/>
                <w:highlight w:val="none"/>
              </w:rPr>
              <w:t>/</w:t>
            </w:r>
          </w:p>
        </w:tc>
        <w:tc>
          <w:tcPr>
            <w:tcW w:w="1778" w:type="dxa"/>
            <w:vAlign w:val="center"/>
          </w:tcPr>
          <w:p>
            <w:pPr>
              <w:jc w:val="center"/>
              <w:rPr>
                <w:rFonts w:hint="eastAsia" w:ascii="Times New Roman" w:cs="宋体"/>
                <w:color w:val="auto"/>
                <w:kern w:val="2"/>
                <w:sz w:val="21"/>
                <w:szCs w:val="21"/>
                <w:highlight w:val="none"/>
                <w:lang w:val="en-US" w:eastAsia="zh-CN" w:bidi="ar-SA"/>
              </w:rPr>
            </w:pPr>
            <w:r>
              <w:rPr>
                <w:rFonts w:hint="eastAsia" w:cs="宋体"/>
                <w:color w:val="auto"/>
                <w:highlight w:val="none"/>
                <w:lang w:val="en-US" w:eastAsia="zh-CN"/>
              </w:rPr>
              <w:t>1.894</w:t>
            </w:r>
          </w:p>
        </w:tc>
        <w:tc>
          <w:tcPr>
            <w:tcW w:w="1411" w:type="dxa"/>
            <w:vAlign w:val="center"/>
          </w:tcPr>
          <w:p>
            <w:pPr>
              <w:jc w:val="center"/>
              <w:rPr>
                <w:rFonts w:hint="eastAsia" w:ascii="Times New Roman" w:cs="宋体"/>
                <w:color w:val="auto"/>
                <w:kern w:val="2"/>
                <w:sz w:val="21"/>
                <w:szCs w:val="21"/>
                <w:highlight w:val="none"/>
                <w:lang w:val="en-US" w:eastAsia="zh-CN" w:bidi="ar-SA"/>
              </w:rPr>
            </w:pPr>
            <w:r>
              <w:rPr>
                <w:rFonts w:hint="eastAsia" w:cs="宋体"/>
                <w:color w:val="auto"/>
                <w:highlight w:val="none"/>
                <w:lang w:val="en-US" w:eastAsia="zh-CN"/>
              </w:rPr>
              <w:t>+1.894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158" w:type="dxa"/>
            <w:vMerge w:val="restart"/>
            <w:vAlign w:val="center"/>
          </w:tcPr>
          <w:p>
            <w:pPr>
              <w:jc w:val="center"/>
              <w:rPr>
                <w:rFonts w:hint="eastAsia" w:ascii="Times New Roman" w:eastAsia="宋体" w:cs="Times New Roman"/>
                <w:snapToGrid w:val="0"/>
                <w:color w:val="auto"/>
                <w:kern w:val="21"/>
                <w:lang w:eastAsia="zh-CN"/>
              </w:rPr>
            </w:pPr>
            <w:r>
              <w:rPr>
                <w:rFonts w:hint="eastAsia" w:cs="Times New Roman"/>
                <w:snapToGrid w:val="0"/>
                <w:color w:val="auto"/>
                <w:kern w:val="21"/>
                <w:lang w:eastAsia="zh-CN"/>
              </w:rPr>
              <w:t>危险废物</w:t>
            </w:r>
          </w:p>
        </w:tc>
        <w:tc>
          <w:tcPr>
            <w:tcW w:w="1600"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废活性炭</w:t>
            </w:r>
          </w:p>
        </w:tc>
        <w:tc>
          <w:tcPr>
            <w:tcW w:w="1501" w:type="dxa"/>
            <w:vAlign w:val="center"/>
          </w:tcPr>
          <w:p>
            <w:pPr>
              <w:spacing w:beforeLines="0" w:afterLines="0" w:line="240" w:lineRule="auto"/>
              <w:jc w:val="center"/>
              <w:rPr>
                <w:rFonts w:hint="eastAsia"/>
                <w:color w:val="auto"/>
                <w:kern w:val="0"/>
                <w:highlight w:val="none"/>
                <w:lang w:val="en-US" w:eastAsia="zh-CN"/>
              </w:rPr>
            </w:pPr>
            <w:r>
              <w:rPr>
                <w:color w:val="auto"/>
                <w:kern w:val="0"/>
                <w:highlight w:val="none"/>
              </w:rPr>
              <w:t>/</w:t>
            </w:r>
          </w:p>
        </w:tc>
        <w:tc>
          <w:tcPr>
            <w:tcW w:w="1269" w:type="dxa"/>
            <w:vAlign w:val="center"/>
          </w:tcPr>
          <w:p>
            <w:pPr>
              <w:spacing w:beforeLines="0" w:afterLines="0" w:line="240" w:lineRule="auto"/>
              <w:jc w:val="center"/>
              <w:rPr>
                <w:rFonts w:hint="eastAsia" w:ascii="Times New Roman" w:cs="Times New Roman"/>
                <w:color w:val="auto"/>
                <w:highlight w:val="none"/>
                <w:lang w:val="en-US" w:eastAsia="zh-CN"/>
              </w:rPr>
            </w:pPr>
            <w:r>
              <w:rPr>
                <w:color w:val="auto"/>
                <w:kern w:val="0"/>
                <w:highlight w:val="none"/>
              </w:rPr>
              <w:t>/</w:t>
            </w:r>
          </w:p>
        </w:tc>
        <w:tc>
          <w:tcPr>
            <w:tcW w:w="1690" w:type="dxa"/>
            <w:vAlign w:val="center"/>
          </w:tcPr>
          <w:p>
            <w:pPr>
              <w:spacing w:beforeLines="0" w:afterLines="0" w:line="240" w:lineRule="auto"/>
              <w:jc w:val="center"/>
              <w:rPr>
                <w:rFonts w:hint="eastAsia" w:ascii="Times New Roman" w:cs="Times New Roman"/>
                <w:color w:val="auto"/>
                <w:highlight w:val="none"/>
                <w:lang w:val="en-US" w:eastAsia="zh-CN"/>
              </w:rPr>
            </w:pPr>
            <w:r>
              <w:rPr>
                <w:color w:val="auto"/>
                <w:kern w:val="0"/>
                <w:highlight w:val="none"/>
              </w:rPr>
              <w:t>/</w:t>
            </w:r>
          </w:p>
        </w:tc>
        <w:tc>
          <w:tcPr>
            <w:tcW w:w="1550"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1.6</w:t>
            </w:r>
          </w:p>
        </w:tc>
        <w:tc>
          <w:tcPr>
            <w:tcW w:w="1758" w:type="dxa"/>
            <w:vAlign w:val="center"/>
          </w:tcPr>
          <w:p>
            <w:pPr>
              <w:spacing w:beforeLines="0" w:afterLines="0" w:line="240" w:lineRule="auto"/>
              <w:jc w:val="center"/>
              <w:rPr>
                <w:color w:val="auto"/>
                <w:kern w:val="0"/>
                <w:highlight w:val="none"/>
              </w:rPr>
            </w:pPr>
            <w:r>
              <w:rPr>
                <w:color w:val="auto"/>
                <w:kern w:val="0"/>
                <w:highlight w:val="none"/>
              </w:rPr>
              <w:t>/</w:t>
            </w:r>
          </w:p>
        </w:tc>
        <w:tc>
          <w:tcPr>
            <w:tcW w:w="1778"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1.6</w:t>
            </w:r>
          </w:p>
        </w:tc>
        <w:tc>
          <w:tcPr>
            <w:tcW w:w="1411"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158" w:type="dxa"/>
            <w:vMerge w:val="continue"/>
            <w:vAlign w:val="center"/>
          </w:tcPr>
          <w:p>
            <w:pPr>
              <w:jc w:val="center"/>
              <w:rPr>
                <w:rFonts w:ascii="Times New Roman" w:cs="Times New Roman"/>
                <w:snapToGrid w:val="0"/>
                <w:color w:val="auto"/>
                <w:kern w:val="21"/>
              </w:rPr>
            </w:pPr>
          </w:p>
        </w:tc>
        <w:tc>
          <w:tcPr>
            <w:tcW w:w="1600"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废催化剂</w:t>
            </w:r>
          </w:p>
        </w:tc>
        <w:tc>
          <w:tcPr>
            <w:tcW w:w="1501" w:type="dxa"/>
            <w:vAlign w:val="center"/>
          </w:tcPr>
          <w:p>
            <w:pPr>
              <w:spacing w:beforeLines="0" w:afterLines="0" w:line="240" w:lineRule="auto"/>
              <w:jc w:val="center"/>
              <w:rPr>
                <w:rFonts w:hint="eastAsia"/>
                <w:color w:val="auto"/>
                <w:kern w:val="0"/>
                <w:highlight w:val="none"/>
                <w:lang w:val="en-US" w:eastAsia="zh-CN"/>
              </w:rPr>
            </w:pPr>
            <w:r>
              <w:rPr>
                <w:color w:val="auto"/>
                <w:kern w:val="0"/>
                <w:highlight w:val="none"/>
              </w:rPr>
              <w:t>/</w:t>
            </w:r>
          </w:p>
        </w:tc>
        <w:tc>
          <w:tcPr>
            <w:tcW w:w="1269" w:type="dxa"/>
            <w:vAlign w:val="center"/>
          </w:tcPr>
          <w:p>
            <w:pPr>
              <w:spacing w:beforeLines="0" w:afterLines="0" w:line="240" w:lineRule="auto"/>
              <w:jc w:val="center"/>
              <w:rPr>
                <w:rFonts w:hint="eastAsia" w:ascii="Times New Roman" w:cs="Times New Roman"/>
                <w:color w:val="auto"/>
                <w:highlight w:val="none"/>
                <w:lang w:val="en-US" w:eastAsia="zh-CN"/>
              </w:rPr>
            </w:pPr>
            <w:r>
              <w:rPr>
                <w:color w:val="auto"/>
                <w:kern w:val="0"/>
                <w:highlight w:val="none"/>
              </w:rPr>
              <w:t>/</w:t>
            </w:r>
          </w:p>
        </w:tc>
        <w:tc>
          <w:tcPr>
            <w:tcW w:w="1690" w:type="dxa"/>
            <w:vAlign w:val="center"/>
          </w:tcPr>
          <w:p>
            <w:pPr>
              <w:spacing w:beforeLines="0" w:afterLines="0" w:line="240" w:lineRule="auto"/>
              <w:jc w:val="center"/>
              <w:rPr>
                <w:rFonts w:hint="eastAsia" w:ascii="Times New Roman" w:cs="Times New Roman"/>
                <w:color w:val="auto"/>
                <w:highlight w:val="none"/>
                <w:lang w:val="en-US" w:eastAsia="zh-CN"/>
              </w:rPr>
            </w:pPr>
            <w:r>
              <w:rPr>
                <w:color w:val="auto"/>
                <w:kern w:val="0"/>
                <w:highlight w:val="none"/>
              </w:rPr>
              <w:t>/</w:t>
            </w:r>
          </w:p>
        </w:tc>
        <w:tc>
          <w:tcPr>
            <w:tcW w:w="1550"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0.01</w:t>
            </w:r>
          </w:p>
        </w:tc>
        <w:tc>
          <w:tcPr>
            <w:tcW w:w="1758" w:type="dxa"/>
            <w:vAlign w:val="center"/>
          </w:tcPr>
          <w:p>
            <w:pPr>
              <w:spacing w:beforeLines="0" w:afterLines="0" w:line="240" w:lineRule="auto"/>
              <w:jc w:val="center"/>
              <w:rPr>
                <w:color w:val="auto"/>
                <w:kern w:val="0"/>
                <w:highlight w:val="none"/>
              </w:rPr>
            </w:pPr>
            <w:r>
              <w:rPr>
                <w:color w:val="auto"/>
                <w:kern w:val="0"/>
                <w:highlight w:val="none"/>
              </w:rPr>
              <w:t>/</w:t>
            </w:r>
          </w:p>
        </w:tc>
        <w:tc>
          <w:tcPr>
            <w:tcW w:w="1778"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0.01</w:t>
            </w:r>
          </w:p>
        </w:tc>
        <w:tc>
          <w:tcPr>
            <w:tcW w:w="1411"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158" w:type="dxa"/>
            <w:vMerge w:val="continue"/>
            <w:vAlign w:val="center"/>
          </w:tcPr>
          <w:p>
            <w:pPr>
              <w:jc w:val="center"/>
              <w:rPr>
                <w:rFonts w:ascii="Times New Roman" w:cs="Times New Roman"/>
                <w:snapToGrid w:val="0"/>
                <w:color w:val="auto"/>
                <w:kern w:val="21"/>
              </w:rPr>
            </w:pPr>
          </w:p>
        </w:tc>
        <w:tc>
          <w:tcPr>
            <w:tcW w:w="1600"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废机油</w:t>
            </w:r>
          </w:p>
        </w:tc>
        <w:tc>
          <w:tcPr>
            <w:tcW w:w="1501" w:type="dxa"/>
            <w:vAlign w:val="center"/>
          </w:tcPr>
          <w:p>
            <w:pPr>
              <w:spacing w:beforeLines="0" w:afterLines="0" w:line="240" w:lineRule="auto"/>
              <w:jc w:val="center"/>
              <w:rPr>
                <w:rFonts w:hint="eastAsia"/>
                <w:color w:val="auto"/>
                <w:kern w:val="0"/>
                <w:highlight w:val="none"/>
                <w:lang w:val="en-US" w:eastAsia="zh-CN"/>
              </w:rPr>
            </w:pPr>
            <w:r>
              <w:rPr>
                <w:color w:val="auto"/>
                <w:kern w:val="0"/>
                <w:highlight w:val="none"/>
              </w:rPr>
              <w:t>/</w:t>
            </w:r>
          </w:p>
        </w:tc>
        <w:tc>
          <w:tcPr>
            <w:tcW w:w="1269" w:type="dxa"/>
            <w:vAlign w:val="center"/>
          </w:tcPr>
          <w:p>
            <w:pPr>
              <w:spacing w:beforeLines="0" w:afterLines="0" w:line="240" w:lineRule="auto"/>
              <w:jc w:val="center"/>
              <w:rPr>
                <w:rFonts w:hint="eastAsia" w:ascii="Times New Roman" w:cs="Times New Roman"/>
                <w:color w:val="auto"/>
                <w:highlight w:val="none"/>
                <w:lang w:val="en-US" w:eastAsia="zh-CN"/>
              </w:rPr>
            </w:pPr>
            <w:r>
              <w:rPr>
                <w:color w:val="auto"/>
                <w:kern w:val="0"/>
                <w:highlight w:val="none"/>
              </w:rPr>
              <w:t>/</w:t>
            </w:r>
          </w:p>
        </w:tc>
        <w:tc>
          <w:tcPr>
            <w:tcW w:w="1690" w:type="dxa"/>
            <w:vAlign w:val="center"/>
          </w:tcPr>
          <w:p>
            <w:pPr>
              <w:spacing w:beforeLines="0" w:afterLines="0" w:line="240" w:lineRule="auto"/>
              <w:jc w:val="center"/>
              <w:rPr>
                <w:rFonts w:hint="eastAsia" w:ascii="Times New Roman" w:cs="Times New Roman"/>
                <w:color w:val="auto"/>
                <w:highlight w:val="none"/>
                <w:lang w:val="en-US" w:eastAsia="zh-CN"/>
              </w:rPr>
            </w:pPr>
            <w:r>
              <w:rPr>
                <w:color w:val="auto"/>
                <w:kern w:val="0"/>
                <w:highlight w:val="none"/>
              </w:rPr>
              <w:t>/</w:t>
            </w:r>
          </w:p>
        </w:tc>
        <w:tc>
          <w:tcPr>
            <w:tcW w:w="1550"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0.02</w:t>
            </w:r>
          </w:p>
        </w:tc>
        <w:tc>
          <w:tcPr>
            <w:tcW w:w="1758" w:type="dxa"/>
            <w:vAlign w:val="center"/>
          </w:tcPr>
          <w:p>
            <w:pPr>
              <w:spacing w:beforeLines="0" w:afterLines="0" w:line="240" w:lineRule="auto"/>
              <w:jc w:val="center"/>
              <w:rPr>
                <w:color w:val="auto"/>
                <w:kern w:val="0"/>
                <w:highlight w:val="none"/>
              </w:rPr>
            </w:pPr>
            <w:r>
              <w:rPr>
                <w:color w:val="auto"/>
                <w:kern w:val="0"/>
                <w:highlight w:val="none"/>
              </w:rPr>
              <w:t>/</w:t>
            </w:r>
          </w:p>
        </w:tc>
        <w:tc>
          <w:tcPr>
            <w:tcW w:w="1778"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0.02</w:t>
            </w:r>
          </w:p>
        </w:tc>
        <w:tc>
          <w:tcPr>
            <w:tcW w:w="1411"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158" w:type="dxa"/>
            <w:vMerge w:val="continue"/>
            <w:vAlign w:val="center"/>
          </w:tcPr>
          <w:p>
            <w:pPr>
              <w:jc w:val="center"/>
              <w:rPr>
                <w:rFonts w:ascii="Times New Roman" w:cs="Times New Roman"/>
                <w:snapToGrid w:val="0"/>
                <w:color w:val="auto"/>
                <w:kern w:val="21"/>
              </w:rPr>
            </w:pPr>
          </w:p>
        </w:tc>
        <w:tc>
          <w:tcPr>
            <w:tcW w:w="1600"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废切削液</w:t>
            </w:r>
          </w:p>
        </w:tc>
        <w:tc>
          <w:tcPr>
            <w:tcW w:w="1501" w:type="dxa"/>
            <w:vAlign w:val="center"/>
          </w:tcPr>
          <w:p>
            <w:pPr>
              <w:spacing w:beforeLines="0" w:afterLines="0" w:line="240" w:lineRule="auto"/>
              <w:jc w:val="center"/>
              <w:rPr>
                <w:rFonts w:hint="eastAsia"/>
                <w:color w:val="auto"/>
                <w:kern w:val="0"/>
                <w:highlight w:val="none"/>
                <w:lang w:val="en-US" w:eastAsia="zh-CN"/>
              </w:rPr>
            </w:pPr>
            <w:r>
              <w:rPr>
                <w:color w:val="auto"/>
                <w:kern w:val="0"/>
                <w:highlight w:val="none"/>
              </w:rPr>
              <w:t>/</w:t>
            </w:r>
          </w:p>
        </w:tc>
        <w:tc>
          <w:tcPr>
            <w:tcW w:w="1269" w:type="dxa"/>
            <w:vAlign w:val="center"/>
          </w:tcPr>
          <w:p>
            <w:pPr>
              <w:spacing w:beforeLines="0" w:afterLines="0" w:line="240" w:lineRule="auto"/>
              <w:jc w:val="center"/>
              <w:rPr>
                <w:rFonts w:hint="eastAsia" w:ascii="Times New Roman" w:cs="Times New Roman"/>
                <w:color w:val="auto"/>
                <w:highlight w:val="none"/>
                <w:lang w:val="en-US" w:eastAsia="zh-CN"/>
              </w:rPr>
            </w:pPr>
            <w:r>
              <w:rPr>
                <w:color w:val="auto"/>
                <w:kern w:val="0"/>
                <w:highlight w:val="none"/>
              </w:rPr>
              <w:t>/</w:t>
            </w:r>
          </w:p>
        </w:tc>
        <w:tc>
          <w:tcPr>
            <w:tcW w:w="1690" w:type="dxa"/>
            <w:vAlign w:val="center"/>
          </w:tcPr>
          <w:p>
            <w:pPr>
              <w:spacing w:beforeLines="0" w:afterLines="0" w:line="240" w:lineRule="auto"/>
              <w:jc w:val="center"/>
              <w:rPr>
                <w:rFonts w:hint="eastAsia" w:ascii="Times New Roman" w:cs="Times New Roman"/>
                <w:color w:val="auto"/>
                <w:highlight w:val="none"/>
                <w:lang w:val="en-US" w:eastAsia="zh-CN"/>
              </w:rPr>
            </w:pPr>
            <w:r>
              <w:rPr>
                <w:color w:val="auto"/>
                <w:kern w:val="0"/>
                <w:highlight w:val="none"/>
              </w:rPr>
              <w:t>/</w:t>
            </w:r>
          </w:p>
        </w:tc>
        <w:tc>
          <w:tcPr>
            <w:tcW w:w="1550"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0.02</w:t>
            </w:r>
          </w:p>
        </w:tc>
        <w:tc>
          <w:tcPr>
            <w:tcW w:w="1758" w:type="dxa"/>
            <w:vAlign w:val="center"/>
          </w:tcPr>
          <w:p>
            <w:pPr>
              <w:spacing w:beforeLines="0" w:afterLines="0" w:line="240" w:lineRule="auto"/>
              <w:jc w:val="center"/>
              <w:rPr>
                <w:color w:val="auto"/>
                <w:kern w:val="0"/>
                <w:highlight w:val="none"/>
              </w:rPr>
            </w:pPr>
            <w:r>
              <w:rPr>
                <w:color w:val="auto"/>
                <w:kern w:val="0"/>
                <w:highlight w:val="none"/>
              </w:rPr>
              <w:t>/</w:t>
            </w:r>
          </w:p>
        </w:tc>
        <w:tc>
          <w:tcPr>
            <w:tcW w:w="1778"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0.02</w:t>
            </w:r>
          </w:p>
        </w:tc>
        <w:tc>
          <w:tcPr>
            <w:tcW w:w="1411"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158" w:type="dxa"/>
            <w:vMerge w:val="continue"/>
            <w:vAlign w:val="center"/>
          </w:tcPr>
          <w:p>
            <w:pPr>
              <w:jc w:val="center"/>
              <w:rPr>
                <w:rFonts w:ascii="Times New Roman" w:cs="Times New Roman"/>
                <w:snapToGrid w:val="0"/>
                <w:color w:val="auto"/>
                <w:kern w:val="21"/>
              </w:rPr>
            </w:pPr>
          </w:p>
        </w:tc>
        <w:tc>
          <w:tcPr>
            <w:tcW w:w="1600"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废油桶</w:t>
            </w:r>
          </w:p>
        </w:tc>
        <w:tc>
          <w:tcPr>
            <w:tcW w:w="1501" w:type="dxa"/>
            <w:vAlign w:val="center"/>
          </w:tcPr>
          <w:p>
            <w:pPr>
              <w:spacing w:beforeLines="0" w:afterLines="0" w:line="240" w:lineRule="auto"/>
              <w:jc w:val="center"/>
              <w:rPr>
                <w:rFonts w:hint="eastAsia"/>
                <w:color w:val="auto"/>
                <w:kern w:val="0"/>
                <w:highlight w:val="none"/>
                <w:lang w:val="en-US" w:eastAsia="zh-CN"/>
              </w:rPr>
            </w:pPr>
            <w:r>
              <w:rPr>
                <w:color w:val="auto"/>
                <w:kern w:val="0"/>
                <w:highlight w:val="none"/>
              </w:rPr>
              <w:t>/</w:t>
            </w:r>
          </w:p>
        </w:tc>
        <w:tc>
          <w:tcPr>
            <w:tcW w:w="1269" w:type="dxa"/>
            <w:vAlign w:val="center"/>
          </w:tcPr>
          <w:p>
            <w:pPr>
              <w:spacing w:beforeLines="0" w:afterLines="0" w:line="240" w:lineRule="auto"/>
              <w:jc w:val="center"/>
              <w:rPr>
                <w:rFonts w:hint="eastAsia" w:ascii="Times New Roman" w:cs="Times New Roman"/>
                <w:color w:val="auto"/>
                <w:highlight w:val="none"/>
                <w:lang w:val="en-US" w:eastAsia="zh-CN"/>
              </w:rPr>
            </w:pPr>
            <w:r>
              <w:rPr>
                <w:color w:val="auto"/>
                <w:kern w:val="0"/>
                <w:highlight w:val="none"/>
              </w:rPr>
              <w:t>/</w:t>
            </w:r>
          </w:p>
        </w:tc>
        <w:tc>
          <w:tcPr>
            <w:tcW w:w="1690" w:type="dxa"/>
            <w:vAlign w:val="center"/>
          </w:tcPr>
          <w:p>
            <w:pPr>
              <w:spacing w:beforeLines="0" w:afterLines="0" w:line="240" w:lineRule="auto"/>
              <w:jc w:val="center"/>
              <w:rPr>
                <w:rFonts w:hint="eastAsia" w:ascii="Times New Roman" w:cs="Times New Roman"/>
                <w:color w:val="auto"/>
                <w:highlight w:val="none"/>
                <w:lang w:val="en-US" w:eastAsia="zh-CN"/>
              </w:rPr>
            </w:pPr>
            <w:r>
              <w:rPr>
                <w:color w:val="auto"/>
                <w:kern w:val="0"/>
                <w:highlight w:val="none"/>
              </w:rPr>
              <w:t>/</w:t>
            </w:r>
          </w:p>
        </w:tc>
        <w:tc>
          <w:tcPr>
            <w:tcW w:w="1550"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0.01</w:t>
            </w:r>
          </w:p>
        </w:tc>
        <w:tc>
          <w:tcPr>
            <w:tcW w:w="1758" w:type="dxa"/>
            <w:vAlign w:val="center"/>
          </w:tcPr>
          <w:p>
            <w:pPr>
              <w:spacing w:beforeLines="0" w:afterLines="0" w:line="240" w:lineRule="auto"/>
              <w:jc w:val="center"/>
              <w:rPr>
                <w:color w:val="auto"/>
                <w:kern w:val="0"/>
                <w:highlight w:val="none"/>
              </w:rPr>
            </w:pPr>
            <w:r>
              <w:rPr>
                <w:color w:val="auto"/>
                <w:kern w:val="0"/>
                <w:highlight w:val="none"/>
              </w:rPr>
              <w:t>/</w:t>
            </w:r>
          </w:p>
        </w:tc>
        <w:tc>
          <w:tcPr>
            <w:tcW w:w="1778"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0.01</w:t>
            </w:r>
          </w:p>
        </w:tc>
        <w:tc>
          <w:tcPr>
            <w:tcW w:w="1411"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158" w:type="dxa"/>
            <w:vMerge w:val="continue"/>
            <w:vAlign w:val="center"/>
          </w:tcPr>
          <w:p>
            <w:pPr>
              <w:jc w:val="center"/>
              <w:rPr>
                <w:rFonts w:ascii="Times New Roman" w:cs="Times New Roman"/>
                <w:snapToGrid w:val="0"/>
                <w:color w:val="auto"/>
                <w:kern w:val="21"/>
              </w:rPr>
            </w:pPr>
          </w:p>
        </w:tc>
        <w:tc>
          <w:tcPr>
            <w:tcW w:w="1600"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废含油抹布</w:t>
            </w:r>
          </w:p>
        </w:tc>
        <w:tc>
          <w:tcPr>
            <w:tcW w:w="1501" w:type="dxa"/>
            <w:vAlign w:val="center"/>
          </w:tcPr>
          <w:p>
            <w:pPr>
              <w:spacing w:beforeLines="0" w:afterLines="0" w:line="240" w:lineRule="auto"/>
              <w:jc w:val="center"/>
              <w:rPr>
                <w:rFonts w:hint="eastAsia"/>
                <w:color w:val="auto"/>
                <w:kern w:val="0"/>
                <w:highlight w:val="none"/>
                <w:lang w:val="en-US" w:eastAsia="zh-CN"/>
              </w:rPr>
            </w:pPr>
            <w:r>
              <w:rPr>
                <w:color w:val="auto"/>
                <w:kern w:val="0"/>
                <w:highlight w:val="none"/>
              </w:rPr>
              <w:t>/</w:t>
            </w:r>
          </w:p>
        </w:tc>
        <w:tc>
          <w:tcPr>
            <w:tcW w:w="1269" w:type="dxa"/>
            <w:vAlign w:val="center"/>
          </w:tcPr>
          <w:p>
            <w:pPr>
              <w:spacing w:beforeLines="0" w:afterLines="0" w:line="240" w:lineRule="auto"/>
              <w:jc w:val="center"/>
              <w:rPr>
                <w:rFonts w:hint="eastAsia" w:ascii="Times New Roman" w:cs="Times New Roman"/>
                <w:color w:val="auto"/>
                <w:highlight w:val="none"/>
                <w:lang w:val="en-US" w:eastAsia="zh-CN"/>
              </w:rPr>
            </w:pPr>
            <w:r>
              <w:rPr>
                <w:color w:val="auto"/>
                <w:kern w:val="0"/>
                <w:highlight w:val="none"/>
              </w:rPr>
              <w:t>/</w:t>
            </w:r>
          </w:p>
        </w:tc>
        <w:tc>
          <w:tcPr>
            <w:tcW w:w="1690" w:type="dxa"/>
            <w:vAlign w:val="center"/>
          </w:tcPr>
          <w:p>
            <w:pPr>
              <w:spacing w:beforeLines="0" w:afterLines="0" w:line="240" w:lineRule="auto"/>
              <w:jc w:val="center"/>
              <w:rPr>
                <w:rFonts w:hint="eastAsia" w:ascii="Times New Roman" w:cs="Times New Roman"/>
                <w:color w:val="auto"/>
                <w:highlight w:val="none"/>
                <w:lang w:val="en-US" w:eastAsia="zh-CN"/>
              </w:rPr>
            </w:pPr>
            <w:r>
              <w:rPr>
                <w:color w:val="auto"/>
                <w:kern w:val="0"/>
                <w:highlight w:val="none"/>
              </w:rPr>
              <w:t>/</w:t>
            </w:r>
          </w:p>
        </w:tc>
        <w:tc>
          <w:tcPr>
            <w:tcW w:w="1550"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0.01</w:t>
            </w:r>
          </w:p>
        </w:tc>
        <w:tc>
          <w:tcPr>
            <w:tcW w:w="1758" w:type="dxa"/>
            <w:vAlign w:val="center"/>
          </w:tcPr>
          <w:p>
            <w:pPr>
              <w:spacing w:beforeLines="0" w:afterLines="0" w:line="240" w:lineRule="auto"/>
              <w:jc w:val="center"/>
              <w:rPr>
                <w:color w:val="auto"/>
                <w:kern w:val="0"/>
                <w:highlight w:val="none"/>
              </w:rPr>
            </w:pPr>
            <w:r>
              <w:rPr>
                <w:color w:val="auto"/>
                <w:kern w:val="0"/>
                <w:highlight w:val="none"/>
              </w:rPr>
              <w:t>/</w:t>
            </w:r>
          </w:p>
        </w:tc>
        <w:tc>
          <w:tcPr>
            <w:tcW w:w="1778"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0.01</w:t>
            </w:r>
          </w:p>
        </w:tc>
        <w:tc>
          <w:tcPr>
            <w:tcW w:w="1411" w:type="dxa"/>
            <w:vAlign w:val="center"/>
          </w:tcPr>
          <w:p>
            <w:pPr>
              <w:jc w:val="center"/>
              <w:rPr>
                <w:rFonts w:hint="eastAsia" w:cs="宋体"/>
                <w:color w:val="auto"/>
                <w:highlight w:val="none"/>
                <w:lang w:val="en-US" w:eastAsia="zh-CN"/>
              </w:rPr>
            </w:pPr>
            <w:r>
              <w:rPr>
                <w:rFonts w:hint="eastAsia" w:cs="宋体"/>
                <w:color w:val="auto"/>
                <w:highlight w:val="none"/>
                <w:lang w:val="en-US" w:eastAsia="zh-CN"/>
              </w:rPr>
              <w:t>+0.01</w:t>
            </w:r>
          </w:p>
        </w:tc>
      </w:tr>
    </w:tbl>
    <w:p>
      <w:pPr>
        <w:pStyle w:val="71"/>
        <w:keepNext w:val="0"/>
        <w:keepLines w:val="0"/>
        <w:pageBreakBefore w:val="0"/>
        <w:widowControl w:val="0"/>
        <w:kinsoku/>
        <w:wordWrap/>
        <w:overflowPunct/>
        <w:topLinePunct w:val="0"/>
        <w:autoSpaceDE/>
        <w:autoSpaceDN/>
        <w:bidi w:val="0"/>
        <w:adjustRightInd w:val="0"/>
        <w:snapToGrid w:val="0"/>
        <w:spacing w:before="180" w:beforeLines="0" w:afterLines="0" w:line="240" w:lineRule="auto"/>
        <w:jc w:val="left"/>
        <w:textAlignment w:val="auto"/>
        <w:rPr>
          <w:rFonts w:hint="eastAsia" w:hAnsi="宋体" w:eastAsia="宋体"/>
          <w:snapToGrid w:val="0"/>
          <w:color w:val="auto"/>
          <w:spacing w:val="-6"/>
          <w:kern w:val="21"/>
          <w:lang w:eastAsia="zh-CN"/>
        </w:rPr>
      </w:pPr>
      <w:r>
        <w:rPr>
          <w:rFonts w:hint="eastAsia" w:hAnsi="宋体"/>
          <w:snapToGrid w:val="0"/>
          <w:color w:val="auto"/>
          <w:kern w:val="21"/>
        </w:rPr>
        <w:t>注：</w:t>
      </w:r>
      <w:r>
        <w:rPr>
          <w:rFonts w:hAnsi="宋体"/>
          <w:snapToGrid w:val="0"/>
          <w:color w:val="auto"/>
          <w:spacing w:val="-16"/>
          <w:kern w:val="21"/>
        </w:rPr>
        <w:fldChar w:fldCharType="begin"/>
      </w:r>
      <w:r>
        <w:rPr>
          <w:rFonts w:hAnsi="宋体"/>
          <w:snapToGrid w:val="0"/>
          <w:color w:val="auto"/>
          <w:spacing w:val="-16"/>
          <w:kern w:val="21"/>
        </w:rPr>
        <w:instrText xml:space="preserve"> = 6 \* GB3 \* MERGEFORMAT </w:instrText>
      </w:r>
      <w:r>
        <w:rPr>
          <w:rFonts w:hAnsi="宋体"/>
          <w:snapToGrid w:val="0"/>
          <w:color w:val="auto"/>
          <w:spacing w:val="-16"/>
          <w:kern w:val="21"/>
        </w:rPr>
        <w:fldChar w:fldCharType="separate"/>
      </w:r>
      <w:r>
        <w:rPr>
          <w:rFonts w:hint="eastAsia" w:hAnsi="宋体"/>
          <w:color w:val="auto"/>
        </w:rPr>
        <w:t>⑥</w:t>
      </w:r>
      <w:r>
        <w:rPr>
          <w:rFonts w:hAnsi="宋体"/>
          <w:snapToGrid w:val="0"/>
          <w:color w:val="auto"/>
          <w:spacing w:val="-16"/>
          <w:kern w:val="21"/>
        </w:rPr>
        <w:fldChar w:fldCharType="end"/>
      </w:r>
      <w:r>
        <w:rPr>
          <w:rFonts w:hAnsi="宋体"/>
          <w:snapToGrid w:val="0"/>
          <w:color w:val="auto"/>
          <w:spacing w:val="-16"/>
          <w:kern w:val="21"/>
        </w:rPr>
        <w:t>=</w:t>
      </w:r>
      <w:r>
        <w:rPr>
          <w:rFonts w:hAnsi="宋体"/>
          <w:snapToGrid w:val="0"/>
          <w:color w:val="auto"/>
          <w:spacing w:val="-6"/>
          <w:kern w:val="21"/>
        </w:rPr>
        <w:fldChar w:fldCharType="begin"/>
      </w:r>
      <w:r>
        <w:rPr>
          <w:rFonts w:hAnsi="宋体"/>
          <w:snapToGrid w:val="0"/>
          <w:color w:val="auto"/>
          <w:spacing w:val="-6"/>
          <w:kern w:val="21"/>
        </w:rPr>
        <w:instrText xml:space="preserve"> = 1 \* GB3 \* MERGEFORMAT </w:instrText>
      </w:r>
      <w:r>
        <w:rPr>
          <w:rFonts w:hAnsi="宋体"/>
          <w:snapToGrid w:val="0"/>
          <w:color w:val="auto"/>
          <w:spacing w:val="-6"/>
          <w:kern w:val="21"/>
        </w:rPr>
        <w:fldChar w:fldCharType="separate"/>
      </w:r>
      <w:r>
        <w:rPr>
          <w:rFonts w:hint="eastAsia" w:hAnsi="宋体"/>
          <w:color w:val="auto"/>
        </w:rPr>
        <w:t>①</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6"/>
          <w:kern w:val="21"/>
        </w:rPr>
        <w:fldChar w:fldCharType="begin"/>
      </w:r>
      <w:r>
        <w:rPr>
          <w:rFonts w:hAnsi="宋体"/>
          <w:snapToGrid w:val="0"/>
          <w:color w:val="auto"/>
          <w:spacing w:val="-6"/>
          <w:kern w:val="21"/>
        </w:rPr>
        <w:instrText xml:space="preserve"> = 3 \* GB3 \* MERGEFORMAT </w:instrText>
      </w:r>
      <w:r>
        <w:rPr>
          <w:rFonts w:hAnsi="宋体"/>
          <w:snapToGrid w:val="0"/>
          <w:color w:val="auto"/>
          <w:spacing w:val="-6"/>
          <w:kern w:val="21"/>
        </w:rPr>
        <w:fldChar w:fldCharType="separate"/>
      </w:r>
      <w:r>
        <w:rPr>
          <w:rFonts w:hint="eastAsia" w:hAnsi="宋体"/>
          <w:color w:val="auto"/>
        </w:rPr>
        <w:t>③</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6"/>
          <w:kern w:val="21"/>
        </w:rPr>
        <w:fldChar w:fldCharType="begin"/>
      </w:r>
      <w:r>
        <w:rPr>
          <w:rFonts w:hAnsi="宋体"/>
          <w:snapToGrid w:val="0"/>
          <w:color w:val="auto"/>
          <w:spacing w:val="-6"/>
          <w:kern w:val="21"/>
        </w:rPr>
        <w:instrText xml:space="preserve"> = 4 \* GB3 \* MERGEFORMAT </w:instrText>
      </w:r>
      <w:r>
        <w:rPr>
          <w:rFonts w:hAnsi="宋体"/>
          <w:snapToGrid w:val="0"/>
          <w:color w:val="auto"/>
          <w:spacing w:val="-6"/>
          <w:kern w:val="21"/>
        </w:rPr>
        <w:fldChar w:fldCharType="separate"/>
      </w:r>
      <w:r>
        <w:rPr>
          <w:rFonts w:hint="eastAsia" w:hAnsi="宋体"/>
          <w:color w:val="auto"/>
        </w:rPr>
        <w:t>④</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16"/>
          <w:kern w:val="21"/>
        </w:rPr>
        <w:fldChar w:fldCharType="begin"/>
      </w:r>
      <w:r>
        <w:rPr>
          <w:rFonts w:hAnsi="宋体"/>
          <w:snapToGrid w:val="0"/>
          <w:color w:val="auto"/>
          <w:spacing w:val="-16"/>
          <w:kern w:val="21"/>
        </w:rPr>
        <w:instrText xml:space="preserve"> = 5 \* GB3 \* MERGEFORMAT </w:instrText>
      </w:r>
      <w:r>
        <w:rPr>
          <w:rFonts w:hAnsi="宋体"/>
          <w:snapToGrid w:val="0"/>
          <w:color w:val="auto"/>
          <w:spacing w:val="-16"/>
          <w:kern w:val="21"/>
        </w:rPr>
        <w:fldChar w:fldCharType="separate"/>
      </w:r>
      <w:r>
        <w:rPr>
          <w:rFonts w:hint="eastAsia" w:hAnsi="宋体"/>
          <w:color w:val="auto"/>
        </w:rPr>
        <w:t>⑤</w:t>
      </w:r>
      <w:r>
        <w:rPr>
          <w:rFonts w:hAnsi="宋体"/>
          <w:snapToGrid w:val="0"/>
          <w:color w:val="auto"/>
          <w:spacing w:val="-16"/>
          <w:kern w:val="21"/>
        </w:rPr>
        <w:fldChar w:fldCharType="end"/>
      </w:r>
      <w:r>
        <w:rPr>
          <w:rFonts w:hint="eastAsia" w:hAnsi="宋体"/>
          <w:snapToGrid w:val="0"/>
          <w:color w:val="auto"/>
          <w:spacing w:val="-16"/>
          <w:kern w:val="21"/>
        </w:rPr>
        <w:t>；</w:t>
      </w:r>
      <w:r>
        <w:rPr>
          <w:rFonts w:hAnsi="宋体"/>
          <w:snapToGrid w:val="0"/>
          <w:color w:val="auto"/>
          <w:spacing w:val="-6"/>
          <w:kern w:val="21"/>
        </w:rPr>
        <w:fldChar w:fldCharType="begin"/>
      </w:r>
      <w:r>
        <w:rPr>
          <w:rFonts w:hAnsi="宋体"/>
          <w:snapToGrid w:val="0"/>
          <w:color w:val="auto"/>
          <w:spacing w:val="-6"/>
          <w:kern w:val="21"/>
        </w:rPr>
        <w:instrText xml:space="preserve"> = 7 \* GB3 \* MERGEFORMAT </w:instrText>
      </w:r>
      <w:r>
        <w:rPr>
          <w:rFonts w:hAnsi="宋体"/>
          <w:snapToGrid w:val="0"/>
          <w:color w:val="auto"/>
          <w:spacing w:val="-6"/>
          <w:kern w:val="21"/>
        </w:rPr>
        <w:fldChar w:fldCharType="separate"/>
      </w:r>
      <w:r>
        <w:rPr>
          <w:rFonts w:hint="eastAsia" w:hAnsi="宋体"/>
          <w:color w:val="auto"/>
        </w:rPr>
        <w:t>⑦</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16"/>
          <w:kern w:val="21"/>
        </w:rPr>
        <w:fldChar w:fldCharType="begin"/>
      </w:r>
      <w:r>
        <w:rPr>
          <w:rFonts w:hAnsi="宋体"/>
          <w:snapToGrid w:val="0"/>
          <w:color w:val="auto"/>
          <w:spacing w:val="-16"/>
          <w:kern w:val="21"/>
        </w:rPr>
        <w:instrText xml:space="preserve"> = 6 \* GB3 \* MERGEFORMAT </w:instrText>
      </w:r>
      <w:r>
        <w:rPr>
          <w:rFonts w:hAnsi="宋体"/>
          <w:snapToGrid w:val="0"/>
          <w:color w:val="auto"/>
          <w:spacing w:val="-16"/>
          <w:kern w:val="21"/>
        </w:rPr>
        <w:fldChar w:fldCharType="separate"/>
      </w:r>
      <w:r>
        <w:rPr>
          <w:rFonts w:hint="eastAsia" w:hAnsi="宋体"/>
          <w:color w:val="auto"/>
        </w:rPr>
        <w:t>⑥</w:t>
      </w:r>
      <w:r>
        <w:rPr>
          <w:rFonts w:hAnsi="宋体"/>
          <w:snapToGrid w:val="0"/>
          <w:color w:val="auto"/>
          <w:spacing w:val="-16"/>
          <w:kern w:val="21"/>
        </w:rPr>
        <w:fldChar w:fldCharType="end"/>
      </w:r>
      <w:r>
        <w:rPr>
          <w:rFonts w:hAnsi="宋体"/>
          <w:snapToGrid w:val="0"/>
          <w:color w:val="auto"/>
          <w:spacing w:val="-16"/>
          <w:kern w:val="21"/>
        </w:rPr>
        <w:t>-</w:t>
      </w:r>
      <w:r>
        <w:rPr>
          <w:rFonts w:hAnsi="宋体"/>
          <w:snapToGrid w:val="0"/>
          <w:color w:val="auto"/>
          <w:spacing w:val="-6"/>
          <w:kern w:val="21"/>
        </w:rPr>
        <w:fldChar w:fldCharType="begin"/>
      </w:r>
      <w:r>
        <w:rPr>
          <w:rFonts w:hAnsi="宋体"/>
          <w:snapToGrid w:val="0"/>
          <w:color w:val="auto"/>
          <w:spacing w:val="-6"/>
          <w:kern w:val="21"/>
        </w:rPr>
        <w:instrText xml:space="preserve"> = 1 \* GB3 \* MERGEFORMAT </w:instrText>
      </w:r>
      <w:r>
        <w:rPr>
          <w:rFonts w:hAnsi="宋体"/>
          <w:snapToGrid w:val="0"/>
          <w:color w:val="auto"/>
          <w:spacing w:val="-6"/>
          <w:kern w:val="21"/>
        </w:rPr>
        <w:fldChar w:fldCharType="separate"/>
      </w:r>
      <w:r>
        <w:rPr>
          <w:rFonts w:hint="eastAsia" w:hAnsi="宋体"/>
          <w:color w:val="auto"/>
        </w:rPr>
        <w:t>①</w:t>
      </w:r>
      <w:r>
        <w:rPr>
          <w:rFonts w:hAnsi="宋体"/>
          <w:snapToGrid w:val="0"/>
          <w:color w:val="auto"/>
          <w:spacing w:val="-6"/>
          <w:kern w:val="21"/>
        </w:rPr>
        <w:fldChar w:fldCharType="end"/>
      </w:r>
    </w:p>
    <w:p>
      <w:pPr>
        <w:rPr>
          <w:rFonts w:hint="eastAsia"/>
          <w:color w:val="auto"/>
          <w:lang w:eastAsia="zh-CN"/>
        </w:rPr>
      </w:pPr>
    </w:p>
    <w:p>
      <w:pPr>
        <w:rPr>
          <w:rFonts w:hint="eastAsia"/>
          <w:color w:val="auto"/>
          <w:lang w:eastAsia="zh-CN"/>
        </w:rPr>
      </w:pPr>
    </w:p>
    <w:p>
      <w:pPr>
        <w:pStyle w:val="71"/>
        <w:spacing w:beforeLines="0" w:afterLines="0" w:line="240" w:lineRule="auto"/>
        <w:jc w:val="left"/>
        <w:rPr>
          <w:rFonts w:cs="Times New Roman"/>
          <w:color w:val="auto"/>
        </w:rPr>
      </w:pPr>
    </w:p>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Brush Script MT">
    <w:altName w:val="Mongolian Baiti"/>
    <w:panose1 w:val="03060802040406070304"/>
    <w:charset w:val="00"/>
    <w:family w:val="script"/>
    <w:pitch w:val="default"/>
    <w:sig w:usb0="00000000" w:usb1="00000000" w:usb2="00000000" w:usb3="00000000" w:csb0="20000001"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4"/>
                            <w:rPr>
                              <w:rStyle w:val="40"/>
                              <w:rFonts w:ascii="宋体"/>
                              <w:sz w:val="28"/>
                              <w:szCs w:val="28"/>
                            </w:rPr>
                          </w:pPr>
                          <w:r>
                            <w:rPr>
                              <w:rStyle w:val="40"/>
                              <w:rFonts w:ascii="宋体" w:hAnsi="宋体" w:cs="宋体"/>
                              <w:sz w:val="28"/>
                              <w:szCs w:val="28"/>
                            </w:rPr>
                            <w:t>—</w:t>
                          </w:r>
                          <w:r>
                            <w:rPr>
                              <w:rStyle w:val="40"/>
                              <w:rFonts w:ascii="宋体" w:hAnsi="宋体" w:cs="宋体"/>
                              <w:sz w:val="26"/>
                              <w:szCs w:val="26"/>
                            </w:rPr>
                            <w:fldChar w:fldCharType="begin"/>
                          </w:r>
                          <w:r>
                            <w:rPr>
                              <w:rStyle w:val="40"/>
                              <w:rFonts w:ascii="宋体" w:hAnsi="宋体" w:cs="宋体"/>
                              <w:sz w:val="26"/>
                              <w:szCs w:val="26"/>
                            </w:rPr>
                            <w:instrText xml:space="preserve">PAGE  </w:instrText>
                          </w:r>
                          <w:r>
                            <w:rPr>
                              <w:rStyle w:val="40"/>
                              <w:rFonts w:ascii="宋体" w:hAnsi="宋体" w:cs="宋体"/>
                              <w:sz w:val="26"/>
                              <w:szCs w:val="26"/>
                            </w:rPr>
                            <w:fldChar w:fldCharType="separate"/>
                          </w:r>
                          <w:r>
                            <w:rPr>
                              <w:rStyle w:val="40"/>
                              <w:rFonts w:ascii="宋体" w:hAnsi="宋体" w:cs="宋体"/>
                              <w:sz w:val="26"/>
                              <w:szCs w:val="26"/>
                            </w:rPr>
                            <w:t>20</w:t>
                          </w:r>
                          <w:r>
                            <w:rPr>
                              <w:rStyle w:val="40"/>
                              <w:rFonts w:ascii="宋体" w:hAnsi="宋体" w:cs="宋体"/>
                              <w:sz w:val="26"/>
                              <w:szCs w:val="26"/>
                            </w:rPr>
                            <w:fldChar w:fldCharType="end"/>
                          </w:r>
                          <w:r>
                            <w:rPr>
                              <w:rStyle w:val="40"/>
                              <w:rFonts w:ascii="宋体" w:hAnsi="宋体" w:cs="宋体"/>
                              <w:sz w:val="28"/>
                              <w:szCs w:val="28"/>
                            </w:rPr>
                            <w:t>—</w:t>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NJWO7QAAAABQEAAA8AAAAAAAAAAQAgAAAAIgAAAGRy&#10;cy9kb3ducmV2LnhtbFBLAQIUABQAAAAIAIdO4kBohUNq1AEAAKYDAAAOAAAAAAAAAAEAIAAAAB8B&#10;AABkcnMvZTJvRG9jLnhtbFBLBQYAAAAABgAGAFkBAABlBQAAAAA=&#10;">
              <v:fill on="f" focussize="0,0"/>
              <v:stroke on="f" weight="0.5pt"/>
              <v:imagedata o:title=""/>
              <o:lock v:ext="edit" aspectratio="f"/>
              <v:textbox inset="0mm,0mm,0mm,0mm" style="mso-fit-shape-to-text:t;">
                <w:txbxContent>
                  <w:p>
                    <w:pPr>
                      <w:pStyle w:val="24"/>
                      <w:rPr>
                        <w:rStyle w:val="40"/>
                        <w:rFonts w:ascii="宋体"/>
                        <w:sz w:val="28"/>
                        <w:szCs w:val="28"/>
                      </w:rPr>
                    </w:pPr>
                    <w:r>
                      <w:rPr>
                        <w:rStyle w:val="40"/>
                        <w:rFonts w:ascii="宋体" w:hAnsi="宋体" w:cs="宋体"/>
                        <w:sz w:val="28"/>
                        <w:szCs w:val="28"/>
                      </w:rPr>
                      <w:t>—</w:t>
                    </w:r>
                    <w:r>
                      <w:rPr>
                        <w:rStyle w:val="40"/>
                        <w:rFonts w:ascii="宋体" w:hAnsi="宋体" w:cs="宋体"/>
                        <w:sz w:val="26"/>
                        <w:szCs w:val="26"/>
                      </w:rPr>
                      <w:fldChar w:fldCharType="begin"/>
                    </w:r>
                    <w:r>
                      <w:rPr>
                        <w:rStyle w:val="40"/>
                        <w:rFonts w:ascii="宋体" w:hAnsi="宋体" w:cs="宋体"/>
                        <w:sz w:val="26"/>
                        <w:szCs w:val="26"/>
                      </w:rPr>
                      <w:instrText xml:space="preserve">PAGE  </w:instrText>
                    </w:r>
                    <w:r>
                      <w:rPr>
                        <w:rStyle w:val="40"/>
                        <w:rFonts w:ascii="宋体" w:hAnsi="宋体" w:cs="宋体"/>
                        <w:sz w:val="26"/>
                        <w:szCs w:val="26"/>
                      </w:rPr>
                      <w:fldChar w:fldCharType="separate"/>
                    </w:r>
                    <w:r>
                      <w:rPr>
                        <w:rStyle w:val="40"/>
                        <w:rFonts w:ascii="宋体" w:hAnsi="宋体" w:cs="宋体"/>
                        <w:sz w:val="26"/>
                        <w:szCs w:val="26"/>
                      </w:rPr>
                      <w:t>20</w:t>
                    </w:r>
                    <w:r>
                      <w:rPr>
                        <w:rStyle w:val="40"/>
                        <w:rFonts w:ascii="宋体" w:hAnsi="宋体" w:cs="宋体"/>
                        <w:sz w:val="26"/>
                        <w:szCs w:val="26"/>
                      </w:rPr>
                      <w:fldChar w:fldCharType="end"/>
                    </w:r>
                    <w:r>
                      <w:rPr>
                        <w:rStyle w:val="40"/>
                        <w:rFonts w:ascii="宋体" w:hAnsi="宋体" w:cs="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4"/>
                            <w:rPr>
                              <w:rStyle w:val="40"/>
                              <w:rFonts w:ascii="宋体"/>
                              <w:sz w:val="28"/>
                              <w:szCs w:val="28"/>
                            </w:rPr>
                          </w:pPr>
                          <w:r>
                            <w:rPr>
                              <w:rStyle w:val="40"/>
                              <w:rFonts w:ascii="宋体" w:hAnsi="宋体" w:cs="宋体"/>
                              <w:sz w:val="28"/>
                              <w:szCs w:val="28"/>
                            </w:rPr>
                            <w:t>—</w:t>
                          </w:r>
                          <w:r>
                            <w:rPr>
                              <w:rStyle w:val="40"/>
                              <w:rFonts w:ascii="宋体" w:hAnsi="宋体" w:cs="宋体"/>
                              <w:sz w:val="26"/>
                              <w:szCs w:val="26"/>
                            </w:rPr>
                            <w:fldChar w:fldCharType="begin"/>
                          </w:r>
                          <w:r>
                            <w:rPr>
                              <w:rStyle w:val="40"/>
                              <w:rFonts w:ascii="宋体" w:hAnsi="宋体" w:cs="宋体"/>
                              <w:sz w:val="26"/>
                              <w:szCs w:val="26"/>
                            </w:rPr>
                            <w:instrText xml:space="preserve">PAGE  </w:instrText>
                          </w:r>
                          <w:r>
                            <w:rPr>
                              <w:rStyle w:val="40"/>
                              <w:rFonts w:ascii="宋体" w:hAnsi="宋体" w:cs="宋体"/>
                              <w:sz w:val="26"/>
                              <w:szCs w:val="26"/>
                            </w:rPr>
                            <w:fldChar w:fldCharType="separate"/>
                          </w:r>
                          <w:r>
                            <w:rPr>
                              <w:rStyle w:val="40"/>
                              <w:rFonts w:ascii="宋体" w:hAnsi="宋体" w:cs="宋体"/>
                              <w:sz w:val="26"/>
                              <w:szCs w:val="26"/>
                            </w:rPr>
                            <w:t>54</w:t>
                          </w:r>
                          <w:r>
                            <w:rPr>
                              <w:rStyle w:val="40"/>
                              <w:rFonts w:ascii="宋体" w:hAnsi="宋体" w:cs="宋体"/>
                              <w:sz w:val="26"/>
                              <w:szCs w:val="26"/>
                            </w:rPr>
                            <w:fldChar w:fldCharType="end"/>
                          </w:r>
                          <w:r>
                            <w:rPr>
                              <w:rStyle w:val="40"/>
                              <w:rFonts w:ascii="宋体" w:hAnsi="宋体" w:cs="宋体"/>
                              <w:sz w:val="28"/>
                              <w:szCs w:val="28"/>
                            </w:rPr>
                            <w:t>—</w:t>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&#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sXim59UBAACmAwAADgAAAAAAAAABACAAAAAf&#10;AQAAZHJzL2Uyb0RvYy54bWxQSwUGAAAAAAYABgBZAQAAZgUAAAAA&#10;">
              <v:fill on="f" focussize="0,0"/>
              <v:stroke on="f" weight="0.5pt"/>
              <v:imagedata o:title=""/>
              <o:lock v:ext="edit" aspectratio="f"/>
              <v:textbox inset="0mm,0mm,0mm,0mm" style="mso-fit-shape-to-text:t;">
                <w:txbxContent>
                  <w:p>
                    <w:pPr>
                      <w:pStyle w:val="24"/>
                      <w:rPr>
                        <w:rStyle w:val="40"/>
                        <w:rFonts w:ascii="宋体"/>
                        <w:sz w:val="28"/>
                        <w:szCs w:val="28"/>
                      </w:rPr>
                    </w:pPr>
                    <w:r>
                      <w:rPr>
                        <w:rStyle w:val="40"/>
                        <w:rFonts w:ascii="宋体" w:hAnsi="宋体" w:cs="宋体"/>
                        <w:sz w:val="28"/>
                        <w:szCs w:val="28"/>
                      </w:rPr>
                      <w:t>—</w:t>
                    </w:r>
                    <w:r>
                      <w:rPr>
                        <w:rStyle w:val="40"/>
                        <w:rFonts w:ascii="宋体" w:hAnsi="宋体" w:cs="宋体"/>
                        <w:sz w:val="26"/>
                        <w:szCs w:val="26"/>
                      </w:rPr>
                      <w:fldChar w:fldCharType="begin"/>
                    </w:r>
                    <w:r>
                      <w:rPr>
                        <w:rStyle w:val="40"/>
                        <w:rFonts w:ascii="宋体" w:hAnsi="宋体" w:cs="宋体"/>
                        <w:sz w:val="26"/>
                        <w:szCs w:val="26"/>
                      </w:rPr>
                      <w:instrText xml:space="preserve">PAGE  </w:instrText>
                    </w:r>
                    <w:r>
                      <w:rPr>
                        <w:rStyle w:val="40"/>
                        <w:rFonts w:ascii="宋体" w:hAnsi="宋体" w:cs="宋体"/>
                        <w:sz w:val="26"/>
                        <w:szCs w:val="26"/>
                      </w:rPr>
                      <w:fldChar w:fldCharType="separate"/>
                    </w:r>
                    <w:r>
                      <w:rPr>
                        <w:rStyle w:val="40"/>
                        <w:rFonts w:ascii="宋体" w:hAnsi="宋体" w:cs="宋体"/>
                        <w:sz w:val="26"/>
                        <w:szCs w:val="26"/>
                      </w:rPr>
                      <w:t>54</w:t>
                    </w:r>
                    <w:r>
                      <w:rPr>
                        <w:rStyle w:val="40"/>
                        <w:rFonts w:ascii="宋体" w:hAnsi="宋体" w:cs="宋体"/>
                        <w:sz w:val="26"/>
                        <w:szCs w:val="26"/>
                      </w:rPr>
                      <w:fldChar w:fldCharType="end"/>
                    </w:r>
                    <w:r>
                      <w:rPr>
                        <w:rStyle w:val="40"/>
                        <w:rFonts w:ascii="宋体" w:hAnsi="宋体" w:cs="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33D70B"/>
    <w:multiLevelType w:val="singleLevel"/>
    <w:tmpl w:val="EB33D70B"/>
    <w:lvl w:ilvl="0" w:tentative="0">
      <w:start w:val="6"/>
      <w:numFmt w:val="decimal"/>
      <w:suff w:val="nothing"/>
      <w:lvlText w:val="%1、"/>
      <w:lvlJc w:val="left"/>
    </w:lvl>
  </w:abstractNum>
  <w:abstractNum w:abstractNumId="1">
    <w:nsid w:val="F67F3840"/>
    <w:multiLevelType w:val="singleLevel"/>
    <w:tmpl w:val="F67F3840"/>
    <w:lvl w:ilvl="0" w:tentative="0">
      <w:start w:val="2"/>
      <w:numFmt w:val="decimal"/>
      <w:suff w:val="nothing"/>
      <w:lvlText w:val="（%1）"/>
      <w:lvlJc w:val="left"/>
    </w:lvl>
  </w:abstractNum>
  <w:abstractNum w:abstractNumId="2">
    <w:nsid w:val="F7619721"/>
    <w:multiLevelType w:val="singleLevel"/>
    <w:tmpl w:val="F7619721"/>
    <w:lvl w:ilvl="0" w:tentative="0">
      <w:start w:val="1"/>
      <w:numFmt w:val="bullet"/>
      <w:pStyle w:val="21"/>
      <w:lvlText w:val=""/>
      <w:lvlJc w:val="left"/>
      <w:pPr>
        <w:tabs>
          <w:tab w:val="left" w:pos="2040"/>
        </w:tabs>
        <w:ind w:left="2040" w:hanging="360"/>
      </w:pPr>
      <w:rPr>
        <w:rFonts w:hint="default" w:ascii="Wingdings" w:hAnsi="Wingdings"/>
      </w:rPr>
    </w:lvl>
  </w:abstractNum>
  <w:abstractNum w:abstractNumId="3">
    <w:nsid w:val="06A783E8"/>
    <w:multiLevelType w:val="singleLevel"/>
    <w:tmpl w:val="06A783E8"/>
    <w:lvl w:ilvl="0" w:tentative="0">
      <w:start w:val="1"/>
      <w:numFmt w:val="decimal"/>
      <w:suff w:val="nothing"/>
      <w:lvlText w:val="（%1）"/>
      <w:lvlJc w:val="left"/>
    </w:lvl>
  </w:abstractNum>
  <w:abstractNum w:abstractNumId="4">
    <w:nsid w:val="2B9BEB66"/>
    <w:multiLevelType w:val="singleLevel"/>
    <w:tmpl w:val="2B9BEB66"/>
    <w:lvl w:ilvl="0" w:tentative="0">
      <w:start w:val="5"/>
      <w:numFmt w:val="decimal"/>
      <w:suff w:val="nothing"/>
      <w:lvlText w:val="（%1）"/>
      <w:lvlJc w:val="left"/>
    </w:lvl>
  </w:abstractNum>
  <w:abstractNum w:abstractNumId="5">
    <w:nsid w:val="73634486"/>
    <w:multiLevelType w:val="singleLevel"/>
    <w:tmpl w:val="73634486"/>
    <w:lvl w:ilvl="0" w:tentative="0">
      <w:start w:val="1"/>
      <w:numFmt w:val="decimal"/>
      <w:suff w:val="nothing"/>
      <w:lvlText w:val="（%1）"/>
      <w:lvlJc w:val="left"/>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yOGU0Yjg4YmRlZTU1NGM5ZDhiNjQ3YmIxODMyZGQifQ=="/>
  </w:docVars>
  <w:rsids>
    <w:rsidRoot w:val="00A14947"/>
    <w:rsid w:val="00001AEE"/>
    <w:rsid w:val="0000206B"/>
    <w:rsid w:val="00003B83"/>
    <w:rsid w:val="00004DAB"/>
    <w:rsid w:val="000060B3"/>
    <w:rsid w:val="000072FB"/>
    <w:rsid w:val="00007548"/>
    <w:rsid w:val="0000763C"/>
    <w:rsid w:val="00007C37"/>
    <w:rsid w:val="000119DD"/>
    <w:rsid w:val="00012905"/>
    <w:rsid w:val="000139AB"/>
    <w:rsid w:val="0001412B"/>
    <w:rsid w:val="00015405"/>
    <w:rsid w:val="00016671"/>
    <w:rsid w:val="0001724E"/>
    <w:rsid w:val="00017392"/>
    <w:rsid w:val="000219E9"/>
    <w:rsid w:val="000222E9"/>
    <w:rsid w:val="0002360E"/>
    <w:rsid w:val="00024943"/>
    <w:rsid w:val="00025542"/>
    <w:rsid w:val="0002575E"/>
    <w:rsid w:val="00026BD5"/>
    <w:rsid w:val="000306B8"/>
    <w:rsid w:val="0003267F"/>
    <w:rsid w:val="00034147"/>
    <w:rsid w:val="00035CB9"/>
    <w:rsid w:val="00036758"/>
    <w:rsid w:val="00036B2C"/>
    <w:rsid w:val="00036DA2"/>
    <w:rsid w:val="00040456"/>
    <w:rsid w:val="000405F4"/>
    <w:rsid w:val="00041D87"/>
    <w:rsid w:val="00041FED"/>
    <w:rsid w:val="000421B4"/>
    <w:rsid w:val="000432E7"/>
    <w:rsid w:val="0004364B"/>
    <w:rsid w:val="00043CD7"/>
    <w:rsid w:val="000442E4"/>
    <w:rsid w:val="00044478"/>
    <w:rsid w:val="00044B06"/>
    <w:rsid w:val="000456A6"/>
    <w:rsid w:val="00045994"/>
    <w:rsid w:val="0004776A"/>
    <w:rsid w:val="00050124"/>
    <w:rsid w:val="000522C6"/>
    <w:rsid w:val="0005242E"/>
    <w:rsid w:val="0005297A"/>
    <w:rsid w:val="00053D40"/>
    <w:rsid w:val="00055356"/>
    <w:rsid w:val="000572CE"/>
    <w:rsid w:val="00060425"/>
    <w:rsid w:val="0006050E"/>
    <w:rsid w:val="00061AE8"/>
    <w:rsid w:val="00061B1F"/>
    <w:rsid w:val="0006447C"/>
    <w:rsid w:val="0006507F"/>
    <w:rsid w:val="00070597"/>
    <w:rsid w:val="00071E2C"/>
    <w:rsid w:val="00072040"/>
    <w:rsid w:val="000733C4"/>
    <w:rsid w:val="000733FD"/>
    <w:rsid w:val="00073B3B"/>
    <w:rsid w:val="00074783"/>
    <w:rsid w:val="00074D24"/>
    <w:rsid w:val="00080210"/>
    <w:rsid w:val="000803CE"/>
    <w:rsid w:val="0008070B"/>
    <w:rsid w:val="00080E01"/>
    <w:rsid w:val="000810AC"/>
    <w:rsid w:val="00081152"/>
    <w:rsid w:val="000817FC"/>
    <w:rsid w:val="00081A02"/>
    <w:rsid w:val="00082231"/>
    <w:rsid w:val="00084DAF"/>
    <w:rsid w:val="000919D5"/>
    <w:rsid w:val="00091BD9"/>
    <w:rsid w:val="00091F00"/>
    <w:rsid w:val="00092D38"/>
    <w:rsid w:val="00092D69"/>
    <w:rsid w:val="0009377B"/>
    <w:rsid w:val="00093790"/>
    <w:rsid w:val="00094207"/>
    <w:rsid w:val="0009533F"/>
    <w:rsid w:val="00097E9E"/>
    <w:rsid w:val="000A1F0D"/>
    <w:rsid w:val="000A20C9"/>
    <w:rsid w:val="000A287A"/>
    <w:rsid w:val="000A2C2D"/>
    <w:rsid w:val="000A2C45"/>
    <w:rsid w:val="000A33A4"/>
    <w:rsid w:val="000A51D3"/>
    <w:rsid w:val="000A598F"/>
    <w:rsid w:val="000A7674"/>
    <w:rsid w:val="000A7699"/>
    <w:rsid w:val="000A7A55"/>
    <w:rsid w:val="000A7DE5"/>
    <w:rsid w:val="000B058F"/>
    <w:rsid w:val="000B06F4"/>
    <w:rsid w:val="000B1170"/>
    <w:rsid w:val="000B1C83"/>
    <w:rsid w:val="000B4467"/>
    <w:rsid w:val="000B48AC"/>
    <w:rsid w:val="000B4DB9"/>
    <w:rsid w:val="000B5DEB"/>
    <w:rsid w:val="000C09AC"/>
    <w:rsid w:val="000C1657"/>
    <w:rsid w:val="000C1875"/>
    <w:rsid w:val="000C18B1"/>
    <w:rsid w:val="000C18E9"/>
    <w:rsid w:val="000C21D2"/>
    <w:rsid w:val="000C2DF5"/>
    <w:rsid w:val="000C3726"/>
    <w:rsid w:val="000C4522"/>
    <w:rsid w:val="000C56F3"/>
    <w:rsid w:val="000C5CA6"/>
    <w:rsid w:val="000C5FFC"/>
    <w:rsid w:val="000C767F"/>
    <w:rsid w:val="000C7BC3"/>
    <w:rsid w:val="000D03A9"/>
    <w:rsid w:val="000D2E42"/>
    <w:rsid w:val="000D3786"/>
    <w:rsid w:val="000D3CCA"/>
    <w:rsid w:val="000D3EDC"/>
    <w:rsid w:val="000D4B78"/>
    <w:rsid w:val="000D4C59"/>
    <w:rsid w:val="000D52FF"/>
    <w:rsid w:val="000D5A44"/>
    <w:rsid w:val="000D681C"/>
    <w:rsid w:val="000D74BB"/>
    <w:rsid w:val="000E2A0B"/>
    <w:rsid w:val="000E3993"/>
    <w:rsid w:val="000E3ED2"/>
    <w:rsid w:val="000E66E2"/>
    <w:rsid w:val="000E7BEC"/>
    <w:rsid w:val="000F02DE"/>
    <w:rsid w:val="000F1362"/>
    <w:rsid w:val="000F164B"/>
    <w:rsid w:val="000F1FF2"/>
    <w:rsid w:val="000F2A5D"/>
    <w:rsid w:val="000F3222"/>
    <w:rsid w:val="000F53EA"/>
    <w:rsid w:val="000F580C"/>
    <w:rsid w:val="000F5F42"/>
    <w:rsid w:val="000F67BD"/>
    <w:rsid w:val="000F7BEF"/>
    <w:rsid w:val="000F7C20"/>
    <w:rsid w:val="000F7C23"/>
    <w:rsid w:val="000F7C53"/>
    <w:rsid w:val="001011BB"/>
    <w:rsid w:val="001018C2"/>
    <w:rsid w:val="00101C94"/>
    <w:rsid w:val="001020BF"/>
    <w:rsid w:val="0011055A"/>
    <w:rsid w:val="001110AD"/>
    <w:rsid w:val="001112C9"/>
    <w:rsid w:val="0011171C"/>
    <w:rsid w:val="00112442"/>
    <w:rsid w:val="00113215"/>
    <w:rsid w:val="00113E0A"/>
    <w:rsid w:val="00114F33"/>
    <w:rsid w:val="00115174"/>
    <w:rsid w:val="001163CD"/>
    <w:rsid w:val="001202FB"/>
    <w:rsid w:val="00120876"/>
    <w:rsid w:val="00121BA9"/>
    <w:rsid w:val="0012286D"/>
    <w:rsid w:val="001234DB"/>
    <w:rsid w:val="001271EB"/>
    <w:rsid w:val="00127F48"/>
    <w:rsid w:val="001300BB"/>
    <w:rsid w:val="0013096F"/>
    <w:rsid w:val="00131990"/>
    <w:rsid w:val="00131F42"/>
    <w:rsid w:val="00133396"/>
    <w:rsid w:val="001333D6"/>
    <w:rsid w:val="00133F01"/>
    <w:rsid w:val="00134C34"/>
    <w:rsid w:val="00135101"/>
    <w:rsid w:val="0013551E"/>
    <w:rsid w:val="001357F1"/>
    <w:rsid w:val="0013592B"/>
    <w:rsid w:val="00135EBA"/>
    <w:rsid w:val="00136F24"/>
    <w:rsid w:val="00140FA8"/>
    <w:rsid w:val="00142FEB"/>
    <w:rsid w:val="00143A2D"/>
    <w:rsid w:val="00143DEB"/>
    <w:rsid w:val="00144D62"/>
    <w:rsid w:val="001458B6"/>
    <w:rsid w:val="00145A41"/>
    <w:rsid w:val="001461D3"/>
    <w:rsid w:val="001477B0"/>
    <w:rsid w:val="00147E03"/>
    <w:rsid w:val="00151675"/>
    <w:rsid w:val="001521CF"/>
    <w:rsid w:val="00153750"/>
    <w:rsid w:val="00155236"/>
    <w:rsid w:val="00155B17"/>
    <w:rsid w:val="00156435"/>
    <w:rsid w:val="00157435"/>
    <w:rsid w:val="00160BB7"/>
    <w:rsid w:val="0016159F"/>
    <w:rsid w:val="00161BC2"/>
    <w:rsid w:val="0016419C"/>
    <w:rsid w:val="00164E20"/>
    <w:rsid w:val="00165460"/>
    <w:rsid w:val="001666E6"/>
    <w:rsid w:val="001669B2"/>
    <w:rsid w:val="0016766E"/>
    <w:rsid w:val="001702D4"/>
    <w:rsid w:val="0017035C"/>
    <w:rsid w:val="0017440D"/>
    <w:rsid w:val="0017504D"/>
    <w:rsid w:val="00175B4D"/>
    <w:rsid w:val="0017671A"/>
    <w:rsid w:val="0017691A"/>
    <w:rsid w:val="00176CFD"/>
    <w:rsid w:val="00177422"/>
    <w:rsid w:val="0018162D"/>
    <w:rsid w:val="00183638"/>
    <w:rsid w:val="001843FE"/>
    <w:rsid w:val="00184590"/>
    <w:rsid w:val="00184BDB"/>
    <w:rsid w:val="001870D1"/>
    <w:rsid w:val="0018781E"/>
    <w:rsid w:val="00187E5E"/>
    <w:rsid w:val="001902E5"/>
    <w:rsid w:val="00190CB5"/>
    <w:rsid w:val="00191A1E"/>
    <w:rsid w:val="001923D9"/>
    <w:rsid w:val="0019258C"/>
    <w:rsid w:val="0019262D"/>
    <w:rsid w:val="00192BBE"/>
    <w:rsid w:val="0019314E"/>
    <w:rsid w:val="00195A6F"/>
    <w:rsid w:val="00196407"/>
    <w:rsid w:val="00196B99"/>
    <w:rsid w:val="00196F87"/>
    <w:rsid w:val="0019798F"/>
    <w:rsid w:val="00197AC7"/>
    <w:rsid w:val="001A0A7E"/>
    <w:rsid w:val="001A1308"/>
    <w:rsid w:val="001A130C"/>
    <w:rsid w:val="001A1566"/>
    <w:rsid w:val="001A1B35"/>
    <w:rsid w:val="001A2229"/>
    <w:rsid w:val="001A2D97"/>
    <w:rsid w:val="001A2E94"/>
    <w:rsid w:val="001A48A2"/>
    <w:rsid w:val="001A6F61"/>
    <w:rsid w:val="001B5DA4"/>
    <w:rsid w:val="001B5E51"/>
    <w:rsid w:val="001B5E95"/>
    <w:rsid w:val="001B63E0"/>
    <w:rsid w:val="001B72B8"/>
    <w:rsid w:val="001B7648"/>
    <w:rsid w:val="001C0C8D"/>
    <w:rsid w:val="001C2147"/>
    <w:rsid w:val="001C3146"/>
    <w:rsid w:val="001C450A"/>
    <w:rsid w:val="001C4E44"/>
    <w:rsid w:val="001C6009"/>
    <w:rsid w:val="001C69B3"/>
    <w:rsid w:val="001D3453"/>
    <w:rsid w:val="001D3CEC"/>
    <w:rsid w:val="001D3E56"/>
    <w:rsid w:val="001D47B5"/>
    <w:rsid w:val="001D4DA8"/>
    <w:rsid w:val="001D5595"/>
    <w:rsid w:val="001D55C6"/>
    <w:rsid w:val="001D5832"/>
    <w:rsid w:val="001D6600"/>
    <w:rsid w:val="001D6D00"/>
    <w:rsid w:val="001D7874"/>
    <w:rsid w:val="001D7F22"/>
    <w:rsid w:val="001E0704"/>
    <w:rsid w:val="001E0DEA"/>
    <w:rsid w:val="001E1120"/>
    <w:rsid w:val="001E1230"/>
    <w:rsid w:val="001E1806"/>
    <w:rsid w:val="001E2AF8"/>
    <w:rsid w:val="001E3FAB"/>
    <w:rsid w:val="001E46B8"/>
    <w:rsid w:val="001E5588"/>
    <w:rsid w:val="001E61DF"/>
    <w:rsid w:val="001E691D"/>
    <w:rsid w:val="001E77EF"/>
    <w:rsid w:val="001E7A29"/>
    <w:rsid w:val="001F0F17"/>
    <w:rsid w:val="001F1D2C"/>
    <w:rsid w:val="001F234C"/>
    <w:rsid w:val="001F3347"/>
    <w:rsid w:val="001F46BA"/>
    <w:rsid w:val="001F59E5"/>
    <w:rsid w:val="001F69E4"/>
    <w:rsid w:val="0020170F"/>
    <w:rsid w:val="00202BDA"/>
    <w:rsid w:val="002051CD"/>
    <w:rsid w:val="00205C2F"/>
    <w:rsid w:val="002062B5"/>
    <w:rsid w:val="002066DB"/>
    <w:rsid w:val="002073A8"/>
    <w:rsid w:val="00207412"/>
    <w:rsid w:val="00210079"/>
    <w:rsid w:val="00211D32"/>
    <w:rsid w:val="002125B4"/>
    <w:rsid w:val="00213E30"/>
    <w:rsid w:val="00214075"/>
    <w:rsid w:val="002155B8"/>
    <w:rsid w:val="00216453"/>
    <w:rsid w:val="00221D6C"/>
    <w:rsid w:val="00223B33"/>
    <w:rsid w:val="00223E2C"/>
    <w:rsid w:val="00224839"/>
    <w:rsid w:val="002249B2"/>
    <w:rsid w:val="00224AEA"/>
    <w:rsid w:val="00224B71"/>
    <w:rsid w:val="002253E6"/>
    <w:rsid w:val="00226574"/>
    <w:rsid w:val="002278EC"/>
    <w:rsid w:val="00232395"/>
    <w:rsid w:val="0023280E"/>
    <w:rsid w:val="00233117"/>
    <w:rsid w:val="00233A1E"/>
    <w:rsid w:val="00234250"/>
    <w:rsid w:val="00234253"/>
    <w:rsid w:val="00234758"/>
    <w:rsid w:val="00234EA5"/>
    <w:rsid w:val="00236F51"/>
    <w:rsid w:val="002377D1"/>
    <w:rsid w:val="00237A99"/>
    <w:rsid w:val="00237CC0"/>
    <w:rsid w:val="002411C5"/>
    <w:rsid w:val="00242F99"/>
    <w:rsid w:val="0024777A"/>
    <w:rsid w:val="002506BC"/>
    <w:rsid w:val="0025215B"/>
    <w:rsid w:val="00254345"/>
    <w:rsid w:val="0025483C"/>
    <w:rsid w:val="00254B82"/>
    <w:rsid w:val="00256023"/>
    <w:rsid w:val="002561D9"/>
    <w:rsid w:val="00257FA6"/>
    <w:rsid w:val="002603FC"/>
    <w:rsid w:val="00260ED4"/>
    <w:rsid w:val="00262456"/>
    <w:rsid w:val="00262680"/>
    <w:rsid w:val="00263161"/>
    <w:rsid w:val="002637B5"/>
    <w:rsid w:val="00263BBE"/>
    <w:rsid w:val="00264557"/>
    <w:rsid w:val="002647C4"/>
    <w:rsid w:val="00264C41"/>
    <w:rsid w:val="00264F93"/>
    <w:rsid w:val="00270608"/>
    <w:rsid w:val="00270847"/>
    <w:rsid w:val="00271754"/>
    <w:rsid w:val="002722EB"/>
    <w:rsid w:val="002724C6"/>
    <w:rsid w:val="00272F67"/>
    <w:rsid w:val="00273195"/>
    <w:rsid w:val="00273791"/>
    <w:rsid w:val="00274584"/>
    <w:rsid w:val="00274837"/>
    <w:rsid w:val="002757B4"/>
    <w:rsid w:val="0027646A"/>
    <w:rsid w:val="00276C9B"/>
    <w:rsid w:val="00277F95"/>
    <w:rsid w:val="002805AB"/>
    <w:rsid w:val="00280F3B"/>
    <w:rsid w:val="002823D4"/>
    <w:rsid w:val="0028303C"/>
    <w:rsid w:val="00283D65"/>
    <w:rsid w:val="00284204"/>
    <w:rsid w:val="0028491A"/>
    <w:rsid w:val="00287535"/>
    <w:rsid w:val="002906DB"/>
    <w:rsid w:val="00290A8E"/>
    <w:rsid w:val="00291773"/>
    <w:rsid w:val="00291A94"/>
    <w:rsid w:val="00292151"/>
    <w:rsid w:val="00292996"/>
    <w:rsid w:val="00293762"/>
    <w:rsid w:val="00293B33"/>
    <w:rsid w:val="00293C67"/>
    <w:rsid w:val="00295412"/>
    <w:rsid w:val="002954A5"/>
    <w:rsid w:val="002969C4"/>
    <w:rsid w:val="0029702C"/>
    <w:rsid w:val="002A04E1"/>
    <w:rsid w:val="002A168C"/>
    <w:rsid w:val="002A17BE"/>
    <w:rsid w:val="002A3772"/>
    <w:rsid w:val="002A3DC7"/>
    <w:rsid w:val="002A42F3"/>
    <w:rsid w:val="002A4C7A"/>
    <w:rsid w:val="002A7D2C"/>
    <w:rsid w:val="002B042F"/>
    <w:rsid w:val="002B49E2"/>
    <w:rsid w:val="002B4C8E"/>
    <w:rsid w:val="002B5F79"/>
    <w:rsid w:val="002B6E1E"/>
    <w:rsid w:val="002B7507"/>
    <w:rsid w:val="002B7B00"/>
    <w:rsid w:val="002B7C44"/>
    <w:rsid w:val="002C0043"/>
    <w:rsid w:val="002C0A2C"/>
    <w:rsid w:val="002C2323"/>
    <w:rsid w:val="002C2B17"/>
    <w:rsid w:val="002C3D62"/>
    <w:rsid w:val="002C5215"/>
    <w:rsid w:val="002C587F"/>
    <w:rsid w:val="002D0299"/>
    <w:rsid w:val="002D048C"/>
    <w:rsid w:val="002D0D72"/>
    <w:rsid w:val="002D2045"/>
    <w:rsid w:val="002D2AF5"/>
    <w:rsid w:val="002D2E2B"/>
    <w:rsid w:val="002D3B85"/>
    <w:rsid w:val="002D3DD0"/>
    <w:rsid w:val="002D4972"/>
    <w:rsid w:val="002D54AA"/>
    <w:rsid w:val="002D56C7"/>
    <w:rsid w:val="002D5FD7"/>
    <w:rsid w:val="002D6340"/>
    <w:rsid w:val="002D77CD"/>
    <w:rsid w:val="002E0F47"/>
    <w:rsid w:val="002E1742"/>
    <w:rsid w:val="002E1BA1"/>
    <w:rsid w:val="002E1F3A"/>
    <w:rsid w:val="002E2272"/>
    <w:rsid w:val="002E26BD"/>
    <w:rsid w:val="002E285F"/>
    <w:rsid w:val="002E298A"/>
    <w:rsid w:val="002E4611"/>
    <w:rsid w:val="002E4B09"/>
    <w:rsid w:val="002E5C97"/>
    <w:rsid w:val="002F3011"/>
    <w:rsid w:val="002F4B95"/>
    <w:rsid w:val="002F4ED8"/>
    <w:rsid w:val="002F7A6D"/>
    <w:rsid w:val="00300CBC"/>
    <w:rsid w:val="00301978"/>
    <w:rsid w:val="00302599"/>
    <w:rsid w:val="00302B5E"/>
    <w:rsid w:val="0030332C"/>
    <w:rsid w:val="00303D19"/>
    <w:rsid w:val="003051C2"/>
    <w:rsid w:val="003121D4"/>
    <w:rsid w:val="00312296"/>
    <w:rsid w:val="0031242D"/>
    <w:rsid w:val="00313F9F"/>
    <w:rsid w:val="00314F0E"/>
    <w:rsid w:val="0031521F"/>
    <w:rsid w:val="003156A9"/>
    <w:rsid w:val="00315B68"/>
    <w:rsid w:val="00315C1F"/>
    <w:rsid w:val="00321116"/>
    <w:rsid w:val="003216F6"/>
    <w:rsid w:val="00321D8E"/>
    <w:rsid w:val="00323B6B"/>
    <w:rsid w:val="00325928"/>
    <w:rsid w:val="00326073"/>
    <w:rsid w:val="003266ED"/>
    <w:rsid w:val="00326C7B"/>
    <w:rsid w:val="00327021"/>
    <w:rsid w:val="00331874"/>
    <w:rsid w:val="00331DD8"/>
    <w:rsid w:val="00332863"/>
    <w:rsid w:val="003334EA"/>
    <w:rsid w:val="003342C8"/>
    <w:rsid w:val="00335D0E"/>
    <w:rsid w:val="00335F31"/>
    <w:rsid w:val="0033684D"/>
    <w:rsid w:val="00337B30"/>
    <w:rsid w:val="00337B42"/>
    <w:rsid w:val="00341154"/>
    <w:rsid w:val="00341B42"/>
    <w:rsid w:val="00342625"/>
    <w:rsid w:val="003426B9"/>
    <w:rsid w:val="0034348F"/>
    <w:rsid w:val="003450DE"/>
    <w:rsid w:val="0034562E"/>
    <w:rsid w:val="00345C09"/>
    <w:rsid w:val="0034640F"/>
    <w:rsid w:val="003472DB"/>
    <w:rsid w:val="003476AE"/>
    <w:rsid w:val="00347EF9"/>
    <w:rsid w:val="00351573"/>
    <w:rsid w:val="003520B6"/>
    <w:rsid w:val="0035314D"/>
    <w:rsid w:val="003531FC"/>
    <w:rsid w:val="003542FA"/>
    <w:rsid w:val="00354B6E"/>
    <w:rsid w:val="00354E31"/>
    <w:rsid w:val="00356005"/>
    <w:rsid w:val="00356653"/>
    <w:rsid w:val="00356FCC"/>
    <w:rsid w:val="0035743F"/>
    <w:rsid w:val="00357BE2"/>
    <w:rsid w:val="003615B5"/>
    <w:rsid w:val="0036170C"/>
    <w:rsid w:val="00361D94"/>
    <w:rsid w:val="00363229"/>
    <w:rsid w:val="00363FBF"/>
    <w:rsid w:val="00364980"/>
    <w:rsid w:val="003649A5"/>
    <w:rsid w:val="00364E99"/>
    <w:rsid w:val="00366E0F"/>
    <w:rsid w:val="00374D82"/>
    <w:rsid w:val="00375281"/>
    <w:rsid w:val="00381A72"/>
    <w:rsid w:val="00382CB9"/>
    <w:rsid w:val="00383A51"/>
    <w:rsid w:val="00384676"/>
    <w:rsid w:val="003853E8"/>
    <w:rsid w:val="00385DEF"/>
    <w:rsid w:val="00385F95"/>
    <w:rsid w:val="00390857"/>
    <w:rsid w:val="00391FA0"/>
    <w:rsid w:val="0039304A"/>
    <w:rsid w:val="00394B16"/>
    <w:rsid w:val="00396F4C"/>
    <w:rsid w:val="003A07F7"/>
    <w:rsid w:val="003A163A"/>
    <w:rsid w:val="003A436A"/>
    <w:rsid w:val="003A4924"/>
    <w:rsid w:val="003A494A"/>
    <w:rsid w:val="003A4AAE"/>
    <w:rsid w:val="003A4BF3"/>
    <w:rsid w:val="003A4FAD"/>
    <w:rsid w:val="003A6ED1"/>
    <w:rsid w:val="003A70BE"/>
    <w:rsid w:val="003A7584"/>
    <w:rsid w:val="003A79BA"/>
    <w:rsid w:val="003A79C7"/>
    <w:rsid w:val="003B1445"/>
    <w:rsid w:val="003B3C7D"/>
    <w:rsid w:val="003B420D"/>
    <w:rsid w:val="003B4CD5"/>
    <w:rsid w:val="003B6068"/>
    <w:rsid w:val="003B728B"/>
    <w:rsid w:val="003B7D29"/>
    <w:rsid w:val="003C09B7"/>
    <w:rsid w:val="003C1050"/>
    <w:rsid w:val="003C1A7A"/>
    <w:rsid w:val="003C1B2C"/>
    <w:rsid w:val="003C1D16"/>
    <w:rsid w:val="003C1E13"/>
    <w:rsid w:val="003C2BD0"/>
    <w:rsid w:val="003C3BB9"/>
    <w:rsid w:val="003C5FD1"/>
    <w:rsid w:val="003C675A"/>
    <w:rsid w:val="003C69F8"/>
    <w:rsid w:val="003C6C16"/>
    <w:rsid w:val="003C744D"/>
    <w:rsid w:val="003D03D5"/>
    <w:rsid w:val="003D0E1A"/>
    <w:rsid w:val="003D17B4"/>
    <w:rsid w:val="003D2B31"/>
    <w:rsid w:val="003D2E3F"/>
    <w:rsid w:val="003D61B1"/>
    <w:rsid w:val="003D7566"/>
    <w:rsid w:val="003D769D"/>
    <w:rsid w:val="003D794D"/>
    <w:rsid w:val="003E0125"/>
    <w:rsid w:val="003E10DE"/>
    <w:rsid w:val="003E2149"/>
    <w:rsid w:val="003E3058"/>
    <w:rsid w:val="003E359F"/>
    <w:rsid w:val="003E37AD"/>
    <w:rsid w:val="003E4708"/>
    <w:rsid w:val="003E5958"/>
    <w:rsid w:val="003E5CB2"/>
    <w:rsid w:val="003E644C"/>
    <w:rsid w:val="003E6AF0"/>
    <w:rsid w:val="003E76A9"/>
    <w:rsid w:val="003F00DD"/>
    <w:rsid w:val="003F0809"/>
    <w:rsid w:val="003F207B"/>
    <w:rsid w:val="003F327E"/>
    <w:rsid w:val="003F3CC0"/>
    <w:rsid w:val="003F423D"/>
    <w:rsid w:val="003F5240"/>
    <w:rsid w:val="003F6A8C"/>
    <w:rsid w:val="003F6ACE"/>
    <w:rsid w:val="003F755C"/>
    <w:rsid w:val="003F7B5A"/>
    <w:rsid w:val="004003B7"/>
    <w:rsid w:val="00400764"/>
    <w:rsid w:val="004029D5"/>
    <w:rsid w:val="00402F6A"/>
    <w:rsid w:val="004035E5"/>
    <w:rsid w:val="00404AEA"/>
    <w:rsid w:val="00404DA7"/>
    <w:rsid w:val="004055B3"/>
    <w:rsid w:val="00405EA1"/>
    <w:rsid w:val="00406F01"/>
    <w:rsid w:val="0040799E"/>
    <w:rsid w:val="00411114"/>
    <w:rsid w:val="00411631"/>
    <w:rsid w:val="004128C0"/>
    <w:rsid w:val="0041498F"/>
    <w:rsid w:val="004154FE"/>
    <w:rsid w:val="00416D50"/>
    <w:rsid w:val="00416FD5"/>
    <w:rsid w:val="0041704E"/>
    <w:rsid w:val="00417772"/>
    <w:rsid w:val="00420A47"/>
    <w:rsid w:val="00420E6A"/>
    <w:rsid w:val="00421AFC"/>
    <w:rsid w:val="004225B3"/>
    <w:rsid w:val="00422E77"/>
    <w:rsid w:val="00424F0A"/>
    <w:rsid w:val="00425A9E"/>
    <w:rsid w:val="004266FE"/>
    <w:rsid w:val="00426D6B"/>
    <w:rsid w:val="00427E00"/>
    <w:rsid w:val="00427FF8"/>
    <w:rsid w:val="00431A21"/>
    <w:rsid w:val="00431AB9"/>
    <w:rsid w:val="00431E6C"/>
    <w:rsid w:val="00431EEB"/>
    <w:rsid w:val="0043390D"/>
    <w:rsid w:val="00433CE7"/>
    <w:rsid w:val="004347AD"/>
    <w:rsid w:val="00434E84"/>
    <w:rsid w:val="00436309"/>
    <w:rsid w:val="00441DDC"/>
    <w:rsid w:val="00441E01"/>
    <w:rsid w:val="0044226E"/>
    <w:rsid w:val="00442D7A"/>
    <w:rsid w:val="00442ED7"/>
    <w:rsid w:val="0044390D"/>
    <w:rsid w:val="00445793"/>
    <w:rsid w:val="00445F80"/>
    <w:rsid w:val="00446323"/>
    <w:rsid w:val="00446B44"/>
    <w:rsid w:val="00450D6A"/>
    <w:rsid w:val="0045101C"/>
    <w:rsid w:val="00452738"/>
    <w:rsid w:val="00452742"/>
    <w:rsid w:val="004527C0"/>
    <w:rsid w:val="004533E7"/>
    <w:rsid w:val="004554CF"/>
    <w:rsid w:val="00456091"/>
    <w:rsid w:val="0045646A"/>
    <w:rsid w:val="0046145D"/>
    <w:rsid w:val="00461735"/>
    <w:rsid w:val="0046267B"/>
    <w:rsid w:val="00466052"/>
    <w:rsid w:val="00466321"/>
    <w:rsid w:val="004665FB"/>
    <w:rsid w:val="0046776E"/>
    <w:rsid w:val="004679AF"/>
    <w:rsid w:val="00470178"/>
    <w:rsid w:val="004710CE"/>
    <w:rsid w:val="00471DE2"/>
    <w:rsid w:val="00472331"/>
    <w:rsid w:val="004730C6"/>
    <w:rsid w:val="00473162"/>
    <w:rsid w:val="00473493"/>
    <w:rsid w:val="0047435E"/>
    <w:rsid w:val="004746E7"/>
    <w:rsid w:val="00474C48"/>
    <w:rsid w:val="00474E1F"/>
    <w:rsid w:val="004755B2"/>
    <w:rsid w:val="00476372"/>
    <w:rsid w:val="00477643"/>
    <w:rsid w:val="00477E84"/>
    <w:rsid w:val="004808C8"/>
    <w:rsid w:val="00480941"/>
    <w:rsid w:val="00480ABB"/>
    <w:rsid w:val="004825CD"/>
    <w:rsid w:val="00482665"/>
    <w:rsid w:val="004845F6"/>
    <w:rsid w:val="00484A98"/>
    <w:rsid w:val="00484B9B"/>
    <w:rsid w:val="004855F6"/>
    <w:rsid w:val="0048661E"/>
    <w:rsid w:val="00491F57"/>
    <w:rsid w:val="00492394"/>
    <w:rsid w:val="00492427"/>
    <w:rsid w:val="0049246F"/>
    <w:rsid w:val="004944A7"/>
    <w:rsid w:val="00494670"/>
    <w:rsid w:val="0049491E"/>
    <w:rsid w:val="00495C07"/>
    <w:rsid w:val="0049686A"/>
    <w:rsid w:val="004977EC"/>
    <w:rsid w:val="004A24B7"/>
    <w:rsid w:val="004A26E5"/>
    <w:rsid w:val="004A37C7"/>
    <w:rsid w:val="004A3823"/>
    <w:rsid w:val="004A586B"/>
    <w:rsid w:val="004A69B3"/>
    <w:rsid w:val="004A6D99"/>
    <w:rsid w:val="004A728A"/>
    <w:rsid w:val="004B196B"/>
    <w:rsid w:val="004B204D"/>
    <w:rsid w:val="004B4913"/>
    <w:rsid w:val="004B75D4"/>
    <w:rsid w:val="004B78E9"/>
    <w:rsid w:val="004C0484"/>
    <w:rsid w:val="004C0E6A"/>
    <w:rsid w:val="004C2ACF"/>
    <w:rsid w:val="004C4726"/>
    <w:rsid w:val="004C559F"/>
    <w:rsid w:val="004C74C5"/>
    <w:rsid w:val="004C7C83"/>
    <w:rsid w:val="004D068F"/>
    <w:rsid w:val="004D0804"/>
    <w:rsid w:val="004D2CC3"/>
    <w:rsid w:val="004D2F8E"/>
    <w:rsid w:val="004D3ED0"/>
    <w:rsid w:val="004D44CC"/>
    <w:rsid w:val="004D4B19"/>
    <w:rsid w:val="004D4C70"/>
    <w:rsid w:val="004D647D"/>
    <w:rsid w:val="004D79B4"/>
    <w:rsid w:val="004E1128"/>
    <w:rsid w:val="004E1C8B"/>
    <w:rsid w:val="004E24E8"/>
    <w:rsid w:val="004E56B4"/>
    <w:rsid w:val="004E5727"/>
    <w:rsid w:val="004E5FC0"/>
    <w:rsid w:val="004E6782"/>
    <w:rsid w:val="004E6946"/>
    <w:rsid w:val="004E698E"/>
    <w:rsid w:val="004E73CA"/>
    <w:rsid w:val="004E7B99"/>
    <w:rsid w:val="004E7C3D"/>
    <w:rsid w:val="004E7E67"/>
    <w:rsid w:val="004F0AEC"/>
    <w:rsid w:val="004F1AD8"/>
    <w:rsid w:val="004F480D"/>
    <w:rsid w:val="004F5406"/>
    <w:rsid w:val="004F56C5"/>
    <w:rsid w:val="004F75BE"/>
    <w:rsid w:val="00502ED0"/>
    <w:rsid w:val="005039CB"/>
    <w:rsid w:val="00503C44"/>
    <w:rsid w:val="00504093"/>
    <w:rsid w:val="0050558F"/>
    <w:rsid w:val="00505C4C"/>
    <w:rsid w:val="00506286"/>
    <w:rsid w:val="00510813"/>
    <w:rsid w:val="00511990"/>
    <w:rsid w:val="00511DE0"/>
    <w:rsid w:val="00512B86"/>
    <w:rsid w:val="0051343F"/>
    <w:rsid w:val="00513F74"/>
    <w:rsid w:val="00514870"/>
    <w:rsid w:val="00514B9B"/>
    <w:rsid w:val="00515481"/>
    <w:rsid w:val="00516579"/>
    <w:rsid w:val="0051705D"/>
    <w:rsid w:val="00517F02"/>
    <w:rsid w:val="00520DFC"/>
    <w:rsid w:val="0052142E"/>
    <w:rsid w:val="0052166F"/>
    <w:rsid w:val="00523D90"/>
    <w:rsid w:val="00524303"/>
    <w:rsid w:val="00525038"/>
    <w:rsid w:val="005258A2"/>
    <w:rsid w:val="005263FB"/>
    <w:rsid w:val="00526BDF"/>
    <w:rsid w:val="005311CF"/>
    <w:rsid w:val="00531349"/>
    <w:rsid w:val="00531D50"/>
    <w:rsid w:val="0053413D"/>
    <w:rsid w:val="00534B02"/>
    <w:rsid w:val="005369B5"/>
    <w:rsid w:val="00540010"/>
    <w:rsid w:val="005401AE"/>
    <w:rsid w:val="00540FBB"/>
    <w:rsid w:val="00542E07"/>
    <w:rsid w:val="00542F48"/>
    <w:rsid w:val="00543F23"/>
    <w:rsid w:val="00545424"/>
    <w:rsid w:val="0054576A"/>
    <w:rsid w:val="00545B24"/>
    <w:rsid w:val="00547AE3"/>
    <w:rsid w:val="00550A73"/>
    <w:rsid w:val="00551F63"/>
    <w:rsid w:val="00552681"/>
    <w:rsid w:val="00552F88"/>
    <w:rsid w:val="005533E4"/>
    <w:rsid w:val="00554A7B"/>
    <w:rsid w:val="00554FC4"/>
    <w:rsid w:val="005554C1"/>
    <w:rsid w:val="0055572C"/>
    <w:rsid w:val="00556399"/>
    <w:rsid w:val="00557308"/>
    <w:rsid w:val="00557CAC"/>
    <w:rsid w:val="00557EED"/>
    <w:rsid w:val="00560BE3"/>
    <w:rsid w:val="0056106A"/>
    <w:rsid w:val="0056264F"/>
    <w:rsid w:val="0056395F"/>
    <w:rsid w:val="00563D45"/>
    <w:rsid w:val="0056495F"/>
    <w:rsid w:val="005651B7"/>
    <w:rsid w:val="00565D68"/>
    <w:rsid w:val="00567156"/>
    <w:rsid w:val="0056746F"/>
    <w:rsid w:val="0057017E"/>
    <w:rsid w:val="005720AE"/>
    <w:rsid w:val="005763B2"/>
    <w:rsid w:val="00577903"/>
    <w:rsid w:val="00580DCE"/>
    <w:rsid w:val="00581FE8"/>
    <w:rsid w:val="0058212E"/>
    <w:rsid w:val="0058245F"/>
    <w:rsid w:val="00585851"/>
    <w:rsid w:val="00585B32"/>
    <w:rsid w:val="0058642C"/>
    <w:rsid w:val="00586FEC"/>
    <w:rsid w:val="005871D6"/>
    <w:rsid w:val="00592AAF"/>
    <w:rsid w:val="0059336E"/>
    <w:rsid w:val="00594C70"/>
    <w:rsid w:val="00594D77"/>
    <w:rsid w:val="005969E4"/>
    <w:rsid w:val="00596C52"/>
    <w:rsid w:val="00597796"/>
    <w:rsid w:val="00597C33"/>
    <w:rsid w:val="005A06B7"/>
    <w:rsid w:val="005A13C3"/>
    <w:rsid w:val="005A1759"/>
    <w:rsid w:val="005A179B"/>
    <w:rsid w:val="005A1AFB"/>
    <w:rsid w:val="005A1D9E"/>
    <w:rsid w:val="005A3E69"/>
    <w:rsid w:val="005A4207"/>
    <w:rsid w:val="005A5489"/>
    <w:rsid w:val="005A66B5"/>
    <w:rsid w:val="005A68A7"/>
    <w:rsid w:val="005A76C2"/>
    <w:rsid w:val="005B0213"/>
    <w:rsid w:val="005B021E"/>
    <w:rsid w:val="005B1367"/>
    <w:rsid w:val="005B29FD"/>
    <w:rsid w:val="005B37AA"/>
    <w:rsid w:val="005B674C"/>
    <w:rsid w:val="005B6FB7"/>
    <w:rsid w:val="005C1195"/>
    <w:rsid w:val="005C19FC"/>
    <w:rsid w:val="005C28A4"/>
    <w:rsid w:val="005C2968"/>
    <w:rsid w:val="005C6115"/>
    <w:rsid w:val="005C6C7E"/>
    <w:rsid w:val="005C74A4"/>
    <w:rsid w:val="005D0285"/>
    <w:rsid w:val="005D0E31"/>
    <w:rsid w:val="005D27BF"/>
    <w:rsid w:val="005D2B54"/>
    <w:rsid w:val="005D33F0"/>
    <w:rsid w:val="005D36AB"/>
    <w:rsid w:val="005D4343"/>
    <w:rsid w:val="005D5941"/>
    <w:rsid w:val="005D7917"/>
    <w:rsid w:val="005D7E98"/>
    <w:rsid w:val="005E26DE"/>
    <w:rsid w:val="005E2EE4"/>
    <w:rsid w:val="005E4196"/>
    <w:rsid w:val="005E4954"/>
    <w:rsid w:val="005E6111"/>
    <w:rsid w:val="005E62B9"/>
    <w:rsid w:val="005E7785"/>
    <w:rsid w:val="005E7DAF"/>
    <w:rsid w:val="005F1847"/>
    <w:rsid w:val="005F44CE"/>
    <w:rsid w:val="005F4608"/>
    <w:rsid w:val="005F4F3D"/>
    <w:rsid w:val="005F5887"/>
    <w:rsid w:val="005F72F6"/>
    <w:rsid w:val="0060039B"/>
    <w:rsid w:val="006003FF"/>
    <w:rsid w:val="00601EA8"/>
    <w:rsid w:val="00603803"/>
    <w:rsid w:val="006055A6"/>
    <w:rsid w:val="00605BD2"/>
    <w:rsid w:val="00605D05"/>
    <w:rsid w:val="006061FF"/>
    <w:rsid w:val="006071FD"/>
    <w:rsid w:val="0060722D"/>
    <w:rsid w:val="0061099C"/>
    <w:rsid w:val="006114AB"/>
    <w:rsid w:val="006116FA"/>
    <w:rsid w:val="00611F58"/>
    <w:rsid w:val="00612167"/>
    <w:rsid w:val="00615DC8"/>
    <w:rsid w:val="00616C43"/>
    <w:rsid w:val="00617CC3"/>
    <w:rsid w:val="00622BFF"/>
    <w:rsid w:val="00622D84"/>
    <w:rsid w:val="006250EA"/>
    <w:rsid w:val="00625189"/>
    <w:rsid w:val="00630630"/>
    <w:rsid w:val="0063180E"/>
    <w:rsid w:val="00632C5C"/>
    <w:rsid w:val="00632DEF"/>
    <w:rsid w:val="00633F10"/>
    <w:rsid w:val="006362ED"/>
    <w:rsid w:val="0063682A"/>
    <w:rsid w:val="006369DD"/>
    <w:rsid w:val="006377A6"/>
    <w:rsid w:val="0063796F"/>
    <w:rsid w:val="00637A3D"/>
    <w:rsid w:val="00637D19"/>
    <w:rsid w:val="006411EF"/>
    <w:rsid w:val="00641ED6"/>
    <w:rsid w:val="00644B75"/>
    <w:rsid w:val="006455B5"/>
    <w:rsid w:val="00647189"/>
    <w:rsid w:val="00647CA3"/>
    <w:rsid w:val="00647D34"/>
    <w:rsid w:val="0065099C"/>
    <w:rsid w:val="006510C9"/>
    <w:rsid w:val="006510D1"/>
    <w:rsid w:val="00651264"/>
    <w:rsid w:val="0065250C"/>
    <w:rsid w:val="006528DA"/>
    <w:rsid w:val="00652B61"/>
    <w:rsid w:val="00652D98"/>
    <w:rsid w:val="006547FE"/>
    <w:rsid w:val="00660CB2"/>
    <w:rsid w:val="006610C1"/>
    <w:rsid w:val="006615A1"/>
    <w:rsid w:val="0066273B"/>
    <w:rsid w:val="00662CED"/>
    <w:rsid w:val="00662D03"/>
    <w:rsid w:val="00662FE9"/>
    <w:rsid w:val="006641FB"/>
    <w:rsid w:val="00664783"/>
    <w:rsid w:val="00664813"/>
    <w:rsid w:val="00665F0C"/>
    <w:rsid w:val="006670BD"/>
    <w:rsid w:val="00667F08"/>
    <w:rsid w:val="00667F88"/>
    <w:rsid w:val="00670625"/>
    <w:rsid w:val="0067123D"/>
    <w:rsid w:val="006715CD"/>
    <w:rsid w:val="00672965"/>
    <w:rsid w:val="00672F34"/>
    <w:rsid w:val="00673E8A"/>
    <w:rsid w:val="006748B8"/>
    <w:rsid w:val="006754DE"/>
    <w:rsid w:val="00675BB9"/>
    <w:rsid w:val="006775BA"/>
    <w:rsid w:val="006775C3"/>
    <w:rsid w:val="00677BE6"/>
    <w:rsid w:val="00680017"/>
    <w:rsid w:val="00681F22"/>
    <w:rsid w:val="00682B1D"/>
    <w:rsid w:val="006835D7"/>
    <w:rsid w:val="00686951"/>
    <w:rsid w:val="006874F7"/>
    <w:rsid w:val="006876E4"/>
    <w:rsid w:val="00690F34"/>
    <w:rsid w:val="0069290A"/>
    <w:rsid w:val="0069431C"/>
    <w:rsid w:val="00695009"/>
    <w:rsid w:val="006958B9"/>
    <w:rsid w:val="00695CED"/>
    <w:rsid w:val="006964F8"/>
    <w:rsid w:val="0069651D"/>
    <w:rsid w:val="0069775A"/>
    <w:rsid w:val="00697813"/>
    <w:rsid w:val="00697A76"/>
    <w:rsid w:val="006A017E"/>
    <w:rsid w:val="006A1231"/>
    <w:rsid w:val="006A12F4"/>
    <w:rsid w:val="006A174A"/>
    <w:rsid w:val="006A1E73"/>
    <w:rsid w:val="006A3EE8"/>
    <w:rsid w:val="006A624D"/>
    <w:rsid w:val="006A72BF"/>
    <w:rsid w:val="006A7C8B"/>
    <w:rsid w:val="006B03C1"/>
    <w:rsid w:val="006B03F2"/>
    <w:rsid w:val="006B163E"/>
    <w:rsid w:val="006B24B6"/>
    <w:rsid w:val="006B37DC"/>
    <w:rsid w:val="006B4F68"/>
    <w:rsid w:val="006B5579"/>
    <w:rsid w:val="006B569B"/>
    <w:rsid w:val="006B59BC"/>
    <w:rsid w:val="006B60AC"/>
    <w:rsid w:val="006B60B6"/>
    <w:rsid w:val="006B6929"/>
    <w:rsid w:val="006B72AC"/>
    <w:rsid w:val="006B73F8"/>
    <w:rsid w:val="006B76BC"/>
    <w:rsid w:val="006C0524"/>
    <w:rsid w:val="006C0592"/>
    <w:rsid w:val="006C0AE1"/>
    <w:rsid w:val="006C272E"/>
    <w:rsid w:val="006C3564"/>
    <w:rsid w:val="006C3F9F"/>
    <w:rsid w:val="006C5479"/>
    <w:rsid w:val="006C5AB2"/>
    <w:rsid w:val="006C6C89"/>
    <w:rsid w:val="006C75EF"/>
    <w:rsid w:val="006D019A"/>
    <w:rsid w:val="006D023F"/>
    <w:rsid w:val="006D0A0C"/>
    <w:rsid w:val="006D13B5"/>
    <w:rsid w:val="006D2350"/>
    <w:rsid w:val="006D38FC"/>
    <w:rsid w:val="006D3BAD"/>
    <w:rsid w:val="006D3CA8"/>
    <w:rsid w:val="006D47F1"/>
    <w:rsid w:val="006D5EC4"/>
    <w:rsid w:val="006D616F"/>
    <w:rsid w:val="006E12FF"/>
    <w:rsid w:val="006E187E"/>
    <w:rsid w:val="006E2974"/>
    <w:rsid w:val="006E35BC"/>
    <w:rsid w:val="006E3C1C"/>
    <w:rsid w:val="006E607E"/>
    <w:rsid w:val="006E7F43"/>
    <w:rsid w:val="006F05C7"/>
    <w:rsid w:val="006F23A1"/>
    <w:rsid w:val="006F2BF9"/>
    <w:rsid w:val="006F39B4"/>
    <w:rsid w:val="006F6545"/>
    <w:rsid w:val="006F7219"/>
    <w:rsid w:val="006F795A"/>
    <w:rsid w:val="00700A16"/>
    <w:rsid w:val="00700E07"/>
    <w:rsid w:val="00703D8D"/>
    <w:rsid w:val="00706C5D"/>
    <w:rsid w:val="00707014"/>
    <w:rsid w:val="00707042"/>
    <w:rsid w:val="00707412"/>
    <w:rsid w:val="007101C9"/>
    <w:rsid w:val="00710D47"/>
    <w:rsid w:val="00711AEC"/>
    <w:rsid w:val="00711D52"/>
    <w:rsid w:val="00712AF1"/>
    <w:rsid w:val="00712B44"/>
    <w:rsid w:val="0071312C"/>
    <w:rsid w:val="0071341F"/>
    <w:rsid w:val="007213C2"/>
    <w:rsid w:val="00721A60"/>
    <w:rsid w:val="00723806"/>
    <w:rsid w:val="007238E3"/>
    <w:rsid w:val="00724CCB"/>
    <w:rsid w:val="007250CE"/>
    <w:rsid w:val="007257D5"/>
    <w:rsid w:val="00725EAB"/>
    <w:rsid w:val="007273D2"/>
    <w:rsid w:val="00730BCE"/>
    <w:rsid w:val="00732215"/>
    <w:rsid w:val="00732922"/>
    <w:rsid w:val="007329A2"/>
    <w:rsid w:val="00732CB5"/>
    <w:rsid w:val="007331EE"/>
    <w:rsid w:val="00734E4B"/>
    <w:rsid w:val="007350A2"/>
    <w:rsid w:val="0073543B"/>
    <w:rsid w:val="007361CE"/>
    <w:rsid w:val="007403C3"/>
    <w:rsid w:val="0074058F"/>
    <w:rsid w:val="00740699"/>
    <w:rsid w:val="00740BCB"/>
    <w:rsid w:val="0074169F"/>
    <w:rsid w:val="0074364D"/>
    <w:rsid w:val="00744FFB"/>
    <w:rsid w:val="00745B6F"/>
    <w:rsid w:val="0075162E"/>
    <w:rsid w:val="00752094"/>
    <w:rsid w:val="007529E8"/>
    <w:rsid w:val="00753DB0"/>
    <w:rsid w:val="00753E9D"/>
    <w:rsid w:val="00754034"/>
    <w:rsid w:val="00755F78"/>
    <w:rsid w:val="00756556"/>
    <w:rsid w:val="00756D55"/>
    <w:rsid w:val="007574E9"/>
    <w:rsid w:val="007608F8"/>
    <w:rsid w:val="007618C4"/>
    <w:rsid w:val="00762AF1"/>
    <w:rsid w:val="00764FD9"/>
    <w:rsid w:val="00767980"/>
    <w:rsid w:val="00767BA2"/>
    <w:rsid w:val="00770007"/>
    <w:rsid w:val="00770B19"/>
    <w:rsid w:val="00770BBF"/>
    <w:rsid w:val="00771664"/>
    <w:rsid w:val="0077207C"/>
    <w:rsid w:val="0077463F"/>
    <w:rsid w:val="00774FF4"/>
    <w:rsid w:val="007753A1"/>
    <w:rsid w:val="007757E0"/>
    <w:rsid w:val="00777061"/>
    <w:rsid w:val="0078097D"/>
    <w:rsid w:val="00780BE7"/>
    <w:rsid w:val="0078112F"/>
    <w:rsid w:val="0078117F"/>
    <w:rsid w:val="007818A8"/>
    <w:rsid w:val="00781D00"/>
    <w:rsid w:val="00782836"/>
    <w:rsid w:val="007832BF"/>
    <w:rsid w:val="007836EA"/>
    <w:rsid w:val="007837EE"/>
    <w:rsid w:val="00784CDA"/>
    <w:rsid w:val="007859DF"/>
    <w:rsid w:val="00785EC3"/>
    <w:rsid w:val="007864C7"/>
    <w:rsid w:val="0078682F"/>
    <w:rsid w:val="00787EEA"/>
    <w:rsid w:val="007906C4"/>
    <w:rsid w:val="00791966"/>
    <w:rsid w:val="00792871"/>
    <w:rsid w:val="00792898"/>
    <w:rsid w:val="00793751"/>
    <w:rsid w:val="007940EA"/>
    <w:rsid w:val="00794472"/>
    <w:rsid w:val="007958AB"/>
    <w:rsid w:val="00795A2E"/>
    <w:rsid w:val="00795FE5"/>
    <w:rsid w:val="007967E8"/>
    <w:rsid w:val="007978BD"/>
    <w:rsid w:val="007A17AF"/>
    <w:rsid w:val="007A19B4"/>
    <w:rsid w:val="007A1D9B"/>
    <w:rsid w:val="007A2170"/>
    <w:rsid w:val="007A22BF"/>
    <w:rsid w:val="007A2C5D"/>
    <w:rsid w:val="007A3323"/>
    <w:rsid w:val="007A3CC8"/>
    <w:rsid w:val="007A645D"/>
    <w:rsid w:val="007A682F"/>
    <w:rsid w:val="007A6ADD"/>
    <w:rsid w:val="007A77DC"/>
    <w:rsid w:val="007B0D82"/>
    <w:rsid w:val="007B12D8"/>
    <w:rsid w:val="007B3F53"/>
    <w:rsid w:val="007B44AA"/>
    <w:rsid w:val="007B72B8"/>
    <w:rsid w:val="007B7A58"/>
    <w:rsid w:val="007C1A66"/>
    <w:rsid w:val="007C21B5"/>
    <w:rsid w:val="007C22CC"/>
    <w:rsid w:val="007C28F9"/>
    <w:rsid w:val="007C2C87"/>
    <w:rsid w:val="007C39A0"/>
    <w:rsid w:val="007C4082"/>
    <w:rsid w:val="007C660B"/>
    <w:rsid w:val="007C7A38"/>
    <w:rsid w:val="007D0CCF"/>
    <w:rsid w:val="007D1560"/>
    <w:rsid w:val="007D177C"/>
    <w:rsid w:val="007D2A0E"/>
    <w:rsid w:val="007D2C79"/>
    <w:rsid w:val="007D34E7"/>
    <w:rsid w:val="007D3BCC"/>
    <w:rsid w:val="007D44D5"/>
    <w:rsid w:val="007D495C"/>
    <w:rsid w:val="007D53E9"/>
    <w:rsid w:val="007D783B"/>
    <w:rsid w:val="007D7CDF"/>
    <w:rsid w:val="007E0DEF"/>
    <w:rsid w:val="007E15D4"/>
    <w:rsid w:val="007E4BD2"/>
    <w:rsid w:val="007E4C04"/>
    <w:rsid w:val="007E4DE7"/>
    <w:rsid w:val="007E51C2"/>
    <w:rsid w:val="007F086A"/>
    <w:rsid w:val="007F10B5"/>
    <w:rsid w:val="007F1466"/>
    <w:rsid w:val="007F229A"/>
    <w:rsid w:val="007F2674"/>
    <w:rsid w:val="007F27CA"/>
    <w:rsid w:val="007F52CE"/>
    <w:rsid w:val="007F593C"/>
    <w:rsid w:val="007F6A77"/>
    <w:rsid w:val="007F6A83"/>
    <w:rsid w:val="007F6BF7"/>
    <w:rsid w:val="00801393"/>
    <w:rsid w:val="00801EE5"/>
    <w:rsid w:val="00802F88"/>
    <w:rsid w:val="0080603B"/>
    <w:rsid w:val="008060A5"/>
    <w:rsid w:val="00806752"/>
    <w:rsid w:val="00806BD5"/>
    <w:rsid w:val="008075D3"/>
    <w:rsid w:val="00807BE9"/>
    <w:rsid w:val="00810F73"/>
    <w:rsid w:val="008118B8"/>
    <w:rsid w:val="00811F10"/>
    <w:rsid w:val="0081293E"/>
    <w:rsid w:val="00812B33"/>
    <w:rsid w:val="00813292"/>
    <w:rsid w:val="00814795"/>
    <w:rsid w:val="00815465"/>
    <w:rsid w:val="008157A8"/>
    <w:rsid w:val="00815A9C"/>
    <w:rsid w:val="00816925"/>
    <w:rsid w:val="00817E9A"/>
    <w:rsid w:val="00817F9C"/>
    <w:rsid w:val="00821C1A"/>
    <w:rsid w:val="00822CCA"/>
    <w:rsid w:val="00825EBD"/>
    <w:rsid w:val="00826743"/>
    <w:rsid w:val="00826AE2"/>
    <w:rsid w:val="008271BE"/>
    <w:rsid w:val="00827B4E"/>
    <w:rsid w:val="008306BD"/>
    <w:rsid w:val="00831A80"/>
    <w:rsid w:val="00831CDC"/>
    <w:rsid w:val="00833743"/>
    <w:rsid w:val="008340A4"/>
    <w:rsid w:val="008340B2"/>
    <w:rsid w:val="00834B8B"/>
    <w:rsid w:val="00834DF0"/>
    <w:rsid w:val="00835414"/>
    <w:rsid w:val="00835B62"/>
    <w:rsid w:val="00837561"/>
    <w:rsid w:val="00837F34"/>
    <w:rsid w:val="00840681"/>
    <w:rsid w:val="00841053"/>
    <w:rsid w:val="00842090"/>
    <w:rsid w:val="008428F2"/>
    <w:rsid w:val="00847577"/>
    <w:rsid w:val="00851274"/>
    <w:rsid w:val="0085161D"/>
    <w:rsid w:val="0085169C"/>
    <w:rsid w:val="00852108"/>
    <w:rsid w:val="00853184"/>
    <w:rsid w:val="0085422E"/>
    <w:rsid w:val="00856942"/>
    <w:rsid w:val="00857563"/>
    <w:rsid w:val="00857EFC"/>
    <w:rsid w:val="008608BB"/>
    <w:rsid w:val="00861FFF"/>
    <w:rsid w:val="0086414F"/>
    <w:rsid w:val="00864A36"/>
    <w:rsid w:val="00864DCF"/>
    <w:rsid w:val="00865B90"/>
    <w:rsid w:val="00871188"/>
    <w:rsid w:val="0087135F"/>
    <w:rsid w:val="00871E75"/>
    <w:rsid w:val="008724FF"/>
    <w:rsid w:val="00872695"/>
    <w:rsid w:val="0087282E"/>
    <w:rsid w:val="00872D94"/>
    <w:rsid w:val="0087367C"/>
    <w:rsid w:val="008751C1"/>
    <w:rsid w:val="00875C01"/>
    <w:rsid w:val="00876E83"/>
    <w:rsid w:val="00880364"/>
    <w:rsid w:val="0088081B"/>
    <w:rsid w:val="00883D25"/>
    <w:rsid w:val="00885116"/>
    <w:rsid w:val="00885B35"/>
    <w:rsid w:val="0088785B"/>
    <w:rsid w:val="0089097A"/>
    <w:rsid w:val="00891070"/>
    <w:rsid w:val="00891592"/>
    <w:rsid w:val="00891A9C"/>
    <w:rsid w:val="00891E9E"/>
    <w:rsid w:val="00892223"/>
    <w:rsid w:val="00895458"/>
    <w:rsid w:val="00895619"/>
    <w:rsid w:val="00895DDE"/>
    <w:rsid w:val="00895FA2"/>
    <w:rsid w:val="00896284"/>
    <w:rsid w:val="00896D8C"/>
    <w:rsid w:val="00896F62"/>
    <w:rsid w:val="00897959"/>
    <w:rsid w:val="008A1E1D"/>
    <w:rsid w:val="008A2F68"/>
    <w:rsid w:val="008A37FE"/>
    <w:rsid w:val="008A38C5"/>
    <w:rsid w:val="008A428B"/>
    <w:rsid w:val="008A49D6"/>
    <w:rsid w:val="008A52C6"/>
    <w:rsid w:val="008A73DF"/>
    <w:rsid w:val="008B1BDC"/>
    <w:rsid w:val="008B1D82"/>
    <w:rsid w:val="008B2038"/>
    <w:rsid w:val="008B2892"/>
    <w:rsid w:val="008B3F22"/>
    <w:rsid w:val="008B4FA6"/>
    <w:rsid w:val="008B5282"/>
    <w:rsid w:val="008B5F6E"/>
    <w:rsid w:val="008B6AC9"/>
    <w:rsid w:val="008B781D"/>
    <w:rsid w:val="008B7C17"/>
    <w:rsid w:val="008B7E2A"/>
    <w:rsid w:val="008C0280"/>
    <w:rsid w:val="008C04EE"/>
    <w:rsid w:val="008C06D9"/>
    <w:rsid w:val="008C0D55"/>
    <w:rsid w:val="008C2CAA"/>
    <w:rsid w:val="008C2D01"/>
    <w:rsid w:val="008C37B3"/>
    <w:rsid w:val="008C40E6"/>
    <w:rsid w:val="008C58AF"/>
    <w:rsid w:val="008C64EC"/>
    <w:rsid w:val="008C6B9A"/>
    <w:rsid w:val="008C6F19"/>
    <w:rsid w:val="008C7097"/>
    <w:rsid w:val="008C71AB"/>
    <w:rsid w:val="008C71C6"/>
    <w:rsid w:val="008C7822"/>
    <w:rsid w:val="008D0012"/>
    <w:rsid w:val="008D0F7A"/>
    <w:rsid w:val="008D1287"/>
    <w:rsid w:val="008D2059"/>
    <w:rsid w:val="008D2FED"/>
    <w:rsid w:val="008D3F29"/>
    <w:rsid w:val="008D53F1"/>
    <w:rsid w:val="008D54E6"/>
    <w:rsid w:val="008D68E4"/>
    <w:rsid w:val="008D6F6A"/>
    <w:rsid w:val="008E0506"/>
    <w:rsid w:val="008E0B66"/>
    <w:rsid w:val="008E0CFF"/>
    <w:rsid w:val="008E0F51"/>
    <w:rsid w:val="008E1146"/>
    <w:rsid w:val="008E2163"/>
    <w:rsid w:val="008E4035"/>
    <w:rsid w:val="008E551A"/>
    <w:rsid w:val="008E5D6B"/>
    <w:rsid w:val="008E6134"/>
    <w:rsid w:val="008E65C2"/>
    <w:rsid w:val="008E7028"/>
    <w:rsid w:val="008E76F0"/>
    <w:rsid w:val="008F15FE"/>
    <w:rsid w:val="008F24E2"/>
    <w:rsid w:val="008F2D29"/>
    <w:rsid w:val="008F2DA5"/>
    <w:rsid w:val="008F5187"/>
    <w:rsid w:val="008F60D8"/>
    <w:rsid w:val="008F63C9"/>
    <w:rsid w:val="008F6E0A"/>
    <w:rsid w:val="008F71A8"/>
    <w:rsid w:val="00901A2C"/>
    <w:rsid w:val="00901EE7"/>
    <w:rsid w:val="00902568"/>
    <w:rsid w:val="00902727"/>
    <w:rsid w:val="00902DB2"/>
    <w:rsid w:val="0090312B"/>
    <w:rsid w:val="009037A8"/>
    <w:rsid w:val="009038C9"/>
    <w:rsid w:val="0090466B"/>
    <w:rsid w:val="00904952"/>
    <w:rsid w:val="00906824"/>
    <w:rsid w:val="00906EE0"/>
    <w:rsid w:val="009073AB"/>
    <w:rsid w:val="00912064"/>
    <w:rsid w:val="0091437F"/>
    <w:rsid w:val="0091524D"/>
    <w:rsid w:val="00915762"/>
    <w:rsid w:val="00915FB9"/>
    <w:rsid w:val="00916898"/>
    <w:rsid w:val="00916FD8"/>
    <w:rsid w:val="0091736D"/>
    <w:rsid w:val="00917439"/>
    <w:rsid w:val="00924522"/>
    <w:rsid w:val="0092656B"/>
    <w:rsid w:val="00926612"/>
    <w:rsid w:val="00927016"/>
    <w:rsid w:val="00930024"/>
    <w:rsid w:val="009302B4"/>
    <w:rsid w:val="0093037A"/>
    <w:rsid w:val="0093064F"/>
    <w:rsid w:val="009308F4"/>
    <w:rsid w:val="00930E88"/>
    <w:rsid w:val="00933027"/>
    <w:rsid w:val="00933657"/>
    <w:rsid w:val="00933769"/>
    <w:rsid w:val="00933D01"/>
    <w:rsid w:val="00936800"/>
    <w:rsid w:val="00936A52"/>
    <w:rsid w:val="00940ECF"/>
    <w:rsid w:val="0094154D"/>
    <w:rsid w:val="00942A1A"/>
    <w:rsid w:val="00945E57"/>
    <w:rsid w:val="00945F27"/>
    <w:rsid w:val="0094763B"/>
    <w:rsid w:val="00947EA7"/>
    <w:rsid w:val="00950919"/>
    <w:rsid w:val="00950B58"/>
    <w:rsid w:val="0095155F"/>
    <w:rsid w:val="00954429"/>
    <w:rsid w:val="009547D8"/>
    <w:rsid w:val="00954C38"/>
    <w:rsid w:val="009550C3"/>
    <w:rsid w:val="009561AA"/>
    <w:rsid w:val="009563CE"/>
    <w:rsid w:val="00956FAB"/>
    <w:rsid w:val="009579E1"/>
    <w:rsid w:val="00957B91"/>
    <w:rsid w:val="009602B7"/>
    <w:rsid w:val="00960482"/>
    <w:rsid w:val="009611F5"/>
    <w:rsid w:val="009640BA"/>
    <w:rsid w:val="00964624"/>
    <w:rsid w:val="00964A52"/>
    <w:rsid w:val="00964D41"/>
    <w:rsid w:val="00965971"/>
    <w:rsid w:val="00967C87"/>
    <w:rsid w:val="0097069B"/>
    <w:rsid w:val="00970BDA"/>
    <w:rsid w:val="00970C84"/>
    <w:rsid w:val="00971906"/>
    <w:rsid w:val="00971CB2"/>
    <w:rsid w:val="00973CA8"/>
    <w:rsid w:val="009747A5"/>
    <w:rsid w:val="00975AA3"/>
    <w:rsid w:val="00976328"/>
    <w:rsid w:val="0097647A"/>
    <w:rsid w:val="009767B0"/>
    <w:rsid w:val="0097680D"/>
    <w:rsid w:val="00980BE6"/>
    <w:rsid w:val="00980E0A"/>
    <w:rsid w:val="00981602"/>
    <w:rsid w:val="009816F1"/>
    <w:rsid w:val="00982438"/>
    <w:rsid w:val="009830BE"/>
    <w:rsid w:val="00983BA7"/>
    <w:rsid w:val="0098404C"/>
    <w:rsid w:val="00985283"/>
    <w:rsid w:val="00986828"/>
    <w:rsid w:val="00986C3B"/>
    <w:rsid w:val="00986DC4"/>
    <w:rsid w:val="00986EAC"/>
    <w:rsid w:val="00987B61"/>
    <w:rsid w:val="00990281"/>
    <w:rsid w:val="009923E0"/>
    <w:rsid w:val="009925FE"/>
    <w:rsid w:val="0099521B"/>
    <w:rsid w:val="00995992"/>
    <w:rsid w:val="00997C62"/>
    <w:rsid w:val="009A03E5"/>
    <w:rsid w:val="009A0F3B"/>
    <w:rsid w:val="009A1423"/>
    <w:rsid w:val="009A1BB4"/>
    <w:rsid w:val="009A2031"/>
    <w:rsid w:val="009A2628"/>
    <w:rsid w:val="009A3200"/>
    <w:rsid w:val="009A3632"/>
    <w:rsid w:val="009A3752"/>
    <w:rsid w:val="009A5A75"/>
    <w:rsid w:val="009A7DA1"/>
    <w:rsid w:val="009A7F2D"/>
    <w:rsid w:val="009B0897"/>
    <w:rsid w:val="009B0B19"/>
    <w:rsid w:val="009B1582"/>
    <w:rsid w:val="009B491F"/>
    <w:rsid w:val="009B6FA6"/>
    <w:rsid w:val="009B70E6"/>
    <w:rsid w:val="009B7BD9"/>
    <w:rsid w:val="009C2E04"/>
    <w:rsid w:val="009C5922"/>
    <w:rsid w:val="009C59B8"/>
    <w:rsid w:val="009C6267"/>
    <w:rsid w:val="009C6BF8"/>
    <w:rsid w:val="009C7150"/>
    <w:rsid w:val="009C75F5"/>
    <w:rsid w:val="009C7740"/>
    <w:rsid w:val="009C7D23"/>
    <w:rsid w:val="009C7DD5"/>
    <w:rsid w:val="009C7EBD"/>
    <w:rsid w:val="009D0142"/>
    <w:rsid w:val="009D0247"/>
    <w:rsid w:val="009D2A77"/>
    <w:rsid w:val="009D3666"/>
    <w:rsid w:val="009D3D28"/>
    <w:rsid w:val="009D3DE4"/>
    <w:rsid w:val="009D3F65"/>
    <w:rsid w:val="009D4057"/>
    <w:rsid w:val="009D4C9E"/>
    <w:rsid w:val="009E0520"/>
    <w:rsid w:val="009E0CC7"/>
    <w:rsid w:val="009E13AC"/>
    <w:rsid w:val="009E189A"/>
    <w:rsid w:val="009E227D"/>
    <w:rsid w:val="009E3E54"/>
    <w:rsid w:val="009E4D43"/>
    <w:rsid w:val="009E5019"/>
    <w:rsid w:val="009E5DB3"/>
    <w:rsid w:val="009E66DE"/>
    <w:rsid w:val="009E6EAE"/>
    <w:rsid w:val="009F0165"/>
    <w:rsid w:val="009F1FD1"/>
    <w:rsid w:val="009F1FF0"/>
    <w:rsid w:val="009F2996"/>
    <w:rsid w:val="009F37B1"/>
    <w:rsid w:val="009F3C5B"/>
    <w:rsid w:val="009F4C15"/>
    <w:rsid w:val="009F6300"/>
    <w:rsid w:val="009F6302"/>
    <w:rsid w:val="00A0014B"/>
    <w:rsid w:val="00A00FB3"/>
    <w:rsid w:val="00A01EB7"/>
    <w:rsid w:val="00A03125"/>
    <w:rsid w:val="00A03414"/>
    <w:rsid w:val="00A03CEB"/>
    <w:rsid w:val="00A04B6B"/>
    <w:rsid w:val="00A04F1B"/>
    <w:rsid w:val="00A0501B"/>
    <w:rsid w:val="00A058E4"/>
    <w:rsid w:val="00A10314"/>
    <w:rsid w:val="00A10B13"/>
    <w:rsid w:val="00A11F50"/>
    <w:rsid w:val="00A1455C"/>
    <w:rsid w:val="00A14947"/>
    <w:rsid w:val="00A1496B"/>
    <w:rsid w:val="00A14E79"/>
    <w:rsid w:val="00A20135"/>
    <w:rsid w:val="00A209BA"/>
    <w:rsid w:val="00A20FD7"/>
    <w:rsid w:val="00A217C2"/>
    <w:rsid w:val="00A22302"/>
    <w:rsid w:val="00A22FEC"/>
    <w:rsid w:val="00A23626"/>
    <w:rsid w:val="00A24ECC"/>
    <w:rsid w:val="00A26E2B"/>
    <w:rsid w:val="00A27AB1"/>
    <w:rsid w:val="00A31468"/>
    <w:rsid w:val="00A31FA9"/>
    <w:rsid w:val="00A32940"/>
    <w:rsid w:val="00A32A83"/>
    <w:rsid w:val="00A32B01"/>
    <w:rsid w:val="00A32E73"/>
    <w:rsid w:val="00A33B30"/>
    <w:rsid w:val="00A33EDD"/>
    <w:rsid w:val="00A3442C"/>
    <w:rsid w:val="00A346E3"/>
    <w:rsid w:val="00A368DB"/>
    <w:rsid w:val="00A376A4"/>
    <w:rsid w:val="00A4010A"/>
    <w:rsid w:val="00A41770"/>
    <w:rsid w:val="00A4179D"/>
    <w:rsid w:val="00A423AA"/>
    <w:rsid w:val="00A42653"/>
    <w:rsid w:val="00A45A28"/>
    <w:rsid w:val="00A5126C"/>
    <w:rsid w:val="00A536D7"/>
    <w:rsid w:val="00A53EC6"/>
    <w:rsid w:val="00A554B0"/>
    <w:rsid w:val="00A55C0F"/>
    <w:rsid w:val="00A56DB9"/>
    <w:rsid w:val="00A574C6"/>
    <w:rsid w:val="00A57977"/>
    <w:rsid w:val="00A62CDA"/>
    <w:rsid w:val="00A63C50"/>
    <w:rsid w:val="00A640C8"/>
    <w:rsid w:val="00A65B49"/>
    <w:rsid w:val="00A66345"/>
    <w:rsid w:val="00A705D2"/>
    <w:rsid w:val="00A71E6A"/>
    <w:rsid w:val="00A73896"/>
    <w:rsid w:val="00A75D07"/>
    <w:rsid w:val="00A76843"/>
    <w:rsid w:val="00A77144"/>
    <w:rsid w:val="00A778CD"/>
    <w:rsid w:val="00A80E05"/>
    <w:rsid w:val="00A80FFA"/>
    <w:rsid w:val="00A81CBA"/>
    <w:rsid w:val="00A8213F"/>
    <w:rsid w:val="00A824A9"/>
    <w:rsid w:val="00A82770"/>
    <w:rsid w:val="00A82B14"/>
    <w:rsid w:val="00A837B9"/>
    <w:rsid w:val="00A8452E"/>
    <w:rsid w:val="00A849F0"/>
    <w:rsid w:val="00A851A6"/>
    <w:rsid w:val="00A8649C"/>
    <w:rsid w:val="00A866E2"/>
    <w:rsid w:val="00A8713F"/>
    <w:rsid w:val="00A90845"/>
    <w:rsid w:val="00A90BA1"/>
    <w:rsid w:val="00A90DC0"/>
    <w:rsid w:val="00A927CD"/>
    <w:rsid w:val="00A92ABA"/>
    <w:rsid w:val="00A92C6A"/>
    <w:rsid w:val="00A93A38"/>
    <w:rsid w:val="00A945D4"/>
    <w:rsid w:val="00A94C10"/>
    <w:rsid w:val="00A95431"/>
    <w:rsid w:val="00A9555E"/>
    <w:rsid w:val="00A957AD"/>
    <w:rsid w:val="00A95B1B"/>
    <w:rsid w:val="00A97A9A"/>
    <w:rsid w:val="00AA0671"/>
    <w:rsid w:val="00AA2531"/>
    <w:rsid w:val="00AA28F3"/>
    <w:rsid w:val="00AA41E0"/>
    <w:rsid w:val="00AA53D4"/>
    <w:rsid w:val="00AA5DBB"/>
    <w:rsid w:val="00AA7B89"/>
    <w:rsid w:val="00AB1E09"/>
    <w:rsid w:val="00AB1F63"/>
    <w:rsid w:val="00AB3AA6"/>
    <w:rsid w:val="00AB4B78"/>
    <w:rsid w:val="00AB4DC5"/>
    <w:rsid w:val="00AB5330"/>
    <w:rsid w:val="00AB6AF1"/>
    <w:rsid w:val="00AB6C94"/>
    <w:rsid w:val="00AB7747"/>
    <w:rsid w:val="00AB7DAE"/>
    <w:rsid w:val="00AC1245"/>
    <w:rsid w:val="00AC14CE"/>
    <w:rsid w:val="00AC1573"/>
    <w:rsid w:val="00AC15BC"/>
    <w:rsid w:val="00AC20E8"/>
    <w:rsid w:val="00AC2731"/>
    <w:rsid w:val="00AC28EA"/>
    <w:rsid w:val="00AC2A56"/>
    <w:rsid w:val="00AC31F3"/>
    <w:rsid w:val="00AC3C13"/>
    <w:rsid w:val="00AC4878"/>
    <w:rsid w:val="00AC633E"/>
    <w:rsid w:val="00AC7DFA"/>
    <w:rsid w:val="00AD055E"/>
    <w:rsid w:val="00AD12BB"/>
    <w:rsid w:val="00AD17D7"/>
    <w:rsid w:val="00AD18ED"/>
    <w:rsid w:val="00AD41BF"/>
    <w:rsid w:val="00AD47A7"/>
    <w:rsid w:val="00AD4B1D"/>
    <w:rsid w:val="00AD53AB"/>
    <w:rsid w:val="00AD5EC0"/>
    <w:rsid w:val="00AD69E1"/>
    <w:rsid w:val="00AE16FF"/>
    <w:rsid w:val="00AE1864"/>
    <w:rsid w:val="00AE2570"/>
    <w:rsid w:val="00AE2EC8"/>
    <w:rsid w:val="00AE4399"/>
    <w:rsid w:val="00AE4A28"/>
    <w:rsid w:val="00AE4F20"/>
    <w:rsid w:val="00AE50F1"/>
    <w:rsid w:val="00AF019B"/>
    <w:rsid w:val="00AF0CBF"/>
    <w:rsid w:val="00AF257F"/>
    <w:rsid w:val="00AF26F1"/>
    <w:rsid w:val="00AF33CF"/>
    <w:rsid w:val="00AF4B24"/>
    <w:rsid w:val="00AF4D50"/>
    <w:rsid w:val="00AF52A3"/>
    <w:rsid w:val="00AF6179"/>
    <w:rsid w:val="00AF637A"/>
    <w:rsid w:val="00AF65CE"/>
    <w:rsid w:val="00B004D6"/>
    <w:rsid w:val="00B016AD"/>
    <w:rsid w:val="00B01A85"/>
    <w:rsid w:val="00B01BA1"/>
    <w:rsid w:val="00B03E88"/>
    <w:rsid w:val="00B063AA"/>
    <w:rsid w:val="00B101E1"/>
    <w:rsid w:val="00B11C62"/>
    <w:rsid w:val="00B1232B"/>
    <w:rsid w:val="00B1295A"/>
    <w:rsid w:val="00B13587"/>
    <w:rsid w:val="00B139D2"/>
    <w:rsid w:val="00B156FB"/>
    <w:rsid w:val="00B15C56"/>
    <w:rsid w:val="00B16E45"/>
    <w:rsid w:val="00B20A45"/>
    <w:rsid w:val="00B21306"/>
    <w:rsid w:val="00B21358"/>
    <w:rsid w:val="00B21685"/>
    <w:rsid w:val="00B218D7"/>
    <w:rsid w:val="00B221DD"/>
    <w:rsid w:val="00B22708"/>
    <w:rsid w:val="00B22C5C"/>
    <w:rsid w:val="00B24F30"/>
    <w:rsid w:val="00B26787"/>
    <w:rsid w:val="00B2758F"/>
    <w:rsid w:val="00B31ABF"/>
    <w:rsid w:val="00B323F0"/>
    <w:rsid w:val="00B33BE3"/>
    <w:rsid w:val="00B35202"/>
    <w:rsid w:val="00B4115A"/>
    <w:rsid w:val="00B42063"/>
    <w:rsid w:val="00B43EF4"/>
    <w:rsid w:val="00B44DDB"/>
    <w:rsid w:val="00B509B0"/>
    <w:rsid w:val="00B50F9D"/>
    <w:rsid w:val="00B51750"/>
    <w:rsid w:val="00B51805"/>
    <w:rsid w:val="00B52445"/>
    <w:rsid w:val="00B52B41"/>
    <w:rsid w:val="00B52EB2"/>
    <w:rsid w:val="00B530E3"/>
    <w:rsid w:val="00B5336E"/>
    <w:rsid w:val="00B53A35"/>
    <w:rsid w:val="00B53B5D"/>
    <w:rsid w:val="00B544EC"/>
    <w:rsid w:val="00B56FBE"/>
    <w:rsid w:val="00B6055E"/>
    <w:rsid w:val="00B61867"/>
    <w:rsid w:val="00B6317D"/>
    <w:rsid w:val="00B705F7"/>
    <w:rsid w:val="00B717D0"/>
    <w:rsid w:val="00B72FC5"/>
    <w:rsid w:val="00B73BAF"/>
    <w:rsid w:val="00B74542"/>
    <w:rsid w:val="00B770E6"/>
    <w:rsid w:val="00B7723F"/>
    <w:rsid w:val="00B77EC5"/>
    <w:rsid w:val="00B80534"/>
    <w:rsid w:val="00B8079A"/>
    <w:rsid w:val="00B812C4"/>
    <w:rsid w:val="00B822C1"/>
    <w:rsid w:val="00B82AD7"/>
    <w:rsid w:val="00B82B4C"/>
    <w:rsid w:val="00B840C6"/>
    <w:rsid w:val="00B8433C"/>
    <w:rsid w:val="00B858F5"/>
    <w:rsid w:val="00B864D1"/>
    <w:rsid w:val="00B87491"/>
    <w:rsid w:val="00B87E62"/>
    <w:rsid w:val="00B90EEE"/>
    <w:rsid w:val="00B937AE"/>
    <w:rsid w:val="00B941BF"/>
    <w:rsid w:val="00B942F5"/>
    <w:rsid w:val="00B94CF7"/>
    <w:rsid w:val="00B96777"/>
    <w:rsid w:val="00B96BEA"/>
    <w:rsid w:val="00BA0834"/>
    <w:rsid w:val="00BA29E9"/>
    <w:rsid w:val="00BA46F0"/>
    <w:rsid w:val="00BA7142"/>
    <w:rsid w:val="00BA7BAD"/>
    <w:rsid w:val="00BB000B"/>
    <w:rsid w:val="00BB0E08"/>
    <w:rsid w:val="00BB1729"/>
    <w:rsid w:val="00BB1AA8"/>
    <w:rsid w:val="00BB1D5F"/>
    <w:rsid w:val="00BB1EC9"/>
    <w:rsid w:val="00BB237C"/>
    <w:rsid w:val="00BB2988"/>
    <w:rsid w:val="00BB3FEE"/>
    <w:rsid w:val="00BB41A3"/>
    <w:rsid w:val="00BB42C1"/>
    <w:rsid w:val="00BB5ACF"/>
    <w:rsid w:val="00BB6ECD"/>
    <w:rsid w:val="00BB74B1"/>
    <w:rsid w:val="00BC00A4"/>
    <w:rsid w:val="00BC00BD"/>
    <w:rsid w:val="00BC22D9"/>
    <w:rsid w:val="00BC23B9"/>
    <w:rsid w:val="00BC2768"/>
    <w:rsid w:val="00BC32DC"/>
    <w:rsid w:val="00BC3517"/>
    <w:rsid w:val="00BC35B6"/>
    <w:rsid w:val="00BC4A3B"/>
    <w:rsid w:val="00BC621B"/>
    <w:rsid w:val="00BC64D9"/>
    <w:rsid w:val="00BC76E6"/>
    <w:rsid w:val="00BC7AAB"/>
    <w:rsid w:val="00BD0054"/>
    <w:rsid w:val="00BD0074"/>
    <w:rsid w:val="00BD08BC"/>
    <w:rsid w:val="00BD1B51"/>
    <w:rsid w:val="00BD267F"/>
    <w:rsid w:val="00BD3F55"/>
    <w:rsid w:val="00BD43EC"/>
    <w:rsid w:val="00BD4596"/>
    <w:rsid w:val="00BD5B54"/>
    <w:rsid w:val="00BD5C5D"/>
    <w:rsid w:val="00BE08AE"/>
    <w:rsid w:val="00BE1405"/>
    <w:rsid w:val="00BE312D"/>
    <w:rsid w:val="00BE4957"/>
    <w:rsid w:val="00BF0A6C"/>
    <w:rsid w:val="00BF1443"/>
    <w:rsid w:val="00BF1C20"/>
    <w:rsid w:val="00BF2727"/>
    <w:rsid w:val="00BF3FBB"/>
    <w:rsid w:val="00BF4E06"/>
    <w:rsid w:val="00BF5A0A"/>
    <w:rsid w:val="00BF5A6C"/>
    <w:rsid w:val="00C016EE"/>
    <w:rsid w:val="00C024BE"/>
    <w:rsid w:val="00C04E78"/>
    <w:rsid w:val="00C05082"/>
    <w:rsid w:val="00C06894"/>
    <w:rsid w:val="00C075A0"/>
    <w:rsid w:val="00C10578"/>
    <w:rsid w:val="00C10925"/>
    <w:rsid w:val="00C10B34"/>
    <w:rsid w:val="00C10C19"/>
    <w:rsid w:val="00C10F67"/>
    <w:rsid w:val="00C119FB"/>
    <w:rsid w:val="00C11B1C"/>
    <w:rsid w:val="00C11BE3"/>
    <w:rsid w:val="00C11D19"/>
    <w:rsid w:val="00C12A04"/>
    <w:rsid w:val="00C135BC"/>
    <w:rsid w:val="00C13EFB"/>
    <w:rsid w:val="00C15C95"/>
    <w:rsid w:val="00C16AAE"/>
    <w:rsid w:val="00C17118"/>
    <w:rsid w:val="00C2161C"/>
    <w:rsid w:val="00C2596A"/>
    <w:rsid w:val="00C273FF"/>
    <w:rsid w:val="00C27537"/>
    <w:rsid w:val="00C3061A"/>
    <w:rsid w:val="00C3114B"/>
    <w:rsid w:val="00C32533"/>
    <w:rsid w:val="00C328FE"/>
    <w:rsid w:val="00C33217"/>
    <w:rsid w:val="00C33507"/>
    <w:rsid w:val="00C3403A"/>
    <w:rsid w:val="00C347F1"/>
    <w:rsid w:val="00C35096"/>
    <w:rsid w:val="00C40DA7"/>
    <w:rsid w:val="00C4136F"/>
    <w:rsid w:val="00C43151"/>
    <w:rsid w:val="00C43179"/>
    <w:rsid w:val="00C43A3A"/>
    <w:rsid w:val="00C43AE5"/>
    <w:rsid w:val="00C43E19"/>
    <w:rsid w:val="00C4409D"/>
    <w:rsid w:val="00C44E72"/>
    <w:rsid w:val="00C45A06"/>
    <w:rsid w:val="00C479F2"/>
    <w:rsid w:val="00C47B90"/>
    <w:rsid w:val="00C47E5B"/>
    <w:rsid w:val="00C51E85"/>
    <w:rsid w:val="00C52727"/>
    <w:rsid w:val="00C561CE"/>
    <w:rsid w:val="00C567B3"/>
    <w:rsid w:val="00C56FC5"/>
    <w:rsid w:val="00C57657"/>
    <w:rsid w:val="00C60E66"/>
    <w:rsid w:val="00C61DC4"/>
    <w:rsid w:val="00C61E4B"/>
    <w:rsid w:val="00C6219B"/>
    <w:rsid w:val="00C62FD1"/>
    <w:rsid w:val="00C64A51"/>
    <w:rsid w:val="00C64BFF"/>
    <w:rsid w:val="00C64C5E"/>
    <w:rsid w:val="00C6626F"/>
    <w:rsid w:val="00C6630A"/>
    <w:rsid w:val="00C66A19"/>
    <w:rsid w:val="00C67B7B"/>
    <w:rsid w:val="00C70134"/>
    <w:rsid w:val="00C704E9"/>
    <w:rsid w:val="00C70E20"/>
    <w:rsid w:val="00C73758"/>
    <w:rsid w:val="00C754BD"/>
    <w:rsid w:val="00C75B95"/>
    <w:rsid w:val="00C763C9"/>
    <w:rsid w:val="00C76FEA"/>
    <w:rsid w:val="00C77CB7"/>
    <w:rsid w:val="00C80057"/>
    <w:rsid w:val="00C80FC8"/>
    <w:rsid w:val="00C815D9"/>
    <w:rsid w:val="00C82232"/>
    <w:rsid w:val="00C82913"/>
    <w:rsid w:val="00C84136"/>
    <w:rsid w:val="00C84339"/>
    <w:rsid w:val="00C84A14"/>
    <w:rsid w:val="00C85DB7"/>
    <w:rsid w:val="00C865FE"/>
    <w:rsid w:val="00C86BC0"/>
    <w:rsid w:val="00C912D3"/>
    <w:rsid w:val="00C92C8B"/>
    <w:rsid w:val="00C94324"/>
    <w:rsid w:val="00C972B1"/>
    <w:rsid w:val="00CA010E"/>
    <w:rsid w:val="00CA0DED"/>
    <w:rsid w:val="00CA13CC"/>
    <w:rsid w:val="00CA1801"/>
    <w:rsid w:val="00CA1A48"/>
    <w:rsid w:val="00CA2CCE"/>
    <w:rsid w:val="00CA43FD"/>
    <w:rsid w:val="00CA5E38"/>
    <w:rsid w:val="00CA6067"/>
    <w:rsid w:val="00CA625C"/>
    <w:rsid w:val="00CA655F"/>
    <w:rsid w:val="00CA7BDF"/>
    <w:rsid w:val="00CA7E60"/>
    <w:rsid w:val="00CA7EF8"/>
    <w:rsid w:val="00CB21D4"/>
    <w:rsid w:val="00CB289C"/>
    <w:rsid w:val="00CB386E"/>
    <w:rsid w:val="00CB389B"/>
    <w:rsid w:val="00CB4EF4"/>
    <w:rsid w:val="00CB5B0A"/>
    <w:rsid w:val="00CB77BE"/>
    <w:rsid w:val="00CB792C"/>
    <w:rsid w:val="00CB7D23"/>
    <w:rsid w:val="00CC1FD4"/>
    <w:rsid w:val="00CC31A5"/>
    <w:rsid w:val="00CC4503"/>
    <w:rsid w:val="00CC489B"/>
    <w:rsid w:val="00CC49FE"/>
    <w:rsid w:val="00CC4C5E"/>
    <w:rsid w:val="00CC5C02"/>
    <w:rsid w:val="00CC6905"/>
    <w:rsid w:val="00CC7CA1"/>
    <w:rsid w:val="00CD066D"/>
    <w:rsid w:val="00CD1E69"/>
    <w:rsid w:val="00CD1F8D"/>
    <w:rsid w:val="00CD2BCD"/>
    <w:rsid w:val="00CD3A4C"/>
    <w:rsid w:val="00CD3C3D"/>
    <w:rsid w:val="00CD3E7E"/>
    <w:rsid w:val="00CD48F8"/>
    <w:rsid w:val="00CD6990"/>
    <w:rsid w:val="00CD6C59"/>
    <w:rsid w:val="00CD796D"/>
    <w:rsid w:val="00CE0E4E"/>
    <w:rsid w:val="00CE10E9"/>
    <w:rsid w:val="00CE2910"/>
    <w:rsid w:val="00CE5393"/>
    <w:rsid w:val="00CE6269"/>
    <w:rsid w:val="00CE6FC6"/>
    <w:rsid w:val="00CE73F7"/>
    <w:rsid w:val="00CE7621"/>
    <w:rsid w:val="00CE7EF2"/>
    <w:rsid w:val="00CF06DF"/>
    <w:rsid w:val="00CF1251"/>
    <w:rsid w:val="00CF1AC7"/>
    <w:rsid w:val="00CF2DF6"/>
    <w:rsid w:val="00CF36BE"/>
    <w:rsid w:val="00CF3D14"/>
    <w:rsid w:val="00CF3D20"/>
    <w:rsid w:val="00CF53E6"/>
    <w:rsid w:val="00CF6000"/>
    <w:rsid w:val="00CF6A91"/>
    <w:rsid w:val="00D003F3"/>
    <w:rsid w:val="00D0052C"/>
    <w:rsid w:val="00D0145D"/>
    <w:rsid w:val="00D025BC"/>
    <w:rsid w:val="00D0364F"/>
    <w:rsid w:val="00D03A62"/>
    <w:rsid w:val="00D05C5B"/>
    <w:rsid w:val="00D06834"/>
    <w:rsid w:val="00D103B8"/>
    <w:rsid w:val="00D12370"/>
    <w:rsid w:val="00D13164"/>
    <w:rsid w:val="00D1391A"/>
    <w:rsid w:val="00D1444E"/>
    <w:rsid w:val="00D15152"/>
    <w:rsid w:val="00D1545F"/>
    <w:rsid w:val="00D1570E"/>
    <w:rsid w:val="00D16A7B"/>
    <w:rsid w:val="00D2006D"/>
    <w:rsid w:val="00D20A3F"/>
    <w:rsid w:val="00D20D03"/>
    <w:rsid w:val="00D210DA"/>
    <w:rsid w:val="00D243D3"/>
    <w:rsid w:val="00D25692"/>
    <w:rsid w:val="00D257D5"/>
    <w:rsid w:val="00D25AB4"/>
    <w:rsid w:val="00D27DE4"/>
    <w:rsid w:val="00D308ED"/>
    <w:rsid w:val="00D3141C"/>
    <w:rsid w:val="00D329B0"/>
    <w:rsid w:val="00D34746"/>
    <w:rsid w:val="00D34D1F"/>
    <w:rsid w:val="00D365E7"/>
    <w:rsid w:val="00D36D86"/>
    <w:rsid w:val="00D3793A"/>
    <w:rsid w:val="00D37A6F"/>
    <w:rsid w:val="00D40D29"/>
    <w:rsid w:val="00D40F25"/>
    <w:rsid w:val="00D4101D"/>
    <w:rsid w:val="00D41B01"/>
    <w:rsid w:val="00D425E1"/>
    <w:rsid w:val="00D426A8"/>
    <w:rsid w:val="00D428AA"/>
    <w:rsid w:val="00D45D3E"/>
    <w:rsid w:val="00D46CF3"/>
    <w:rsid w:val="00D47FFB"/>
    <w:rsid w:val="00D50A34"/>
    <w:rsid w:val="00D50F05"/>
    <w:rsid w:val="00D527B1"/>
    <w:rsid w:val="00D52979"/>
    <w:rsid w:val="00D53EFA"/>
    <w:rsid w:val="00D5450C"/>
    <w:rsid w:val="00D55FB9"/>
    <w:rsid w:val="00D57570"/>
    <w:rsid w:val="00D57EC3"/>
    <w:rsid w:val="00D6054D"/>
    <w:rsid w:val="00D60B48"/>
    <w:rsid w:val="00D611DF"/>
    <w:rsid w:val="00D61A37"/>
    <w:rsid w:val="00D62E79"/>
    <w:rsid w:val="00D63036"/>
    <w:rsid w:val="00D630BC"/>
    <w:rsid w:val="00D637FF"/>
    <w:rsid w:val="00D64D54"/>
    <w:rsid w:val="00D65988"/>
    <w:rsid w:val="00D72DDF"/>
    <w:rsid w:val="00D74ED8"/>
    <w:rsid w:val="00D75588"/>
    <w:rsid w:val="00D75D0E"/>
    <w:rsid w:val="00D763C9"/>
    <w:rsid w:val="00D76558"/>
    <w:rsid w:val="00D76AD2"/>
    <w:rsid w:val="00D76D66"/>
    <w:rsid w:val="00D775A6"/>
    <w:rsid w:val="00D82A20"/>
    <w:rsid w:val="00D82D50"/>
    <w:rsid w:val="00D830DE"/>
    <w:rsid w:val="00D83895"/>
    <w:rsid w:val="00D84588"/>
    <w:rsid w:val="00D8460A"/>
    <w:rsid w:val="00D847E7"/>
    <w:rsid w:val="00D849CB"/>
    <w:rsid w:val="00D84BB2"/>
    <w:rsid w:val="00D859FA"/>
    <w:rsid w:val="00D860AE"/>
    <w:rsid w:val="00D864D1"/>
    <w:rsid w:val="00D87334"/>
    <w:rsid w:val="00D91C21"/>
    <w:rsid w:val="00D925EA"/>
    <w:rsid w:val="00D93985"/>
    <w:rsid w:val="00D943D9"/>
    <w:rsid w:val="00D94A7C"/>
    <w:rsid w:val="00D94C39"/>
    <w:rsid w:val="00D95896"/>
    <w:rsid w:val="00D97200"/>
    <w:rsid w:val="00D9748F"/>
    <w:rsid w:val="00DA1908"/>
    <w:rsid w:val="00DA1F83"/>
    <w:rsid w:val="00DA24A7"/>
    <w:rsid w:val="00DA289A"/>
    <w:rsid w:val="00DA3877"/>
    <w:rsid w:val="00DA46D8"/>
    <w:rsid w:val="00DA47BE"/>
    <w:rsid w:val="00DA5BF1"/>
    <w:rsid w:val="00DA782E"/>
    <w:rsid w:val="00DB103D"/>
    <w:rsid w:val="00DB1329"/>
    <w:rsid w:val="00DB288C"/>
    <w:rsid w:val="00DB2983"/>
    <w:rsid w:val="00DB4A62"/>
    <w:rsid w:val="00DB4E98"/>
    <w:rsid w:val="00DB5F8A"/>
    <w:rsid w:val="00DB62B5"/>
    <w:rsid w:val="00DC0057"/>
    <w:rsid w:val="00DC1257"/>
    <w:rsid w:val="00DC3A2B"/>
    <w:rsid w:val="00DC3DC0"/>
    <w:rsid w:val="00DC4D51"/>
    <w:rsid w:val="00DC57A1"/>
    <w:rsid w:val="00DC5B2B"/>
    <w:rsid w:val="00DC79B6"/>
    <w:rsid w:val="00DD0331"/>
    <w:rsid w:val="00DD096D"/>
    <w:rsid w:val="00DD1688"/>
    <w:rsid w:val="00DD1B1A"/>
    <w:rsid w:val="00DD2D79"/>
    <w:rsid w:val="00DD318D"/>
    <w:rsid w:val="00DD6DDD"/>
    <w:rsid w:val="00DD6DF2"/>
    <w:rsid w:val="00DD7813"/>
    <w:rsid w:val="00DD7E01"/>
    <w:rsid w:val="00DE14F8"/>
    <w:rsid w:val="00DE152C"/>
    <w:rsid w:val="00DE2AD5"/>
    <w:rsid w:val="00DE3D17"/>
    <w:rsid w:val="00DE455B"/>
    <w:rsid w:val="00DE63B3"/>
    <w:rsid w:val="00DF2999"/>
    <w:rsid w:val="00DF2E12"/>
    <w:rsid w:val="00DF514A"/>
    <w:rsid w:val="00DF6690"/>
    <w:rsid w:val="00DF6804"/>
    <w:rsid w:val="00DF6E02"/>
    <w:rsid w:val="00DF77F9"/>
    <w:rsid w:val="00E0265A"/>
    <w:rsid w:val="00E029C5"/>
    <w:rsid w:val="00E031C8"/>
    <w:rsid w:val="00E0358D"/>
    <w:rsid w:val="00E03842"/>
    <w:rsid w:val="00E03FC3"/>
    <w:rsid w:val="00E040EB"/>
    <w:rsid w:val="00E0416E"/>
    <w:rsid w:val="00E04323"/>
    <w:rsid w:val="00E0433C"/>
    <w:rsid w:val="00E05306"/>
    <w:rsid w:val="00E05ACC"/>
    <w:rsid w:val="00E070A2"/>
    <w:rsid w:val="00E07185"/>
    <w:rsid w:val="00E10BC1"/>
    <w:rsid w:val="00E10DBF"/>
    <w:rsid w:val="00E118D1"/>
    <w:rsid w:val="00E1230E"/>
    <w:rsid w:val="00E13E48"/>
    <w:rsid w:val="00E16275"/>
    <w:rsid w:val="00E1710F"/>
    <w:rsid w:val="00E17A82"/>
    <w:rsid w:val="00E17B43"/>
    <w:rsid w:val="00E23F1F"/>
    <w:rsid w:val="00E24134"/>
    <w:rsid w:val="00E24A21"/>
    <w:rsid w:val="00E25667"/>
    <w:rsid w:val="00E25BEE"/>
    <w:rsid w:val="00E263F9"/>
    <w:rsid w:val="00E2656A"/>
    <w:rsid w:val="00E31A39"/>
    <w:rsid w:val="00E37510"/>
    <w:rsid w:val="00E41290"/>
    <w:rsid w:val="00E412D0"/>
    <w:rsid w:val="00E41A67"/>
    <w:rsid w:val="00E42CB6"/>
    <w:rsid w:val="00E45397"/>
    <w:rsid w:val="00E45AED"/>
    <w:rsid w:val="00E45F48"/>
    <w:rsid w:val="00E46491"/>
    <w:rsid w:val="00E46B9F"/>
    <w:rsid w:val="00E47275"/>
    <w:rsid w:val="00E476E4"/>
    <w:rsid w:val="00E503B2"/>
    <w:rsid w:val="00E50570"/>
    <w:rsid w:val="00E508D8"/>
    <w:rsid w:val="00E50E1B"/>
    <w:rsid w:val="00E518DB"/>
    <w:rsid w:val="00E53FC5"/>
    <w:rsid w:val="00E56322"/>
    <w:rsid w:val="00E602F9"/>
    <w:rsid w:val="00E60982"/>
    <w:rsid w:val="00E60C30"/>
    <w:rsid w:val="00E61CC4"/>
    <w:rsid w:val="00E62C62"/>
    <w:rsid w:val="00E63805"/>
    <w:rsid w:val="00E63922"/>
    <w:rsid w:val="00E6411F"/>
    <w:rsid w:val="00E646FF"/>
    <w:rsid w:val="00E654C1"/>
    <w:rsid w:val="00E6597A"/>
    <w:rsid w:val="00E65D97"/>
    <w:rsid w:val="00E713DC"/>
    <w:rsid w:val="00E7179D"/>
    <w:rsid w:val="00E72A5A"/>
    <w:rsid w:val="00E73354"/>
    <w:rsid w:val="00E77E37"/>
    <w:rsid w:val="00E81900"/>
    <w:rsid w:val="00E819C9"/>
    <w:rsid w:val="00E81B39"/>
    <w:rsid w:val="00E83109"/>
    <w:rsid w:val="00E859E4"/>
    <w:rsid w:val="00E86926"/>
    <w:rsid w:val="00E86A4B"/>
    <w:rsid w:val="00E86D93"/>
    <w:rsid w:val="00E870A8"/>
    <w:rsid w:val="00E87B41"/>
    <w:rsid w:val="00E914DE"/>
    <w:rsid w:val="00E91854"/>
    <w:rsid w:val="00E9242D"/>
    <w:rsid w:val="00E92620"/>
    <w:rsid w:val="00E926B2"/>
    <w:rsid w:val="00E92E18"/>
    <w:rsid w:val="00E92E8F"/>
    <w:rsid w:val="00E9497D"/>
    <w:rsid w:val="00E949EE"/>
    <w:rsid w:val="00E95F2A"/>
    <w:rsid w:val="00E96162"/>
    <w:rsid w:val="00E96E57"/>
    <w:rsid w:val="00EA0320"/>
    <w:rsid w:val="00EA0DD9"/>
    <w:rsid w:val="00EA2A1E"/>
    <w:rsid w:val="00EA3335"/>
    <w:rsid w:val="00EA4EB1"/>
    <w:rsid w:val="00EA564A"/>
    <w:rsid w:val="00EA7AB9"/>
    <w:rsid w:val="00EB0D40"/>
    <w:rsid w:val="00EB1D44"/>
    <w:rsid w:val="00EB2A10"/>
    <w:rsid w:val="00EB2DA2"/>
    <w:rsid w:val="00EB35AC"/>
    <w:rsid w:val="00EB5255"/>
    <w:rsid w:val="00EB549F"/>
    <w:rsid w:val="00EB57B5"/>
    <w:rsid w:val="00EB5C47"/>
    <w:rsid w:val="00EB69C3"/>
    <w:rsid w:val="00EB6B0A"/>
    <w:rsid w:val="00EB7735"/>
    <w:rsid w:val="00EC0D42"/>
    <w:rsid w:val="00EC0F0C"/>
    <w:rsid w:val="00EC3744"/>
    <w:rsid w:val="00EC457C"/>
    <w:rsid w:val="00EC469C"/>
    <w:rsid w:val="00EC47E9"/>
    <w:rsid w:val="00EC5DDE"/>
    <w:rsid w:val="00EC61EA"/>
    <w:rsid w:val="00EC6218"/>
    <w:rsid w:val="00EC7C17"/>
    <w:rsid w:val="00ED0639"/>
    <w:rsid w:val="00ED0C90"/>
    <w:rsid w:val="00ED1D26"/>
    <w:rsid w:val="00ED205A"/>
    <w:rsid w:val="00ED37D4"/>
    <w:rsid w:val="00ED3F20"/>
    <w:rsid w:val="00ED53BE"/>
    <w:rsid w:val="00ED6CC4"/>
    <w:rsid w:val="00ED7206"/>
    <w:rsid w:val="00ED7216"/>
    <w:rsid w:val="00ED77F0"/>
    <w:rsid w:val="00ED7A07"/>
    <w:rsid w:val="00ED7B1D"/>
    <w:rsid w:val="00EE00C9"/>
    <w:rsid w:val="00EE11B0"/>
    <w:rsid w:val="00EE3E40"/>
    <w:rsid w:val="00EE488F"/>
    <w:rsid w:val="00EE5563"/>
    <w:rsid w:val="00EE675C"/>
    <w:rsid w:val="00EE7848"/>
    <w:rsid w:val="00EF001D"/>
    <w:rsid w:val="00EF2B8B"/>
    <w:rsid w:val="00EF4755"/>
    <w:rsid w:val="00EF5D88"/>
    <w:rsid w:val="00EF5F80"/>
    <w:rsid w:val="00EF7135"/>
    <w:rsid w:val="00F006FC"/>
    <w:rsid w:val="00F008E2"/>
    <w:rsid w:val="00F0144A"/>
    <w:rsid w:val="00F027DB"/>
    <w:rsid w:val="00F03A41"/>
    <w:rsid w:val="00F03A9B"/>
    <w:rsid w:val="00F04A8C"/>
    <w:rsid w:val="00F04AC2"/>
    <w:rsid w:val="00F04E8C"/>
    <w:rsid w:val="00F060E0"/>
    <w:rsid w:val="00F0634F"/>
    <w:rsid w:val="00F139B9"/>
    <w:rsid w:val="00F143E3"/>
    <w:rsid w:val="00F14A7A"/>
    <w:rsid w:val="00F1602E"/>
    <w:rsid w:val="00F16BB9"/>
    <w:rsid w:val="00F16C2A"/>
    <w:rsid w:val="00F20143"/>
    <w:rsid w:val="00F21547"/>
    <w:rsid w:val="00F22034"/>
    <w:rsid w:val="00F223B2"/>
    <w:rsid w:val="00F22985"/>
    <w:rsid w:val="00F23AC0"/>
    <w:rsid w:val="00F2407A"/>
    <w:rsid w:val="00F24A4D"/>
    <w:rsid w:val="00F25D74"/>
    <w:rsid w:val="00F30516"/>
    <w:rsid w:val="00F330FE"/>
    <w:rsid w:val="00F334F4"/>
    <w:rsid w:val="00F3383E"/>
    <w:rsid w:val="00F33D45"/>
    <w:rsid w:val="00F34196"/>
    <w:rsid w:val="00F3461B"/>
    <w:rsid w:val="00F366EA"/>
    <w:rsid w:val="00F36962"/>
    <w:rsid w:val="00F372C2"/>
    <w:rsid w:val="00F42428"/>
    <w:rsid w:val="00F43300"/>
    <w:rsid w:val="00F446FD"/>
    <w:rsid w:val="00F449FA"/>
    <w:rsid w:val="00F45283"/>
    <w:rsid w:val="00F465A7"/>
    <w:rsid w:val="00F46D85"/>
    <w:rsid w:val="00F47FFD"/>
    <w:rsid w:val="00F50B7C"/>
    <w:rsid w:val="00F52FFB"/>
    <w:rsid w:val="00F53369"/>
    <w:rsid w:val="00F545B0"/>
    <w:rsid w:val="00F54689"/>
    <w:rsid w:val="00F550E6"/>
    <w:rsid w:val="00F55DE2"/>
    <w:rsid w:val="00F56194"/>
    <w:rsid w:val="00F5636D"/>
    <w:rsid w:val="00F563AB"/>
    <w:rsid w:val="00F5686E"/>
    <w:rsid w:val="00F56D2D"/>
    <w:rsid w:val="00F600C8"/>
    <w:rsid w:val="00F60981"/>
    <w:rsid w:val="00F6211C"/>
    <w:rsid w:val="00F62245"/>
    <w:rsid w:val="00F62677"/>
    <w:rsid w:val="00F62E72"/>
    <w:rsid w:val="00F63DDB"/>
    <w:rsid w:val="00F6525E"/>
    <w:rsid w:val="00F65674"/>
    <w:rsid w:val="00F67C61"/>
    <w:rsid w:val="00F72950"/>
    <w:rsid w:val="00F7303B"/>
    <w:rsid w:val="00F7392C"/>
    <w:rsid w:val="00F74345"/>
    <w:rsid w:val="00F7481F"/>
    <w:rsid w:val="00F748E3"/>
    <w:rsid w:val="00F74CB8"/>
    <w:rsid w:val="00F7500A"/>
    <w:rsid w:val="00F77EDE"/>
    <w:rsid w:val="00F801E9"/>
    <w:rsid w:val="00F80A0A"/>
    <w:rsid w:val="00F80F5E"/>
    <w:rsid w:val="00F82780"/>
    <w:rsid w:val="00F82B19"/>
    <w:rsid w:val="00F840EF"/>
    <w:rsid w:val="00F85A6C"/>
    <w:rsid w:val="00F85CD5"/>
    <w:rsid w:val="00F87C84"/>
    <w:rsid w:val="00F90587"/>
    <w:rsid w:val="00F9212D"/>
    <w:rsid w:val="00F931E9"/>
    <w:rsid w:val="00F9462D"/>
    <w:rsid w:val="00F94D93"/>
    <w:rsid w:val="00F951D4"/>
    <w:rsid w:val="00F965DA"/>
    <w:rsid w:val="00F96AF9"/>
    <w:rsid w:val="00F96C23"/>
    <w:rsid w:val="00F96D60"/>
    <w:rsid w:val="00F972FF"/>
    <w:rsid w:val="00F9730F"/>
    <w:rsid w:val="00F97771"/>
    <w:rsid w:val="00FA2027"/>
    <w:rsid w:val="00FA33CA"/>
    <w:rsid w:val="00FA357A"/>
    <w:rsid w:val="00FA406A"/>
    <w:rsid w:val="00FA4EAD"/>
    <w:rsid w:val="00FA5900"/>
    <w:rsid w:val="00FA5B3F"/>
    <w:rsid w:val="00FA6480"/>
    <w:rsid w:val="00FA665E"/>
    <w:rsid w:val="00FB1E32"/>
    <w:rsid w:val="00FB2E29"/>
    <w:rsid w:val="00FB30A3"/>
    <w:rsid w:val="00FB4491"/>
    <w:rsid w:val="00FB4662"/>
    <w:rsid w:val="00FB49CF"/>
    <w:rsid w:val="00FB4DD4"/>
    <w:rsid w:val="00FB503A"/>
    <w:rsid w:val="00FB516C"/>
    <w:rsid w:val="00FB54A4"/>
    <w:rsid w:val="00FB5C62"/>
    <w:rsid w:val="00FB5FC8"/>
    <w:rsid w:val="00FC02BB"/>
    <w:rsid w:val="00FC14D2"/>
    <w:rsid w:val="00FC1B40"/>
    <w:rsid w:val="00FC1E8D"/>
    <w:rsid w:val="00FC2DAD"/>
    <w:rsid w:val="00FC35F9"/>
    <w:rsid w:val="00FC3631"/>
    <w:rsid w:val="00FC3C96"/>
    <w:rsid w:val="00FC460E"/>
    <w:rsid w:val="00FC761E"/>
    <w:rsid w:val="00FD0236"/>
    <w:rsid w:val="00FD0D2E"/>
    <w:rsid w:val="00FD131D"/>
    <w:rsid w:val="00FD18F4"/>
    <w:rsid w:val="00FD30F5"/>
    <w:rsid w:val="00FD4324"/>
    <w:rsid w:val="00FD48E6"/>
    <w:rsid w:val="00FD4C6B"/>
    <w:rsid w:val="00FD54DB"/>
    <w:rsid w:val="00FD619F"/>
    <w:rsid w:val="00FD644E"/>
    <w:rsid w:val="00FD711C"/>
    <w:rsid w:val="00FE2BE6"/>
    <w:rsid w:val="00FE4FB4"/>
    <w:rsid w:val="00FE52BA"/>
    <w:rsid w:val="00FE59BC"/>
    <w:rsid w:val="00FF0925"/>
    <w:rsid w:val="00FF28D6"/>
    <w:rsid w:val="00FF39E0"/>
    <w:rsid w:val="00FF4568"/>
    <w:rsid w:val="00FF4ED1"/>
    <w:rsid w:val="00FF603C"/>
    <w:rsid w:val="00FF6444"/>
    <w:rsid w:val="00FF7C1D"/>
    <w:rsid w:val="010540F7"/>
    <w:rsid w:val="010827C0"/>
    <w:rsid w:val="010F4D97"/>
    <w:rsid w:val="011C626C"/>
    <w:rsid w:val="01290F7E"/>
    <w:rsid w:val="012F5F9F"/>
    <w:rsid w:val="01321CDD"/>
    <w:rsid w:val="013958EE"/>
    <w:rsid w:val="013B4F05"/>
    <w:rsid w:val="014C6B51"/>
    <w:rsid w:val="015772A4"/>
    <w:rsid w:val="015C4E83"/>
    <w:rsid w:val="015D1E09"/>
    <w:rsid w:val="01687E91"/>
    <w:rsid w:val="016A2597"/>
    <w:rsid w:val="016D6AC7"/>
    <w:rsid w:val="0178123A"/>
    <w:rsid w:val="017E6F26"/>
    <w:rsid w:val="01800398"/>
    <w:rsid w:val="01804A4C"/>
    <w:rsid w:val="01810B3A"/>
    <w:rsid w:val="019404F8"/>
    <w:rsid w:val="01A23466"/>
    <w:rsid w:val="01A52705"/>
    <w:rsid w:val="01A66F12"/>
    <w:rsid w:val="01B446F6"/>
    <w:rsid w:val="01BB7833"/>
    <w:rsid w:val="01C761D7"/>
    <w:rsid w:val="01C963F3"/>
    <w:rsid w:val="01D47DE9"/>
    <w:rsid w:val="01E63F19"/>
    <w:rsid w:val="01E828A4"/>
    <w:rsid w:val="01E925F2"/>
    <w:rsid w:val="01E956F4"/>
    <w:rsid w:val="01EB1987"/>
    <w:rsid w:val="01F23296"/>
    <w:rsid w:val="0204742C"/>
    <w:rsid w:val="020624C0"/>
    <w:rsid w:val="020D0916"/>
    <w:rsid w:val="021B5753"/>
    <w:rsid w:val="022278B2"/>
    <w:rsid w:val="0227136C"/>
    <w:rsid w:val="0229049E"/>
    <w:rsid w:val="022C6982"/>
    <w:rsid w:val="02343387"/>
    <w:rsid w:val="023615AF"/>
    <w:rsid w:val="02385327"/>
    <w:rsid w:val="023A4BFB"/>
    <w:rsid w:val="023F0464"/>
    <w:rsid w:val="024A3CE3"/>
    <w:rsid w:val="02501A99"/>
    <w:rsid w:val="02557C87"/>
    <w:rsid w:val="0264502E"/>
    <w:rsid w:val="02697903"/>
    <w:rsid w:val="02702D13"/>
    <w:rsid w:val="0273635F"/>
    <w:rsid w:val="02866093"/>
    <w:rsid w:val="02867DA3"/>
    <w:rsid w:val="02931780"/>
    <w:rsid w:val="029915D4"/>
    <w:rsid w:val="02B35B31"/>
    <w:rsid w:val="02B97242"/>
    <w:rsid w:val="02BF35AA"/>
    <w:rsid w:val="02C33B77"/>
    <w:rsid w:val="02C41970"/>
    <w:rsid w:val="02CD1F13"/>
    <w:rsid w:val="02CE3B6B"/>
    <w:rsid w:val="02D74B40"/>
    <w:rsid w:val="02DB2DD5"/>
    <w:rsid w:val="02DF1815"/>
    <w:rsid w:val="02E64D83"/>
    <w:rsid w:val="02EA4873"/>
    <w:rsid w:val="02EF7565"/>
    <w:rsid w:val="02F01568"/>
    <w:rsid w:val="02F9602F"/>
    <w:rsid w:val="02F96569"/>
    <w:rsid w:val="02FE1274"/>
    <w:rsid w:val="03065425"/>
    <w:rsid w:val="031275DC"/>
    <w:rsid w:val="031F08DF"/>
    <w:rsid w:val="033E0DCD"/>
    <w:rsid w:val="03426474"/>
    <w:rsid w:val="034560F6"/>
    <w:rsid w:val="03463A74"/>
    <w:rsid w:val="034B4237"/>
    <w:rsid w:val="035C75DD"/>
    <w:rsid w:val="03634626"/>
    <w:rsid w:val="0365153D"/>
    <w:rsid w:val="03657A72"/>
    <w:rsid w:val="036D1000"/>
    <w:rsid w:val="03704963"/>
    <w:rsid w:val="03914CEF"/>
    <w:rsid w:val="039914C7"/>
    <w:rsid w:val="039A4A40"/>
    <w:rsid w:val="03A40660"/>
    <w:rsid w:val="03A43768"/>
    <w:rsid w:val="03B31109"/>
    <w:rsid w:val="03B76980"/>
    <w:rsid w:val="03CC1E33"/>
    <w:rsid w:val="03CD6C8A"/>
    <w:rsid w:val="03CE736E"/>
    <w:rsid w:val="03D41080"/>
    <w:rsid w:val="03E730BD"/>
    <w:rsid w:val="03EA7B21"/>
    <w:rsid w:val="03FE68E0"/>
    <w:rsid w:val="04043713"/>
    <w:rsid w:val="0405748B"/>
    <w:rsid w:val="040B77C8"/>
    <w:rsid w:val="040E4592"/>
    <w:rsid w:val="041110E3"/>
    <w:rsid w:val="04150817"/>
    <w:rsid w:val="041D2A27"/>
    <w:rsid w:val="041F7A0A"/>
    <w:rsid w:val="04280FC5"/>
    <w:rsid w:val="0442423B"/>
    <w:rsid w:val="044F1A76"/>
    <w:rsid w:val="04561939"/>
    <w:rsid w:val="045A3333"/>
    <w:rsid w:val="045B4DD8"/>
    <w:rsid w:val="0465447A"/>
    <w:rsid w:val="04670D05"/>
    <w:rsid w:val="04674E6C"/>
    <w:rsid w:val="04684391"/>
    <w:rsid w:val="046F6A50"/>
    <w:rsid w:val="04750BEA"/>
    <w:rsid w:val="0479743D"/>
    <w:rsid w:val="04820ADC"/>
    <w:rsid w:val="048C7EBE"/>
    <w:rsid w:val="04A92787"/>
    <w:rsid w:val="04B74C29"/>
    <w:rsid w:val="04C455F7"/>
    <w:rsid w:val="04CE5392"/>
    <w:rsid w:val="04D13746"/>
    <w:rsid w:val="04DB21CB"/>
    <w:rsid w:val="04E25A41"/>
    <w:rsid w:val="04E92909"/>
    <w:rsid w:val="04E95C95"/>
    <w:rsid w:val="04ED3767"/>
    <w:rsid w:val="04FE4606"/>
    <w:rsid w:val="04FF57DA"/>
    <w:rsid w:val="05064981"/>
    <w:rsid w:val="05110BD1"/>
    <w:rsid w:val="0517199C"/>
    <w:rsid w:val="051B47FF"/>
    <w:rsid w:val="051F632A"/>
    <w:rsid w:val="0528391D"/>
    <w:rsid w:val="052A1BD0"/>
    <w:rsid w:val="0541414F"/>
    <w:rsid w:val="055B165D"/>
    <w:rsid w:val="055E6E53"/>
    <w:rsid w:val="05696C71"/>
    <w:rsid w:val="056E0609"/>
    <w:rsid w:val="0571302A"/>
    <w:rsid w:val="057A1EFF"/>
    <w:rsid w:val="058014BF"/>
    <w:rsid w:val="058D598A"/>
    <w:rsid w:val="059E1945"/>
    <w:rsid w:val="059F5401"/>
    <w:rsid w:val="05AA2834"/>
    <w:rsid w:val="05AF5900"/>
    <w:rsid w:val="05BF652E"/>
    <w:rsid w:val="05C23970"/>
    <w:rsid w:val="05C56ED2"/>
    <w:rsid w:val="05D26895"/>
    <w:rsid w:val="05D31ED5"/>
    <w:rsid w:val="05D709B3"/>
    <w:rsid w:val="05DD0193"/>
    <w:rsid w:val="05E168C9"/>
    <w:rsid w:val="05E44A1A"/>
    <w:rsid w:val="05E55C5F"/>
    <w:rsid w:val="05EA5F5A"/>
    <w:rsid w:val="05EB6294"/>
    <w:rsid w:val="05F11A75"/>
    <w:rsid w:val="05F83EAE"/>
    <w:rsid w:val="06065703"/>
    <w:rsid w:val="060C2D53"/>
    <w:rsid w:val="060F639F"/>
    <w:rsid w:val="06141C07"/>
    <w:rsid w:val="06175254"/>
    <w:rsid w:val="06177108"/>
    <w:rsid w:val="062C6F51"/>
    <w:rsid w:val="06366E11"/>
    <w:rsid w:val="063E7D85"/>
    <w:rsid w:val="06455476"/>
    <w:rsid w:val="064751BA"/>
    <w:rsid w:val="064A387B"/>
    <w:rsid w:val="06587459"/>
    <w:rsid w:val="065B492C"/>
    <w:rsid w:val="06615801"/>
    <w:rsid w:val="066606B5"/>
    <w:rsid w:val="0667442D"/>
    <w:rsid w:val="06686486"/>
    <w:rsid w:val="066C37F1"/>
    <w:rsid w:val="066E05B6"/>
    <w:rsid w:val="06A155E8"/>
    <w:rsid w:val="06A27213"/>
    <w:rsid w:val="06AB431A"/>
    <w:rsid w:val="06B44D5C"/>
    <w:rsid w:val="06C2321A"/>
    <w:rsid w:val="06C54CB0"/>
    <w:rsid w:val="06D01FD2"/>
    <w:rsid w:val="06E54CB2"/>
    <w:rsid w:val="06E70287"/>
    <w:rsid w:val="06F821CF"/>
    <w:rsid w:val="06F86E33"/>
    <w:rsid w:val="06FB5875"/>
    <w:rsid w:val="07075EFB"/>
    <w:rsid w:val="070A4587"/>
    <w:rsid w:val="07131EBF"/>
    <w:rsid w:val="07155C37"/>
    <w:rsid w:val="071719AF"/>
    <w:rsid w:val="071874D5"/>
    <w:rsid w:val="07293586"/>
    <w:rsid w:val="07295285"/>
    <w:rsid w:val="072D2F81"/>
    <w:rsid w:val="07302A71"/>
    <w:rsid w:val="07350AD3"/>
    <w:rsid w:val="073A569E"/>
    <w:rsid w:val="074D53D1"/>
    <w:rsid w:val="07636392"/>
    <w:rsid w:val="076444C8"/>
    <w:rsid w:val="07683FB9"/>
    <w:rsid w:val="076F17EB"/>
    <w:rsid w:val="07750484"/>
    <w:rsid w:val="07770C56"/>
    <w:rsid w:val="077F16A3"/>
    <w:rsid w:val="07802AE8"/>
    <w:rsid w:val="078B1AAF"/>
    <w:rsid w:val="078C16E9"/>
    <w:rsid w:val="078C4E56"/>
    <w:rsid w:val="078E3960"/>
    <w:rsid w:val="079E4623"/>
    <w:rsid w:val="07AD5E6F"/>
    <w:rsid w:val="07B059DC"/>
    <w:rsid w:val="07B21C5B"/>
    <w:rsid w:val="07BA6457"/>
    <w:rsid w:val="07C1191B"/>
    <w:rsid w:val="07C80EFB"/>
    <w:rsid w:val="07D258D6"/>
    <w:rsid w:val="07D27DF0"/>
    <w:rsid w:val="07D660E3"/>
    <w:rsid w:val="07D668D5"/>
    <w:rsid w:val="07D77292"/>
    <w:rsid w:val="07E8334B"/>
    <w:rsid w:val="07EA4131"/>
    <w:rsid w:val="07EC6998"/>
    <w:rsid w:val="07F67816"/>
    <w:rsid w:val="07FB0471"/>
    <w:rsid w:val="07FF0162"/>
    <w:rsid w:val="080649A5"/>
    <w:rsid w:val="080B2B96"/>
    <w:rsid w:val="081D25C0"/>
    <w:rsid w:val="081F6A2B"/>
    <w:rsid w:val="0820258B"/>
    <w:rsid w:val="08210512"/>
    <w:rsid w:val="08290BEF"/>
    <w:rsid w:val="082D0D5E"/>
    <w:rsid w:val="082F16FD"/>
    <w:rsid w:val="082F2D28"/>
    <w:rsid w:val="08314CF2"/>
    <w:rsid w:val="084E7646"/>
    <w:rsid w:val="084F6FFD"/>
    <w:rsid w:val="08681FF2"/>
    <w:rsid w:val="087A6126"/>
    <w:rsid w:val="087F559D"/>
    <w:rsid w:val="08856DEC"/>
    <w:rsid w:val="089808CE"/>
    <w:rsid w:val="08981CD3"/>
    <w:rsid w:val="089D4136"/>
    <w:rsid w:val="08A6123D"/>
    <w:rsid w:val="08AB40DD"/>
    <w:rsid w:val="08AC25CB"/>
    <w:rsid w:val="08B2703E"/>
    <w:rsid w:val="08BE466A"/>
    <w:rsid w:val="08C22DFE"/>
    <w:rsid w:val="08CC398C"/>
    <w:rsid w:val="08D24D05"/>
    <w:rsid w:val="08D613F6"/>
    <w:rsid w:val="08DA0DBD"/>
    <w:rsid w:val="08E73603"/>
    <w:rsid w:val="08EA2D6D"/>
    <w:rsid w:val="08EB6C4F"/>
    <w:rsid w:val="08F3017C"/>
    <w:rsid w:val="08F53D13"/>
    <w:rsid w:val="08F57ACE"/>
    <w:rsid w:val="08F80D6D"/>
    <w:rsid w:val="08FD2EAB"/>
    <w:rsid w:val="08FD38D6"/>
    <w:rsid w:val="09016A01"/>
    <w:rsid w:val="090925C7"/>
    <w:rsid w:val="09093579"/>
    <w:rsid w:val="0919178E"/>
    <w:rsid w:val="091E5277"/>
    <w:rsid w:val="091F2CA2"/>
    <w:rsid w:val="092217DD"/>
    <w:rsid w:val="0922570D"/>
    <w:rsid w:val="092D6686"/>
    <w:rsid w:val="0935436E"/>
    <w:rsid w:val="093A33BF"/>
    <w:rsid w:val="093A7294"/>
    <w:rsid w:val="093E57AE"/>
    <w:rsid w:val="093E665F"/>
    <w:rsid w:val="094205DD"/>
    <w:rsid w:val="09437A0B"/>
    <w:rsid w:val="09523172"/>
    <w:rsid w:val="095835BB"/>
    <w:rsid w:val="095A2ED7"/>
    <w:rsid w:val="09633DCF"/>
    <w:rsid w:val="09697C41"/>
    <w:rsid w:val="096D58B6"/>
    <w:rsid w:val="096E162E"/>
    <w:rsid w:val="097562C3"/>
    <w:rsid w:val="097B4C27"/>
    <w:rsid w:val="097E5DA1"/>
    <w:rsid w:val="09803FD9"/>
    <w:rsid w:val="098E2AFB"/>
    <w:rsid w:val="098F7F23"/>
    <w:rsid w:val="099412C7"/>
    <w:rsid w:val="09947C04"/>
    <w:rsid w:val="09B219BE"/>
    <w:rsid w:val="09BC4A90"/>
    <w:rsid w:val="09BE25B6"/>
    <w:rsid w:val="09C14261"/>
    <w:rsid w:val="09C364DA"/>
    <w:rsid w:val="09C37BCC"/>
    <w:rsid w:val="09C63218"/>
    <w:rsid w:val="09CA1445"/>
    <w:rsid w:val="09CA381B"/>
    <w:rsid w:val="09D122E9"/>
    <w:rsid w:val="09D26061"/>
    <w:rsid w:val="09DA2F74"/>
    <w:rsid w:val="09E75CD7"/>
    <w:rsid w:val="09E87633"/>
    <w:rsid w:val="09EE2822"/>
    <w:rsid w:val="09F46DC2"/>
    <w:rsid w:val="09F47CA3"/>
    <w:rsid w:val="09FC30DE"/>
    <w:rsid w:val="0A0B0146"/>
    <w:rsid w:val="0A0B62BC"/>
    <w:rsid w:val="0A0D30C8"/>
    <w:rsid w:val="0A0F7DA7"/>
    <w:rsid w:val="0A1C3D21"/>
    <w:rsid w:val="0A263993"/>
    <w:rsid w:val="0A2D3AC2"/>
    <w:rsid w:val="0A355F10"/>
    <w:rsid w:val="0A4367FC"/>
    <w:rsid w:val="0A465547"/>
    <w:rsid w:val="0A48110F"/>
    <w:rsid w:val="0A5B0423"/>
    <w:rsid w:val="0A612A41"/>
    <w:rsid w:val="0A6D7B38"/>
    <w:rsid w:val="0A7B6DF6"/>
    <w:rsid w:val="0A7F7F97"/>
    <w:rsid w:val="0A8818A5"/>
    <w:rsid w:val="0A886720"/>
    <w:rsid w:val="0A8A06EA"/>
    <w:rsid w:val="0A8D18A7"/>
    <w:rsid w:val="0A902734"/>
    <w:rsid w:val="0A906287"/>
    <w:rsid w:val="0A9357F1"/>
    <w:rsid w:val="0AA03F62"/>
    <w:rsid w:val="0AA755DF"/>
    <w:rsid w:val="0AA772AF"/>
    <w:rsid w:val="0AA96DC2"/>
    <w:rsid w:val="0ABA4019"/>
    <w:rsid w:val="0AC02B16"/>
    <w:rsid w:val="0AC43BFC"/>
    <w:rsid w:val="0AC51A9A"/>
    <w:rsid w:val="0AD5056D"/>
    <w:rsid w:val="0ADA40F5"/>
    <w:rsid w:val="0AF448C5"/>
    <w:rsid w:val="0AF61F0A"/>
    <w:rsid w:val="0AFB02FE"/>
    <w:rsid w:val="0B035FED"/>
    <w:rsid w:val="0B097861"/>
    <w:rsid w:val="0B0B182B"/>
    <w:rsid w:val="0B120D44"/>
    <w:rsid w:val="0B1306DF"/>
    <w:rsid w:val="0B16599D"/>
    <w:rsid w:val="0B1E75D8"/>
    <w:rsid w:val="0B227B99"/>
    <w:rsid w:val="0B2612BD"/>
    <w:rsid w:val="0B2D79F3"/>
    <w:rsid w:val="0B3379DE"/>
    <w:rsid w:val="0B3520E8"/>
    <w:rsid w:val="0B3543DB"/>
    <w:rsid w:val="0B3842DF"/>
    <w:rsid w:val="0B387536"/>
    <w:rsid w:val="0B422D73"/>
    <w:rsid w:val="0B4E26CD"/>
    <w:rsid w:val="0B4E3C9D"/>
    <w:rsid w:val="0B4F2283"/>
    <w:rsid w:val="0B50557A"/>
    <w:rsid w:val="0B50723E"/>
    <w:rsid w:val="0B537BAB"/>
    <w:rsid w:val="0B571C3E"/>
    <w:rsid w:val="0B675812"/>
    <w:rsid w:val="0B7256FC"/>
    <w:rsid w:val="0B732D53"/>
    <w:rsid w:val="0B752DD1"/>
    <w:rsid w:val="0B792C38"/>
    <w:rsid w:val="0B816C15"/>
    <w:rsid w:val="0B8272F2"/>
    <w:rsid w:val="0B8E5FB8"/>
    <w:rsid w:val="0B902219"/>
    <w:rsid w:val="0B93537C"/>
    <w:rsid w:val="0B957BA3"/>
    <w:rsid w:val="0B9C1DF2"/>
    <w:rsid w:val="0BA5796D"/>
    <w:rsid w:val="0BAA1044"/>
    <w:rsid w:val="0BAE21B6"/>
    <w:rsid w:val="0BB70527"/>
    <w:rsid w:val="0BC42581"/>
    <w:rsid w:val="0BC84FE1"/>
    <w:rsid w:val="0BCE4606"/>
    <w:rsid w:val="0BCE730A"/>
    <w:rsid w:val="0BD27BF6"/>
    <w:rsid w:val="0BD54A1D"/>
    <w:rsid w:val="0BDA11FD"/>
    <w:rsid w:val="0BDA1B36"/>
    <w:rsid w:val="0BE43E2A"/>
    <w:rsid w:val="0BE86C04"/>
    <w:rsid w:val="0BED0F30"/>
    <w:rsid w:val="0BF35AAF"/>
    <w:rsid w:val="0BF903FB"/>
    <w:rsid w:val="0BF93222"/>
    <w:rsid w:val="0C0134AF"/>
    <w:rsid w:val="0C0359D2"/>
    <w:rsid w:val="0C060860"/>
    <w:rsid w:val="0C083FBC"/>
    <w:rsid w:val="0C1427A2"/>
    <w:rsid w:val="0C1C09D0"/>
    <w:rsid w:val="0C1E558E"/>
    <w:rsid w:val="0C2228AF"/>
    <w:rsid w:val="0C27479D"/>
    <w:rsid w:val="0C2C32DA"/>
    <w:rsid w:val="0C3B3C7D"/>
    <w:rsid w:val="0C46581C"/>
    <w:rsid w:val="0C525F2C"/>
    <w:rsid w:val="0C526FE5"/>
    <w:rsid w:val="0C5D60B6"/>
    <w:rsid w:val="0C5E1E2E"/>
    <w:rsid w:val="0C662A91"/>
    <w:rsid w:val="0C6736F5"/>
    <w:rsid w:val="0C692C1B"/>
    <w:rsid w:val="0C6C454B"/>
    <w:rsid w:val="0C6D3E1F"/>
    <w:rsid w:val="0C782EF0"/>
    <w:rsid w:val="0C93150A"/>
    <w:rsid w:val="0C9365BF"/>
    <w:rsid w:val="0C981078"/>
    <w:rsid w:val="0CA24776"/>
    <w:rsid w:val="0CA44632"/>
    <w:rsid w:val="0CA912FB"/>
    <w:rsid w:val="0CAB2EAE"/>
    <w:rsid w:val="0CAE0F5E"/>
    <w:rsid w:val="0CB57DB0"/>
    <w:rsid w:val="0CBF26C9"/>
    <w:rsid w:val="0CCF05ED"/>
    <w:rsid w:val="0CD13905"/>
    <w:rsid w:val="0CD21ED4"/>
    <w:rsid w:val="0CDB522D"/>
    <w:rsid w:val="0CDE6ACB"/>
    <w:rsid w:val="0CE11CD3"/>
    <w:rsid w:val="0CEA6E64"/>
    <w:rsid w:val="0CF27B45"/>
    <w:rsid w:val="0CF54541"/>
    <w:rsid w:val="0CFE6F11"/>
    <w:rsid w:val="0D093B48"/>
    <w:rsid w:val="0D0C3638"/>
    <w:rsid w:val="0D191352"/>
    <w:rsid w:val="0D200E92"/>
    <w:rsid w:val="0D266145"/>
    <w:rsid w:val="0D343217"/>
    <w:rsid w:val="0D442DD2"/>
    <w:rsid w:val="0D50131E"/>
    <w:rsid w:val="0D621C7D"/>
    <w:rsid w:val="0D697396"/>
    <w:rsid w:val="0D6D2037"/>
    <w:rsid w:val="0D6E36EE"/>
    <w:rsid w:val="0D7331F9"/>
    <w:rsid w:val="0D747474"/>
    <w:rsid w:val="0D7C02BA"/>
    <w:rsid w:val="0D800BC6"/>
    <w:rsid w:val="0D8A10EE"/>
    <w:rsid w:val="0D8D55C6"/>
    <w:rsid w:val="0D9A6F87"/>
    <w:rsid w:val="0D9F0712"/>
    <w:rsid w:val="0DA61272"/>
    <w:rsid w:val="0DA711A4"/>
    <w:rsid w:val="0DA711A7"/>
    <w:rsid w:val="0DA90E87"/>
    <w:rsid w:val="0DB64BBE"/>
    <w:rsid w:val="0DBE022F"/>
    <w:rsid w:val="0DC12892"/>
    <w:rsid w:val="0DC13976"/>
    <w:rsid w:val="0DC147AE"/>
    <w:rsid w:val="0DC762F3"/>
    <w:rsid w:val="0DCD48BF"/>
    <w:rsid w:val="0DDA7EE5"/>
    <w:rsid w:val="0DE620DB"/>
    <w:rsid w:val="0DF419FB"/>
    <w:rsid w:val="0DF5199B"/>
    <w:rsid w:val="0E082052"/>
    <w:rsid w:val="0E215ACF"/>
    <w:rsid w:val="0E325320"/>
    <w:rsid w:val="0E361E0C"/>
    <w:rsid w:val="0E423D59"/>
    <w:rsid w:val="0E466E67"/>
    <w:rsid w:val="0E4D57A9"/>
    <w:rsid w:val="0E65619C"/>
    <w:rsid w:val="0E675CD8"/>
    <w:rsid w:val="0E73034D"/>
    <w:rsid w:val="0E7C69A8"/>
    <w:rsid w:val="0E7F24E3"/>
    <w:rsid w:val="0E7F3589"/>
    <w:rsid w:val="0E845BDB"/>
    <w:rsid w:val="0E8D5C3B"/>
    <w:rsid w:val="0E904CC5"/>
    <w:rsid w:val="0E9B79A1"/>
    <w:rsid w:val="0E9E29B6"/>
    <w:rsid w:val="0EAA425E"/>
    <w:rsid w:val="0EAC15F9"/>
    <w:rsid w:val="0EB67D00"/>
    <w:rsid w:val="0EB75A74"/>
    <w:rsid w:val="0EBB38BF"/>
    <w:rsid w:val="0ECF2A4F"/>
    <w:rsid w:val="0ED059DF"/>
    <w:rsid w:val="0ED2679B"/>
    <w:rsid w:val="0EE155DA"/>
    <w:rsid w:val="0EEF06A8"/>
    <w:rsid w:val="0EF852E6"/>
    <w:rsid w:val="0EFB6CF5"/>
    <w:rsid w:val="0F0C4728"/>
    <w:rsid w:val="0F0F5662"/>
    <w:rsid w:val="0F114E67"/>
    <w:rsid w:val="0F1355BC"/>
    <w:rsid w:val="0F13775A"/>
    <w:rsid w:val="0F18453E"/>
    <w:rsid w:val="0F274759"/>
    <w:rsid w:val="0F291509"/>
    <w:rsid w:val="0F345751"/>
    <w:rsid w:val="0F362AC4"/>
    <w:rsid w:val="0F384D79"/>
    <w:rsid w:val="0F392184"/>
    <w:rsid w:val="0F4603CF"/>
    <w:rsid w:val="0F4C2412"/>
    <w:rsid w:val="0F5B32D6"/>
    <w:rsid w:val="0F5F45FE"/>
    <w:rsid w:val="0F5F5CA1"/>
    <w:rsid w:val="0F6E40C6"/>
    <w:rsid w:val="0F717A41"/>
    <w:rsid w:val="0F733789"/>
    <w:rsid w:val="0F7C6E10"/>
    <w:rsid w:val="0F931008"/>
    <w:rsid w:val="0F987405"/>
    <w:rsid w:val="0F990E85"/>
    <w:rsid w:val="0F9A112B"/>
    <w:rsid w:val="0FA36B7C"/>
    <w:rsid w:val="0FA81FBD"/>
    <w:rsid w:val="0FB33B4F"/>
    <w:rsid w:val="0FB771F2"/>
    <w:rsid w:val="0FBC30F4"/>
    <w:rsid w:val="0FC87607"/>
    <w:rsid w:val="0FD33B7B"/>
    <w:rsid w:val="0FDC3304"/>
    <w:rsid w:val="0FDF3286"/>
    <w:rsid w:val="0FE11293"/>
    <w:rsid w:val="0FEC42F3"/>
    <w:rsid w:val="0FF53908"/>
    <w:rsid w:val="0FFB36E2"/>
    <w:rsid w:val="0FFD54BA"/>
    <w:rsid w:val="100B407B"/>
    <w:rsid w:val="100B420C"/>
    <w:rsid w:val="101B0308"/>
    <w:rsid w:val="1026724A"/>
    <w:rsid w:val="103B1BF6"/>
    <w:rsid w:val="104135F9"/>
    <w:rsid w:val="10413679"/>
    <w:rsid w:val="104B08D9"/>
    <w:rsid w:val="105C1A17"/>
    <w:rsid w:val="105C58EA"/>
    <w:rsid w:val="105E08C5"/>
    <w:rsid w:val="1063632A"/>
    <w:rsid w:val="106402AB"/>
    <w:rsid w:val="106612B1"/>
    <w:rsid w:val="106C6DEC"/>
    <w:rsid w:val="106D2F64"/>
    <w:rsid w:val="106E4B7E"/>
    <w:rsid w:val="107439CE"/>
    <w:rsid w:val="107514F4"/>
    <w:rsid w:val="108A4FA0"/>
    <w:rsid w:val="10982862"/>
    <w:rsid w:val="10A2578E"/>
    <w:rsid w:val="10B63710"/>
    <w:rsid w:val="10BD5F86"/>
    <w:rsid w:val="10CB2AAE"/>
    <w:rsid w:val="10D51B29"/>
    <w:rsid w:val="10D54B64"/>
    <w:rsid w:val="10D601E5"/>
    <w:rsid w:val="10D64689"/>
    <w:rsid w:val="10E3232D"/>
    <w:rsid w:val="10E32902"/>
    <w:rsid w:val="10E62B8E"/>
    <w:rsid w:val="10EA1EE2"/>
    <w:rsid w:val="10EC5D5C"/>
    <w:rsid w:val="10ED6D79"/>
    <w:rsid w:val="10EF17A7"/>
    <w:rsid w:val="10F10820"/>
    <w:rsid w:val="10F60887"/>
    <w:rsid w:val="11077C54"/>
    <w:rsid w:val="110F3B44"/>
    <w:rsid w:val="11102CF3"/>
    <w:rsid w:val="111807FE"/>
    <w:rsid w:val="111A3B43"/>
    <w:rsid w:val="111C2F7A"/>
    <w:rsid w:val="11247D93"/>
    <w:rsid w:val="11290C5D"/>
    <w:rsid w:val="11567578"/>
    <w:rsid w:val="116457F1"/>
    <w:rsid w:val="11665CA1"/>
    <w:rsid w:val="117450BC"/>
    <w:rsid w:val="11766AA6"/>
    <w:rsid w:val="11777690"/>
    <w:rsid w:val="117A5014"/>
    <w:rsid w:val="117B3C49"/>
    <w:rsid w:val="11813B0C"/>
    <w:rsid w:val="1191235E"/>
    <w:rsid w:val="11931423"/>
    <w:rsid w:val="11964243"/>
    <w:rsid w:val="119D2D86"/>
    <w:rsid w:val="11A102C3"/>
    <w:rsid w:val="11A43EE4"/>
    <w:rsid w:val="11B06CDA"/>
    <w:rsid w:val="11B4621F"/>
    <w:rsid w:val="11B6563A"/>
    <w:rsid w:val="11BF0A31"/>
    <w:rsid w:val="11D00946"/>
    <w:rsid w:val="11D14E7D"/>
    <w:rsid w:val="11E305CC"/>
    <w:rsid w:val="11E42DD6"/>
    <w:rsid w:val="11E608FC"/>
    <w:rsid w:val="11E8281D"/>
    <w:rsid w:val="11F27E27"/>
    <w:rsid w:val="11F949FE"/>
    <w:rsid w:val="11FC590F"/>
    <w:rsid w:val="11FF300A"/>
    <w:rsid w:val="12000615"/>
    <w:rsid w:val="12163FE7"/>
    <w:rsid w:val="1219094A"/>
    <w:rsid w:val="121F796A"/>
    <w:rsid w:val="122158B2"/>
    <w:rsid w:val="12241424"/>
    <w:rsid w:val="122E21D4"/>
    <w:rsid w:val="12364BD3"/>
    <w:rsid w:val="123954CC"/>
    <w:rsid w:val="123F7018"/>
    <w:rsid w:val="124E024F"/>
    <w:rsid w:val="12504C2C"/>
    <w:rsid w:val="12651E51"/>
    <w:rsid w:val="126637EB"/>
    <w:rsid w:val="126D4B79"/>
    <w:rsid w:val="126F4B46"/>
    <w:rsid w:val="12743D6F"/>
    <w:rsid w:val="12781A80"/>
    <w:rsid w:val="127841D3"/>
    <w:rsid w:val="127A6491"/>
    <w:rsid w:val="127A7296"/>
    <w:rsid w:val="127B5307"/>
    <w:rsid w:val="12821FD3"/>
    <w:rsid w:val="12850115"/>
    <w:rsid w:val="12887C05"/>
    <w:rsid w:val="12897BDB"/>
    <w:rsid w:val="12926CD0"/>
    <w:rsid w:val="129746EB"/>
    <w:rsid w:val="129B7938"/>
    <w:rsid w:val="129D0AB4"/>
    <w:rsid w:val="12A221CD"/>
    <w:rsid w:val="12A73615"/>
    <w:rsid w:val="12AC0833"/>
    <w:rsid w:val="12B10F0A"/>
    <w:rsid w:val="12B14A48"/>
    <w:rsid w:val="12BA2136"/>
    <w:rsid w:val="12C36042"/>
    <w:rsid w:val="12C40B7C"/>
    <w:rsid w:val="12D44A81"/>
    <w:rsid w:val="12E017EF"/>
    <w:rsid w:val="12E44266"/>
    <w:rsid w:val="12F40DF6"/>
    <w:rsid w:val="130354DD"/>
    <w:rsid w:val="130C6140"/>
    <w:rsid w:val="130E4DC6"/>
    <w:rsid w:val="1312116C"/>
    <w:rsid w:val="131F2C8A"/>
    <w:rsid w:val="1322281D"/>
    <w:rsid w:val="1322751E"/>
    <w:rsid w:val="13265B9E"/>
    <w:rsid w:val="13294F44"/>
    <w:rsid w:val="132C0590"/>
    <w:rsid w:val="1336140F"/>
    <w:rsid w:val="133A0C3D"/>
    <w:rsid w:val="13407CE4"/>
    <w:rsid w:val="1356560D"/>
    <w:rsid w:val="13581D3B"/>
    <w:rsid w:val="135A334F"/>
    <w:rsid w:val="135B774E"/>
    <w:rsid w:val="136071B7"/>
    <w:rsid w:val="13625E91"/>
    <w:rsid w:val="1369556C"/>
    <w:rsid w:val="136A5F50"/>
    <w:rsid w:val="136B468E"/>
    <w:rsid w:val="136C3441"/>
    <w:rsid w:val="13706970"/>
    <w:rsid w:val="13782FA5"/>
    <w:rsid w:val="137B6107"/>
    <w:rsid w:val="13846196"/>
    <w:rsid w:val="13942655"/>
    <w:rsid w:val="13951726"/>
    <w:rsid w:val="139D4FEA"/>
    <w:rsid w:val="13A02D2C"/>
    <w:rsid w:val="13A22600"/>
    <w:rsid w:val="13B62550"/>
    <w:rsid w:val="13BF6C92"/>
    <w:rsid w:val="13C407C9"/>
    <w:rsid w:val="13D900B3"/>
    <w:rsid w:val="13DF5603"/>
    <w:rsid w:val="13E175CD"/>
    <w:rsid w:val="13E23811"/>
    <w:rsid w:val="13E56991"/>
    <w:rsid w:val="13EB41FA"/>
    <w:rsid w:val="13EF7C2B"/>
    <w:rsid w:val="13FA6691"/>
    <w:rsid w:val="13FF2E56"/>
    <w:rsid w:val="14047A3C"/>
    <w:rsid w:val="14091685"/>
    <w:rsid w:val="14092B57"/>
    <w:rsid w:val="140A6336"/>
    <w:rsid w:val="140F390B"/>
    <w:rsid w:val="14290A07"/>
    <w:rsid w:val="142D095D"/>
    <w:rsid w:val="143516C6"/>
    <w:rsid w:val="14354DB0"/>
    <w:rsid w:val="14396509"/>
    <w:rsid w:val="144841F3"/>
    <w:rsid w:val="144B0EEA"/>
    <w:rsid w:val="144B372B"/>
    <w:rsid w:val="14551D69"/>
    <w:rsid w:val="1458357A"/>
    <w:rsid w:val="145853B5"/>
    <w:rsid w:val="145D4F9E"/>
    <w:rsid w:val="1467440F"/>
    <w:rsid w:val="146869DA"/>
    <w:rsid w:val="148461AA"/>
    <w:rsid w:val="14847F58"/>
    <w:rsid w:val="148D3DF4"/>
    <w:rsid w:val="149444D3"/>
    <w:rsid w:val="149A16C0"/>
    <w:rsid w:val="14B2392B"/>
    <w:rsid w:val="14B43ED5"/>
    <w:rsid w:val="14B52807"/>
    <w:rsid w:val="14BA74C7"/>
    <w:rsid w:val="14C34F24"/>
    <w:rsid w:val="14C57350"/>
    <w:rsid w:val="14C722BE"/>
    <w:rsid w:val="14C97064"/>
    <w:rsid w:val="14CD364F"/>
    <w:rsid w:val="14D07641"/>
    <w:rsid w:val="14D54096"/>
    <w:rsid w:val="14DA6BD5"/>
    <w:rsid w:val="14DB226E"/>
    <w:rsid w:val="14DD2C3C"/>
    <w:rsid w:val="14DE6D49"/>
    <w:rsid w:val="14DF07E9"/>
    <w:rsid w:val="14E01C36"/>
    <w:rsid w:val="14ED029E"/>
    <w:rsid w:val="14ED4EAF"/>
    <w:rsid w:val="14F670A8"/>
    <w:rsid w:val="14FE7D0A"/>
    <w:rsid w:val="150A6FDA"/>
    <w:rsid w:val="15107A3E"/>
    <w:rsid w:val="15203CE6"/>
    <w:rsid w:val="152135B1"/>
    <w:rsid w:val="152234F7"/>
    <w:rsid w:val="15282FD9"/>
    <w:rsid w:val="152F55C8"/>
    <w:rsid w:val="152F676E"/>
    <w:rsid w:val="153225E2"/>
    <w:rsid w:val="15433B41"/>
    <w:rsid w:val="15437E13"/>
    <w:rsid w:val="154B0F45"/>
    <w:rsid w:val="154C6CC8"/>
    <w:rsid w:val="155251A4"/>
    <w:rsid w:val="1556033E"/>
    <w:rsid w:val="155657DC"/>
    <w:rsid w:val="15636D69"/>
    <w:rsid w:val="15660544"/>
    <w:rsid w:val="156C736A"/>
    <w:rsid w:val="15714040"/>
    <w:rsid w:val="15724254"/>
    <w:rsid w:val="157840C7"/>
    <w:rsid w:val="157C58D8"/>
    <w:rsid w:val="157D50D3"/>
    <w:rsid w:val="15911FC1"/>
    <w:rsid w:val="15922F94"/>
    <w:rsid w:val="159468C1"/>
    <w:rsid w:val="15981F0D"/>
    <w:rsid w:val="15A12BAA"/>
    <w:rsid w:val="15A42FA8"/>
    <w:rsid w:val="15A52FCF"/>
    <w:rsid w:val="15A85032"/>
    <w:rsid w:val="15A93EF2"/>
    <w:rsid w:val="15AA39E1"/>
    <w:rsid w:val="15B825AF"/>
    <w:rsid w:val="15BF393E"/>
    <w:rsid w:val="15C34AB0"/>
    <w:rsid w:val="15C36092"/>
    <w:rsid w:val="15D21FF2"/>
    <w:rsid w:val="15D867AD"/>
    <w:rsid w:val="15E433A4"/>
    <w:rsid w:val="15E96C0C"/>
    <w:rsid w:val="15EC05E5"/>
    <w:rsid w:val="15F14077"/>
    <w:rsid w:val="15F46E3E"/>
    <w:rsid w:val="15FA0766"/>
    <w:rsid w:val="15FB249C"/>
    <w:rsid w:val="16087E1D"/>
    <w:rsid w:val="16153CF4"/>
    <w:rsid w:val="161A6DC6"/>
    <w:rsid w:val="161D19B2"/>
    <w:rsid w:val="161E0440"/>
    <w:rsid w:val="162437A1"/>
    <w:rsid w:val="162714E3"/>
    <w:rsid w:val="163E3003"/>
    <w:rsid w:val="164140CD"/>
    <w:rsid w:val="16457FE9"/>
    <w:rsid w:val="164B4BEC"/>
    <w:rsid w:val="165304BE"/>
    <w:rsid w:val="16536272"/>
    <w:rsid w:val="165467DD"/>
    <w:rsid w:val="165F2A2B"/>
    <w:rsid w:val="16677B31"/>
    <w:rsid w:val="167427AE"/>
    <w:rsid w:val="167A1960"/>
    <w:rsid w:val="167F30CD"/>
    <w:rsid w:val="16867138"/>
    <w:rsid w:val="169E79F7"/>
    <w:rsid w:val="16A576FF"/>
    <w:rsid w:val="16A7036B"/>
    <w:rsid w:val="16B005DC"/>
    <w:rsid w:val="16B73A83"/>
    <w:rsid w:val="16BB219B"/>
    <w:rsid w:val="16BC1C2B"/>
    <w:rsid w:val="16D43419"/>
    <w:rsid w:val="16D8332C"/>
    <w:rsid w:val="16DC3C30"/>
    <w:rsid w:val="16DE4297"/>
    <w:rsid w:val="16EF21CD"/>
    <w:rsid w:val="16F5338F"/>
    <w:rsid w:val="16FC0E27"/>
    <w:rsid w:val="16FE64BD"/>
    <w:rsid w:val="170958FF"/>
    <w:rsid w:val="17157CF6"/>
    <w:rsid w:val="171B6635"/>
    <w:rsid w:val="17244A52"/>
    <w:rsid w:val="172F064F"/>
    <w:rsid w:val="173008D1"/>
    <w:rsid w:val="1735086C"/>
    <w:rsid w:val="17377504"/>
    <w:rsid w:val="1740291A"/>
    <w:rsid w:val="175C5BC1"/>
    <w:rsid w:val="17627078"/>
    <w:rsid w:val="176F6C9D"/>
    <w:rsid w:val="17701D14"/>
    <w:rsid w:val="17733F0B"/>
    <w:rsid w:val="17735226"/>
    <w:rsid w:val="17832749"/>
    <w:rsid w:val="17874E68"/>
    <w:rsid w:val="17875081"/>
    <w:rsid w:val="178A3AD7"/>
    <w:rsid w:val="179B1184"/>
    <w:rsid w:val="17A378F0"/>
    <w:rsid w:val="17AA5F28"/>
    <w:rsid w:val="17B248C5"/>
    <w:rsid w:val="17B6717A"/>
    <w:rsid w:val="17C92604"/>
    <w:rsid w:val="17CD1C16"/>
    <w:rsid w:val="17E5451B"/>
    <w:rsid w:val="17E551B2"/>
    <w:rsid w:val="17EB121A"/>
    <w:rsid w:val="17ED243B"/>
    <w:rsid w:val="17FA6EAF"/>
    <w:rsid w:val="180A4C18"/>
    <w:rsid w:val="180A50AA"/>
    <w:rsid w:val="180F31EF"/>
    <w:rsid w:val="18167A61"/>
    <w:rsid w:val="183E0BAE"/>
    <w:rsid w:val="18477C1A"/>
    <w:rsid w:val="18527996"/>
    <w:rsid w:val="185365BF"/>
    <w:rsid w:val="185652D7"/>
    <w:rsid w:val="18641486"/>
    <w:rsid w:val="18644328"/>
    <w:rsid w:val="18686313"/>
    <w:rsid w:val="186B7689"/>
    <w:rsid w:val="186E6D83"/>
    <w:rsid w:val="18756E6A"/>
    <w:rsid w:val="187A7FF0"/>
    <w:rsid w:val="187B502C"/>
    <w:rsid w:val="18893D8F"/>
    <w:rsid w:val="188976D2"/>
    <w:rsid w:val="189F367A"/>
    <w:rsid w:val="189F624C"/>
    <w:rsid w:val="18A4506D"/>
    <w:rsid w:val="18AB63FB"/>
    <w:rsid w:val="18B74DA0"/>
    <w:rsid w:val="18BC6B72"/>
    <w:rsid w:val="18C05678"/>
    <w:rsid w:val="18C4126B"/>
    <w:rsid w:val="18C8355C"/>
    <w:rsid w:val="18D05E62"/>
    <w:rsid w:val="18D1476C"/>
    <w:rsid w:val="18D21BDA"/>
    <w:rsid w:val="18D23E3D"/>
    <w:rsid w:val="18D508F3"/>
    <w:rsid w:val="18D771F0"/>
    <w:rsid w:val="18D92F68"/>
    <w:rsid w:val="18E70C9F"/>
    <w:rsid w:val="18E97D1E"/>
    <w:rsid w:val="18EE2799"/>
    <w:rsid w:val="18F02060"/>
    <w:rsid w:val="18F62894"/>
    <w:rsid w:val="18FA2EDF"/>
    <w:rsid w:val="18FE29CF"/>
    <w:rsid w:val="19037FE5"/>
    <w:rsid w:val="19051FAA"/>
    <w:rsid w:val="190A1C0F"/>
    <w:rsid w:val="191018E5"/>
    <w:rsid w:val="19102569"/>
    <w:rsid w:val="1912647A"/>
    <w:rsid w:val="192166BD"/>
    <w:rsid w:val="19240F9F"/>
    <w:rsid w:val="192D0BBE"/>
    <w:rsid w:val="192D693B"/>
    <w:rsid w:val="19375E93"/>
    <w:rsid w:val="193C52A5"/>
    <w:rsid w:val="19404D95"/>
    <w:rsid w:val="19497352"/>
    <w:rsid w:val="194A5AB4"/>
    <w:rsid w:val="194D1260"/>
    <w:rsid w:val="194F528B"/>
    <w:rsid w:val="19542D37"/>
    <w:rsid w:val="19587232"/>
    <w:rsid w:val="195A5E2A"/>
    <w:rsid w:val="19651B2C"/>
    <w:rsid w:val="196B18E4"/>
    <w:rsid w:val="1977586A"/>
    <w:rsid w:val="19805192"/>
    <w:rsid w:val="19864ACE"/>
    <w:rsid w:val="19947512"/>
    <w:rsid w:val="19A122CF"/>
    <w:rsid w:val="19A37AEB"/>
    <w:rsid w:val="19A86ACA"/>
    <w:rsid w:val="19B164B9"/>
    <w:rsid w:val="19B61E14"/>
    <w:rsid w:val="19B66E06"/>
    <w:rsid w:val="19D01F32"/>
    <w:rsid w:val="19D07148"/>
    <w:rsid w:val="19D2255C"/>
    <w:rsid w:val="19D41982"/>
    <w:rsid w:val="19D43730"/>
    <w:rsid w:val="19D438FD"/>
    <w:rsid w:val="19D83D7C"/>
    <w:rsid w:val="19D96F98"/>
    <w:rsid w:val="19E10884"/>
    <w:rsid w:val="19E618E5"/>
    <w:rsid w:val="19E962F6"/>
    <w:rsid w:val="19F31E08"/>
    <w:rsid w:val="19F86CB5"/>
    <w:rsid w:val="19F94562"/>
    <w:rsid w:val="19FB6F0E"/>
    <w:rsid w:val="19FE07AD"/>
    <w:rsid w:val="1A0029B2"/>
    <w:rsid w:val="1A0D71CF"/>
    <w:rsid w:val="1A145053"/>
    <w:rsid w:val="1A187AC0"/>
    <w:rsid w:val="1A1B135F"/>
    <w:rsid w:val="1A1C66C0"/>
    <w:rsid w:val="1A293A7B"/>
    <w:rsid w:val="1A2C356C"/>
    <w:rsid w:val="1A2E06F4"/>
    <w:rsid w:val="1A320547"/>
    <w:rsid w:val="1A3D4B88"/>
    <w:rsid w:val="1A42393B"/>
    <w:rsid w:val="1A496EAA"/>
    <w:rsid w:val="1A4E34E2"/>
    <w:rsid w:val="1A516B2E"/>
    <w:rsid w:val="1A6229BC"/>
    <w:rsid w:val="1A651D31"/>
    <w:rsid w:val="1A7570F7"/>
    <w:rsid w:val="1A766595"/>
    <w:rsid w:val="1A791713"/>
    <w:rsid w:val="1A82066E"/>
    <w:rsid w:val="1A8B6179"/>
    <w:rsid w:val="1A9353D6"/>
    <w:rsid w:val="1A967EB6"/>
    <w:rsid w:val="1A976C37"/>
    <w:rsid w:val="1AAD45DE"/>
    <w:rsid w:val="1AB31597"/>
    <w:rsid w:val="1AC05F42"/>
    <w:rsid w:val="1AC15A62"/>
    <w:rsid w:val="1AC63078"/>
    <w:rsid w:val="1ACE77AD"/>
    <w:rsid w:val="1AD03EF7"/>
    <w:rsid w:val="1AD7603E"/>
    <w:rsid w:val="1ADB5E74"/>
    <w:rsid w:val="1AE836F5"/>
    <w:rsid w:val="1AED5DB2"/>
    <w:rsid w:val="1AF52BBE"/>
    <w:rsid w:val="1AFB43B9"/>
    <w:rsid w:val="1B03607B"/>
    <w:rsid w:val="1B046F80"/>
    <w:rsid w:val="1B0B4F2F"/>
    <w:rsid w:val="1B104450"/>
    <w:rsid w:val="1B17546B"/>
    <w:rsid w:val="1B1765A9"/>
    <w:rsid w:val="1B1B5FD7"/>
    <w:rsid w:val="1B3267B5"/>
    <w:rsid w:val="1B3C7E1E"/>
    <w:rsid w:val="1B3E550F"/>
    <w:rsid w:val="1B40161D"/>
    <w:rsid w:val="1B431515"/>
    <w:rsid w:val="1B441859"/>
    <w:rsid w:val="1B46240B"/>
    <w:rsid w:val="1B4F7149"/>
    <w:rsid w:val="1B522B5E"/>
    <w:rsid w:val="1B52666E"/>
    <w:rsid w:val="1B600D8D"/>
    <w:rsid w:val="1B604A89"/>
    <w:rsid w:val="1B624471"/>
    <w:rsid w:val="1B6606B1"/>
    <w:rsid w:val="1B664E62"/>
    <w:rsid w:val="1B6805D3"/>
    <w:rsid w:val="1B6877A2"/>
    <w:rsid w:val="1B7D5565"/>
    <w:rsid w:val="1B7E3953"/>
    <w:rsid w:val="1B8336CC"/>
    <w:rsid w:val="1B8C7672"/>
    <w:rsid w:val="1BA16D45"/>
    <w:rsid w:val="1BB157F0"/>
    <w:rsid w:val="1BC31088"/>
    <w:rsid w:val="1BC3580A"/>
    <w:rsid w:val="1BD34562"/>
    <w:rsid w:val="1BD63A4D"/>
    <w:rsid w:val="1BDB0DA5"/>
    <w:rsid w:val="1BE158EC"/>
    <w:rsid w:val="1BF12377"/>
    <w:rsid w:val="1BF27EB8"/>
    <w:rsid w:val="1BF92E57"/>
    <w:rsid w:val="1C183E7E"/>
    <w:rsid w:val="1C185F0C"/>
    <w:rsid w:val="1C197B20"/>
    <w:rsid w:val="1C236088"/>
    <w:rsid w:val="1C2602BC"/>
    <w:rsid w:val="1C3C3892"/>
    <w:rsid w:val="1C4027D8"/>
    <w:rsid w:val="1C4C3A51"/>
    <w:rsid w:val="1C4D4FFA"/>
    <w:rsid w:val="1C5801A4"/>
    <w:rsid w:val="1C5E7925"/>
    <w:rsid w:val="1C5F7F2C"/>
    <w:rsid w:val="1C6963B1"/>
    <w:rsid w:val="1C6B715B"/>
    <w:rsid w:val="1C737230"/>
    <w:rsid w:val="1C7D0090"/>
    <w:rsid w:val="1C7F3E11"/>
    <w:rsid w:val="1C99656B"/>
    <w:rsid w:val="1CAA1F24"/>
    <w:rsid w:val="1CAE3636"/>
    <w:rsid w:val="1CAF2BA6"/>
    <w:rsid w:val="1CC30785"/>
    <w:rsid w:val="1CCB6719"/>
    <w:rsid w:val="1CCF02AF"/>
    <w:rsid w:val="1CD032A0"/>
    <w:rsid w:val="1CD50451"/>
    <w:rsid w:val="1CF846A0"/>
    <w:rsid w:val="1CFD070F"/>
    <w:rsid w:val="1D130FDA"/>
    <w:rsid w:val="1D184E62"/>
    <w:rsid w:val="1D1E3640"/>
    <w:rsid w:val="1D2624F4"/>
    <w:rsid w:val="1D263975"/>
    <w:rsid w:val="1D295B06"/>
    <w:rsid w:val="1D2B7DA0"/>
    <w:rsid w:val="1D5A06AA"/>
    <w:rsid w:val="1D5F6196"/>
    <w:rsid w:val="1D6132A5"/>
    <w:rsid w:val="1D712E66"/>
    <w:rsid w:val="1D7C5487"/>
    <w:rsid w:val="1D80474B"/>
    <w:rsid w:val="1D85546D"/>
    <w:rsid w:val="1D8714D6"/>
    <w:rsid w:val="1D874F90"/>
    <w:rsid w:val="1D8E56D5"/>
    <w:rsid w:val="1D9236E6"/>
    <w:rsid w:val="1D9751A0"/>
    <w:rsid w:val="1D99200D"/>
    <w:rsid w:val="1DA05FD2"/>
    <w:rsid w:val="1DA531BA"/>
    <w:rsid w:val="1DA53C3B"/>
    <w:rsid w:val="1DB13DE6"/>
    <w:rsid w:val="1DBC69B5"/>
    <w:rsid w:val="1DBD20AD"/>
    <w:rsid w:val="1DC63408"/>
    <w:rsid w:val="1DC92A70"/>
    <w:rsid w:val="1DCF0496"/>
    <w:rsid w:val="1DCF7E27"/>
    <w:rsid w:val="1DD6562D"/>
    <w:rsid w:val="1DDC7057"/>
    <w:rsid w:val="1DFE521F"/>
    <w:rsid w:val="1E0909A9"/>
    <w:rsid w:val="1E1703D3"/>
    <w:rsid w:val="1E1B09F9"/>
    <w:rsid w:val="1E380731"/>
    <w:rsid w:val="1E3C1CB3"/>
    <w:rsid w:val="1E3D42FA"/>
    <w:rsid w:val="1E4034C4"/>
    <w:rsid w:val="1E430E84"/>
    <w:rsid w:val="1E4A616F"/>
    <w:rsid w:val="1E5014A3"/>
    <w:rsid w:val="1E5E7A6C"/>
    <w:rsid w:val="1E674B72"/>
    <w:rsid w:val="1E6763BF"/>
    <w:rsid w:val="1E6B2D32"/>
    <w:rsid w:val="1E6C3F37"/>
    <w:rsid w:val="1E6F1C79"/>
    <w:rsid w:val="1E7355E2"/>
    <w:rsid w:val="1E7A43DA"/>
    <w:rsid w:val="1E7F70A2"/>
    <w:rsid w:val="1E827BFE"/>
    <w:rsid w:val="1E9640ED"/>
    <w:rsid w:val="1E9846F5"/>
    <w:rsid w:val="1E9F5123"/>
    <w:rsid w:val="1EA23DFC"/>
    <w:rsid w:val="1EA72D26"/>
    <w:rsid w:val="1EAD4B0E"/>
    <w:rsid w:val="1EAF02C7"/>
    <w:rsid w:val="1EB37DB8"/>
    <w:rsid w:val="1EB8717C"/>
    <w:rsid w:val="1ECB5101"/>
    <w:rsid w:val="1ECF663D"/>
    <w:rsid w:val="1ED33FB6"/>
    <w:rsid w:val="1ED45F96"/>
    <w:rsid w:val="1EDA26BC"/>
    <w:rsid w:val="1EE25AB6"/>
    <w:rsid w:val="1EE61F3B"/>
    <w:rsid w:val="1EEF072D"/>
    <w:rsid w:val="1EF26B32"/>
    <w:rsid w:val="1EF26CB7"/>
    <w:rsid w:val="1EF36406"/>
    <w:rsid w:val="1EF75822"/>
    <w:rsid w:val="1F0625DD"/>
    <w:rsid w:val="1F091327"/>
    <w:rsid w:val="1F0D396C"/>
    <w:rsid w:val="1F0F24C5"/>
    <w:rsid w:val="1F114ADE"/>
    <w:rsid w:val="1F130856"/>
    <w:rsid w:val="1F1545CE"/>
    <w:rsid w:val="1F1D3826"/>
    <w:rsid w:val="1F1F3A88"/>
    <w:rsid w:val="1F206574"/>
    <w:rsid w:val="1F2760B0"/>
    <w:rsid w:val="1F2A343A"/>
    <w:rsid w:val="1F2E38E2"/>
    <w:rsid w:val="1F30178C"/>
    <w:rsid w:val="1F4B4494"/>
    <w:rsid w:val="1F5A2621"/>
    <w:rsid w:val="1F5C4B11"/>
    <w:rsid w:val="1F5D7D23"/>
    <w:rsid w:val="1F6835CE"/>
    <w:rsid w:val="1F69528C"/>
    <w:rsid w:val="1F6E7565"/>
    <w:rsid w:val="1F704434"/>
    <w:rsid w:val="1F886A21"/>
    <w:rsid w:val="1F8B663F"/>
    <w:rsid w:val="1F9279CD"/>
    <w:rsid w:val="1F973B73"/>
    <w:rsid w:val="1F98341F"/>
    <w:rsid w:val="1F986D98"/>
    <w:rsid w:val="1FA140B4"/>
    <w:rsid w:val="1FAF3F98"/>
    <w:rsid w:val="1FB12CBB"/>
    <w:rsid w:val="1FB63C0F"/>
    <w:rsid w:val="1FC502B3"/>
    <w:rsid w:val="1FCE1CDC"/>
    <w:rsid w:val="1FD00E7A"/>
    <w:rsid w:val="1FDC333E"/>
    <w:rsid w:val="1FE7539E"/>
    <w:rsid w:val="1FF36F03"/>
    <w:rsid w:val="1FFA50EB"/>
    <w:rsid w:val="200308CB"/>
    <w:rsid w:val="20052895"/>
    <w:rsid w:val="200E7FAC"/>
    <w:rsid w:val="20286F28"/>
    <w:rsid w:val="202A2888"/>
    <w:rsid w:val="202F16C0"/>
    <w:rsid w:val="202F7336"/>
    <w:rsid w:val="203D6CBE"/>
    <w:rsid w:val="20427645"/>
    <w:rsid w:val="20431205"/>
    <w:rsid w:val="204D5FEA"/>
    <w:rsid w:val="205A2C47"/>
    <w:rsid w:val="205D2306"/>
    <w:rsid w:val="206100C4"/>
    <w:rsid w:val="20622D50"/>
    <w:rsid w:val="2066556E"/>
    <w:rsid w:val="20671BE0"/>
    <w:rsid w:val="20683870"/>
    <w:rsid w:val="20687B48"/>
    <w:rsid w:val="2069769F"/>
    <w:rsid w:val="206C021E"/>
    <w:rsid w:val="20760185"/>
    <w:rsid w:val="207812B9"/>
    <w:rsid w:val="208732AA"/>
    <w:rsid w:val="20920262"/>
    <w:rsid w:val="20923F96"/>
    <w:rsid w:val="209244B7"/>
    <w:rsid w:val="20931C4F"/>
    <w:rsid w:val="20963CB8"/>
    <w:rsid w:val="20966EA7"/>
    <w:rsid w:val="20974F17"/>
    <w:rsid w:val="209B4FA7"/>
    <w:rsid w:val="209B5C02"/>
    <w:rsid w:val="20A70D9E"/>
    <w:rsid w:val="20A81A1B"/>
    <w:rsid w:val="20AE7BCC"/>
    <w:rsid w:val="20B07FB6"/>
    <w:rsid w:val="20B123A6"/>
    <w:rsid w:val="20B575C0"/>
    <w:rsid w:val="20B646FB"/>
    <w:rsid w:val="20BB4438"/>
    <w:rsid w:val="20BD0E34"/>
    <w:rsid w:val="20C305B3"/>
    <w:rsid w:val="20C41134"/>
    <w:rsid w:val="20C75D9C"/>
    <w:rsid w:val="20CA13E8"/>
    <w:rsid w:val="20CB10C9"/>
    <w:rsid w:val="20D81D57"/>
    <w:rsid w:val="20DD1FBE"/>
    <w:rsid w:val="20EF154A"/>
    <w:rsid w:val="20F64E12"/>
    <w:rsid w:val="21060987"/>
    <w:rsid w:val="210F368D"/>
    <w:rsid w:val="2116532A"/>
    <w:rsid w:val="211C60E8"/>
    <w:rsid w:val="211F6FEA"/>
    <w:rsid w:val="21205D05"/>
    <w:rsid w:val="212136FE"/>
    <w:rsid w:val="21242DBE"/>
    <w:rsid w:val="21246D4B"/>
    <w:rsid w:val="21261A71"/>
    <w:rsid w:val="212654D9"/>
    <w:rsid w:val="212F0CA9"/>
    <w:rsid w:val="212F6708"/>
    <w:rsid w:val="21307616"/>
    <w:rsid w:val="21397684"/>
    <w:rsid w:val="213B74B1"/>
    <w:rsid w:val="214544F1"/>
    <w:rsid w:val="214A7D74"/>
    <w:rsid w:val="214D5DE0"/>
    <w:rsid w:val="215313DE"/>
    <w:rsid w:val="215318FD"/>
    <w:rsid w:val="21562C7C"/>
    <w:rsid w:val="215A2310"/>
    <w:rsid w:val="21642126"/>
    <w:rsid w:val="217433DB"/>
    <w:rsid w:val="217529D3"/>
    <w:rsid w:val="217750CC"/>
    <w:rsid w:val="218B5FEC"/>
    <w:rsid w:val="218E2416"/>
    <w:rsid w:val="21963AE0"/>
    <w:rsid w:val="219E56F4"/>
    <w:rsid w:val="21A74C97"/>
    <w:rsid w:val="21B955C6"/>
    <w:rsid w:val="21BE270E"/>
    <w:rsid w:val="21BE6135"/>
    <w:rsid w:val="21C347B6"/>
    <w:rsid w:val="21CE1676"/>
    <w:rsid w:val="21D21245"/>
    <w:rsid w:val="21D26F0C"/>
    <w:rsid w:val="21DC6119"/>
    <w:rsid w:val="21DE318A"/>
    <w:rsid w:val="21E11534"/>
    <w:rsid w:val="21E90BF7"/>
    <w:rsid w:val="21EF19C3"/>
    <w:rsid w:val="21EF5B80"/>
    <w:rsid w:val="21F4496F"/>
    <w:rsid w:val="22032E04"/>
    <w:rsid w:val="22054A1A"/>
    <w:rsid w:val="220E38AC"/>
    <w:rsid w:val="22131D94"/>
    <w:rsid w:val="221A3D42"/>
    <w:rsid w:val="22241179"/>
    <w:rsid w:val="22241E22"/>
    <w:rsid w:val="222608A0"/>
    <w:rsid w:val="22261C57"/>
    <w:rsid w:val="223053CE"/>
    <w:rsid w:val="22331F66"/>
    <w:rsid w:val="224C56E4"/>
    <w:rsid w:val="224D0523"/>
    <w:rsid w:val="22543660"/>
    <w:rsid w:val="2254540E"/>
    <w:rsid w:val="22576990"/>
    <w:rsid w:val="225B73E8"/>
    <w:rsid w:val="225F7A53"/>
    <w:rsid w:val="226436BB"/>
    <w:rsid w:val="22656D96"/>
    <w:rsid w:val="22691C0F"/>
    <w:rsid w:val="226E5CA8"/>
    <w:rsid w:val="22837AA1"/>
    <w:rsid w:val="228D26CE"/>
    <w:rsid w:val="228D4F28"/>
    <w:rsid w:val="22995516"/>
    <w:rsid w:val="229B3FF9"/>
    <w:rsid w:val="22A243CB"/>
    <w:rsid w:val="22AC349C"/>
    <w:rsid w:val="22AD04ED"/>
    <w:rsid w:val="22B3207E"/>
    <w:rsid w:val="22B73772"/>
    <w:rsid w:val="22BB3D01"/>
    <w:rsid w:val="22C24914"/>
    <w:rsid w:val="22C34341"/>
    <w:rsid w:val="22CC2018"/>
    <w:rsid w:val="22CF125C"/>
    <w:rsid w:val="22D25E61"/>
    <w:rsid w:val="22D4654E"/>
    <w:rsid w:val="22EC1AEA"/>
    <w:rsid w:val="22F47480"/>
    <w:rsid w:val="22F8025C"/>
    <w:rsid w:val="22FC2BB3"/>
    <w:rsid w:val="2303190B"/>
    <w:rsid w:val="231C6B57"/>
    <w:rsid w:val="23201636"/>
    <w:rsid w:val="23263AC5"/>
    <w:rsid w:val="232803E1"/>
    <w:rsid w:val="23294AEC"/>
    <w:rsid w:val="232A2518"/>
    <w:rsid w:val="232F19D7"/>
    <w:rsid w:val="233C2903"/>
    <w:rsid w:val="233F3A0D"/>
    <w:rsid w:val="23423424"/>
    <w:rsid w:val="234C5C0D"/>
    <w:rsid w:val="23503E27"/>
    <w:rsid w:val="23511668"/>
    <w:rsid w:val="23515DF1"/>
    <w:rsid w:val="23553891"/>
    <w:rsid w:val="2356373D"/>
    <w:rsid w:val="23580F2E"/>
    <w:rsid w:val="23674A84"/>
    <w:rsid w:val="236B19AC"/>
    <w:rsid w:val="23700878"/>
    <w:rsid w:val="23735FE8"/>
    <w:rsid w:val="2375388E"/>
    <w:rsid w:val="23766ABD"/>
    <w:rsid w:val="238735C1"/>
    <w:rsid w:val="238A5F5C"/>
    <w:rsid w:val="23922691"/>
    <w:rsid w:val="23930F8A"/>
    <w:rsid w:val="23952182"/>
    <w:rsid w:val="239739F2"/>
    <w:rsid w:val="23A00BF9"/>
    <w:rsid w:val="23A62E22"/>
    <w:rsid w:val="23A854F6"/>
    <w:rsid w:val="23B31D5F"/>
    <w:rsid w:val="23BA3996"/>
    <w:rsid w:val="23BA70DD"/>
    <w:rsid w:val="23C705CF"/>
    <w:rsid w:val="23D26466"/>
    <w:rsid w:val="23D902C0"/>
    <w:rsid w:val="23D95660"/>
    <w:rsid w:val="23DE1C48"/>
    <w:rsid w:val="23E40A13"/>
    <w:rsid w:val="23ED1D8C"/>
    <w:rsid w:val="23F66651"/>
    <w:rsid w:val="23F724F4"/>
    <w:rsid w:val="240115C5"/>
    <w:rsid w:val="240210CD"/>
    <w:rsid w:val="24062738"/>
    <w:rsid w:val="240D3AC6"/>
    <w:rsid w:val="242B219E"/>
    <w:rsid w:val="24305C8D"/>
    <w:rsid w:val="2432138A"/>
    <w:rsid w:val="244D480A"/>
    <w:rsid w:val="244D65B8"/>
    <w:rsid w:val="245B0CD5"/>
    <w:rsid w:val="245B65B8"/>
    <w:rsid w:val="246833F2"/>
    <w:rsid w:val="24771887"/>
    <w:rsid w:val="2479405E"/>
    <w:rsid w:val="248024EA"/>
    <w:rsid w:val="24877D1C"/>
    <w:rsid w:val="248803CE"/>
    <w:rsid w:val="248975AD"/>
    <w:rsid w:val="248F18F5"/>
    <w:rsid w:val="249259A1"/>
    <w:rsid w:val="24977834"/>
    <w:rsid w:val="249B11DF"/>
    <w:rsid w:val="249F6F65"/>
    <w:rsid w:val="24A01013"/>
    <w:rsid w:val="24AA326D"/>
    <w:rsid w:val="24AC7B2C"/>
    <w:rsid w:val="24B005A2"/>
    <w:rsid w:val="24B978C6"/>
    <w:rsid w:val="24BF09F7"/>
    <w:rsid w:val="24C24761"/>
    <w:rsid w:val="24C9564F"/>
    <w:rsid w:val="24D91187"/>
    <w:rsid w:val="24DA75E2"/>
    <w:rsid w:val="24E26C15"/>
    <w:rsid w:val="24E849DC"/>
    <w:rsid w:val="250476FB"/>
    <w:rsid w:val="250F6D3B"/>
    <w:rsid w:val="251F61A7"/>
    <w:rsid w:val="25213E48"/>
    <w:rsid w:val="2526226D"/>
    <w:rsid w:val="252D53FE"/>
    <w:rsid w:val="252E1F46"/>
    <w:rsid w:val="252F4073"/>
    <w:rsid w:val="25357778"/>
    <w:rsid w:val="253B28B5"/>
    <w:rsid w:val="25415B5F"/>
    <w:rsid w:val="25441769"/>
    <w:rsid w:val="25474447"/>
    <w:rsid w:val="25494FD2"/>
    <w:rsid w:val="25543463"/>
    <w:rsid w:val="25555909"/>
    <w:rsid w:val="2561056D"/>
    <w:rsid w:val="256911D0"/>
    <w:rsid w:val="257007B0"/>
    <w:rsid w:val="25716F0D"/>
    <w:rsid w:val="257543EE"/>
    <w:rsid w:val="257B7155"/>
    <w:rsid w:val="25824893"/>
    <w:rsid w:val="258E229D"/>
    <w:rsid w:val="2593449F"/>
    <w:rsid w:val="25950217"/>
    <w:rsid w:val="259866BA"/>
    <w:rsid w:val="25A04CE7"/>
    <w:rsid w:val="25A71CF8"/>
    <w:rsid w:val="25AC730F"/>
    <w:rsid w:val="25C277B6"/>
    <w:rsid w:val="25CB784F"/>
    <w:rsid w:val="25CF21B6"/>
    <w:rsid w:val="25D24BC1"/>
    <w:rsid w:val="25D7082F"/>
    <w:rsid w:val="25DC6759"/>
    <w:rsid w:val="25DD4C71"/>
    <w:rsid w:val="25E12D0B"/>
    <w:rsid w:val="25E602E6"/>
    <w:rsid w:val="25EA2F9C"/>
    <w:rsid w:val="25EB6089"/>
    <w:rsid w:val="25EC2D81"/>
    <w:rsid w:val="25ED0053"/>
    <w:rsid w:val="25F30A92"/>
    <w:rsid w:val="25F83B9F"/>
    <w:rsid w:val="2602649D"/>
    <w:rsid w:val="260A59DD"/>
    <w:rsid w:val="260B3A16"/>
    <w:rsid w:val="26116BBB"/>
    <w:rsid w:val="26121868"/>
    <w:rsid w:val="26170C2C"/>
    <w:rsid w:val="261902CB"/>
    <w:rsid w:val="261B6ABC"/>
    <w:rsid w:val="261C26E6"/>
    <w:rsid w:val="262C3381"/>
    <w:rsid w:val="263649B3"/>
    <w:rsid w:val="26392447"/>
    <w:rsid w:val="263E088F"/>
    <w:rsid w:val="264E5B47"/>
    <w:rsid w:val="26614684"/>
    <w:rsid w:val="26630315"/>
    <w:rsid w:val="26663540"/>
    <w:rsid w:val="2677273A"/>
    <w:rsid w:val="26775B6F"/>
    <w:rsid w:val="267B395C"/>
    <w:rsid w:val="26812549"/>
    <w:rsid w:val="268941F1"/>
    <w:rsid w:val="268F2EB8"/>
    <w:rsid w:val="269313D4"/>
    <w:rsid w:val="2698099F"/>
    <w:rsid w:val="26B446CD"/>
    <w:rsid w:val="26B66697"/>
    <w:rsid w:val="26C012C4"/>
    <w:rsid w:val="26C11752"/>
    <w:rsid w:val="26C80178"/>
    <w:rsid w:val="26D2080A"/>
    <w:rsid w:val="26D57743"/>
    <w:rsid w:val="26D87E04"/>
    <w:rsid w:val="26F92BFE"/>
    <w:rsid w:val="2708609A"/>
    <w:rsid w:val="27143053"/>
    <w:rsid w:val="271D3DCF"/>
    <w:rsid w:val="272514F0"/>
    <w:rsid w:val="27347500"/>
    <w:rsid w:val="273A5DF5"/>
    <w:rsid w:val="273B094A"/>
    <w:rsid w:val="274243CE"/>
    <w:rsid w:val="274F1A8E"/>
    <w:rsid w:val="2753422E"/>
    <w:rsid w:val="27693709"/>
    <w:rsid w:val="276E6F72"/>
    <w:rsid w:val="27704AA1"/>
    <w:rsid w:val="277057A2"/>
    <w:rsid w:val="27863890"/>
    <w:rsid w:val="27894419"/>
    <w:rsid w:val="279409CC"/>
    <w:rsid w:val="279420CB"/>
    <w:rsid w:val="279F3722"/>
    <w:rsid w:val="27A74232"/>
    <w:rsid w:val="27AC35F6"/>
    <w:rsid w:val="27C70430"/>
    <w:rsid w:val="27CA2623"/>
    <w:rsid w:val="27CC19B5"/>
    <w:rsid w:val="27DE4570"/>
    <w:rsid w:val="27E05FE8"/>
    <w:rsid w:val="27E86D24"/>
    <w:rsid w:val="27F5546A"/>
    <w:rsid w:val="28040C42"/>
    <w:rsid w:val="280460E8"/>
    <w:rsid w:val="280D4F67"/>
    <w:rsid w:val="280F7216"/>
    <w:rsid w:val="281556A3"/>
    <w:rsid w:val="28175083"/>
    <w:rsid w:val="282706B2"/>
    <w:rsid w:val="282826BE"/>
    <w:rsid w:val="282D51B1"/>
    <w:rsid w:val="28342CAB"/>
    <w:rsid w:val="283830DC"/>
    <w:rsid w:val="2849346B"/>
    <w:rsid w:val="284C0F37"/>
    <w:rsid w:val="285443B9"/>
    <w:rsid w:val="28545FE8"/>
    <w:rsid w:val="285E5F84"/>
    <w:rsid w:val="28642123"/>
    <w:rsid w:val="287812CD"/>
    <w:rsid w:val="28846321"/>
    <w:rsid w:val="288640F1"/>
    <w:rsid w:val="28887BBF"/>
    <w:rsid w:val="288B40B1"/>
    <w:rsid w:val="28904CC6"/>
    <w:rsid w:val="28940C5A"/>
    <w:rsid w:val="28A134EF"/>
    <w:rsid w:val="28A16ED3"/>
    <w:rsid w:val="28A32C4B"/>
    <w:rsid w:val="28A95D87"/>
    <w:rsid w:val="28AB7D51"/>
    <w:rsid w:val="28B560EC"/>
    <w:rsid w:val="28B704A4"/>
    <w:rsid w:val="28C826B1"/>
    <w:rsid w:val="28D20D0D"/>
    <w:rsid w:val="28D251A4"/>
    <w:rsid w:val="28DE153F"/>
    <w:rsid w:val="28E009CD"/>
    <w:rsid w:val="28E32180"/>
    <w:rsid w:val="28E615F7"/>
    <w:rsid w:val="28ED24D4"/>
    <w:rsid w:val="28ED4736"/>
    <w:rsid w:val="29015BC3"/>
    <w:rsid w:val="290508DD"/>
    <w:rsid w:val="291471FF"/>
    <w:rsid w:val="291833B1"/>
    <w:rsid w:val="29191F31"/>
    <w:rsid w:val="291E0523"/>
    <w:rsid w:val="29206EB8"/>
    <w:rsid w:val="29244385"/>
    <w:rsid w:val="292A0185"/>
    <w:rsid w:val="292A36CE"/>
    <w:rsid w:val="292F3885"/>
    <w:rsid w:val="293D4E4D"/>
    <w:rsid w:val="29487234"/>
    <w:rsid w:val="294A543B"/>
    <w:rsid w:val="29580844"/>
    <w:rsid w:val="29595666"/>
    <w:rsid w:val="29670BA5"/>
    <w:rsid w:val="296D367F"/>
    <w:rsid w:val="2978101F"/>
    <w:rsid w:val="29874881"/>
    <w:rsid w:val="298C3F25"/>
    <w:rsid w:val="29966FCF"/>
    <w:rsid w:val="299802D6"/>
    <w:rsid w:val="299C1026"/>
    <w:rsid w:val="29AC5B2F"/>
    <w:rsid w:val="29B517FD"/>
    <w:rsid w:val="29BA6CC8"/>
    <w:rsid w:val="29BE37C1"/>
    <w:rsid w:val="29BE7780"/>
    <w:rsid w:val="29C02D41"/>
    <w:rsid w:val="29CE019B"/>
    <w:rsid w:val="29CF0DE9"/>
    <w:rsid w:val="29D07A70"/>
    <w:rsid w:val="29E325E0"/>
    <w:rsid w:val="29E4351B"/>
    <w:rsid w:val="29E53986"/>
    <w:rsid w:val="29E94589"/>
    <w:rsid w:val="29F334D4"/>
    <w:rsid w:val="29F70417"/>
    <w:rsid w:val="29FC1E31"/>
    <w:rsid w:val="29FD396C"/>
    <w:rsid w:val="2A0E2346"/>
    <w:rsid w:val="2A1619A1"/>
    <w:rsid w:val="2A182F8B"/>
    <w:rsid w:val="2A2D424B"/>
    <w:rsid w:val="2A2D710E"/>
    <w:rsid w:val="2A3224D8"/>
    <w:rsid w:val="2A33345F"/>
    <w:rsid w:val="2A351FC9"/>
    <w:rsid w:val="2A37408C"/>
    <w:rsid w:val="2A3D2C2B"/>
    <w:rsid w:val="2A452503"/>
    <w:rsid w:val="2A4A67A8"/>
    <w:rsid w:val="2A52423E"/>
    <w:rsid w:val="2A581813"/>
    <w:rsid w:val="2A5C7555"/>
    <w:rsid w:val="2A641325"/>
    <w:rsid w:val="2A6C0975"/>
    <w:rsid w:val="2A7A5C2D"/>
    <w:rsid w:val="2A81555D"/>
    <w:rsid w:val="2A823C72"/>
    <w:rsid w:val="2A9362CE"/>
    <w:rsid w:val="2A9919A7"/>
    <w:rsid w:val="2AC93B5E"/>
    <w:rsid w:val="2AD134EB"/>
    <w:rsid w:val="2AD56FF7"/>
    <w:rsid w:val="2AD62479"/>
    <w:rsid w:val="2AFA0B1C"/>
    <w:rsid w:val="2AFA5436"/>
    <w:rsid w:val="2B0103D6"/>
    <w:rsid w:val="2B0A0D5F"/>
    <w:rsid w:val="2B0C0F7B"/>
    <w:rsid w:val="2B146695"/>
    <w:rsid w:val="2B1D5BBE"/>
    <w:rsid w:val="2B2524EE"/>
    <w:rsid w:val="2B354F14"/>
    <w:rsid w:val="2B365FF8"/>
    <w:rsid w:val="2B3C3024"/>
    <w:rsid w:val="2B444F55"/>
    <w:rsid w:val="2B4A7FE2"/>
    <w:rsid w:val="2B4B2FD6"/>
    <w:rsid w:val="2B5A62A8"/>
    <w:rsid w:val="2B5C1D20"/>
    <w:rsid w:val="2B6366C1"/>
    <w:rsid w:val="2B6F240F"/>
    <w:rsid w:val="2B7128C3"/>
    <w:rsid w:val="2B74502C"/>
    <w:rsid w:val="2B762899"/>
    <w:rsid w:val="2B7677C4"/>
    <w:rsid w:val="2B7F3DF6"/>
    <w:rsid w:val="2B874618"/>
    <w:rsid w:val="2B9B68F9"/>
    <w:rsid w:val="2BA4675B"/>
    <w:rsid w:val="2BA56CDA"/>
    <w:rsid w:val="2BA936A8"/>
    <w:rsid w:val="2BAD7335"/>
    <w:rsid w:val="2BB41FF6"/>
    <w:rsid w:val="2BC1277E"/>
    <w:rsid w:val="2BC5737C"/>
    <w:rsid w:val="2BD15027"/>
    <w:rsid w:val="2BE2146F"/>
    <w:rsid w:val="2BE26AB6"/>
    <w:rsid w:val="2BEB02BC"/>
    <w:rsid w:val="2BF14700"/>
    <w:rsid w:val="2BF67536"/>
    <w:rsid w:val="2C0003B4"/>
    <w:rsid w:val="2C080D24"/>
    <w:rsid w:val="2C106849"/>
    <w:rsid w:val="2C165D58"/>
    <w:rsid w:val="2C2911D7"/>
    <w:rsid w:val="2C2F4D6E"/>
    <w:rsid w:val="2C315A5A"/>
    <w:rsid w:val="2C367CBA"/>
    <w:rsid w:val="2C3B13EC"/>
    <w:rsid w:val="2C4136BD"/>
    <w:rsid w:val="2C444A69"/>
    <w:rsid w:val="2C46226B"/>
    <w:rsid w:val="2C464019"/>
    <w:rsid w:val="2C493B09"/>
    <w:rsid w:val="2C4B1C25"/>
    <w:rsid w:val="2C4E2ECE"/>
    <w:rsid w:val="2C602C01"/>
    <w:rsid w:val="2C61432D"/>
    <w:rsid w:val="2C645F74"/>
    <w:rsid w:val="2C6C5774"/>
    <w:rsid w:val="2C6D5A4A"/>
    <w:rsid w:val="2C7A48C9"/>
    <w:rsid w:val="2C9233B6"/>
    <w:rsid w:val="2C9649A2"/>
    <w:rsid w:val="2C97396A"/>
    <w:rsid w:val="2C9C067B"/>
    <w:rsid w:val="2CA12FD5"/>
    <w:rsid w:val="2CA32987"/>
    <w:rsid w:val="2CA64AB8"/>
    <w:rsid w:val="2CA80EF8"/>
    <w:rsid w:val="2CAE4713"/>
    <w:rsid w:val="2CC01F2B"/>
    <w:rsid w:val="2CC63CD8"/>
    <w:rsid w:val="2CC872DF"/>
    <w:rsid w:val="2CCD092E"/>
    <w:rsid w:val="2CD21D51"/>
    <w:rsid w:val="2CDB7071"/>
    <w:rsid w:val="2CDC665A"/>
    <w:rsid w:val="2CF14AAA"/>
    <w:rsid w:val="2CF33223"/>
    <w:rsid w:val="2CF55A62"/>
    <w:rsid w:val="2CFF241A"/>
    <w:rsid w:val="2D0773C2"/>
    <w:rsid w:val="2D0A2003"/>
    <w:rsid w:val="2D0B0DBF"/>
    <w:rsid w:val="2D0B1392"/>
    <w:rsid w:val="2D172DB1"/>
    <w:rsid w:val="2D1A3D65"/>
    <w:rsid w:val="2D22596E"/>
    <w:rsid w:val="2D3B78F6"/>
    <w:rsid w:val="2D3E35E5"/>
    <w:rsid w:val="2D4349FC"/>
    <w:rsid w:val="2D4A7B39"/>
    <w:rsid w:val="2D5467A6"/>
    <w:rsid w:val="2D622CF6"/>
    <w:rsid w:val="2D684D9A"/>
    <w:rsid w:val="2D6D6409"/>
    <w:rsid w:val="2D746EF7"/>
    <w:rsid w:val="2D773D42"/>
    <w:rsid w:val="2D79777D"/>
    <w:rsid w:val="2D897EE6"/>
    <w:rsid w:val="2D923ABE"/>
    <w:rsid w:val="2D99286E"/>
    <w:rsid w:val="2D9E56F5"/>
    <w:rsid w:val="2DA2171B"/>
    <w:rsid w:val="2DAF2D35"/>
    <w:rsid w:val="2DB31B82"/>
    <w:rsid w:val="2DCF003E"/>
    <w:rsid w:val="2DD218DC"/>
    <w:rsid w:val="2DDA12DD"/>
    <w:rsid w:val="2DDB67B3"/>
    <w:rsid w:val="2DDD275B"/>
    <w:rsid w:val="2DEA30CA"/>
    <w:rsid w:val="2DEA4514"/>
    <w:rsid w:val="2DEC78FA"/>
    <w:rsid w:val="2DF108E3"/>
    <w:rsid w:val="2E07092A"/>
    <w:rsid w:val="2E076890"/>
    <w:rsid w:val="2E0940C9"/>
    <w:rsid w:val="2E147429"/>
    <w:rsid w:val="2E1A309B"/>
    <w:rsid w:val="2E1A575D"/>
    <w:rsid w:val="2E1E2E94"/>
    <w:rsid w:val="2E1E4AC5"/>
    <w:rsid w:val="2E2B796A"/>
    <w:rsid w:val="2E2F6D2F"/>
    <w:rsid w:val="2E334A71"/>
    <w:rsid w:val="2E3737E1"/>
    <w:rsid w:val="2E3C4FC1"/>
    <w:rsid w:val="2E3E58EB"/>
    <w:rsid w:val="2E424CB4"/>
    <w:rsid w:val="2E4C4F25"/>
    <w:rsid w:val="2E4F0AB3"/>
    <w:rsid w:val="2E624BF9"/>
    <w:rsid w:val="2E6266D9"/>
    <w:rsid w:val="2E667F96"/>
    <w:rsid w:val="2E6B353D"/>
    <w:rsid w:val="2E71479D"/>
    <w:rsid w:val="2E7713DD"/>
    <w:rsid w:val="2E7E7554"/>
    <w:rsid w:val="2E810A57"/>
    <w:rsid w:val="2E8226AB"/>
    <w:rsid w:val="2E834A79"/>
    <w:rsid w:val="2E894691"/>
    <w:rsid w:val="2EAB014D"/>
    <w:rsid w:val="2EAC2152"/>
    <w:rsid w:val="2EAD1233"/>
    <w:rsid w:val="2EAE29CA"/>
    <w:rsid w:val="2EB77450"/>
    <w:rsid w:val="2ECA6E12"/>
    <w:rsid w:val="2ECB2EFB"/>
    <w:rsid w:val="2EDA32F0"/>
    <w:rsid w:val="2EDC6EB7"/>
    <w:rsid w:val="2EE205A6"/>
    <w:rsid w:val="2EE5628B"/>
    <w:rsid w:val="2EE8585B"/>
    <w:rsid w:val="2EEB0EA8"/>
    <w:rsid w:val="2EED10C4"/>
    <w:rsid w:val="2EF07CC5"/>
    <w:rsid w:val="2EF57B70"/>
    <w:rsid w:val="2EF82832"/>
    <w:rsid w:val="2F0D7070"/>
    <w:rsid w:val="2F0F103A"/>
    <w:rsid w:val="2F1B0556"/>
    <w:rsid w:val="2F1D3457"/>
    <w:rsid w:val="2F322268"/>
    <w:rsid w:val="2F361003"/>
    <w:rsid w:val="2F397E65"/>
    <w:rsid w:val="2F3B28B9"/>
    <w:rsid w:val="2F3E547B"/>
    <w:rsid w:val="2F4F2787"/>
    <w:rsid w:val="2F57227D"/>
    <w:rsid w:val="2F5E5B1E"/>
    <w:rsid w:val="2F672776"/>
    <w:rsid w:val="2F672D0C"/>
    <w:rsid w:val="2F761215"/>
    <w:rsid w:val="2F7D2448"/>
    <w:rsid w:val="2F7F4ABD"/>
    <w:rsid w:val="2F81180C"/>
    <w:rsid w:val="2F932760"/>
    <w:rsid w:val="2F950E14"/>
    <w:rsid w:val="2F963509"/>
    <w:rsid w:val="2F96573B"/>
    <w:rsid w:val="2FA32702"/>
    <w:rsid w:val="2FA63021"/>
    <w:rsid w:val="2FCC4306"/>
    <w:rsid w:val="2FD065E6"/>
    <w:rsid w:val="2FD16DC5"/>
    <w:rsid w:val="2FD45BA7"/>
    <w:rsid w:val="2FD7142C"/>
    <w:rsid w:val="2FD95F39"/>
    <w:rsid w:val="2FD96870"/>
    <w:rsid w:val="2FDD5A21"/>
    <w:rsid w:val="2FE73117"/>
    <w:rsid w:val="2FFB336C"/>
    <w:rsid w:val="30017B36"/>
    <w:rsid w:val="30034980"/>
    <w:rsid w:val="300426F1"/>
    <w:rsid w:val="30092EA2"/>
    <w:rsid w:val="300942F4"/>
    <w:rsid w:val="30104E4D"/>
    <w:rsid w:val="302C774D"/>
    <w:rsid w:val="304016E7"/>
    <w:rsid w:val="304339E8"/>
    <w:rsid w:val="3046275B"/>
    <w:rsid w:val="30502ECC"/>
    <w:rsid w:val="30580BC9"/>
    <w:rsid w:val="305D382D"/>
    <w:rsid w:val="30647164"/>
    <w:rsid w:val="306535FD"/>
    <w:rsid w:val="30655C24"/>
    <w:rsid w:val="30676ADC"/>
    <w:rsid w:val="306C3891"/>
    <w:rsid w:val="306C7FDB"/>
    <w:rsid w:val="306F23BC"/>
    <w:rsid w:val="30782C0F"/>
    <w:rsid w:val="307A328B"/>
    <w:rsid w:val="307B6093"/>
    <w:rsid w:val="307D0225"/>
    <w:rsid w:val="30870E8A"/>
    <w:rsid w:val="308725A7"/>
    <w:rsid w:val="3087275D"/>
    <w:rsid w:val="30891471"/>
    <w:rsid w:val="30897A5F"/>
    <w:rsid w:val="30907F59"/>
    <w:rsid w:val="309317F7"/>
    <w:rsid w:val="309358A3"/>
    <w:rsid w:val="30947B21"/>
    <w:rsid w:val="30A7541C"/>
    <w:rsid w:val="30B40D15"/>
    <w:rsid w:val="30B73737"/>
    <w:rsid w:val="30B755D1"/>
    <w:rsid w:val="30B95DB5"/>
    <w:rsid w:val="30BC1800"/>
    <w:rsid w:val="30BF5956"/>
    <w:rsid w:val="30C30C93"/>
    <w:rsid w:val="30C9346B"/>
    <w:rsid w:val="30CC6AB7"/>
    <w:rsid w:val="30CE6CD3"/>
    <w:rsid w:val="30D342E9"/>
    <w:rsid w:val="30D37E45"/>
    <w:rsid w:val="30E02032"/>
    <w:rsid w:val="30E60C1A"/>
    <w:rsid w:val="30EA4E04"/>
    <w:rsid w:val="30EB77A1"/>
    <w:rsid w:val="30F524B2"/>
    <w:rsid w:val="30F57DBC"/>
    <w:rsid w:val="30F860E0"/>
    <w:rsid w:val="30F93D50"/>
    <w:rsid w:val="30F966D7"/>
    <w:rsid w:val="310802C0"/>
    <w:rsid w:val="311A5A74"/>
    <w:rsid w:val="311E2ED7"/>
    <w:rsid w:val="31215055"/>
    <w:rsid w:val="31255814"/>
    <w:rsid w:val="312A5AD5"/>
    <w:rsid w:val="314350F7"/>
    <w:rsid w:val="31460FA1"/>
    <w:rsid w:val="314F1BC2"/>
    <w:rsid w:val="31502FBE"/>
    <w:rsid w:val="31540F86"/>
    <w:rsid w:val="315619EE"/>
    <w:rsid w:val="315C1E36"/>
    <w:rsid w:val="315C3328"/>
    <w:rsid w:val="315C449C"/>
    <w:rsid w:val="31600067"/>
    <w:rsid w:val="31690D45"/>
    <w:rsid w:val="316F3947"/>
    <w:rsid w:val="316F5C83"/>
    <w:rsid w:val="316F6600"/>
    <w:rsid w:val="31742EE2"/>
    <w:rsid w:val="3184468C"/>
    <w:rsid w:val="318B11B0"/>
    <w:rsid w:val="319A0963"/>
    <w:rsid w:val="319D04B7"/>
    <w:rsid w:val="319D33E7"/>
    <w:rsid w:val="31A00FAE"/>
    <w:rsid w:val="31A33CBC"/>
    <w:rsid w:val="31A87524"/>
    <w:rsid w:val="31A97CD4"/>
    <w:rsid w:val="31AA329C"/>
    <w:rsid w:val="31B06076"/>
    <w:rsid w:val="31B82709"/>
    <w:rsid w:val="31B92AED"/>
    <w:rsid w:val="31BD79F8"/>
    <w:rsid w:val="31C66C85"/>
    <w:rsid w:val="31D05482"/>
    <w:rsid w:val="31D917B3"/>
    <w:rsid w:val="31F321FE"/>
    <w:rsid w:val="31F56E59"/>
    <w:rsid w:val="32001D00"/>
    <w:rsid w:val="320102B5"/>
    <w:rsid w:val="3202443C"/>
    <w:rsid w:val="32075FF9"/>
    <w:rsid w:val="32084B53"/>
    <w:rsid w:val="320F23A5"/>
    <w:rsid w:val="32191635"/>
    <w:rsid w:val="321B1AA4"/>
    <w:rsid w:val="321D46FF"/>
    <w:rsid w:val="32231F6E"/>
    <w:rsid w:val="3226690F"/>
    <w:rsid w:val="3227268C"/>
    <w:rsid w:val="322841C1"/>
    <w:rsid w:val="322F7182"/>
    <w:rsid w:val="323B0AA0"/>
    <w:rsid w:val="323E5792"/>
    <w:rsid w:val="32400B34"/>
    <w:rsid w:val="324234D5"/>
    <w:rsid w:val="3244724D"/>
    <w:rsid w:val="324E00A0"/>
    <w:rsid w:val="3250369B"/>
    <w:rsid w:val="32627887"/>
    <w:rsid w:val="3268280F"/>
    <w:rsid w:val="326E7E26"/>
    <w:rsid w:val="32701DFC"/>
    <w:rsid w:val="32755658"/>
    <w:rsid w:val="32831F1F"/>
    <w:rsid w:val="32836562"/>
    <w:rsid w:val="3296737C"/>
    <w:rsid w:val="32987F6C"/>
    <w:rsid w:val="329E6876"/>
    <w:rsid w:val="329F4483"/>
    <w:rsid w:val="329F734D"/>
    <w:rsid w:val="32A042D2"/>
    <w:rsid w:val="32A277E4"/>
    <w:rsid w:val="32AC4DF2"/>
    <w:rsid w:val="32B06690"/>
    <w:rsid w:val="32B63A55"/>
    <w:rsid w:val="32BA306B"/>
    <w:rsid w:val="32BC11EF"/>
    <w:rsid w:val="32C3438B"/>
    <w:rsid w:val="32CB23CC"/>
    <w:rsid w:val="32D44F5D"/>
    <w:rsid w:val="32E12CEE"/>
    <w:rsid w:val="32F010B6"/>
    <w:rsid w:val="32F12805"/>
    <w:rsid w:val="32F81666"/>
    <w:rsid w:val="330811E7"/>
    <w:rsid w:val="331A7FAD"/>
    <w:rsid w:val="33226E62"/>
    <w:rsid w:val="33270098"/>
    <w:rsid w:val="332E1CAB"/>
    <w:rsid w:val="333015F2"/>
    <w:rsid w:val="33340204"/>
    <w:rsid w:val="33340462"/>
    <w:rsid w:val="33425C4C"/>
    <w:rsid w:val="334B6320"/>
    <w:rsid w:val="334B7A74"/>
    <w:rsid w:val="33554D42"/>
    <w:rsid w:val="3356516A"/>
    <w:rsid w:val="33582884"/>
    <w:rsid w:val="335A5793"/>
    <w:rsid w:val="33697713"/>
    <w:rsid w:val="336D096D"/>
    <w:rsid w:val="336F02F9"/>
    <w:rsid w:val="337D0287"/>
    <w:rsid w:val="337D4D04"/>
    <w:rsid w:val="338251CF"/>
    <w:rsid w:val="338B4C95"/>
    <w:rsid w:val="33993AA7"/>
    <w:rsid w:val="339A2E9C"/>
    <w:rsid w:val="33A20484"/>
    <w:rsid w:val="33A65CE5"/>
    <w:rsid w:val="33AF2562"/>
    <w:rsid w:val="33B15B92"/>
    <w:rsid w:val="33B20E12"/>
    <w:rsid w:val="33B51E35"/>
    <w:rsid w:val="33CB12A8"/>
    <w:rsid w:val="33D5131F"/>
    <w:rsid w:val="33D71FB4"/>
    <w:rsid w:val="33D934D4"/>
    <w:rsid w:val="33F648B9"/>
    <w:rsid w:val="33F97BC3"/>
    <w:rsid w:val="33FB1B8D"/>
    <w:rsid w:val="33FE2F6A"/>
    <w:rsid w:val="3400304F"/>
    <w:rsid w:val="34052A0C"/>
    <w:rsid w:val="340B3438"/>
    <w:rsid w:val="340E07E5"/>
    <w:rsid w:val="34152F1C"/>
    <w:rsid w:val="34173E29"/>
    <w:rsid w:val="34186248"/>
    <w:rsid w:val="342002E1"/>
    <w:rsid w:val="34235BF7"/>
    <w:rsid w:val="342D5018"/>
    <w:rsid w:val="34392108"/>
    <w:rsid w:val="344277BC"/>
    <w:rsid w:val="344A48C2"/>
    <w:rsid w:val="344B4545"/>
    <w:rsid w:val="344D6161"/>
    <w:rsid w:val="345164AB"/>
    <w:rsid w:val="3454481F"/>
    <w:rsid w:val="34585026"/>
    <w:rsid w:val="34592D57"/>
    <w:rsid w:val="345C562A"/>
    <w:rsid w:val="34694A1D"/>
    <w:rsid w:val="34753860"/>
    <w:rsid w:val="347831DE"/>
    <w:rsid w:val="3479517A"/>
    <w:rsid w:val="347C131E"/>
    <w:rsid w:val="347F3686"/>
    <w:rsid w:val="34802092"/>
    <w:rsid w:val="34806536"/>
    <w:rsid w:val="34860910"/>
    <w:rsid w:val="348A2F11"/>
    <w:rsid w:val="34967B08"/>
    <w:rsid w:val="34991662"/>
    <w:rsid w:val="34A93442"/>
    <w:rsid w:val="34BB756E"/>
    <w:rsid w:val="34D523DE"/>
    <w:rsid w:val="34E0563C"/>
    <w:rsid w:val="34EB10B3"/>
    <w:rsid w:val="34EB6554"/>
    <w:rsid w:val="35001BFA"/>
    <w:rsid w:val="35055943"/>
    <w:rsid w:val="35092088"/>
    <w:rsid w:val="350D34A2"/>
    <w:rsid w:val="35173EAB"/>
    <w:rsid w:val="3518676F"/>
    <w:rsid w:val="351C3FB8"/>
    <w:rsid w:val="351C625F"/>
    <w:rsid w:val="352B0C6C"/>
    <w:rsid w:val="35316572"/>
    <w:rsid w:val="35386E11"/>
    <w:rsid w:val="353E4E8E"/>
    <w:rsid w:val="353E72DA"/>
    <w:rsid w:val="353F1F4D"/>
    <w:rsid w:val="354E655F"/>
    <w:rsid w:val="355157DD"/>
    <w:rsid w:val="355359F9"/>
    <w:rsid w:val="355919E3"/>
    <w:rsid w:val="3561657A"/>
    <w:rsid w:val="356B2D42"/>
    <w:rsid w:val="3577656E"/>
    <w:rsid w:val="357F2070"/>
    <w:rsid w:val="35800D98"/>
    <w:rsid w:val="358838F4"/>
    <w:rsid w:val="358A7BE5"/>
    <w:rsid w:val="358A7CC6"/>
    <w:rsid w:val="358C5FA8"/>
    <w:rsid w:val="35904557"/>
    <w:rsid w:val="359978AF"/>
    <w:rsid w:val="35A52744"/>
    <w:rsid w:val="35B02D42"/>
    <w:rsid w:val="35BD38BF"/>
    <w:rsid w:val="35C15DF1"/>
    <w:rsid w:val="35C42453"/>
    <w:rsid w:val="35C6312A"/>
    <w:rsid w:val="35C80195"/>
    <w:rsid w:val="35CD5577"/>
    <w:rsid w:val="35D63A1A"/>
    <w:rsid w:val="35DA3A24"/>
    <w:rsid w:val="35DF3B9A"/>
    <w:rsid w:val="35E30B2B"/>
    <w:rsid w:val="35E403EA"/>
    <w:rsid w:val="35E76CF9"/>
    <w:rsid w:val="35ED45A3"/>
    <w:rsid w:val="35F0352E"/>
    <w:rsid w:val="35F32388"/>
    <w:rsid w:val="35F9034E"/>
    <w:rsid w:val="36034D29"/>
    <w:rsid w:val="36074A7F"/>
    <w:rsid w:val="36145188"/>
    <w:rsid w:val="36163333"/>
    <w:rsid w:val="361C403D"/>
    <w:rsid w:val="3624187A"/>
    <w:rsid w:val="36280C33"/>
    <w:rsid w:val="362A04E0"/>
    <w:rsid w:val="362C6A62"/>
    <w:rsid w:val="36315D3A"/>
    <w:rsid w:val="363C16DB"/>
    <w:rsid w:val="36412885"/>
    <w:rsid w:val="36462E68"/>
    <w:rsid w:val="36541A28"/>
    <w:rsid w:val="365B3E4B"/>
    <w:rsid w:val="365C4166"/>
    <w:rsid w:val="365D08DD"/>
    <w:rsid w:val="367A450C"/>
    <w:rsid w:val="367E0853"/>
    <w:rsid w:val="367E74E1"/>
    <w:rsid w:val="368946CB"/>
    <w:rsid w:val="368B7564"/>
    <w:rsid w:val="36923549"/>
    <w:rsid w:val="36A24EDC"/>
    <w:rsid w:val="36A8235C"/>
    <w:rsid w:val="36A94964"/>
    <w:rsid w:val="36B629EE"/>
    <w:rsid w:val="36B75FBF"/>
    <w:rsid w:val="36BB5604"/>
    <w:rsid w:val="36BD0C45"/>
    <w:rsid w:val="36BD137C"/>
    <w:rsid w:val="36C16D9A"/>
    <w:rsid w:val="36C42D91"/>
    <w:rsid w:val="36C96F41"/>
    <w:rsid w:val="36D935FC"/>
    <w:rsid w:val="36DB5CA6"/>
    <w:rsid w:val="36F40BE6"/>
    <w:rsid w:val="37030C64"/>
    <w:rsid w:val="37040B1B"/>
    <w:rsid w:val="37040D59"/>
    <w:rsid w:val="370451FC"/>
    <w:rsid w:val="37184E13"/>
    <w:rsid w:val="37231259"/>
    <w:rsid w:val="372A42BA"/>
    <w:rsid w:val="372A73A8"/>
    <w:rsid w:val="37465815"/>
    <w:rsid w:val="374E074C"/>
    <w:rsid w:val="37527DAF"/>
    <w:rsid w:val="375F0FBA"/>
    <w:rsid w:val="37637A04"/>
    <w:rsid w:val="376805A3"/>
    <w:rsid w:val="37734130"/>
    <w:rsid w:val="3773603C"/>
    <w:rsid w:val="377834F5"/>
    <w:rsid w:val="377F6033"/>
    <w:rsid w:val="378B3228"/>
    <w:rsid w:val="378C062D"/>
    <w:rsid w:val="379A6E32"/>
    <w:rsid w:val="37A10C9D"/>
    <w:rsid w:val="37AE76CB"/>
    <w:rsid w:val="37B32394"/>
    <w:rsid w:val="37B71C22"/>
    <w:rsid w:val="37BD53AB"/>
    <w:rsid w:val="37BE4E98"/>
    <w:rsid w:val="37C25D8E"/>
    <w:rsid w:val="37C52BDE"/>
    <w:rsid w:val="37C87FD8"/>
    <w:rsid w:val="37CC4E57"/>
    <w:rsid w:val="37D7646D"/>
    <w:rsid w:val="37D90437"/>
    <w:rsid w:val="37E00298"/>
    <w:rsid w:val="37E34E12"/>
    <w:rsid w:val="37E82428"/>
    <w:rsid w:val="37EE7000"/>
    <w:rsid w:val="37F012DD"/>
    <w:rsid w:val="37F517B8"/>
    <w:rsid w:val="37F84D6D"/>
    <w:rsid w:val="37FF59C4"/>
    <w:rsid w:val="38074FA9"/>
    <w:rsid w:val="38144DA2"/>
    <w:rsid w:val="38174ABC"/>
    <w:rsid w:val="381A4997"/>
    <w:rsid w:val="381B1D4A"/>
    <w:rsid w:val="381B3D49"/>
    <w:rsid w:val="38392C84"/>
    <w:rsid w:val="383F22B8"/>
    <w:rsid w:val="384F4255"/>
    <w:rsid w:val="384F5A01"/>
    <w:rsid w:val="3851621F"/>
    <w:rsid w:val="385A2E36"/>
    <w:rsid w:val="38615D63"/>
    <w:rsid w:val="386A7CCC"/>
    <w:rsid w:val="388C0E59"/>
    <w:rsid w:val="38967818"/>
    <w:rsid w:val="38B302F9"/>
    <w:rsid w:val="38BB15AC"/>
    <w:rsid w:val="38C31508"/>
    <w:rsid w:val="38C74FF5"/>
    <w:rsid w:val="38C764E2"/>
    <w:rsid w:val="38D155B2"/>
    <w:rsid w:val="38D66725"/>
    <w:rsid w:val="38E03AFA"/>
    <w:rsid w:val="38E65928"/>
    <w:rsid w:val="38EE7F12"/>
    <w:rsid w:val="38F06C4F"/>
    <w:rsid w:val="38F12CD3"/>
    <w:rsid w:val="38F17DEA"/>
    <w:rsid w:val="38F94775"/>
    <w:rsid w:val="390239BE"/>
    <w:rsid w:val="39137926"/>
    <w:rsid w:val="3914724D"/>
    <w:rsid w:val="391A2E3D"/>
    <w:rsid w:val="391C0A56"/>
    <w:rsid w:val="391C2D8E"/>
    <w:rsid w:val="391F00CC"/>
    <w:rsid w:val="39215BDF"/>
    <w:rsid w:val="392971ED"/>
    <w:rsid w:val="392C27E9"/>
    <w:rsid w:val="392E3856"/>
    <w:rsid w:val="39302928"/>
    <w:rsid w:val="39325651"/>
    <w:rsid w:val="393E073A"/>
    <w:rsid w:val="39475874"/>
    <w:rsid w:val="39564D18"/>
    <w:rsid w:val="395A1104"/>
    <w:rsid w:val="395C77BE"/>
    <w:rsid w:val="396E4BAF"/>
    <w:rsid w:val="397C551E"/>
    <w:rsid w:val="397D0F25"/>
    <w:rsid w:val="3983578B"/>
    <w:rsid w:val="39861EF9"/>
    <w:rsid w:val="39874483"/>
    <w:rsid w:val="39893DBB"/>
    <w:rsid w:val="398A6389"/>
    <w:rsid w:val="398B5119"/>
    <w:rsid w:val="39914D8E"/>
    <w:rsid w:val="3992166C"/>
    <w:rsid w:val="399652AF"/>
    <w:rsid w:val="399B0340"/>
    <w:rsid w:val="39A84565"/>
    <w:rsid w:val="39B0341A"/>
    <w:rsid w:val="39B3430B"/>
    <w:rsid w:val="39BE1BE5"/>
    <w:rsid w:val="39C46996"/>
    <w:rsid w:val="39CA00D5"/>
    <w:rsid w:val="39CB1609"/>
    <w:rsid w:val="39CF0F43"/>
    <w:rsid w:val="39D3481C"/>
    <w:rsid w:val="39D54C2E"/>
    <w:rsid w:val="39D57A2D"/>
    <w:rsid w:val="39DE3C18"/>
    <w:rsid w:val="39F32DDC"/>
    <w:rsid w:val="39F536A6"/>
    <w:rsid w:val="39FA4F8C"/>
    <w:rsid w:val="3A02332D"/>
    <w:rsid w:val="3A104AA6"/>
    <w:rsid w:val="3A1669B1"/>
    <w:rsid w:val="3A1E64BE"/>
    <w:rsid w:val="3A4042CC"/>
    <w:rsid w:val="3A443B62"/>
    <w:rsid w:val="3A45246D"/>
    <w:rsid w:val="3A480B9B"/>
    <w:rsid w:val="3A54022F"/>
    <w:rsid w:val="3A5F1324"/>
    <w:rsid w:val="3A6429E9"/>
    <w:rsid w:val="3A701774"/>
    <w:rsid w:val="3A720424"/>
    <w:rsid w:val="3A7B3A28"/>
    <w:rsid w:val="3A812393"/>
    <w:rsid w:val="3A8246ED"/>
    <w:rsid w:val="3A8640ED"/>
    <w:rsid w:val="3A872856"/>
    <w:rsid w:val="3A8D72B7"/>
    <w:rsid w:val="3A8E7CB4"/>
    <w:rsid w:val="3A900B55"/>
    <w:rsid w:val="3A9A4ECD"/>
    <w:rsid w:val="3A9E3450"/>
    <w:rsid w:val="3A9F1AE0"/>
    <w:rsid w:val="3AA978EF"/>
    <w:rsid w:val="3AAC5632"/>
    <w:rsid w:val="3AB27FC1"/>
    <w:rsid w:val="3AB72586"/>
    <w:rsid w:val="3AC0541D"/>
    <w:rsid w:val="3AC47069"/>
    <w:rsid w:val="3AC70A1B"/>
    <w:rsid w:val="3ACA4067"/>
    <w:rsid w:val="3AD06FA0"/>
    <w:rsid w:val="3AD145D1"/>
    <w:rsid w:val="3AD60676"/>
    <w:rsid w:val="3AD72FA4"/>
    <w:rsid w:val="3AD73DA3"/>
    <w:rsid w:val="3ADD52D8"/>
    <w:rsid w:val="3AE21092"/>
    <w:rsid w:val="3AEA02C5"/>
    <w:rsid w:val="3AED5FA8"/>
    <w:rsid w:val="3AF61300"/>
    <w:rsid w:val="3AF64FD7"/>
    <w:rsid w:val="3B032286"/>
    <w:rsid w:val="3B0752BB"/>
    <w:rsid w:val="3B0C3552"/>
    <w:rsid w:val="3B145EB9"/>
    <w:rsid w:val="3B16331A"/>
    <w:rsid w:val="3B2613FE"/>
    <w:rsid w:val="3B3763D1"/>
    <w:rsid w:val="3B3836C7"/>
    <w:rsid w:val="3B390732"/>
    <w:rsid w:val="3B3A25EF"/>
    <w:rsid w:val="3B3F0447"/>
    <w:rsid w:val="3B6338CD"/>
    <w:rsid w:val="3B6B584A"/>
    <w:rsid w:val="3B7A3CDF"/>
    <w:rsid w:val="3B7C08F0"/>
    <w:rsid w:val="3B881B73"/>
    <w:rsid w:val="3B936B4F"/>
    <w:rsid w:val="3B9558F2"/>
    <w:rsid w:val="3B976570"/>
    <w:rsid w:val="3B9D352A"/>
    <w:rsid w:val="3BAA095B"/>
    <w:rsid w:val="3BB34468"/>
    <w:rsid w:val="3BB44539"/>
    <w:rsid w:val="3BB50897"/>
    <w:rsid w:val="3BB833BF"/>
    <w:rsid w:val="3BC929F0"/>
    <w:rsid w:val="3BD442B2"/>
    <w:rsid w:val="3BDF3B42"/>
    <w:rsid w:val="3BE72C60"/>
    <w:rsid w:val="3BE850ED"/>
    <w:rsid w:val="3BED1010"/>
    <w:rsid w:val="3BED44B1"/>
    <w:rsid w:val="3BEF087E"/>
    <w:rsid w:val="3BEF635C"/>
    <w:rsid w:val="3BF24E70"/>
    <w:rsid w:val="3BF258B8"/>
    <w:rsid w:val="3BF26F51"/>
    <w:rsid w:val="3BFD046C"/>
    <w:rsid w:val="3C0B0B74"/>
    <w:rsid w:val="3C22730C"/>
    <w:rsid w:val="3C265C06"/>
    <w:rsid w:val="3C272004"/>
    <w:rsid w:val="3C28235F"/>
    <w:rsid w:val="3C2854E9"/>
    <w:rsid w:val="3C2B322B"/>
    <w:rsid w:val="3C2D66EC"/>
    <w:rsid w:val="3C2F6E1E"/>
    <w:rsid w:val="3C31009A"/>
    <w:rsid w:val="3C385BAF"/>
    <w:rsid w:val="3C3B276F"/>
    <w:rsid w:val="3C4F64BA"/>
    <w:rsid w:val="3C5938F5"/>
    <w:rsid w:val="3C5A58BF"/>
    <w:rsid w:val="3C5C33E5"/>
    <w:rsid w:val="3C7166BC"/>
    <w:rsid w:val="3C7A7945"/>
    <w:rsid w:val="3C854D93"/>
    <w:rsid w:val="3C88227A"/>
    <w:rsid w:val="3C8C66A3"/>
    <w:rsid w:val="3C9506EC"/>
    <w:rsid w:val="3C9568F7"/>
    <w:rsid w:val="3C9B51E5"/>
    <w:rsid w:val="3CA7601D"/>
    <w:rsid w:val="3CAF79B9"/>
    <w:rsid w:val="3CB14F31"/>
    <w:rsid w:val="3CB21257"/>
    <w:rsid w:val="3CB72D11"/>
    <w:rsid w:val="3CB94393"/>
    <w:rsid w:val="3CBB45AF"/>
    <w:rsid w:val="3CCA65A0"/>
    <w:rsid w:val="3CCD6FB5"/>
    <w:rsid w:val="3CD17AA7"/>
    <w:rsid w:val="3CD67400"/>
    <w:rsid w:val="3CDA245A"/>
    <w:rsid w:val="3CDB1B29"/>
    <w:rsid w:val="3CDE3DFA"/>
    <w:rsid w:val="3CE15FA5"/>
    <w:rsid w:val="3CE2047B"/>
    <w:rsid w:val="3CE54EBA"/>
    <w:rsid w:val="3CE678D6"/>
    <w:rsid w:val="3CEC4288"/>
    <w:rsid w:val="3CEE644C"/>
    <w:rsid w:val="3CF60ACF"/>
    <w:rsid w:val="3CFA1FF7"/>
    <w:rsid w:val="3CFC719C"/>
    <w:rsid w:val="3D0B55FE"/>
    <w:rsid w:val="3D152858"/>
    <w:rsid w:val="3D1E06B7"/>
    <w:rsid w:val="3D1F5A17"/>
    <w:rsid w:val="3D2130B2"/>
    <w:rsid w:val="3D266485"/>
    <w:rsid w:val="3D2A5291"/>
    <w:rsid w:val="3D322801"/>
    <w:rsid w:val="3D3A18B6"/>
    <w:rsid w:val="3D3A30E3"/>
    <w:rsid w:val="3D404AB5"/>
    <w:rsid w:val="3D4F63CE"/>
    <w:rsid w:val="3D561E10"/>
    <w:rsid w:val="3D605157"/>
    <w:rsid w:val="3D65451B"/>
    <w:rsid w:val="3D665664"/>
    <w:rsid w:val="3D667BC5"/>
    <w:rsid w:val="3D7152B5"/>
    <w:rsid w:val="3D7415A1"/>
    <w:rsid w:val="3D765CE8"/>
    <w:rsid w:val="3D77319E"/>
    <w:rsid w:val="3D887349"/>
    <w:rsid w:val="3D8C7CFA"/>
    <w:rsid w:val="3D8E3295"/>
    <w:rsid w:val="3D9707B2"/>
    <w:rsid w:val="3DAF10E5"/>
    <w:rsid w:val="3DB548AA"/>
    <w:rsid w:val="3DB9059F"/>
    <w:rsid w:val="3DC2115D"/>
    <w:rsid w:val="3DC54FBA"/>
    <w:rsid w:val="3DC70D32"/>
    <w:rsid w:val="3DCC459A"/>
    <w:rsid w:val="3DD339DE"/>
    <w:rsid w:val="3DDA0E2F"/>
    <w:rsid w:val="3DDB371D"/>
    <w:rsid w:val="3DDD67A7"/>
    <w:rsid w:val="3DDD76F0"/>
    <w:rsid w:val="3DE23DBE"/>
    <w:rsid w:val="3DF9697A"/>
    <w:rsid w:val="3E06151A"/>
    <w:rsid w:val="3E1D0952"/>
    <w:rsid w:val="3E262116"/>
    <w:rsid w:val="3E4A2B6A"/>
    <w:rsid w:val="3E502D8E"/>
    <w:rsid w:val="3E510116"/>
    <w:rsid w:val="3E6564E7"/>
    <w:rsid w:val="3E774854"/>
    <w:rsid w:val="3E815385"/>
    <w:rsid w:val="3E86299B"/>
    <w:rsid w:val="3E8C0269"/>
    <w:rsid w:val="3E93265B"/>
    <w:rsid w:val="3EA01CAF"/>
    <w:rsid w:val="3EBC6496"/>
    <w:rsid w:val="3EC075D9"/>
    <w:rsid w:val="3EC3257A"/>
    <w:rsid w:val="3EC6799A"/>
    <w:rsid w:val="3ED26B8E"/>
    <w:rsid w:val="3ED472C1"/>
    <w:rsid w:val="3EDA0523"/>
    <w:rsid w:val="3EDC080D"/>
    <w:rsid w:val="3EE6168C"/>
    <w:rsid w:val="3EE64519"/>
    <w:rsid w:val="3EE67841"/>
    <w:rsid w:val="3EE7471E"/>
    <w:rsid w:val="3EF47797"/>
    <w:rsid w:val="3EFB5137"/>
    <w:rsid w:val="3EFB67AD"/>
    <w:rsid w:val="3EFE61A9"/>
    <w:rsid w:val="3F0111C3"/>
    <w:rsid w:val="3F077507"/>
    <w:rsid w:val="3F0C10F2"/>
    <w:rsid w:val="3F161F71"/>
    <w:rsid w:val="3F1955BD"/>
    <w:rsid w:val="3F1F26AC"/>
    <w:rsid w:val="3F22290B"/>
    <w:rsid w:val="3F25167E"/>
    <w:rsid w:val="3F2F4DE1"/>
    <w:rsid w:val="3F376398"/>
    <w:rsid w:val="3F387A53"/>
    <w:rsid w:val="3F4225CA"/>
    <w:rsid w:val="3F4B7D4A"/>
    <w:rsid w:val="3F5A1C88"/>
    <w:rsid w:val="3F5B3EE6"/>
    <w:rsid w:val="3F600210"/>
    <w:rsid w:val="3F6660E0"/>
    <w:rsid w:val="3F6A7679"/>
    <w:rsid w:val="3F6E5909"/>
    <w:rsid w:val="3F7153F9"/>
    <w:rsid w:val="3F762A0F"/>
    <w:rsid w:val="3F777D79"/>
    <w:rsid w:val="3F7D5B4C"/>
    <w:rsid w:val="3F80563C"/>
    <w:rsid w:val="3F892743"/>
    <w:rsid w:val="3FA35EC9"/>
    <w:rsid w:val="3FA96941"/>
    <w:rsid w:val="3FAB4115"/>
    <w:rsid w:val="3FAE100B"/>
    <w:rsid w:val="3FB143F3"/>
    <w:rsid w:val="3FB51AE8"/>
    <w:rsid w:val="3FB53538"/>
    <w:rsid w:val="3FBD419A"/>
    <w:rsid w:val="3FC96FE3"/>
    <w:rsid w:val="3FCF1675"/>
    <w:rsid w:val="3FD9785C"/>
    <w:rsid w:val="3FE200A5"/>
    <w:rsid w:val="3FE2553A"/>
    <w:rsid w:val="3FF102E8"/>
    <w:rsid w:val="3FFB1F03"/>
    <w:rsid w:val="3FFE65A7"/>
    <w:rsid w:val="40024546"/>
    <w:rsid w:val="40061FE5"/>
    <w:rsid w:val="40063D93"/>
    <w:rsid w:val="40093A14"/>
    <w:rsid w:val="400C35EB"/>
    <w:rsid w:val="401F4384"/>
    <w:rsid w:val="40201299"/>
    <w:rsid w:val="4021297B"/>
    <w:rsid w:val="403719AB"/>
    <w:rsid w:val="403A40EE"/>
    <w:rsid w:val="403E451E"/>
    <w:rsid w:val="40417378"/>
    <w:rsid w:val="40447D36"/>
    <w:rsid w:val="4056508F"/>
    <w:rsid w:val="40566674"/>
    <w:rsid w:val="40677D34"/>
    <w:rsid w:val="40694783"/>
    <w:rsid w:val="40735C32"/>
    <w:rsid w:val="407631C5"/>
    <w:rsid w:val="407707ED"/>
    <w:rsid w:val="407A6407"/>
    <w:rsid w:val="407E33F4"/>
    <w:rsid w:val="40802ECC"/>
    <w:rsid w:val="40866C82"/>
    <w:rsid w:val="40910C68"/>
    <w:rsid w:val="40991C3E"/>
    <w:rsid w:val="409C0254"/>
    <w:rsid w:val="409E221E"/>
    <w:rsid w:val="40A34060"/>
    <w:rsid w:val="40A5799B"/>
    <w:rsid w:val="40AB56E6"/>
    <w:rsid w:val="40D30308"/>
    <w:rsid w:val="40D514AA"/>
    <w:rsid w:val="40E35E83"/>
    <w:rsid w:val="40E54378"/>
    <w:rsid w:val="40EF2A79"/>
    <w:rsid w:val="40FC5196"/>
    <w:rsid w:val="410353D4"/>
    <w:rsid w:val="41087DA2"/>
    <w:rsid w:val="410D746C"/>
    <w:rsid w:val="4110479E"/>
    <w:rsid w:val="411843BD"/>
    <w:rsid w:val="41200E85"/>
    <w:rsid w:val="4125649B"/>
    <w:rsid w:val="412F4F08"/>
    <w:rsid w:val="413235C1"/>
    <w:rsid w:val="413572FA"/>
    <w:rsid w:val="413640C3"/>
    <w:rsid w:val="413D4376"/>
    <w:rsid w:val="41414B61"/>
    <w:rsid w:val="414544E4"/>
    <w:rsid w:val="41526B64"/>
    <w:rsid w:val="41601281"/>
    <w:rsid w:val="416074D3"/>
    <w:rsid w:val="41683AB7"/>
    <w:rsid w:val="416C40CA"/>
    <w:rsid w:val="417662C5"/>
    <w:rsid w:val="417E5BAB"/>
    <w:rsid w:val="41955B7E"/>
    <w:rsid w:val="41987176"/>
    <w:rsid w:val="419D7696"/>
    <w:rsid w:val="419E7FFC"/>
    <w:rsid w:val="41A90E7A"/>
    <w:rsid w:val="41B24A2D"/>
    <w:rsid w:val="41B94E35"/>
    <w:rsid w:val="41BD778A"/>
    <w:rsid w:val="41C07F72"/>
    <w:rsid w:val="41D25922"/>
    <w:rsid w:val="41D27E27"/>
    <w:rsid w:val="41D67795"/>
    <w:rsid w:val="41DA2A3C"/>
    <w:rsid w:val="41E97A19"/>
    <w:rsid w:val="41EC0683"/>
    <w:rsid w:val="41EE0F83"/>
    <w:rsid w:val="41F540C0"/>
    <w:rsid w:val="41F9158F"/>
    <w:rsid w:val="4200449D"/>
    <w:rsid w:val="420C026B"/>
    <w:rsid w:val="420C0FEE"/>
    <w:rsid w:val="42206C63"/>
    <w:rsid w:val="422229DB"/>
    <w:rsid w:val="422315BA"/>
    <w:rsid w:val="42237EFE"/>
    <w:rsid w:val="42261B80"/>
    <w:rsid w:val="42291FBB"/>
    <w:rsid w:val="42342D2C"/>
    <w:rsid w:val="423A3BCC"/>
    <w:rsid w:val="4240790A"/>
    <w:rsid w:val="42467FE4"/>
    <w:rsid w:val="42497F67"/>
    <w:rsid w:val="424E57D2"/>
    <w:rsid w:val="42554263"/>
    <w:rsid w:val="42597107"/>
    <w:rsid w:val="4265079F"/>
    <w:rsid w:val="42681A6E"/>
    <w:rsid w:val="42784D1B"/>
    <w:rsid w:val="427E2307"/>
    <w:rsid w:val="42864D18"/>
    <w:rsid w:val="42884E78"/>
    <w:rsid w:val="429B3481"/>
    <w:rsid w:val="42A5553A"/>
    <w:rsid w:val="42A8722B"/>
    <w:rsid w:val="42A965FF"/>
    <w:rsid w:val="42AC7206"/>
    <w:rsid w:val="42B26C49"/>
    <w:rsid w:val="42B36831"/>
    <w:rsid w:val="42BE6BA7"/>
    <w:rsid w:val="42BF46CD"/>
    <w:rsid w:val="42C121F4"/>
    <w:rsid w:val="42CC4B76"/>
    <w:rsid w:val="42CC6FE5"/>
    <w:rsid w:val="42D50A61"/>
    <w:rsid w:val="42D55C9F"/>
    <w:rsid w:val="42DF08CC"/>
    <w:rsid w:val="42E25476"/>
    <w:rsid w:val="42EB54C2"/>
    <w:rsid w:val="42F04887"/>
    <w:rsid w:val="42F53A50"/>
    <w:rsid w:val="42F73E67"/>
    <w:rsid w:val="430F11B1"/>
    <w:rsid w:val="43127223"/>
    <w:rsid w:val="431C040F"/>
    <w:rsid w:val="432B2EF9"/>
    <w:rsid w:val="432D0D1B"/>
    <w:rsid w:val="432D63C5"/>
    <w:rsid w:val="43362BE2"/>
    <w:rsid w:val="433A6FE6"/>
    <w:rsid w:val="43480868"/>
    <w:rsid w:val="434B2D37"/>
    <w:rsid w:val="4350713C"/>
    <w:rsid w:val="4354348B"/>
    <w:rsid w:val="43560B8E"/>
    <w:rsid w:val="43587F44"/>
    <w:rsid w:val="43634EF3"/>
    <w:rsid w:val="436653E0"/>
    <w:rsid w:val="43675A04"/>
    <w:rsid w:val="43691B6D"/>
    <w:rsid w:val="436E7A83"/>
    <w:rsid w:val="4374370A"/>
    <w:rsid w:val="43790741"/>
    <w:rsid w:val="437E00E5"/>
    <w:rsid w:val="437F2C57"/>
    <w:rsid w:val="437F4916"/>
    <w:rsid w:val="43840754"/>
    <w:rsid w:val="438D20D6"/>
    <w:rsid w:val="439C6A4C"/>
    <w:rsid w:val="43A53412"/>
    <w:rsid w:val="43C35477"/>
    <w:rsid w:val="43C4431A"/>
    <w:rsid w:val="43DA5C97"/>
    <w:rsid w:val="43DD10BD"/>
    <w:rsid w:val="43E13340"/>
    <w:rsid w:val="43E208A7"/>
    <w:rsid w:val="43E53CC0"/>
    <w:rsid w:val="43E705E8"/>
    <w:rsid w:val="43EF015E"/>
    <w:rsid w:val="43F1324E"/>
    <w:rsid w:val="43F32881"/>
    <w:rsid w:val="4400531C"/>
    <w:rsid w:val="44071E88"/>
    <w:rsid w:val="440A0D76"/>
    <w:rsid w:val="440D0C25"/>
    <w:rsid w:val="44190522"/>
    <w:rsid w:val="441D35F1"/>
    <w:rsid w:val="44231C3A"/>
    <w:rsid w:val="442E5667"/>
    <w:rsid w:val="443F7874"/>
    <w:rsid w:val="44466E54"/>
    <w:rsid w:val="444B6F67"/>
    <w:rsid w:val="446217B4"/>
    <w:rsid w:val="44676DCB"/>
    <w:rsid w:val="446C4D30"/>
    <w:rsid w:val="44710941"/>
    <w:rsid w:val="44742D6A"/>
    <w:rsid w:val="448E07FB"/>
    <w:rsid w:val="449053D3"/>
    <w:rsid w:val="44936637"/>
    <w:rsid w:val="4496320C"/>
    <w:rsid w:val="44973D4D"/>
    <w:rsid w:val="44A973E3"/>
    <w:rsid w:val="44B7603C"/>
    <w:rsid w:val="44B951CC"/>
    <w:rsid w:val="44C164DB"/>
    <w:rsid w:val="44CD14E0"/>
    <w:rsid w:val="44E4041B"/>
    <w:rsid w:val="44E634D1"/>
    <w:rsid w:val="44EA36A2"/>
    <w:rsid w:val="44EC0F3D"/>
    <w:rsid w:val="44ED5E27"/>
    <w:rsid w:val="44F20B0B"/>
    <w:rsid w:val="44F22952"/>
    <w:rsid w:val="44FE5AC3"/>
    <w:rsid w:val="45036754"/>
    <w:rsid w:val="450451F2"/>
    <w:rsid w:val="45085EB8"/>
    <w:rsid w:val="450B7FC6"/>
    <w:rsid w:val="4519609A"/>
    <w:rsid w:val="45267A0D"/>
    <w:rsid w:val="45285849"/>
    <w:rsid w:val="452E5F4C"/>
    <w:rsid w:val="45304B2C"/>
    <w:rsid w:val="45336CAD"/>
    <w:rsid w:val="453B25D8"/>
    <w:rsid w:val="45467BF7"/>
    <w:rsid w:val="454F132E"/>
    <w:rsid w:val="45525385"/>
    <w:rsid w:val="455D2986"/>
    <w:rsid w:val="455E01CE"/>
    <w:rsid w:val="45612018"/>
    <w:rsid w:val="45622B78"/>
    <w:rsid w:val="45634846"/>
    <w:rsid w:val="45651B7F"/>
    <w:rsid w:val="45726472"/>
    <w:rsid w:val="457C68A6"/>
    <w:rsid w:val="457F003D"/>
    <w:rsid w:val="458071E8"/>
    <w:rsid w:val="45862323"/>
    <w:rsid w:val="45893E4F"/>
    <w:rsid w:val="458946E9"/>
    <w:rsid w:val="459A6700"/>
    <w:rsid w:val="45A47C0E"/>
    <w:rsid w:val="45AD4CB1"/>
    <w:rsid w:val="45AF3938"/>
    <w:rsid w:val="45B7168C"/>
    <w:rsid w:val="45BD1572"/>
    <w:rsid w:val="45CC15DB"/>
    <w:rsid w:val="45D24718"/>
    <w:rsid w:val="45D315D3"/>
    <w:rsid w:val="45D854EC"/>
    <w:rsid w:val="45F702E1"/>
    <w:rsid w:val="46080139"/>
    <w:rsid w:val="460A62B9"/>
    <w:rsid w:val="460E6F54"/>
    <w:rsid w:val="46144D30"/>
    <w:rsid w:val="46223962"/>
    <w:rsid w:val="46353B46"/>
    <w:rsid w:val="46367005"/>
    <w:rsid w:val="46392D25"/>
    <w:rsid w:val="463D7DE3"/>
    <w:rsid w:val="463E4D11"/>
    <w:rsid w:val="46407634"/>
    <w:rsid w:val="46465949"/>
    <w:rsid w:val="46577FD6"/>
    <w:rsid w:val="466435C2"/>
    <w:rsid w:val="466C5EC0"/>
    <w:rsid w:val="46727BD1"/>
    <w:rsid w:val="46737CA9"/>
    <w:rsid w:val="4674600D"/>
    <w:rsid w:val="4678342E"/>
    <w:rsid w:val="467C4DAF"/>
    <w:rsid w:val="468863EA"/>
    <w:rsid w:val="46893E4C"/>
    <w:rsid w:val="46916381"/>
    <w:rsid w:val="46A240EA"/>
    <w:rsid w:val="46A77952"/>
    <w:rsid w:val="46B43C28"/>
    <w:rsid w:val="46C73B51"/>
    <w:rsid w:val="46CD363E"/>
    <w:rsid w:val="46D02A05"/>
    <w:rsid w:val="46D1524F"/>
    <w:rsid w:val="46D41B1D"/>
    <w:rsid w:val="46D64950"/>
    <w:rsid w:val="46D83FB0"/>
    <w:rsid w:val="46D955A7"/>
    <w:rsid w:val="46DD1A9B"/>
    <w:rsid w:val="46E9029E"/>
    <w:rsid w:val="46EF502B"/>
    <w:rsid w:val="46F5246C"/>
    <w:rsid w:val="47060B1D"/>
    <w:rsid w:val="47072195"/>
    <w:rsid w:val="47081233"/>
    <w:rsid w:val="47133957"/>
    <w:rsid w:val="4714323A"/>
    <w:rsid w:val="47174C15"/>
    <w:rsid w:val="471F1AEE"/>
    <w:rsid w:val="472D6958"/>
    <w:rsid w:val="47310DEC"/>
    <w:rsid w:val="473A4EA0"/>
    <w:rsid w:val="474510D0"/>
    <w:rsid w:val="475226E7"/>
    <w:rsid w:val="475353E4"/>
    <w:rsid w:val="47543636"/>
    <w:rsid w:val="47607AA6"/>
    <w:rsid w:val="47631ACB"/>
    <w:rsid w:val="47633310"/>
    <w:rsid w:val="476548C0"/>
    <w:rsid w:val="476A181D"/>
    <w:rsid w:val="476A4649"/>
    <w:rsid w:val="476E3ABD"/>
    <w:rsid w:val="477E4B57"/>
    <w:rsid w:val="477E66C6"/>
    <w:rsid w:val="478832E0"/>
    <w:rsid w:val="479779C7"/>
    <w:rsid w:val="47A07E0C"/>
    <w:rsid w:val="47A81BD4"/>
    <w:rsid w:val="47AC5F9C"/>
    <w:rsid w:val="47B23B74"/>
    <w:rsid w:val="47C018DD"/>
    <w:rsid w:val="47C3362C"/>
    <w:rsid w:val="47C540BD"/>
    <w:rsid w:val="47D961EF"/>
    <w:rsid w:val="47D96644"/>
    <w:rsid w:val="47DB29B5"/>
    <w:rsid w:val="47DE73A4"/>
    <w:rsid w:val="47EC6216"/>
    <w:rsid w:val="47EC759F"/>
    <w:rsid w:val="47ED2FE5"/>
    <w:rsid w:val="47F24F0F"/>
    <w:rsid w:val="47F723EB"/>
    <w:rsid w:val="47F81BC3"/>
    <w:rsid w:val="48014C45"/>
    <w:rsid w:val="480768FB"/>
    <w:rsid w:val="481F481F"/>
    <w:rsid w:val="48253552"/>
    <w:rsid w:val="482A0828"/>
    <w:rsid w:val="4835194E"/>
    <w:rsid w:val="483B0352"/>
    <w:rsid w:val="484437C6"/>
    <w:rsid w:val="48482A6F"/>
    <w:rsid w:val="485D3281"/>
    <w:rsid w:val="4860600B"/>
    <w:rsid w:val="48627FD5"/>
    <w:rsid w:val="48657AC5"/>
    <w:rsid w:val="48671147"/>
    <w:rsid w:val="486C1F93"/>
    <w:rsid w:val="4870272E"/>
    <w:rsid w:val="48846EF1"/>
    <w:rsid w:val="4893018E"/>
    <w:rsid w:val="48A201D3"/>
    <w:rsid w:val="48A42A08"/>
    <w:rsid w:val="48A7185A"/>
    <w:rsid w:val="48A979B2"/>
    <w:rsid w:val="48AE0BBF"/>
    <w:rsid w:val="48B20D37"/>
    <w:rsid w:val="48B56357"/>
    <w:rsid w:val="48C42A3E"/>
    <w:rsid w:val="48CC1002"/>
    <w:rsid w:val="48D013E2"/>
    <w:rsid w:val="48D86234"/>
    <w:rsid w:val="48E1714C"/>
    <w:rsid w:val="48E409EA"/>
    <w:rsid w:val="48E629B4"/>
    <w:rsid w:val="48EC583F"/>
    <w:rsid w:val="48FA2921"/>
    <w:rsid w:val="490523FE"/>
    <w:rsid w:val="49143AC3"/>
    <w:rsid w:val="4918172B"/>
    <w:rsid w:val="49217DF9"/>
    <w:rsid w:val="4922283A"/>
    <w:rsid w:val="4929464F"/>
    <w:rsid w:val="492A07DE"/>
    <w:rsid w:val="493A6B92"/>
    <w:rsid w:val="494F5AF1"/>
    <w:rsid w:val="49521DF7"/>
    <w:rsid w:val="4953791E"/>
    <w:rsid w:val="4957740E"/>
    <w:rsid w:val="495918BC"/>
    <w:rsid w:val="495D52FF"/>
    <w:rsid w:val="49695393"/>
    <w:rsid w:val="49696F6A"/>
    <w:rsid w:val="49743271"/>
    <w:rsid w:val="49765C9B"/>
    <w:rsid w:val="497B34B6"/>
    <w:rsid w:val="4983200C"/>
    <w:rsid w:val="49883A6B"/>
    <w:rsid w:val="498902F7"/>
    <w:rsid w:val="49900B72"/>
    <w:rsid w:val="499C04BE"/>
    <w:rsid w:val="49B12727"/>
    <w:rsid w:val="49B54134"/>
    <w:rsid w:val="49CE242C"/>
    <w:rsid w:val="49D0011E"/>
    <w:rsid w:val="49D72799"/>
    <w:rsid w:val="49D942C7"/>
    <w:rsid w:val="49DC7715"/>
    <w:rsid w:val="49DE69F3"/>
    <w:rsid w:val="49E43177"/>
    <w:rsid w:val="49EC4162"/>
    <w:rsid w:val="49F92D8A"/>
    <w:rsid w:val="49FA0C53"/>
    <w:rsid w:val="49FA2BDB"/>
    <w:rsid w:val="49FA691D"/>
    <w:rsid w:val="49FC7FB5"/>
    <w:rsid w:val="4A023139"/>
    <w:rsid w:val="4A042085"/>
    <w:rsid w:val="4A1A6683"/>
    <w:rsid w:val="4A1D7B6C"/>
    <w:rsid w:val="4A3028B0"/>
    <w:rsid w:val="4A317C5F"/>
    <w:rsid w:val="4A370B46"/>
    <w:rsid w:val="4A3B0ADD"/>
    <w:rsid w:val="4A3C6604"/>
    <w:rsid w:val="4A3D37B8"/>
    <w:rsid w:val="4A4F1860"/>
    <w:rsid w:val="4A551387"/>
    <w:rsid w:val="4A5C2802"/>
    <w:rsid w:val="4A617FE4"/>
    <w:rsid w:val="4A740A99"/>
    <w:rsid w:val="4A745D9D"/>
    <w:rsid w:val="4A763F16"/>
    <w:rsid w:val="4A7B576F"/>
    <w:rsid w:val="4A7C1707"/>
    <w:rsid w:val="4A8172DE"/>
    <w:rsid w:val="4A8532D5"/>
    <w:rsid w:val="4A8B6CE7"/>
    <w:rsid w:val="4A8D57EB"/>
    <w:rsid w:val="4A9621B8"/>
    <w:rsid w:val="4A987CDE"/>
    <w:rsid w:val="4A9B347B"/>
    <w:rsid w:val="4A9E1EBD"/>
    <w:rsid w:val="4AAA13E1"/>
    <w:rsid w:val="4ABD4F47"/>
    <w:rsid w:val="4AC42881"/>
    <w:rsid w:val="4AC62BC0"/>
    <w:rsid w:val="4AC72B86"/>
    <w:rsid w:val="4AD430F4"/>
    <w:rsid w:val="4AD60806"/>
    <w:rsid w:val="4AD8457E"/>
    <w:rsid w:val="4AE623AF"/>
    <w:rsid w:val="4AF561A9"/>
    <w:rsid w:val="4AF65903"/>
    <w:rsid w:val="4B01192F"/>
    <w:rsid w:val="4B036E72"/>
    <w:rsid w:val="4B074E64"/>
    <w:rsid w:val="4B0C271E"/>
    <w:rsid w:val="4B154DFB"/>
    <w:rsid w:val="4B194F4C"/>
    <w:rsid w:val="4B1C090F"/>
    <w:rsid w:val="4B210D16"/>
    <w:rsid w:val="4B2257F9"/>
    <w:rsid w:val="4B257869"/>
    <w:rsid w:val="4B2E20E3"/>
    <w:rsid w:val="4B310C69"/>
    <w:rsid w:val="4B42219E"/>
    <w:rsid w:val="4B445833"/>
    <w:rsid w:val="4B4B18CC"/>
    <w:rsid w:val="4B4B3C69"/>
    <w:rsid w:val="4B5538D6"/>
    <w:rsid w:val="4B5C0D0B"/>
    <w:rsid w:val="4B6E46F3"/>
    <w:rsid w:val="4B7031AD"/>
    <w:rsid w:val="4B717577"/>
    <w:rsid w:val="4B726781"/>
    <w:rsid w:val="4B751DCD"/>
    <w:rsid w:val="4B8A6ACD"/>
    <w:rsid w:val="4B8E10E1"/>
    <w:rsid w:val="4B942733"/>
    <w:rsid w:val="4BA54739"/>
    <w:rsid w:val="4BA74EBA"/>
    <w:rsid w:val="4BB5666E"/>
    <w:rsid w:val="4BC97A64"/>
    <w:rsid w:val="4BCD32A4"/>
    <w:rsid w:val="4BD44D46"/>
    <w:rsid w:val="4BD66F05"/>
    <w:rsid w:val="4BDA4326"/>
    <w:rsid w:val="4BE832CF"/>
    <w:rsid w:val="4BE95EF4"/>
    <w:rsid w:val="4BF5292D"/>
    <w:rsid w:val="4BF52F0E"/>
    <w:rsid w:val="4BF9034D"/>
    <w:rsid w:val="4C044CA2"/>
    <w:rsid w:val="4C097A4A"/>
    <w:rsid w:val="4C0D3812"/>
    <w:rsid w:val="4C0D4EFE"/>
    <w:rsid w:val="4C1D5C05"/>
    <w:rsid w:val="4C365CD7"/>
    <w:rsid w:val="4C37238A"/>
    <w:rsid w:val="4C4874E2"/>
    <w:rsid w:val="4C497552"/>
    <w:rsid w:val="4C4A0649"/>
    <w:rsid w:val="4C575977"/>
    <w:rsid w:val="4C5D1363"/>
    <w:rsid w:val="4C635E39"/>
    <w:rsid w:val="4C782B26"/>
    <w:rsid w:val="4C7E5ECA"/>
    <w:rsid w:val="4C801B49"/>
    <w:rsid w:val="4C87625C"/>
    <w:rsid w:val="4C876AA5"/>
    <w:rsid w:val="4C985DA1"/>
    <w:rsid w:val="4C9C683E"/>
    <w:rsid w:val="4C9D15DC"/>
    <w:rsid w:val="4C9D4B1B"/>
    <w:rsid w:val="4C9D71BD"/>
    <w:rsid w:val="4CAA5AA7"/>
    <w:rsid w:val="4CAD1DAF"/>
    <w:rsid w:val="4CB73BD7"/>
    <w:rsid w:val="4CBB1996"/>
    <w:rsid w:val="4CCA439B"/>
    <w:rsid w:val="4CCB3867"/>
    <w:rsid w:val="4CD314A1"/>
    <w:rsid w:val="4CD51931"/>
    <w:rsid w:val="4CD90FF8"/>
    <w:rsid w:val="4CE10FC8"/>
    <w:rsid w:val="4CE92A73"/>
    <w:rsid w:val="4CF87FA5"/>
    <w:rsid w:val="4CFD4139"/>
    <w:rsid w:val="4D027691"/>
    <w:rsid w:val="4D076DF2"/>
    <w:rsid w:val="4D0B0E96"/>
    <w:rsid w:val="4D0C6761"/>
    <w:rsid w:val="4D0E00FB"/>
    <w:rsid w:val="4D176606"/>
    <w:rsid w:val="4D2C1219"/>
    <w:rsid w:val="4D3C2FDB"/>
    <w:rsid w:val="4D4201A6"/>
    <w:rsid w:val="4D4244E7"/>
    <w:rsid w:val="4D482C03"/>
    <w:rsid w:val="4D573E80"/>
    <w:rsid w:val="4D6E292D"/>
    <w:rsid w:val="4D727EF8"/>
    <w:rsid w:val="4D764FEC"/>
    <w:rsid w:val="4D86700D"/>
    <w:rsid w:val="4D8A4D6F"/>
    <w:rsid w:val="4D8C33FE"/>
    <w:rsid w:val="4D9549A9"/>
    <w:rsid w:val="4D970FF5"/>
    <w:rsid w:val="4D9F3C11"/>
    <w:rsid w:val="4DAB5F7A"/>
    <w:rsid w:val="4DAF7614"/>
    <w:rsid w:val="4DBF5858"/>
    <w:rsid w:val="4DC4528E"/>
    <w:rsid w:val="4DCE1C69"/>
    <w:rsid w:val="4DD14002"/>
    <w:rsid w:val="4DD440AA"/>
    <w:rsid w:val="4DD71B3A"/>
    <w:rsid w:val="4DE1374A"/>
    <w:rsid w:val="4DE70FB6"/>
    <w:rsid w:val="4DE93F5D"/>
    <w:rsid w:val="4DEC4FB0"/>
    <w:rsid w:val="4DED6593"/>
    <w:rsid w:val="4DF80A94"/>
    <w:rsid w:val="4E034154"/>
    <w:rsid w:val="4E075D8A"/>
    <w:rsid w:val="4E121B55"/>
    <w:rsid w:val="4E2A4103"/>
    <w:rsid w:val="4E434405"/>
    <w:rsid w:val="4E451F2B"/>
    <w:rsid w:val="4E481A1B"/>
    <w:rsid w:val="4E5401B4"/>
    <w:rsid w:val="4E5869CD"/>
    <w:rsid w:val="4E6034E4"/>
    <w:rsid w:val="4E6600F3"/>
    <w:rsid w:val="4E661EA1"/>
    <w:rsid w:val="4E6F51FA"/>
    <w:rsid w:val="4E7032A3"/>
    <w:rsid w:val="4E72289C"/>
    <w:rsid w:val="4E80084D"/>
    <w:rsid w:val="4E85196F"/>
    <w:rsid w:val="4E8862C9"/>
    <w:rsid w:val="4E93430C"/>
    <w:rsid w:val="4E944C60"/>
    <w:rsid w:val="4E94701A"/>
    <w:rsid w:val="4E9557D3"/>
    <w:rsid w:val="4E9F56B3"/>
    <w:rsid w:val="4EA001D5"/>
    <w:rsid w:val="4EA628BA"/>
    <w:rsid w:val="4EAD0C11"/>
    <w:rsid w:val="4EB240D8"/>
    <w:rsid w:val="4EB42C0C"/>
    <w:rsid w:val="4EBB21ED"/>
    <w:rsid w:val="4EBE49F8"/>
    <w:rsid w:val="4EC00FAD"/>
    <w:rsid w:val="4ECF5C98"/>
    <w:rsid w:val="4ED137BE"/>
    <w:rsid w:val="4EDB0903"/>
    <w:rsid w:val="4EEA2AD2"/>
    <w:rsid w:val="4EF70D4B"/>
    <w:rsid w:val="4F003091"/>
    <w:rsid w:val="4F01762D"/>
    <w:rsid w:val="4F0B1FD5"/>
    <w:rsid w:val="4F0B3174"/>
    <w:rsid w:val="4F1B4E81"/>
    <w:rsid w:val="4F245F7B"/>
    <w:rsid w:val="4F2A7035"/>
    <w:rsid w:val="4F31595E"/>
    <w:rsid w:val="4F3354BB"/>
    <w:rsid w:val="4F3D70A6"/>
    <w:rsid w:val="4F402F71"/>
    <w:rsid w:val="4F5874FC"/>
    <w:rsid w:val="4F613271"/>
    <w:rsid w:val="4F616A1C"/>
    <w:rsid w:val="4F626B0C"/>
    <w:rsid w:val="4F742F59"/>
    <w:rsid w:val="4F7A01F8"/>
    <w:rsid w:val="4F7A20A8"/>
    <w:rsid w:val="4F820F5D"/>
    <w:rsid w:val="4F8A6438"/>
    <w:rsid w:val="4F8D4D59"/>
    <w:rsid w:val="4F922F57"/>
    <w:rsid w:val="4F9843DC"/>
    <w:rsid w:val="4FA04F65"/>
    <w:rsid w:val="4FA83605"/>
    <w:rsid w:val="4FA964E9"/>
    <w:rsid w:val="4FB27182"/>
    <w:rsid w:val="4FBF07C1"/>
    <w:rsid w:val="4FC43323"/>
    <w:rsid w:val="4FC62A8C"/>
    <w:rsid w:val="4FC6709B"/>
    <w:rsid w:val="4FD72579"/>
    <w:rsid w:val="4FDA75BC"/>
    <w:rsid w:val="4FE20F0D"/>
    <w:rsid w:val="4FE51552"/>
    <w:rsid w:val="50055D8C"/>
    <w:rsid w:val="500660EC"/>
    <w:rsid w:val="500D4CCA"/>
    <w:rsid w:val="50160FEC"/>
    <w:rsid w:val="501C7D9B"/>
    <w:rsid w:val="50297249"/>
    <w:rsid w:val="502B7A1D"/>
    <w:rsid w:val="504C361C"/>
    <w:rsid w:val="50504C4B"/>
    <w:rsid w:val="505C3C48"/>
    <w:rsid w:val="505E5526"/>
    <w:rsid w:val="505E616B"/>
    <w:rsid w:val="506348EA"/>
    <w:rsid w:val="50723E43"/>
    <w:rsid w:val="5078087C"/>
    <w:rsid w:val="508D2300"/>
    <w:rsid w:val="508D4C3A"/>
    <w:rsid w:val="509176A9"/>
    <w:rsid w:val="509C1BAA"/>
    <w:rsid w:val="509C6E7C"/>
    <w:rsid w:val="509E5922"/>
    <w:rsid w:val="509F4F62"/>
    <w:rsid w:val="50D03E52"/>
    <w:rsid w:val="50DB6B76"/>
    <w:rsid w:val="50E00754"/>
    <w:rsid w:val="50E83041"/>
    <w:rsid w:val="50EA31CE"/>
    <w:rsid w:val="50EA500B"/>
    <w:rsid w:val="50FE1712"/>
    <w:rsid w:val="5107293F"/>
    <w:rsid w:val="510734C7"/>
    <w:rsid w:val="51081D09"/>
    <w:rsid w:val="510E0CFA"/>
    <w:rsid w:val="51131632"/>
    <w:rsid w:val="51214225"/>
    <w:rsid w:val="5124653C"/>
    <w:rsid w:val="51270325"/>
    <w:rsid w:val="512E185C"/>
    <w:rsid w:val="512F7D01"/>
    <w:rsid w:val="51347FD9"/>
    <w:rsid w:val="51372589"/>
    <w:rsid w:val="51403283"/>
    <w:rsid w:val="51413030"/>
    <w:rsid w:val="51450C65"/>
    <w:rsid w:val="515279AE"/>
    <w:rsid w:val="515D57DD"/>
    <w:rsid w:val="5162104E"/>
    <w:rsid w:val="51651EBE"/>
    <w:rsid w:val="516528E4"/>
    <w:rsid w:val="517448D5"/>
    <w:rsid w:val="517B0995"/>
    <w:rsid w:val="517B2107"/>
    <w:rsid w:val="51831D23"/>
    <w:rsid w:val="51844B18"/>
    <w:rsid w:val="51916A23"/>
    <w:rsid w:val="51966226"/>
    <w:rsid w:val="51A404F0"/>
    <w:rsid w:val="51B64EEE"/>
    <w:rsid w:val="51B67968"/>
    <w:rsid w:val="51C85112"/>
    <w:rsid w:val="51CF6818"/>
    <w:rsid w:val="51DD3BEB"/>
    <w:rsid w:val="51E101BC"/>
    <w:rsid w:val="51E63A25"/>
    <w:rsid w:val="51EB3AFC"/>
    <w:rsid w:val="51F25CD6"/>
    <w:rsid w:val="51F85506"/>
    <w:rsid w:val="51FF0B8E"/>
    <w:rsid w:val="520B071F"/>
    <w:rsid w:val="52141D9C"/>
    <w:rsid w:val="521E103E"/>
    <w:rsid w:val="52224331"/>
    <w:rsid w:val="522321C7"/>
    <w:rsid w:val="5224454D"/>
    <w:rsid w:val="52282AB6"/>
    <w:rsid w:val="52311D3F"/>
    <w:rsid w:val="523464FC"/>
    <w:rsid w:val="523C584B"/>
    <w:rsid w:val="523D3DDC"/>
    <w:rsid w:val="52446F6F"/>
    <w:rsid w:val="5245699D"/>
    <w:rsid w:val="52475E11"/>
    <w:rsid w:val="524771E7"/>
    <w:rsid w:val="524B3200"/>
    <w:rsid w:val="524F5A95"/>
    <w:rsid w:val="525971B5"/>
    <w:rsid w:val="525B252C"/>
    <w:rsid w:val="52650DED"/>
    <w:rsid w:val="52681A36"/>
    <w:rsid w:val="52691F60"/>
    <w:rsid w:val="526E18E2"/>
    <w:rsid w:val="527B7428"/>
    <w:rsid w:val="528172E2"/>
    <w:rsid w:val="52850C18"/>
    <w:rsid w:val="52853C10"/>
    <w:rsid w:val="528A6EAF"/>
    <w:rsid w:val="529A65BD"/>
    <w:rsid w:val="529E33EE"/>
    <w:rsid w:val="52AB07CA"/>
    <w:rsid w:val="52B42038"/>
    <w:rsid w:val="52B458D1"/>
    <w:rsid w:val="52B7716F"/>
    <w:rsid w:val="52BB6C5F"/>
    <w:rsid w:val="52C86ACD"/>
    <w:rsid w:val="52C92AF8"/>
    <w:rsid w:val="52CF0ECD"/>
    <w:rsid w:val="52D647A9"/>
    <w:rsid w:val="52D90E94"/>
    <w:rsid w:val="52DA2EC4"/>
    <w:rsid w:val="52E35C9F"/>
    <w:rsid w:val="52EC1142"/>
    <w:rsid w:val="52FB1FA3"/>
    <w:rsid w:val="52FB6B69"/>
    <w:rsid w:val="5303124D"/>
    <w:rsid w:val="53066D20"/>
    <w:rsid w:val="530C74BB"/>
    <w:rsid w:val="5311687F"/>
    <w:rsid w:val="531B76FE"/>
    <w:rsid w:val="531F68DA"/>
    <w:rsid w:val="53204028"/>
    <w:rsid w:val="53264247"/>
    <w:rsid w:val="532A5B93"/>
    <w:rsid w:val="532D7163"/>
    <w:rsid w:val="53360094"/>
    <w:rsid w:val="533B62A6"/>
    <w:rsid w:val="534327B1"/>
    <w:rsid w:val="53486019"/>
    <w:rsid w:val="53496EC5"/>
    <w:rsid w:val="53516BF1"/>
    <w:rsid w:val="535455FA"/>
    <w:rsid w:val="535844AE"/>
    <w:rsid w:val="536A2433"/>
    <w:rsid w:val="536A50F4"/>
    <w:rsid w:val="537771F6"/>
    <w:rsid w:val="537806AC"/>
    <w:rsid w:val="537920C0"/>
    <w:rsid w:val="53794425"/>
    <w:rsid w:val="537D2167"/>
    <w:rsid w:val="538057B3"/>
    <w:rsid w:val="53811E65"/>
    <w:rsid w:val="538664F2"/>
    <w:rsid w:val="53962C9E"/>
    <w:rsid w:val="53996EAE"/>
    <w:rsid w:val="539E2313"/>
    <w:rsid w:val="53A039CC"/>
    <w:rsid w:val="53A1505A"/>
    <w:rsid w:val="53A663BE"/>
    <w:rsid w:val="53AD4350"/>
    <w:rsid w:val="53AE3427"/>
    <w:rsid w:val="53B266F7"/>
    <w:rsid w:val="53B84F4D"/>
    <w:rsid w:val="53C03E0F"/>
    <w:rsid w:val="53C47D96"/>
    <w:rsid w:val="53CC5083"/>
    <w:rsid w:val="53D855EF"/>
    <w:rsid w:val="53EC109A"/>
    <w:rsid w:val="53F51CFD"/>
    <w:rsid w:val="53F8443B"/>
    <w:rsid w:val="54063E08"/>
    <w:rsid w:val="5415720C"/>
    <w:rsid w:val="541865A3"/>
    <w:rsid w:val="541B5A8C"/>
    <w:rsid w:val="541E0E92"/>
    <w:rsid w:val="54216F96"/>
    <w:rsid w:val="542315E1"/>
    <w:rsid w:val="542425E2"/>
    <w:rsid w:val="542E4D92"/>
    <w:rsid w:val="543437E8"/>
    <w:rsid w:val="54422A68"/>
    <w:rsid w:val="544773A1"/>
    <w:rsid w:val="54565458"/>
    <w:rsid w:val="545C6528"/>
    <w:rsid w:val="545E76AA"/>
    <w:rsid w:val="54612004"/>
    <w:rsid w:val="54705828"/>
    <w:rsid w:val="547370C6"/>
    <w:rsid w:val="54770964"/>
    <w:rsid w:val="54952B5B"/>
    <w:rsid w:val="549F610D"/>
    <w:rsid w:val="54A1760B"/>
    <w:rsid w:val="54A454D1"/>
    <w:rsid w:val="54A56347"/>
    <w:rsid w:val="54B70E79"/>
    <w:rsid w:val="54B870E1"/>
    <w:rsid w:val="54BA0D48"/>
    <w:rsid w:val="54C17E31"/>
    <w:rsid w:val="54C93FA5"/>
    <w:rsid w:val="54CB7F1E"/>
    <w:rsid w:val="54CC2F9D"/>
    <w:rsid w:val="54CC5154"/>
    <w:rsid w:val="54D6501D"/>
    <w:rsid w:val="54D80B85"/>
    <w:rsid w:val="54D9517B"/>
    <w:rsid w:val="54DC4007"/>
    <w:rsid w:val="54E7626B"/>
    <w:rsid w:val="54F322E2"/>
    <w:rsid w:val="54F73313"/>
    <w:rsid w:val="54F80955"/>
    <w:rsid w:val="54FE4BE1"/>
    <w:rsid w:val="55094239"/>
    <w:rsid w:val="550965BE"/>
    <w:rsid w:val="55475002"/>
    <w:rsid w:val="5549127B"/>
    <w:rsid w:val="554A42CB"/>
    <w:rsid w:val="555170A7"/>
    <w:rsid w:val="55536BC9"/>
    <w:rsid w:val="555C3226"/>
    <w:rsid w:val="555C5410"/>
    <w:rsid w:val="555F1DF1"/>
    <w:rsid w:val="556F788D"/>
    <w:rsid w:val="55771F73"/>
    <w:rsid w:val="5579695E"/>
    <w:rsid w:val="55805F3E"/>
    <w:rsid w:val="5587536D"/>
    <w:rsid w:val="5589787B"/>
    <w:rsid w:val="558A38DC"/>
    <w:rsid w:val="558C13A4"/>
    <w:rsid w:val="55920CCF"/>
    <w:rsid w:val="559B174B"/>
    <w:rsid w:val="55BB5C2C"/>
    <w:rsid w:val="55C04FDA"/>
    <w:rsid w:val="55CC5DDD"/>
    <w:rsid w:val="55CE0CF4"/>
    <w:rsid w:val="55D174B2"/>
    <w:rsid w:val="55DC6C16"/>
    <w:rsid w:val="55E36EE6"/>
    <w:rsid w:val="55E464CD"/>
    <w:rsid w:val="55E53FF3"/>
    <w:rsid w:val="55E801E9"/>
    <w:rsid w:val="55EB1D19"/>
    <w:rsid w:val="55EC63FA"/>
    <w:rsid w:val="55FE6724"/>
    <w:rsid w:val="561548BD"/>
    <w:rsid w:val="56176FF1"/>
    <w:rsid w:val="561E110F"/>
    <w:rsid w:val="56223C41"/>
    <w:rsid w:val="56312AF7"/>
    <w:rsid w:val="56314635"/>
    <w:rsid w:val="56336B0D"/>
    <w:rsid w:val="563A60ED"/>
    <w:rsid w:val="563E32A2"/>
    <w:rsid w:val="564F04F9"/>
    <w:rsid w:val="565A678F"/>
    <w:rsid w:val="56644F18"/>
    <w:rsid w:val="5671191A"/>
    <w:rsid w:val="567D5FDA"/>
    <w:rsid w:val="568D48D7"/>
    <w:rsid w:val="569357FD"/>
    <w:rsid w:val="569F0646"/>
    <w:rsid w:val="56A95021"/>
    <w:rsid w:val="56B22A9C"/>
    <w:rsid w:val="56BF09C1"/>
    <w:rsid w:val="56C46453"/>
    <w:rsid w:val="56C73918"/>
    <w:rsid w:val="56CD7281"/>
    <w:rsid w:val="56D560E5"/>
    <w:rsid w:val="56DF6C95"/>
    <w:rsid w:val="56E20856"/>
    <w:rsid w:val="56E26F1B"/>
    <w:rsid w:val="56E30CA8"/>
    <w:rsid w:val="56F05B62"/>
    <w:rsid w:val="5702694B"/>
    <w:rsid w:val="570404A9"/>
    <w:rsid w:val="571526B6"/>
    <w:rsid w:val="571D4121"/>
    <w:rsid w:val="571F7091"/>
    <w:rsid w:val="57243E77"/>
    <w:rsid w:val="572E1BAE"/>
    <w:rsid w:val="573B2DDC"/>
    <w:rsid w:val="57435475"/>
    <w:rsid w:val="57495B24"/>
    <w:rsid w:val="57605808"/>
    <w:rsid w:val="57626D08"/>
    <w:rsid w:val="57646731"/>
    <w:rsid w:val="576A2A02"/>
    <w:rsid w:val="577264AF"/>
    <w:rsid w:val="577D20AC"/>
    <w:rsid w:val="577E7445"/>
    <w:rsid w:val="577F2A53"/>
    <w:rsid w:val="57882E88"/>
    <w:rsid w:val="5797131D"/>
    <w:rsid w:val="57996E43"/>
    <w:rsid w:val="57A14C30"/>
    <w:rsid w:val="57A71560"/>
    <w:rsid w:val="57A81B4F"/>
    <w:rsid w:val="57AC1A79"/>
    <w:rsid w:val="57B72A76"/>
    <w:rsid w:val="57C3426C"/>
    <w:rsid w:val="57CA55C9"/>
    <w:rsid w:val="57CE1F93"/>
    <w:rsid w:val="57D65757"/>
    <w:rsid w:val="57DD4F82"/>
    <w:rsid w:val="57DE200B"/>
    <w:rsid w:val="57DE6F4C"/>
    <w:rsid w:val="57DF7C5F"/>
    <w:rsid w:val="57E62AB9"/>
    <w:rsid w:val="57F74AEB"/>
    <w:rsid w:val="581A4428"/>
    <w:rsid w:val="581F1A3E"/>
    <w:rsid w:val="58227FA1"/>
    <w:rsid w:val="58305B05"/>
    <w:rsid w:val="583358A1"/>
    <w:rsid w:val="5836417F"/>
    <w:rsid w:val="583A23D4"/>
    <w:rsid w:val="58475C93"/>
    <w:rsid w:val="584C035A"/>
    <w:rsid w:val="5853793A"/>
    <w:rsid w:val="585940CF"/>
    <w:rsid w:val="58606524"/>
    <w:rsid w:val="58636A40"/>
    <w:rsid w:val="58692CBA"/>
    <w:rsid w:val="586C27AA"/>
    <w:rsid w:val="58740946"/>
    <w:rsid w:val="587836D4"/>
    <w:rsid w:val="587C0C3F"/>
    <w:rsid w:val="587D0513"/>
    <w:rsid w:val="587D6765"/>
    <w:rsid w:val="588743D1"/>
    <w:rsid w:val="5887701A"/>
    <w:rsid w:val="58902D1E"/>
    <w:rsid w:val="58920462"/>
    <w:rsid w:val="589E1064"/>
    <w:rsid w:val="58A12453"/>
    <w:rsid w:val="58A13375"/>
    <w:rsid w:val="58A9755A"/>
    <w:rsid w:val="58AB6611"/>
    <w:rsid w:val="58AC2BA6"/>
    <w:rsid w:val="58AD2618"/>
    <w:rsid w:val="58AF2EB9"/>
    <w:rsid w:val="58BA0BA9"/>
    <w:rsid w:val="58C07A2B"/>
    <w:rsid w:val="58D6588E"/>
    <w:rsid w:val="58DC7930"/>
    <w:rsid w:val="58E32A6C"/>
    <w:rsid w:val="58E86387"/>
    <w:rsid w:val="58E94BB5"/>
    <w:rsid w:val="58E97C2C"/>
    <w:rsid w:val="58F741A0"/>
    <w:rsid w:val="58F84874"/>
    <w:rsid w:val="59002040"/>
    <w:rsid w:val="590B3D71"/>
    <w:rsid w:val="59116E4E"/>
    <w:rsid w:val="591744C4"/>
    <w:rsid w:val="59183993"/>
    <w:rsid w:val="591B2227"/>
    <w:rsid w:val="591B3D19"/>
    <w:rsid w:val="59213E93"/>
    <w:rsid w:val="592B4413"/>
    <w:rsid w:val="59350DEE"/>
    <w:rsid w:val="593C217C"/>
    <w:rsid w:val="594828CF"/>
    <w:rsid w:val="59557E48"/>
    <w:rsid w:val="595C42E3"/>
    <w:rsid w:val="595C45CC"/>
    <w:rsid w:val="596721A8"/>
    <w:rsid w:val="596C2257"/>
    <w:rsid w:val="597A049D"/>
    <w:rsid w:val="598E50E7"/>
    <w:rsid w:val="59A81BA6"/>
    <w:rsid w:val="59AD5D40"/>
    <w:rsid w:val="59B241EC"/>
    <w:rsid w:val="59B42577"/>
    <w:rsid w:val="59BA330C"/>
    <w:rsid w:val="59C0439F"/>
    <w:rsid w:val="59C867CF"/>
    <w:rsid w:val="59CC3500"/>
    <w:rsid w:val="59E85E60"/>
    <w:rsid w:val="59E8626C"/>
    <w:rsid w:val="59EC76FE"/>
    <w:rsid w:val="59EF4EA9"/>
    <w:rsid w:val="59F716C4"/>
    <w:rsid w:val="59F82547"/>
    <w:rsid w:val="59FB6AE6"/>
    <w:rsid w:val="5A085BEB"/>
    <w:rsid w:val="5A0B2E37"/>
    <w:rsid w:val="5A0E3173"/>
    <w:rsid w:val="5A183FED"/>
    <w:rsid w:val="5A1854E3"/>
    <w:rsid w:val="5A211A8E"/>
    <w:rsid w:val="5A23531B"/>
    <w:rsid w:val="5A2D19B3"/>
    <w:rsid w:val="5A2F648A"/>
    <w:rsid w:val="5A341CC9"/>
    <w:rsid w:val="5A3A72BD"/>
    <w:rsid w:val="5A4A2112"/>
    <w:rsid w:val="5A4C2BEF"/>
    <w:rsid w:val="5A6A4AC7"/>
    <w:rsid w:val="5A6B2D19"/>
    <w:rsid w:val="5A7140A7"/>
    <w:rsid w:val="5A762D88"/>
    <w:rsid w:val="5A786C2A"/>
    <w:rsid w:val="5A985AAF"/>
    <w:rsid w:val="5A9A36C4"/>
    <w:rsid w:val="5A9C47FB"/>
    <w:rsid w:val="5AB52C6E"/>
    <w:rsid w:val="5AB84EAA"/>
    <w:rsid w:val="5AB8609F"/>
    <w:rsid w:val="5ABB2555"/>
    <w:rsid w:val="5ABE2233"/>
    <w:rsid w:val="5AC22F58"/>
    <w:rsid w:val="5AC5432B"/>
    <w:rsid w:val="5AC62502"/>
    <w:rsid w:val="5AC96735"/>
    <w:rsid w:val="5ACB1A0A"/>
    <w:rsid w:val="5ACB7C53"/>
    <w:rsid w:val="5ACF4B5D"/>
    <w:rsid w:val="5ADB7B72"/>
    <w:rsid w:val="5ADC0182"/>
    <w:rsid w:val="5ADF1011"/>
    <w:rsid w:val="5AF11EC8"/>
    <w:rsid w:val="5AF77819"/>
    <w:rsid w:val="5B1530DD"/>
    <w:rsid w:val="5B1769FD"/>
    <w:rsid w:val="5B2619EF"/>
    <w:rsid w:val="5B286752"/>
    <w:rsid w:val="5B295FB0"/>
    <w:rsid w:val="5B2D2AF0"/>
    <w:rsid w:val="5B305D11"/>
    <w:rsid w:val="5B345801"/>
    <w:rsid w:val="5B363095"/>
    <w:rsid w:val="5B3C0FA6"/>
    <w:rsid w:val="5B3C507F"/>
    <w:rsid w:val="5B3E6680"/>
    <w:rsid w:val="5B3F3394"/>
    <w:rsid w:val="5B440962"/>
    <w:rsid w:val="5B461903"/>
    <w:rsid w:val="5B4C6C5A"/>
    <w:rsid w:val="5B555777"/>
    <w:rsid w:val="5B6F4A8B"/>
    <w:rsid w:val="5B8C2182"/>
    <w:rsid w:val="5B9124C2"/>
    <w:rsid w:val="5B935A55"/>
    <w:rsid w:val="5B977B3E"/>
    <w:rsid w:val="5B993134"/>
    <w:rsid w:val="5B9B13DC"/>
    <w:rsid w:val="5B9B294C"/>
    <w:rsid w:val="5BA364E3"/>
    <w:rsid w:val="5BA50348"/>
    <w:rsid w:val="5BA57EAC"/>
    <w:rsid w:val="5BC1645D"/>
    <w:rsid w:val="5BC621D1"/>
    <w:rsid w:val="5BC85C6B"/>
    <w:rsid w:val="5BCC2B28"/>
    <w:rsid w:val="5BDF5D95"/>
    <w:rsid w:val="5BE73AD5"/>
    <w:rsid w:val="5BF52EA0"/>
    <w:rsid w:val="5BFB00CD"/>
    <w:rsid w:val="5BFE7528"/>
    <w:rsid w:val="5BFF581E"/>
    <w:rsid w:val="5C020D75"/>
    <w:rsid w:val="5C044480"/>
    <w:rsid w:val="5C0827EA"/>
    <w:rsid w:val="5C0A68F9"/>
    <w:rsid w:val="5C0D460C"/>
    <w:rsid w:val="5C0E6052"/>
    <w:rsid w:val="5C0F5926"/>
    <w:rsid w:val="5C1B0F0A"/>
    <w:rsid w:val="5C294C3A"/>
    <w:rsid w:val="5C3122D0"/>
    <w:rsid w:val="5C3B2BBF"/>
    <w:rsid w:val="5C425B40"/>
    <w:rsid w:val="5C4750C0"/>
    <w:rsid w:val="5C5A1297"/>
    <w:rsid w:val="5C5D1481"/>
    <w:rsid w:val="5C6B4AA6"/>
    <w:rsid w:val="5C851596"/>
    <w:rsid w:val="5C953ED6"/>
    <w:rsid w:val="5C9612B9"/>
    <w:rsid w:val="5C985442"/>
    <w:rsid w:val="5CA73DB1"/>
    <w:rsid w:val="5CAF244F"/>
    <w:rsid w:val="5CB768C6"/>
    <w:rsid w:val="5CBE7B42"/>
    <w:rsid w:val="5CBF10FA"/>
    <w:rsid w:val="5CC22998"/>
    <w:rsid w:val="5CC2508E"/>
    <w:rsid w:val="5CCD0D12"/>
    <w:rsid w:val="5CD01559"/>
    <w:rsid w:val="5CD06827"/>
    <w:rsid w:val="5CD51F7E"/>
    <w:rsid w:val="5CD7681B"/>
    <w:rsid w:val="5CDC7EFE"/>
    <w:rsid w:val="5CDD337D"/>
    <w:rsid w:val="5CDF79EE"/>
    <w:rsid w:val="5CE9036D"/>
    <w:rsid w:val="5CE943C9"/>
    <w:rsid w:val="5CE96AB8"/>
    <w:rsid w:val="5CEE5E83"/>
    <w:rsid w:val="5CF07506"/>
    <w:rsid w:val="5CF662A5"/>
    <w:rsid w:val="5D186DA5"/>
    <w:rsid w:val="5D1A5F8E"/>
    <w:rsid w:val="5D26561D"/>
    <w:rsid w:val="5D292A17"/>
    <w:rsid w:val="5D2967F0"/>
    <w:rsid w:val="5D2B49E2"/>
    <w:rsid w:val="5D2F624B"/>
    <w:rsid w:val="5D303F19"/>
    <w:rsid w:val="5D321A50"/>
    <w:rsid w:val="5D3B511E"/>
    <w:rsid w:val="5D3C5164"/>
    <w:rsid w:val="5D47256A"/>
    <w:rsid w:val="5D541739"/>
    <w:rsid w:val="5D5A52C7"/>
    <w:rsid w:val="5D617650"/>
    <w:rsid w:val="5D635F29"/>
    <w:rsid w:val="5D663C6C"/>
    <w:rsid w:val="5D695D87"/>
    <w:rsid w:val="5D6B77D9"/>
    <w:rsid w:val="5D722610"/>
    <w:rsid w:val="5D7A3273"/>
    <w:rsid w:val="5D7C4A1B"/>
    <w:rsid w:val="5D835DA4"/>
    <w:rsid w:val="5D8400BF"/>
    <w:rsid w:val="5D844BA8"/>
    <w:rsid w:val="5D851169"/>
    <w:rsid w:val="5D852344"/>
    <w:rsid w:val="5D8D2FA6"/>
    <w:rsid w:val="5D8D3526"/>
    <w:rsid w:val="5DA7029B"/>
    <w:rsid w:val="5DA86032"/>
    <w:rsid w:val="5DAA7FFC"/>
    <w:rsid w:val="5DB76275"/>
    <w:rsid w:val="5DB87461"/>
    <w:rsid w:val="5DBF37AD"/>
    <w:rsid w:val="5DC32E6C"/>
    <w:rsid w:val="5DC817A3"/>
    <w:rsid w:val="5DCA70E4"/>
    <w:rsid w:val="5DCF73F1"/>
    <w:rsid w:val="5DD10774"/>
    <w:rsid w:val="5DE66B5A"/>
    <w:rsid w:val="5DE828D3"/>
    <w:rsid w:val="5DEE6562"/>
    <w:rsid w:val="5DF02C3C"/>
    <w:rsid w:val="5DF17D07"/>
    <w:rsid w:val="5DF37CC1"/>
    <w:rsid w:val="5DF406CB"/>
    <w:rsid w:val="5DF45C30"/>
    <w:rsid w:val="5DF9694A"/>
    <w:rsid w:val="5DFA1AFC"/>
    <w:rsid w:val="5E021BE6"/>
    <w:rsid w:val="5E055233"/>
    <w:rsid w:val="5E084D23"/>
    <w:rsid w:val="5E0A0384"/>
    <w:rsid w:val="5E0C65C1"/>
    <w:rsid w:val="5E1658DC"/>
    <w:rsid w:val="5E177DA9"/>
    <w:rsid w:val="5E1D4C3B"/>
    <w:rsid w:val="5E1D67A5"/>
    <w:rsid w:val="5E2467F1"/>
    <w:rsid w:val="5E263D0B"/>
    <w:rsid w:val="5E27682A"/>
    <w:rsid w:val="5E325998"/>
    <w:rsid w:val="5E333473"/>
    <w:rsid w:val="5E3E3A04"/>
    <w:rsid w:val="5E4531FD"/>
    <w:rsid w:val="5E453881"/>
    <w:rsid w:val="5E5C0A2E"/>
    <w:rsid w:val="5E5E2B95"/>
    <w:rsid w:val="5E5F57D9"/>
    <w:rsid w:val="5E6463FD"/>
    <w:rsid w:val="5E653F23"/>
    <w:rsid w:val="5E6B43FB"/>
    <w:rsid w:val="5E746D3A"/>
    <w:rsid w:val="5E846400"/>
    <w:rsid w:val="5E847CE6"/>
    <w:rsid w:val="5E8C7E9E"/>
    <w:rsid w:val="5E9A5872"/>
    <w:rsid w:val="5EA031AD"/>
    <w:rsid w:val="5EAC08FB"/>
    <w:rsid w:val="5EAD6A4D"/>
    <w:rsid w:val="5EBF74DB"/>
    <w:rsid w:val="5EC10BD9"/>
    <w:rsid w:val="5EC118C9"/>
    <w:rsid w:val="5ECD53BC"/>
    <w:rsid w:val="5ECD64F0"/>
    <w:rsid w:val="5ED052C1"/>
    <w:rsid w:val="5ED15115"/>
    <w:rsid w:val="5ED35331"/>
    <w:rsid w:val="5ED658B5"/>
    <w:rsid w:val="5ED94431"/>
    <w:rsid w:val="5EDA66BF"/>
    <w:rsid w:val="5EDA7DE2"/>
    <w:rsid w:val="5EE035AA"/>
    <w:rsid w:val="5EEE3F19"/>
    <w:rsid w:val="5EF01A3F"/>
    <w:rsid w:val="5EF84CD5"/>
    <w:rsid w:val="5F13154A"/>
    <w:rsid w:val="5F1815A1"/>
    <w:rsid w:val="5F1A2B43"/>
    <w:rsid w:val="5F224EC2"/>
    <w:rsid w:val="5F2479A8"/>
    <w:rsid w:val="5F2F3C61"/>
    <w:rsid w:val="5F374522"/>
    <w:rsid w:val="5F3E276D"/>
    <w:rsid w:val="5F426012"/>
    <w:rsid w:val="5F434264"/>
    <w:rsid w:val="5F491595"/>
    <w:rsid w:val="5F49226B"/>
    <w:rsid w:val="5F4B4EC7"/>
    <w:rsid w:val="5F5E109E"/>
    <w:rsid w:val="5F611427"/>
    <w:rsid w:val="5F762DBA"/>
    <w:rsid w:val="5F7A475C"/>
    <w:rsid w:val="5F8A071A"/>
    <w:rsid w:val="5F8D1984"/>
    <w:rsid w:val="5F9347C8"/>
    <w:rsid w:val="5F9D04F2"/>
    <w:rsid w:val="5F9F5213"/>
    <w:rsid w:val="5FAA6BC1"/>
    <w:rsid w:val="5FB527AE"/>
    <w:rsid w:val="5FB837BB"/>
    <w:rsid w:val="5FB95E5F"/>
    <w:rsid w:val="5FC614C6"/>
    <w:rsid w:val="5FCE3E5E"/>
    <w:rsid w:val="5FD1399C"/>
    <w:rsid w:val="5FDC1FC3"/>
    <w:rsid w:val="5FDD48FB"/>
    <w:rsid w:val="5FDE0A5B"/>
    <w:rsid w:val="5FE70BD1"/>
    <w:rsid w:val="5FE94095"/>
    <w:rsid w:val="5FEB66AA"/>
    <w:rsid w:val="5FEE6835"/>
    <w:rsid w:val="5FEE6D38"/>
    <w:rsid w:val="5FF46D36"/>
    <w:rsid w:val="60043B33"/>
    <w:rsid w:val="6005776C"/>
    <w:rsid w:val="60145E23"/>
    <w:rsid w:val="6017742A"/>
    <w:rsid w:val="601D33A8"/>
    <w:rsid w:val="60375E3E"/>
    <w:rsid w:val="603911C4"/>
    <w:rsid w:val="60423F0B"/>
    <w:rsid w:val="60544F6C"/>
    <w:rsid w:val="605E0C2A"/>
    <w:rsid w:val="6062696C"/>
    <w:rsid w:val="606E0B3C"/>
    <w:rsid w:val="60730B79"/>
    <w:rsid w:val="607E0191"/>
    <w:rsid w:val="608011E0"/>
    <w:rsid w:val="60824F7F"/>
    <w:rsid w:val="60833A7A"/>
    <w:rsid w:val="6083524C"/>
    <w:rsid w:val="608B3864"/>
    <w:rsid w:val="60972D03"/>
    <w:rsid w:val="609B06BE"/>
    <w:rsid w:val="60A129A5"/>
    <w:rsid w:val="60B57F7E"/>
    <w:rsid w:val="60B66CB8"/>
    <w:rsid w:val="60C94BDE"/>
    <w:rsid w:val="60CC405A"/>
    <w:rsid w:val="60D31CC9"/>
    <w:rsid w:val="60DA0BF8"/>
    <w:rsid w:val="60E25FF8"/>
    <w:rsid w:val="60ED1E67"/>
    <w:rsid w:val="610537C5"/>
    <w:rsid w:val="610F74B2"/>
    <w:rsid w:val="61113EEE"/>
    <w:rsid w:val="61120392"/>
    <w:rsid w:val="611C35AA"/>
    <w:rsid w:val="611F7516"/>
    <w:rsid w:val="612B7CA0"/>
    <w:rsid w:val="61311102"/>
    <w:rsid w:val="61333ED1"/>
    <w:rsid w:val="614136CA"/>
    <w:rsid w:val="614C3178"/>
    <w:rsid w:val="614C4DA4"/>
    <w:rsid w:val="614E73EE"/>
    <w:rsid w:val="61547933"/>
    <w:rsid w:val="6162474A"/>
    <w:rsid w:val="617013C3"/>
    <w:rsid w:val="61706E67"/>
    <w:rsid w:val="61774699"/>
    <w:rsid w:val="617B4581"/>
    <w:rsid w:val="617C1CB0"/>
    <w:rsid w:val="61802D1E"/>
    <w:rsid w:val="618F744C"/>
    <w:rsid w:val="61903065"/>
    <w:rsid w:val="619D39D4"/>
    <w:rsid w:val="61A31025"/>
    <w:rsid w:val="61A97440"/>
    <w:rsid w:val="61AD00BB"/>
    <w:rsid w:val="61B74A96"/>
    <w:rsid w:val="61B75687"/>
    <w:rsid w:val="61C25FD2"/>
    <w:rsid w:val="61C277CE"/>
    <w:rsid w:val="61C86CA3"/>
    <w:rsid w:val="61CB0541"/>
    <w:rsid w:val="61CE2221"/>
    <w:rsid w:val="61D35028"/>
    <w:rsid w:val="61D70210"/>
    <w:rsid w:val="61DC39D8"/>
    <w:rsid w:val="61DC44EC"/>
    <w:rsid w:val="61DE5D37"/>
    <w:rsid w:val="61E17D65"/>
    <w:rsid w:val="61E215D8"/>
    <w:rsid w:val="61E64C2D"/>
    <w:rsid w:val="61E91312"/>
    <w:rsid w:val="61F44DBA"/>
    <w:rsid w:val="61F77588"/>
    <w:rsid w:val="61FB0E26"/>
    <w:rsid w:val="62040A2E"/>
    <w:rsid w:val="62120443"/>
    <w:rsid w:val="62126170"/>
    <w:rsid w:val="62141EE8"/>
    <w:rsid w:val="621604FF"/>
    <w:rsid w:val="621623D4"/>
    <w:rsid w:val="62193498"/>
    <w:rsid w:val="621B3775"/>
    <w:rsid w:val="62214605"/>
    <w:rsid w:val="62223DA3"/>
    <w:rsid w:val="622540F5"/>
    <w:rsid w:val="62294DEA"/>
    <w:rsid w:val="623205C0"/>
    <w:rsid w:val="62364782"/>
    <w:rsid w:val="623D5264"/>
    <w:rsid w:val="624204D3"/>
    <w:rsid w:val="624B588B"/>
    <w:rsid w:val="62555298"/>
    <w:rsid w:val="625C5EA4"/>
    <w:rsid w:val="62647384"/>
    <w:rsid w:val="626B16D5"/>
    <w:rsid w:val="62726659"/>
    <w:rsid w:val="627B3C63"/>
    <w:rsid w:val="628506B4"/>
    <w:rsid w:val="628A3F58"/>
    <w:rsid w:val="62927BF1"/>
    <w:rsid w:val="629628FD"/>
    <w:rsid w:val="62A81381"/>
    <w:rsid w:val="62AF376B"/>
    <w:rsid w:val="62B20D9C"/>
    <w:rsid w:val="62B36422"/>
    <w:rsid w:val="62B84A84"/>
    <w:rsid w:val="62BB2364"/>
    <w:rsid w:val="62D022B3"/>
    <w:rsid w:val="62D3036B"/>
    <w:rsid w:val="62D602F2"/>
    <w:rsid w:val="62DA067A"/>
    <w:rsid w:val="62E2251C"/>
    <w:rsid w:val="62F3084F"/>
    <w:rsid w:val="62F64A26"/>
    <w:rsid w:val="62FD2816"/>
    <w:rsid w:val="62FE04A2"/>
    <w:rsid w:val="630755A9"/>
    <w:rsid w:val="63097573"/>
    <w:rsid w:val="631043BC"/>
    <w:rsid w:val="631A52DC"/>
    <w:rsid w:val="631B2E02"/>
    <w:rsid w:val="631C70D3"/>
    <w:rsid w:val="63220635"/>
    <w:rsid w:val="632223E3"/>
    <w:rsid w:val="632550B7"/>
    <w:rsid w:val="632829E2"/>
    <w:rsid w:val="632B4AC2"/>
    <w:rsid w:val="633B34A5"/>
    <w:rsid w:val="633B4A20"/>
    <w:rsid w:val="633F13EC"/>
    <w:rsid w:val="63426FCC"/>
    <w:rsid w:val="63452AE3"/>
    <w:rsid w:val="634F1B41"/>
    <w:rsid w:val="635051A2"/>
    <w:rsid w:val="635A67FC"/>
    <w:rsid w:val="636339C6"/>
    <w:rsid w:val="636447A9"/>
    <w:rsid w:val="6367429A"/>
    <w:rsid w:val="6369376B"/>
    <w:rsid w:val="636D354D"/>
    <w:rsid w:val="63760293"/>
    <w:rsid w:val="637623B5"/>
    <w:rsid w:val="638345D0"/>
    <w:rsid w:val="63843AA9"/>
    <w:rsid w:val="63871156"/>
    <w:rsid w:val="638B442C"/>
    <w:rsid w:val="638B5B55"/>
    <w:rsid w:val="6394356A"/>
    <w:rsid w:val="639B7BD6"/>
    <w:rsid w:val="639C6C3F"/>
    <w:rsid w:val="63A312A3"/>
    <w:rsid w:val="63A80AFE"/>
    <w:rsid w:val="63A85BD9"/>
    <w:rsid w:val="63A94710"/>
    <w:rsid w:val="63A948B2"/>
    <w:rsid w:val="63B15515"/>
    <w:rsid w:val="63BC7657"/>
    <w:rsid w:val="63C61B2C"/>
    <w:rsid w:val="63C87B70"/>
    <w:rsid w:val="63D40BE9"/>
    <w:rsid w:val="63D763D0"/>
    <w:rsid w:val="63D95197"/>
    <w:rsid w:val="63E56E61"/>
    <w:rsid w:val="63E923CB"/>
    <w:rsid w:val="63E92F01"/>
    <w:rsid w:val="63E93A50"/>
    <w:rsid w:val="63EF118B"/>
    <w:rsid w:val="640A2189"/>
    <w:rsid w:val="64102431"/>
    <w:rsid w:val="64163F89"/>
    <w:rsid w:val="64234664"/>
    <w:rsid w:val="64264155"/>
    <w:rsid w:val="64287ECD"/>
    <w:rsid w:val="64315F99"/>
    <w:rsid w:val="643229C8"/>
    <w:rsid w:val="643957F1"/>
    <w:rsid w:val="64413567"/>
    <w:rsid w:val="64414AEB"/>
    <w:rsid w:val="644724BF"/>
    <w:rsid w:val="64542A70"/>
    <w:rsid w:val="645544BE"/>
    <w:rsid w:val="6472739A"/>
    <w:rsid w:val="64770DAE"/>
    <w:rsid w:val="647B624F"/>
    <w:rsid w:val="64850E7B"/>
    <w:rsid w:val="648B5B81"/>
    <w:rsid w:val="648C43A4"/>
    <w:rsid w:val="64900B1C"/>
    <w:rsid w:val="64917F83"/>
    <w:rsid w:val="649221DF"/>
    <w:rsid w:val="64970BAF"/>
    <w:rsid w:val="64A31746"/>
    <w:rsid w:val="64A5243A"/>
    <w:rsid w:val="64A55079"/>
    <w:rsid w:val="64A83A6C"/>
    <w:rsid w:val="64A85A82"/>
    <w:rsid w:val="64AC465A"/>
    <w:rsid w:val="64AD3F2E"/>
    <w:rsid w:val="64AF567C"/>
    <w:rsid w:val="64BF4DED"/>
    <w:rsid w:val="64C93ECA"/>
    <w:rsid w:val="64CD6821"/>
    <w:rsid w:val="64D771FD"/>
    <w:rsid w:val="64E04304"/>
    <w:rsid w:val="64E35BA2"/>
    <w:rsid w:val="64E60F7F"/>
    <w:rsid w:val="64F20531"/>
    <w:rsid w:val="64F531DE"/>
    <w:rsid w:val="64F63B27"/>
    <w:rsid w:val="64F80FD5"/>
    <w:rsid w:val="64F8789F"/>
    <w:rsid w:val="650251DD"/>
    <w:rsid w:val="650F1A5D"/>
    <w:rsid w:val="650F41CD"/>
    <w:rsid w:val="65205629"/>
    <w:rsid w:val="65235ED9"/>
    <w:rsid w:val="65267CFC"/>
    <w:rsid w:val="65297A59"/>
    <w:rsid w:val="652A1A23"/>
    <w:rsid w:val="65373578"/>
    <w:rsid w:val="653D45D2"/>
    <w:rsid w:val="65451ACC"/>
    <w:rsid w:val="654A5B37"/>
    <w:rsid w:val="655B5397"/>
    <w:rsid w:val="65695A1C"/>
    <w:rsid w:val="656C203B"/>
    <w:rsid w:val="65703021"/>
    <w:rsid w:val="6571427E"/>
    <w:rsid w:val="6576421D"/>
    <w:rsid w:val="657809E0"/>
    <w:rsid w:val="65791F4E"/>
    <w:rsid w:val="657C0CFB"/>
    <w:rsid w:val="65832956"/>
    <w:rsid w:val="658E7588"/>
    <w:rsid w:val="6596157F"/>
    <w:rsid w:val="659E4D09"/>
    <w:rsid w:val="659F21F0"/>
    <w:rsid w:val="65A45331"/>
    <w:rsid w:val="65AD00C0"/>
    <w:rsid w:val="65B65064"/>
    <w:rsid w:val="65BD7A51"/>
    <w:rsid w:val="65D248F6"/>
    <w:rsid w:val="65DB2E49"/>
    <w:rsid w:val="65E16585"/>
    <w:rsid w:val="65E47E23"/>
    <w:rsid w:val="65F809FF"/>
    <w:rsid w:val="660027F1"/>
    <w:rsid w:val="6603474E"/>
    <w:rsid w:val="660D56B7"/>
    <w:rsid w:val="66195D1F"/>
    <w:rsid w:val="6626795D"/>
    <w:rsid w:val="66286CD3"/>
    <w:rsid w:val="662A14E4"/>
    <w:rsid w:val="663C1BD1"/>
    <w:rsid w:val="663F2EF7"/>
    <w:rsid w:val="66454C79"/>
    <w:rsid w:val="66501015"/>
    <w:rsid w:val="667635FA"/>
    <w:rsid w:val="66805D9E"/>
    <w:rsid w:val="668A09CB"/>
    <w:rsid w:val="668D6858"/>
    <w:rsid w:val="669C425A"/>
    <w:rsid w:val="669D3016"/>
    <w:rsid w:val="66A601AC"/>
    <w:rsid w:val="66AB175B"/>
    <w:rsid w:val="66AB639F"/>
    <w:rsid w:val="66AE0620"/>
    <w:rsid w:val="66B843BC"/>
    <w:rsid w:val="66BA1819"/>
    <w:rsid w:val="66C22463"/>
    <w:rsid w:val="66CC2D91"/>
    <w:rsid w:val="66CF4630"/>
    <w:rsid w:val="66F422E8"/>
    <w:rsid w:val="66F57098"/>
    <w:rsid w:val="66F71E8E"/>
    <w:rsid w:val="66F810A2"/>
    <w:rsid w:val="66F8669A"/>
    <w:rsid w:val="66F9395E"/>
    <w:rsid w:val="66FB3E37"/>
    <w:rsid w:val="67042FDB"/>
    <w:rsid w:val="67053094"/>
    <w:rsid w:val="6715797F"/>
    <w:rsid w:val="671604B0"/>
    <w:rsid w:val="67191CD7"/>
    <w:rsid w:val="671F124A"/>
    <w:rsid w:val="67216E80"/>
    <w:rsid w:val="67284204"/>
    <w:rsid w:val="6731099D"/>
    <w:rsid w:val="673921D1"/>
    <w:rsid w:val="673977CF"/>
    <w:rsid w:val="673E2598"/>
    <w:rsid w:val="67430236"/>
    <w:rsid w:val="674A1F08"/>
    <w:rsid w:val="675D1C3B"/>
    <w:rsid w:val="6764082F"/>
    <w:rsid w:val="67642FCA"/>
    <w:rsid w:val="677A33C6"/>
    <w:rsid w:val="677D408C"/>
    <w:rsid w:val="678278F4"/>
    <w:rsid w:val="6784541A"/>
    <w:rsid w:val="678E0DF1"/>
    <w:rsid w:val="67902011"/>
    <w:rsid w:val="67937A3D"/>
    <w:rsid w:val="67A579C4"/>
    <w:rsid w:val="67A755AC"/>
    <w:rsid w:val="67B3056F"/>
    <w:rsid w:val="67B657F0"/>
    <w:rsid w:val="67C312AD"/>
    <w:rsid w:val="67CB11AE"/>
    <w:rsid w:val="67D140C7"/>
    <w:rsid w:val="67DB02A6"/>
    <w:rsid w:val="67EC582D"/>
    <w:rsid w:val="67EE0AE5"/>
    <w:rsid w:val="67F6528F"/>
    <w:rsid w:val="67FB1B7E"/>
    <w:rsid w:val="67FE0B29"/>
    <w:rsid w:val="68000819"/>
    <w:rsid w:val="68064081"/>
    <w:rsid w:val="681232EC"/>
    <w:rsid w:val="681943BC"/>
    <w:rsid w:val="681A18DB"/>
    <w:rsid w:val="681A3612"/>
    <w:rsid w:val="681A7646"/>
    <w:rsid w:val="681F6961"/>
    <w:rsid w:val="6821545C"/>
    <w:rsid w:val="6825011B"/>
    <w:rsid w:val="682D1897"/>
    <w:rsid w:val="682D3D04"/>
    <w:rsid w:val="68304E69"/>
    <w:rsid w:val="68305636"/>
    <w:rsid w:val="68386205"/>
    <w:rsid w:val="68451E71"/>
    <w:rsid w:val="68467AB8"/>
    <w:rsid w:val="685A43CD"/>
    <w:rsid w:val="686023E2"/>
    <w:rsid w:val="68610A2F"/>
    <w:rsid w:val="686226DB"/>
    <w:rsid w:val="68651B33"/>
    <w:rsid w:val="686668CE"/>
    <w:rsid w:val="68741D6C"/>
    <w:rsid w:val="687A2A1D"/>
    <w:rsid w:val="68805514"/>
    <w:rsid w:val="6885603B"/>
    <w:rsid w:val="68894AFD"/>
    <w:rsid w:val="689C0FA2"/>
    <w:rsid w:val="689C2F3D"/>
    <w:rsid w:val="68A815DC"/>
    <w:rsid w:val="68A96296"/>
    <w:rsid w:val="68B51829"/>
    <w:rsid w:val="68BC67E4"/>
    <w:rsid w:val="68C16F60"/>
    <w:rsid w:val="68C22923"/>
    <w:rsid w:val="68C3313C"/>
    <w:rsid w:val="68C40A85"/>
    <w:rsid w:val="68C83A2C"/>
    <w:rsid w:val="68CA1553"/>
    <w:rsid w:val="68D306AF"/>
    <w:rsid w:val="68DD6592"/>
    <w:rsid w:val="68DD7EDB"/>
    <w:rsid w:val="68E13F49"/>
    <w:rsid w:val="68F93778"/>
    <w:rsid w:val="6901242C"/>
    <w:rsid w:val="690303AE"/>
    <w:rsid w:val="690B56C7"/>
    <w:rsid w:val="69111351"/>
    <w:rsid w:val="69131DCD"/>
    <w:rsid w:val="69142D7A"/>
    <w:rsid w:val="691602F4"/>
    <w:rsid w:val="691E4DEA"/>
    <w:rsid w:val="6923634F"/>
    <w:rsid w:val="69294999"/>
    <w:rsid w:val="692E7D33"/>
    <w:rsid w:val="69300D4E"/>
    <w:rsid w:val="693115D2"/>
    <w:rsid w:val="69316E2F"/>
    <w:rsid w:val="693B6868"/>
    <w:rsid w:val="69401443"/>
    <w:rsid w:val="6942733B"/>
    <w:rsid w:val="69467F71"/>
    <w:rsid w:val="69474BCD"/>
    <w:rsid w:val="694E2071"/>
    <w:rsid w:val="69553C11"/>
    <w:rsid w:val="69561384"/>
    <w:rsid w:val="695B6210"/>
    <w:rsid w:val="69623539"/>
    <w:rsid w:val="696574CD"/>
    <w:rsid w:val="69686408"/>
    <w:rsid w:val="696B31F7"/>
    <w:rsid w:val="69766163"/>
    <w:rsid w:val="697A3B33"/>
    <w:rsid w:val="69895945"/>
    <w:rsid w:val="698C463A"/>
    <w:rsid w:val="698C4A5A"/>
    <w:rsid w:val="69967687"/>
    <w:rsid w:val="699D3C78"/>
    <w:rsid w:val="69AA4EE0"/>
    <w:rsid w:val="69AF1C0D"/>
    <w:rsid w:val="69B76804"/>
    <w:rsid w:val="69C867E5"/>
    <w:rsid w:val="69CB598D"/>
    <w:rsid w:val="69D106BF"/>
    <w:rsid w:val="69D44760"/>
    <w:rsid w:val="69D930A1"/>
    <w:rsid w:val="69DD0D02"/>
    <w:rsid w:val="69DD3507"/>
    <w:rsid w:val="69ED0F76"/>
    <w:rsid w:val="69F30635"/>
    <w:rsid w:val="69F60125"/>
    <w:rsid w:val="6A092CB0"/>
    <w:rsid w:val="6A0A6348"/>
    <w:rsid w:val="6A0E3E33"/>
    <w:rsid w:val="6A142D3C"/>
    <w:rsid w:val="6A2069F6"/>
    <w:rsid w:val="6A27276C"/>
    <w:rsid w:val="6A2825AD"/>
    <w:rsid w:val="6A2B7301"/>
    <w:rsid w:val="6A305323"/>
    <w:rsid w:val="6A4129DB"/>
    <w:rsid w:val="6A4C3E1C"/>
    <w:rsid w:val="6A520EC7"/>
    <w:rsid w:val="6A6432E1"/>
    <w:rsid w:val="6A6E56A3"/>
    <w:rsid w:val="6A733103"/>
    <w:rsid w:val="6A874925"/>
    <w:rsid w:val="6A8B2F63"/>
    <w:rsid w:val="6A9950DE"/>
    <w:rsid w:val="6A9C3ED8"/>
    <w:rsid w:val="6AA03710"/>
    <w:rsid w:val="6AA13A6B"/>
    <w:rsid w:val="6AA47B81"/>
    <w:rsid w:val="6AAB3A51"/>
    <w:rsid w:val="6AB021B6"/>
    <w:rsid w:val="6AB21ECF"/>
    <w:rsid w:val="6ABB15B5"/>
    <w:rsid w:val="6ABD7D4C"/>
    <w:rsid w:val="6ABE50E7"/>
    <w:rsid w:val="6AC9697E"/>
    <w:rsid w:val="6ACF2E50"/>
    <w:rsid w:val="6AD631DB"/>
    <w:rsid w:val="6ADB7A47"/>
    <w:rsid w:val="6AF2635D"/>
    <w:rsid w:val="6AF27B8C"/>
    <w:rsid w:val="6AF87E20"/>
    <w:rsid w:val="6AF91C7B"/>
    <w:rsid w:val="6B002807"/>
    <w:rsid w:val="6B013226"/>
    <w:rsid w:val="6B031A80"/>
    <w:rsid w:val="6B036F9E"/>
    <w:rsid w:val="6B040502"/>
    <w:rsid w:val="6B05694C"/>
    <w:rsid w:val="6B141C3C"/>
    <w:rsid w:val="6B164461"/>
    <w:rsid w:val="6B1C1E0E"/>
    <w:rsid w:val="6B2A075F"/>
    <w:rsid w:val="6B322639"/>
    <w:rsid w:val="6B3E1D84"/>
    <w:rsid w:val="6B423310"/>
    <w:rsid w:val="6B4548E0"/>
    <w:rsid w:val="6B480E55"/>
    <w:rsid w:val="6B534A22"/>
    <w:rsid w:val="6B5D3B74"/>
    <w:rsid w:val="6B6749AF"/>
    <w:rsid w:val="6B700FA8"/>
    <w:rsid w:val="6B775CB8"/>
    <w:rsid w:val="6B80414A"/>
    <w:rsid w:val="6B850E99"/>
    <w:rsid w:val="6B856E39"/>
    <w:rsid w:val="6B916358"/>
    <w:rsid w:val="6B97756C"/>
    <w:rsid w:val="6BA8033A"/>
    <w:rsid w:val="6BAF40AC"/>
    <w:rsid w:val="6BB34520"/>
    <w:rsid w:val="6BB40298"/>
    <w:rsid w:val="6BB71229"/>
    <w:rsid w:val="6BBC5C13"/>
    <w:rsid w:val="6BCA4792"/>
    <w:rsid w:val="6BDB0948"/>
    <w:rsid w:val="6BDB3A77"/>
    <w:rsid w:val="6BE6213B"/>
    <w:rsid w:val="6BEB6328"/>
    <w:rsid w:val="6BF54B38"/>
    <w:rsid w:val="6BF56C0E"/>
    <w:rsid w:val="6BF6605B"/>
    <w:rsid w:val="6BF9053F"/>
    <w:rsid w:val="6C046B2A"/>
    <w:rsid w:val="6C0528A2"/>
    <w:rsid w:val="6C07486C"/>
    <w:rsid w:val="6C286A26"/>
    <w:rsid w:val="6C2A49C0"/>
    <w:rsid w:val="6C2B055A"/>
    <w:rsid w:val="6C2B2882"/>
    <w:rsid w:val="6C343FE7"/>
    <w:rsid w:val="6C42579D"/>
    <w:rsid w:val="6C45685B"/>
    <w:rsid w:val="6C586E75"/>
    <w:rsid w:val="6C5C7A22"/>
    <w:rsid w:val="6C5D623A"/>
    <w:rsid w:val="6C636C38"/>
    <w:rsid w:val="6C702411"/>
    <w:rsid w:val="6C7A1AA9"/>
    <w:rsid w:val="6C8D1356"/>
    <w:rsid w:val="6C934B84"/>
    <w:rsid w:val="6C951E77"/>
    <w:rsid w:val="6CA16F19"/>
    <w:rsid w:val="6CAF118B"/>
    <w:rsid w:val="6CB467A2"/>
    <w:rsid w:val="6CC0451D"/>
    <w:rsid w:val="6CCC33F6"/>
    <w:rsid w:val="6CCE3443"/>
    <w:rsid w:val="6CE10C19"/>
    <w:rsid w:val="6CEA74FF"/>
    <w:rsid w:val="6D052A92"/>
    <w:rsid w:val="6D056FEF"/>
    <w:rsid w:val="6D144EBD"/>
    <w:rsid w:val="6D1A19F7"/>
    <w:rsid w:val="6D1D2973"/>
    <w:rsid w:val="6D2437F8"/>
    <w:rsid w:val="6D30394E"/>
    <w:rsid w:val="6D315B34"/>
    <w:rsid w:val="6D3978A6"/>
    <w:rsid w:val="6D400035"/>
    <w:rsid w:val="6D495027"/>
    <w:rsid w:val="6D592EA5"/>
    <w:rsid w:val="6D604192"/>
    <w:rsid w:val="6D716441"/>
    <w:rsid w:val="6D7221B9"/>
    <w:rsid w:val="6D806684"/>
    <w:rsid w:val="6D827BAE"/>
    <w:rsid w:val="6D8B6DD7"/>
    <w:rsid w:val="6D9578A5"/>
    <w:rsid w:val="6DA32372"/>
    <w:rsid w:val="6DB34098"/>
    <w:rsid w:val="6DB545B6"/>
    <w:rsid w:val="6DC44239"/>
    <w:rsid w:val="6DCD69A7"/>
    <w:rsid w:val="6DCE5641"/>
    <w:rsid w:val="6DCE6BF2"/>
    <w:rsid w:val="6DE02FB4"/>
    <w:rsid w:val="6DE36C13"/>
    <w:rsid w:val="6DEA211D"/>
    <w:rsid w:val="6E011D6E"/>
    <w:rsid w:val="6E0A7F32"/>
    <w:rsid w:val="6E166FE8"/>
    <w:rsid w:val="6E1D0376"/>
    <w:rsid w:val="6E257621"/>
    <w:rsid w:val="6E302B36"/>
    <w:rsid w:val="6E455F22"/>
    <w:rsid w:val="6E4A6DAE"/>
    <w:rsid w:val="6E4E22DE"/>
    <w:rsid w:val="6E514CED"/>
    <w:rsid w:val="6E522C25"/>
    <w:rsid w:val="6E5F4335"/>
    <w:rsid w:val="6E6164B5"/>
    <w:rsid w:val="6E693F43"/>
    <w:rsid w:val="6E720AB4"/>
    <w:rsid w:val="6E7A21AF"/>
    <w:rsid w:val="6E7F4B8D"/>
    <w:rsid w:val="6E851A78"/>
    <w:rsid w:val="6E9817AB"/>
    <w:rsid w:val="6E9A0077"/>
    <w:rsid w:val="6E9F307A"/>
    <w:rsid w:val="6EA05E5C"/>
    <w:rsid w:val="6EA938C7"/>
    <w:rsid w:val="6EB02F99"/>
    <w:rsid w:val="6EB563D5"/>
    <w:rsid w:val="6EB64819"/>
    <w:rsid w:val="6EB84995"/>
    <w:rsid w:val="6EB945FB"/>
    <w:rsid w:val="6EC74B56"/>
    <w:rsid w:val="6ECC76A7"/>
    <w:rsid w:val="6ED02582"/>
    <w:rsid w:val="6ED92677"/>
    <w:rsid w:val="6EE12150"/>
    <w:rsid w:val="6EE2214F"/>
    <w:rsid w:val="6EE3511C"/>
    <w:rsid w:val="6EE90986"/>
    <w:rsid w:val="6EE92007"/>
    <w:rsid w:val="6EF2535F"/>
    <w:rsid w:val="6EF6073B"/>
    <w:rsid w:val="6EF62E3C"/>
    <w:rsid w:val="6F020F0D"/>
    <w:rsid w:val="6F04446E"/>
    <w:rsid w:val="6F1572A0"/>
    <w:rsid w:val="6F173018"/>
    <w:rsid w:val="6F2109E4"/>
    <w:rsid w:val="6F225983"/>
    <w:rsid w:val="6F287F6F"/>
    <w:rsid w:val="6F345978"/>
    <w:rsid w:val="6F377216"/>
    <w:rsid w:val="6F420EF4"/>
    <w:rsid w:val="6F4247C4"/>
    <w:rsid w:val="6F4B0832"/>
    <w:rsid w:val="6F534528"/>
    <w:rsid w:val="6F5B7D32"/>
    <w:rsid w:val="6F651FD5"/>
    <w:rsid w:val="6F656CDC"/>
    <w:rsid w:val="6F671DB3"/>
    <w:rsid w:val="6F7246F2"/>
    <w:rsid w:val="6F742218"/>
    <w:rsid w:val="6F747259"/>
    <w:rsid w:val="6F7C7C3D"/>
    <w:rsid w:val="6F833A83"/>
    <w:rsid w:val="6F834209"/>
    <w:rsid w:val="6F9208F0"/>
    <w:rsid w:val="6F944668"/>
    <w:rsid w:val="6F946416"/>
    <w:rsid w:val="6FA31664"/>
    <w:rsid w:val="6FA9185F"/>
    <w:rsid w:val="6FAD74D8"/>
    <w:rsid w:val="6FAF14A2"/>
    <w:rsid w:val="6FB46AB9"/>
    <w:rsid w:val="6FC62348"/>
    <w:rsid w:val="6FD2335E"/>
    <w:rsid w:val="6FE5272B"/>
    <w:rsid w:val="6FEE436C"/>
    <w:rsid w:val="6FEF189F"/>
    <w:rsid w:val="6FFC5590"/>
    <w:rsid w:val="6FFD3FBC"/>
    <w:rsid w:val="70003D90"/>
    <w:rsid w:val="700417EE"/>
    <w:rsid w:val="700E1637"/>
    <w:rsid w:val="70165342"/>
    <w:rsid w:val="701F3DAE"/>
    <w:rsid w:val="70231548"/>
    <w:rsid w:val="70233BEA"/>
    <w:rsid w:val="702851B6"/>
    <w:rsid w:val="702966B0"/>
    <w:rsid w:val="702C2AF3"/>
    <w:rsid w:val="703476B1"/>
    <w:rsid w:val="703B5010"/>
    <w:rsid w:val="703F2826"/>
    <w:rsid w:val="704D1BB3"/>
    <w:rsid w:val="70504EE3"/>
    <w:rsid w:val="7051736E"/>
    <w:rsid w:val="705362D1"/>
    <w:rsid w:val="70671D7D"/>
    <w:rsid w:val="706856BC"/>
    <w:rsid w:val="706D1DD0"/>
    <w:rsid w:val="706E5984"/>
    <w:rsid w:val="70700C31"/>
    <w:rsid w:val="7073737B"/>
    <w:rsid w:val="707945F2"/>
    <w:rsid w:val="70820965"/>
    <w:rsid w:val="70856B87"/>
    <w:rsid w:val="70871AD7"/>
    <w:rsid w:val="70873A01"/>
    <w:rsid w:val="708D0632"/>
    <w:rsid w:val="708E0174"/>
    <w:rsid w:val="7098222D"/>
    <w:rsid w:val="70A2124C"/>
    <w:rsid w:val="70A42F80"/>
    <w:rsid w:val="70AB7EBB"/>
    <w:rsid w:val="70AD3C34"/>
    <w:rsid w:val="70B0102E"/>
    <w:rsid w:val="70BD6F53"/>
    <w:rsid w:val="70C34349"/>
    <w:rsid w:val="70C44AD9"/>
    <w:rsid w:val="70D527EE"/>
    <w:rsid w:val="70D94FEF"/>
    <w:rsid w:val="70DF1913"/>
    <w:rsid w:val="70E042A1"/>
    <w:rsid w:val="70E57BE1"/>
    <w:rsid w:val="70EC778D"/>
    <w:rsid w:val="70EE5FFA"/>
    <w:rsid w:val="70F8677E"/>
    <w:rsid w:val="70FF5B11"/>
    <w:rsid w:val="71033AE0"/>
    <w:rsid w:val="710B6BAC"/>
    <w:rsid w:val="710C3FE4"/>
    <w:rsid w:val="710F1BE8"/>
    <w:rsid w:val="711772FF"/>
    <w:rsid w:val="711E68DF"/>
    <w:rsid w:val="71201B49"/>
    <w:rsid w:val="71290DE0"/>
    <w:rsid w:val="71314370"/>
    <w:rsid w:val="71325012"/>
    <w:rsid w:val="714347DF"/>
    <w:rsid w:val="71446F12"/>
    <w:rsid w:val="7148570A"/>
    <w:rsid w:val="714D30AE"/>
    <w:rsid w:val="71524C5D"/>
    <w:rsid w:val="715A543E"/>
    <w:rsid w:val="715B5300"/>
    <w:rsid w:val="7160289B"/>
    <w:rsid w:val="716158DB"/>
    <w:rsid w:val="71680BA1"/>
    <w:rsid w:val="716C61FC"/>
    <w:rsid w:val="7173757D"/>
    <w:rsid w:val="717443FB"/>
    <w:rsid w:val="71896B4C"/>
    <w:rsid w:val="718F3339"/>
    <w:rsid w:val="71925D28"/>
    <w:rsid w:val="719E17CE"/>
    <w:rsid w:val="719E4E02"/>
    <w:rsid w:val="71A26F30"/>
    <w:rsid w:val="71A33B87"/>
    <w:rsid w:val="71A442F1"/>
    <w:rsid w:val="71AF334B"/>
    <w:rsid w:val="71B903B6"/>
    <w:rsid w:val="71C50F80"/>
    <w:rsid w:val="71C72AD3"/>
    <w:rsid w:val="71CB23A3"/>
    <w:rsid w:val="71CF6311"/>
    <w:rsid w:val="71D1530D"/>
    <w:rsid w:val="71D27F8A"/>
    <w:rsid w:val="71DB1FBC"/>
    <w:rsid w:val="71DF320F"/>
    <w:rsid w:val="71E05943"/>
    <w:rsid w:val="71EA2B00"/>
    <w:rsid w:val="71EA48D3"/>
    <w:rsid w:val="71F10DD1"/>
    <w:rsid w:val="71FE7167"/>
    <w:rsid w:val="720338CA"/>
    <w:rsid w:val="72312642"/>
    <w:rsid w:val="72391175"/>
    <w:rsid w:val="72393B1B"/>
    <w:rsid w:val="723E3948"/>
    <w:rsid w:val="7243433A"/>
    <w:rsid w:val="724C2FD8"/>
    <w:rsid w:val="724C35E6"/>
    <w:rsid w:val="72553024"/>
    <w:rsid w:val="725D3437"/>
    <w:rsid w:val="72623331"/>
    <w:rsid w:val="72630C6C"/>
    <w:rsid w:val="72740289"/>
    <w:rsid w:val="727B706E"/>
    <w:rsid w:val="727F45A8"/>
    <w:rsid w:val="72815739"/>
    <w:rsid w:val="729447A4"/>
    <w:rsid w:val="72955A66"/>
    <w:rsid w:val="729D1A86"/>
    <w:rsid w:val="72AA5080"/>
    <w:rsid w:val="72C47013"/>
    <w:rsid w:val="72D2478B"/>
    <w:rsid w:val="72DD1E82"/>
    <w:rsid w:val="72DF772F"/>
    <w:rsid w:val="72E17BC5"/>
    <w:rsid w:val="72E82F61"/>
    <w:rsid w:val="72EF5723"/>
    <w:rsid w:val="72F1592E"/>
    <w:rsid w:val="72F773E8"/>
    <w:rsid w:val="72FA6ED8"/>
    <w:rsid w:val="73010267"/>
    <w:rsid w:val="730309B3"/>
    <w:rsid w:val="73093B02"/>
    <w:rsid w:val="73122968"/>
    <w:rsid w:val="731F5D5E"/>
    <w:rsid w:val="73214465"/>
    <w:rsid w:val="732A3A85"/>
    <w:rsid w:val="732F18A5"/>
    <w:rsid w:val="733777E5"/>
    <w:rsid w:val="734343DB"/>
    <w:rsid w:val="735465E8"/>
    <w:rsid w:val="735859AD"/>
    <w:rsid w:val="73591E51"/>
    <w:rsid w:val="73641F8C"/>
    <w:rsid w:val="736D3206"/>
    <w:rsid w:val="736F3422"/>
    <w:rsid w:val="737A5699"/>
    <w:rsid w:val="737C06FC"/>
    <w:rsid w:val="7381515F"/>
    <w:rsid w:val="73833A6E"/>
    <w:rsid w:val="73905B29"/>
    <w:rsid w:val="739A5FC5"/>
    <w:rsid w:val="73AB1F81"/>
    <w:rsid w:val="73AD43B3"/>
    <w:rsid w:val="73AE5CC9"/>
    <w:rsid w:val="73B41D8E"/>
    <w:rsid w:val="73C05A2C"/>
    <w:rsid w:val="73C51AD5"/>
    <w:rsid w:val="73C66DBA"/>
    <w:rsid w:val="73CC6CA5"/>
    <w:rsid w:val="73CF6A1B"/>
    <w:rsid w:val="73F25E01"/>
    <w:rsid w:val="73F86908"/>
    <w:rsid w:val="73FC27DC"/>
    <w:rsid w:val="73FE0302"/>
    <w:rsid w:val="74024296"/>
    <w:rsid w:val="74091017"/>
    <w:rsid w:val="740F42BD"/>
    <w:rsid w:val="74143FCA"/>
    <w:rsid w:val="741D60E7"/>
    <w:rsid w:val="741E793C"/>
    <w:rsid w:val="74367CCC"/>
    <w:rsid w:val="744D6EFB"/>
    <w:rsid w:val="74542618"/>
    <w:rsid w:val="745641D9"/>
    <w:rsid w:val="745D45FF"/>
    <w:rsid w:val="745E3944"/>
    <w:rsid w:val="7467234B"/>
    <w:rsid w:val="746740F9"/>
    <w:rsid w:val="746C7CA8"/>
    <w:rsid w:val="74715A2C"/>
    <w:rsid w:val="747B3F56"/>
    <w:rsid w:val="7482436D"/>
    <w:rsid w:val="74842EFD"/>
    <w:rsid w:val="74866CC7"/>
    <w:rsid w:val="74897266"/>
    <w:rsid w:val="749173C8"/>
    <w:rsid w:val="749A29A8"/>
    <w:rsid w:val="749B0247"/>
    <w:rsid w:val="749F1AE5"/>
    <w:rsid w:val="749F787C"/>
    <w:rsid w:val="74A874D7"/>
    <w:rsid w:val="74B15375"/>
    <w:rsid w:val="74B4507D"/>
    <w:rsid w:val="74B5116F"/>
    <w:rsid w:val="74B90757"/>
    <w:rsid w:val="74B97CDB"/>
    <w:rsid w:val="74BE4261"/>
    <w:rsid w:val="74BF5921"/>
    <w:rsid w:val="74C031CD"/>
    <w:rsid w:val="74C257D4"/>
    <w:rsid w:val="74C43FE4"/>
    <w:rsid w:val="74CE5DEF"/>
    <w:rsid w:val="74D222DC"/>
    <w:rsid w:val="74DF6386"/>
    <w:rsid w:val="74E4144C"/>
    <w:rsid w:val="74EF3F9F"/>
    <w:rsid w:val="74FD05BA"/>
    <w:rsid w:val="751275F4"/>
    <w:rsid w:val="75140D38"/>
    <w:rsid w:val="751D6EAE"/>
    <w:rsid w:val="75205D9A"/>
    <w:rsid w:val="75265D63"/>
    <w:rsid w:val="75307F6F"/>
    <w:rsid w:val="75345731"/>
    <w:rsid w:val="75456FFC"/>
    <w:rsid w:val="755F0277"/>
    <w:rsid w:val="755F10DD"/>
    <w:rsid w:val="75662603"/>
    <w:rsid w:val="7569258E"/>
    <w:rsid w:val="75786F12"/>
    <w:rsid w:val="75786F1B"/>
    <w:rsid w:val="757D0F1B"/>
    <w:rsid w:val="757E5B9F"/>
    <w:rsid w:val="757F0B28"/>
    <w:rsid w:val="758F7D6E"/>
    <w:rsid w:val="75927037"/>
    <w:rsid w:val="75975B91"/>
    <w:rsid w:val="759D2027"/>
    <w:rsid w:val="759D409B"/>
    <w:rsid w:val="75A126E1"/>
    <w:rsid w:val="75B23A9A"/>
    <w:rsid w:val="75B32764"/>
    <w:rsid w:val="75B34170"/>
    <w:rsid w:val="75B909E3"/>
    <w:rsid w:val="75C03A54"/>
    <w:rsid w:val="75C612F4"/>
    <w:rsid w:val="75CA1C7B"/>
    <w:rsid w:val="75DD762C"/>
    <w:rsid w:val="75EE2B85"/>
    <w:rsid w:val="75F22F33"/>
    <w:rsid w:val="75FC2F67"/>
    <w:rsid w:val="76045978"/>
    <w:rsid w:val="760472A1"/>
    <w:rsid w:val="760E70E6"/>
    <w:rsid w:val="761024BB"/>
    <w:rsid w:val="76165945"/>
    <w:rsid w:val="761D616A"/>
    <w:rsid w:val="7621477C"/>
    <w:rsid w:val="762229CE"/>
    <w:rsid w:val="762451EA"/>
    <w:rsid w:val="762B73A9"/>
    <w:rsid w:val="762D1373"/>
    <w:rsid w:val="762F092F"/>
    <w:rsid w:val="7635099D"/>
    <w:rsid w:val="763B11F2"/>
    <w:rsid w:val="763F235F"/>
    <w:rsid w:val="76404C02"/>
    <w:rsid w:val="76452218"/>
    <w:rsid w:val="764C17F9"/>
    <w:rsid w:val="765468FF"/>
    <w:rsid w:val="765863F0"/>
    <w:rsid w:val="76684159"/>
    <w:rsid w:val="76685F07"/>
    <w:rsid w:val="7671125F"/>
    <w:rsid w:val="76750B99"/>
    <w:rsid w:val="767821B1"/>
    <w:rsid w:val="768A0F6F"/>
    <w:rsid w:val="768A2321"/>
    <w:rsid w:val="76906E66"/>
    <w:rsid w:val="7691545E"/>
    <w:rsid w:val="76933041"/>
    <w:rsid w:val="76937380"/>
    <w:rsid w:val="769413F2"/>
    <w:rsid w:val="769A1C06"/>
    <w:rsid w:val="76A1185A"/>
    <w:rsid w:val="76BB697E"/>
    <w:rsid w:val="76C47022"/>
    <w:rsid w:val="76C94A5B"/>
    <w:rsid w:val="76D208F4"/>
    <w:rsid w:val="76E01F41"/>
    <w:rsid w:val="76F04A18"/>
    <w:rsid w:val="76F57C54"/>
    <w:rsid w:val="76F83289"/>
    <w:rsid w:val="76FF24C3"/>
    <w:rsid w:val="77003F73"/>
    <w:rsid w:val="7712347D"/>
    <w:rsid w:val="77185E1E"/>
    <w:rsid w:val="771953B8"/>
    <w:rsid w:val="772C0835"/>
    <w:rsid w:val="773B361B"/>
    <w:rsid w:val="77516CA3"/>
    <w:rsid w:val="77553269"/>
    <w:rsid w:val="77563501"/>
    <w:rsid w:val="775A7F45"/>
    <w:rsid w:val="775B2C07"/>
    <w:rsid w:val="775B4610"/>
    <w:rsid w:val="776609EF"/>
    <w:rsid w:val="776B2153"/>
    <w:rsid w:val="776B3A31"/>
    <w:rsid w:val="776C1A27"/>
    <w:rsid w:val="776D5ECB"/>
    <w:rsid w:val="77762421"/>
    <w:rsid w:val="777E0CD5"/>
    <w:rsid w:val="777F175A"/>
    <w:rsid w:val="778328D4"/>
    <w:rsid w:val="778D15C0"/>
    <w:rsid w:val="77970C59"/>
    <w:rsid w:val="77A15B74"/>
    <w:rsid w:val="77A92677"/>
    <w:rsid w:val="77AE203F"/>
    <w:rsid w:val="77B27D81"/>
    <w:rsid w:val="77B56B1F"/>
    <w:rsid w:val="77BA2B07"/>
    <w:rsid w:val="77BD0ACC"/>
    <w:rsid w:val="77BF5FFA"/>
    <w:rsid w:val="77C522E0"/>
    <w:rsid w:val="77C55F92"/>
    <w:rsid w:val="77D04B3A"/>
    <w:rsid w:val="77ED2B68"/>
    <w:rsid w:val="77EE068E"/>
    <w:rsid w:val="77F03C03"/>
    <w:rsid w:val="77F4039A"/>
    <w:rsid w:val="77F60EEE"/>
    <w:rsid w:val="77F93F69"/>
    <w:rsid w:val="780659D7"/>
    <w:rsid w:val="780B7492"/>
    <w:rsid w:val="780F09F4"/>
    <w:rsid w:val="781379F5"/>
    <w:rsid w:val="78191BAF"/>
    <w:rsid w:val="7826607A"/>
    <w:rsid w:val="782859AC"/>
    <w:rsid w:val="782E34CF"/>
    <w:rsid w:val="783267CC"/>
    <w:rsid w:val="78372663"/>
    <w:rsid w:val="783C3B9C"/>
    <w:rsid w:val="785030F6"/>
    <w:rsid w:val="785B3F75"/>
    <w:rsid w:val="786F7A21"/>
    <w:rsid w:val="7872402B"/>
    <w:rsid w:val="78743289"/>
    <w:rsid w:val="7876453C"/>
    <w:rsid w:val="78823229"/>
    <w:rsid w:val="788627DB"/>
    <w:rsid w:val="78A31ED2"/>
    <w:rsid w:val="78A90480"/>
    <w:rsid w:val="78A969F2"/>
    <w:rsid w:val="78B13B17"/>
    <w:rsid w:val="78B44E91"/>
    <w:rsid w:val="78B83176"/>
    <w:rsid w:val="78BB46F9"/>
    <w:rsid w:val="78CD2184"/>
    <w:rsid w:val="78D21041"/>
    <w:rsid w:val="78DA7590"/>
    <w:rsid w:val="78E65AD2"/>
    <w:rsid w:val="78E65B43"/>
    <w:rsid w:val="78F47F26"/>
    <w:rsid w:val="790463BB"/>
    <w:rsid w:val="79073725"/>
    <w:rsid w:val="790C526F"/>
    <w:rsid w:val="790E2F6A"/>
    <w:rsid w:val="791C749F"/>
    <w:rsid w:val="79201516"/>
    <w:rsid w:val="792076FE"/>
    <w:rsid w:val="79246A5D"/>
    <w:rsid w:val="792627D5"/>
    <w:rsid w:val="79270F41"/>
    <w:rsid w:val="792A388A"/>
    <w:rsid w:val="79393B8B"/>
    <w:rsid w:val="79442C5B"/>
    <w:rsid w:val="79455C17"/>
    <w:rsid w:val="795749AC"/>
    <w:rsid w:val="795D38CC"/>
    <w:rsid w:val="7961380D"/>
    <w:rsid w:val="797B3489"/>
    <w:rsid w:val="797E48C6"/>
    <w:rsid w:val="797F2D7D"/>
    <w:rsid w:val="7986195D"/>
    <w:rsid w:val="798A4C3D"/>
    <w:rsid w:val="799356A1"/>
    <w:rsid w:val="799514BD"/>
    <w:rsid w:val="79966ECD"/>
    <w:rsid w:val="79A506AC"/>
    <w:rsid w:val="79A82749"/>
    <w:rsid w:val="79AA4599"/>
    <w:rsid w:val="79AC2DBE"/>
    <w:rsid w:val="79B44D75"/>
    <w:rsid w:val="79B84730"/>
    <w:rsid w:val="79C43D9C"/>
    <w:rsid w:val="79D14E67"/>
    <w:rsid w:val="79DF4732"/>
    <w:rsid w:val="79E15291"/>
    <w:rsid w:val="79E173C3"/>
    <w:rsid w:val="79E31283"/>
    <w:rsid w:val="79E3408B"/>
    <w:rsid w:val="79EB0EB8"/>
    <w:rsid w:val="79EB224B"/>
    <w:rsid w:val="79F05E32"/>
    <w:rsid w:val="7A1D6451"/>
    <w:rsid w:val="7A291E51"/>
    <w:rsid w:val="7A2F1838"/>
    <w:rsid w:val="7A364017"/>
    <w:rsid w:val="7A3D6E1B"/>
    <w:rsid w:val="7A3D7DFA"/>
    <w:rsid w:val="7A431165"/>
    <w:rsid w:val="7A454579"/>
    <w:rsid w:val="7A492702"/>
    <w:rsid w:val="7A4C2473"/>
    <w:rsid w:val="7A4C4DD4"/>
    <w:rsid w:val="7A5275FA"/>
    <w:rsid w:val="7A5906B8"/>
    <w:rsid w:val="7A684727"/>
    <w:rsid w:val="7A692BB3"/>
    <w:rsid w:val="7A721465"/>
    <w:rsid w:val="7A725A33"/>
    <w:rsid w:val="7A74560C"/>
    <w:rsid w:val="7A772643"/>
    <w:rsid w:val="7A7C1C5A"/>
    <w:rsid w:val="7A806C1C"/>
    <w:rsid w:val="7A8265E1"/>
    <w:rsid w:val="7A893F92"/>
    <w:rsid w:val="7A8D23E0"/>
    <w:rsid w:val="7A922302"/>
    <w:rsid w:val="7A926349"/>
    <w:rsid w:val="7A984522"/>
    <w:rsid w:val="7A9A1334"/>
    <w:rsid w:val="7AA02113"/>
    <w:rsid w:val="7AA942AA"/>
    <w:rsid w:val="7AAE7045"/>
    <w:rsid w:val="7AB506C9"/>
    <w:rsid w:val="7AB636E5"/>
    <w:rsid w:val="7AC27647"/>
    <w:rsid w:val="7ACA4D46"/>
    <w:rsid w:val="7ACC115A"/>
    <w:rsid w:val="7ACF201F"/>
    <w:rsid w:val="7AD037C6"/>
    <w:rsid w:val="7ADA0DA4"/>
    <w:rsid w:val="7ADC7ADA"/>
    <w:rsid w:val="7AED71E6"/>
    <w:rsid w:val="7AF45ADA"/>
    <w:rsid w:val="7B0720FF"/>
    <w:rsid w:val="7B072A15"/>
    <w:rsid w:val="7B2520F9"/>
    <w:rsid w:val="7B285B4E"/>
    <w:rsid w:val="7B2A5E81"/>
    <w:rsid w:val="7B2D77D3"/>
    <w:rsid w:val="7B2F3497"/>
    <w:rsid w:val="7B3100F7"/>
    <w:rsid w:val="7B456A20"/>
    <w:rsid w:val="7B4938A5"/>
    <w:rsid w:val="7B4F58E7"/>
    <w:rsid w:val="7B560A24"/>
    <w:rsid w:val="7B5A3446"/>
    <w:rsid w:val="7B5B0730"/>
    <w:rsid w:val="7B6124A0"/>
    <w:rsid w:val="7B66335D"/>
    <w:rsid w:val="7B686D42"/>
    <w:rsid w:val="7B805CAF"/>
    <w:rsid w:val="7B8101C5"/>
    <w:rsid w:val="7B8414C9"/>
    <w:rsid w:val="7B841746"/>
    <w:rsid w:val="7B882C9D"/>
    <w:rsid w:val="7B9D65B2"/>
    <w:rsid w:val="7B9D6653"/>
    <w:rsid w:val="7B9F0C04"/>
    <w:rsid w:val="7BAE06FE"/>
    <w:rsid w:val="7BB7438C"/>
    <w:rsid w:val="7BBD0AA3"/>
    <w:rsid w:val="7BD65980"/>
    <w:rsid w:val="7BDE4042"/>
    <w:rsid w:val="7BE50213"/>
    <w:rsid w:val="7BE70C45"/>
    <w:rsid w:val="7BEA396E"/>
    <w:rsid w:val="7BFC2A96"/>
    <w:rsid w:val="7BFD5343"/>
    <w:rsid w:val="7C013CB8"/>
    <w:rsid w:val="7C015A36"/>
    <w:rsid w:val="7C053C0D"/>
    <w:rsid w:val="7C07182A"/>
    <w:rsid w:val="7C0E70CD"/>
    <w:rsid w:val="7C2154D6"/>
    <w:rsid w:val="7C253574"/>
    <w:rsid w:val="7C260E9A"/>
    <w:rsid w:val="7C274500"/>
    <w:rsid w:val="7C3201A0"/>
    <w:rsid w:val="7C3A120F"/>
    <w:rsid w:val="7C3B30AD"/>
    <w:rsid w:val="7C3D3FF9"/>
    <w:rsid w:val="7C3D7180"/>
    <w:rsid w:val="7C43369E"/>
    <w:rsid w:val="7C484A4B"/>
    <w:rsid w:val="7C4C1AC8"/>
    <w:rsid w:val="7C52568F"/>
    <w:rsid w:val="7C596A1E"/>
    <w:rsid w:val="7C605E43"/>
    <w:rsid w:val="7C605FFE"/>
    <w:rsid w:val="7C6C02EB"/>
    <w:rsid w:val="7C6C5AC7"/>
    <w:rsid w:val="7C6D4277"/>
    <w:rsid w:val="7C6E0D4F"/>
    <w:rsid w:val="7C78621B"/>
    <w:rsid w:val="7C7F41E6"/>
    <w:rsid w:val="7C887303"/>
    <w:rsid w:val="7CA10033"/>
    <w:rsid w:val="7CA37C99"/>
    <w:rsid w:val="7CB60B67"/>
    <w:rsid w:val="7CBB1486"/>
    <w:rsid w:val="7CC6544B"/>
    <w:rsid w:val="7CD30CFC"/>
    <w:rsid w:val="7CD459DA"/>
    <w:rsid w:val="7CD928E0"/>
    <w:rsid w:val="7CDD5F0E"/>
    <w:rsid w:val="7CE502B1"/>
    <w:rsid w:val="7CF037D6"/>
    <w:rsid w:val="7CF10E5E"/>
    <w:rsid w:val="7CFB7AD5"/>
    <w:rsid w:val="7D0239FF"/>
    <w:rsid w:val="7D0F3580"/>
    <w:rsid w:val="7D1402B5"/>
    <w:rsid w:val="7D1B7C84"/>
    <w:rsid w:val="7D1D4408"/>
    <w:rsid w:val="7D1E1FB1"/>
    <w:rsid w:val="7D2144F8"/>
    <w:rsid w:val="7D2863F0"/>
    <w:rsid w:val="7D293564"/>
    <w:rsid w:val="7D2B2BA1"/>
    <w:rsid w:val="7D4D5E56"/>
    <w:rsid w:val="7D4E3192"/>
    <w:rsid w:val="7D520713"/>
    <w:rsid w:val="7D533B34"/>
    <w:rsid w:val="7D5710FC"/>
    <w:rsid w:val="7D5B7984"/>
    <w:rsid w:val="7D5E40CD"/>
    <w:rsid w:val="7D6065E3"/>
    <w:rsid w:val="7D621902"/>
    <w:rsid w:val="7D630815"/>
    <w:rsid w:val="7D6D7DCE"/>
    <w:rsid w:val="7D72164A"/>
    <w:rsid w:val="7D7417A3"/>
    <w:rsid w:val="7D750491"/>
    <w:rsid w:val="7D7539AD"/>
    <w:rsid w:val="7D755AD9"/>
    <w:rsid w:val="7D796C4C"/>
    <w:rsid w:val="7D7D673C"/>
    <w:rsid w:val="7D7F6537"/>
    <w:rsid w:val="7D853842"/>
    <w:rsid w:val="7D860ADB"/>
    <w:rsid w:val="7D980CB5"/>
    <w:rsid w:val="7D9F4904"/>
    <w:rsid w:val="7DBA6684"/>
    <w:rsid w:val="7DCD56F2"/>
    <w:rsid w:val="7DCE6F97"/>
    <w:rsid w:val="7DCF4FC9"/>
    <w:rsid w:val="7DD62491"/>
    <w:rsid w:val="7DD93F7C"/>
    <w:rsid w:val="7DDD71DA"/>
    <w:rsid w:val="7DE22A43"/>
    <w:rsid w:val="7DEB5D9B"/>
    <w:rsid w:val="7DF86D11"/>
    <w:rsid w:val="7DFA39D3"/>
    <w:rsid w:val="7DFC1D56"/>
    <w:rsid w:val="7DFD3C19"/>
    <w:rsid w:val="7E0043DD"/>
    <w:rsid w:val="7E1E33F5"/>
    <w:rsid w:val="7E236173"/>
    <w:rsid w:val="7E290672"/>
    <w:rsid w:val="7E2A3C98"/>
    <w:rsid w:val="7E301A00"/>
    <w:rsid w:val="7E3A6EB0"/>
    <w:rsid w:val="7E484F9C"/>
    <w:rsid w:val="7E4B28BC"/>
    <w:rsid w:val="7E4D7032"/>
    <w:rsid w:val="7E521976"/>
    <w:rsid w:val="7E546002"/>
    <w:rsid w:val="7E593494"/>
    <w:rsid w:val="7E5971A9"/>
    <w:rsid w:val="7E643E29"/>
    <w:rsid w:val="7E6C1868"/>
    <w:rsid w:val="7E725B75"/>
    <w:rsid w:val="7E7538B7"/>
    <w:rsid w:val="7E7933A7"/>
    <w:rsid w:val="7E7A2580"/>
    <w:rsid w:val="7E81225C"/>
    <w:rsid w:val="7E87179A"/>
    <w:rsid w:val="7E8A243F"/>
    <w:rsid w:val="7E955D07"/>
    <w:rsid w:val="7E9B246E"/>
    <w:rsid w:val="7EA7730B"/>
    <w:rsid w:val="7EB45D48"/>
    <w:rsid w:val="7EB668EB"/>
    <w:rsid w:val="7EB802CF"/>
    <w:rsid w:val="7EC27586"/>
    <w:rsid w:val="7ED35A67"/>
    <w:rsid w:val="7ED54FAA"/>
    <w:rsid w:val="7ED947B0"/>
    <w:rsid w:val="7EDF09EF"/>
    <w:rsid w:val="7EE6535E"/>
    <w:rsid w:val="7EE67829"/>
    <w:rsid w:val="7EEA116F"/>
    <w:rsid w:val="7EEA6053"/>
    <w:rsid w:val="7EEF71EA"/>
    <w:rsid w:val="7EF41C12"/>
    <w:rsid w:val="7F001CE7"/>
    <w:rsid w:val="7F1B620C"/>
    <w:rsid w:val="7F243F59"/>
    <w:rsid w:val="7F25474F"/>
    <w:rsid w:val="7F2C21C7"/>
    <w:rsid w:val="7F303862"/>
    <w:rsid w:val="7F345520"/>
    <w:rsid w:val="7F351DAF"/>
    <w:rsid w:val="7F354CBC"/>
    <w:rsid w:val="7F372393"/>
    <w:rsid w:val="7F374DB1"/>
    <w:rsid w:val="7F3B1D39"/>
    <w:rsid w:val="7F4736ED"/>
    <w:rsid w:val="7F497047"/>
    <w:rsid w:val="7F4C1468"/>
    <w:rsid w:val="7F4C3665"/>
    <w:rsid w:val="7F50169C"/>
    <w:rsid w:val="7F5D5590"/>
    <w:rsid w:val="7F6700FE"/>
    <w:rsid w:val="7F6F39C2"/>
    <w:rsid w:val="7F7122D0"/>
    <w:rsid w:val="7F737DF6"/>
    <w:rsid w:val="7F780FFA"/>
    <w:rsid w:val="7F7973D7"/>
    <w:rsid w:val="7F9016EF"/>
    <w:rsid w:val="7F9B74A5"/>
    <w:rsid w:val="7FA451A1"/>
    <w:rsid w:val="7FA51D84"/>
    <w:rsid w:val="7FAB717F"/>
    <w:rsid w:val="7FB1437D"/>
    <w:rsid w:val="7FB14F0C"/>
    <w:rsid w:val="7FC40652"/>
    <w:rsid w:val="7FC74552"/>
    <w:rsid w:val="7FC8660A"/>
    <w:rsid w:val="7FDA60C7"/>
    <w:rsid w:val="7FE47E50"/>
    <w:rsid w:val="7FFA619E"/>
    <w:rsid w:val="7FFB261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name="index 1" w:locked="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ocked="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ocked="1"/>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ocked="1"/>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ocked="1"/>
    <w:lsdException w:uiPriority="99" w:name="endnote reference"/>
    <w:lsdException w:uiPriority="99" w:name="endnote text"/>
    <w:lsdException w:unhideWhenUsed="0" w:uiPriority="0" w:semiHidden="0" w:name="table of authorities" w:locked="1"/>
    <w:lsdException w:uiPriority="99" w:name="macro"/>
    <w:lsdException w:uiPriority="99" w:name="toa heading"/>
    <w:lsdException w:qFormat="1" w:unhideWhenUsed="0" w:uiPriority="99" w:semiHidden="0" w:name="List" w:locked="1"/>
    <w:lsdException w:unhideWhenUsed="0" w:uiPriority="0" w:semiHidden="0" w:name="List Bullet" w:locked="1"/>
    <w:lsdException w:uiPriority="99" w:name="List Number"/>
    <w:lsdException w:uiPriority="99" w:name="List 2"/>
    <w:lsdException w:uiPriority="99" w:name="List 3"/>
    <w:lsdException w:uiPriority="99" w:name="List 4"/>
    <w:lsdException w:uiPriority="99" w:name="List 5"/>
    <w:lsdException w:qFormat="1" w:unhideWhenUsed="0" w:uiPriority="99" w:semiHidden="0" w:name="List Bullet 2" w:locked="1"/>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99" w:name="Message Header"/>
    <w:lsdException w:qFormat="1" w:unhideWhenUsed="0" w:uiPriority="11" w:semiHidden="0" w:name="Subtitle"/>
    <w:lsdException w:qFormat="1" w:unhideWhenUsed="0" w:uiPriority="99"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ocked="1"/>
    <w:lsdException w:uiPriority="99" w:name="Note Heading"/>
    <w:lsdException w:qFormat="1" w:unhideWhenUsed="0" w:uiPriority="99" w:semiHidden="0" w:name="Body Text 2" w:locked="1"/>
    <w:lsdException w:uiPriority="99" w:name="Body Text 3"/>
    <w:lsdException w:qFormat="1" w:unhideWhenUsed="0" w:uiPriority="99" w:semiHidden="0" w:name="Body Text Indent 2" w:locked="1"/>
    <w:lsdException w:qFormat="1" w:unhideWhenUsed="0" w:uiPriority="99" w:semiHidden="0" w:name="Body Text Indent 3" w:locked="1"/>
    <w:lsdException w:qFormat="1" w:unhideWhenUsed="0" w:uiPriority="99" w:semiHidden="0" w:name="Block Text" w:locked="1"/>
    <w:lsdException w:qFormat="1" w:uiPriority="99" w:name="Hyperlink"/>
    <w:lsdException w:uiPriority="99" w:name="FollowedHyperlink"/>
    <w:lsdException w:qFormat="1" w:unhideWhenUsed="0" w:uiPriority="99" w:semiHidden="0" w:name="Strong" w:locked="1"/>
    <w:lsdException w:qFormat="1" w:unhideWhenUsed="0" w:uiPriority="99" w:semiHidden="0" w:name="Emphasis" w:locked="1"/>
    <w:lsdException w:qFormat="1" w:unhideWhenUsed="0" w:uiPriority="99" w:name="Document Map" w:locked="1"/>
    <w:lsdException w:qFormat="1" w:unhideWhenUsed="0" w:uiPriority="99" w:semiHidden="0" w:name="Plain Text" w:locked="1"/>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7">
    <w:name w:val="heading 1"/>
    <w:basedOn w:val="1"/>
    <w:next w:val="1"/>
    <w:link w:val="49"/>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8">
    <w:name w:val="heading 2"/>
    <w:basedOn w:val="1"/>
    <w:next w:val="1"/>
    <w:link w:val="50"/>
    <w:autoRedefine/>
    <w:qFormat/>
    <w:locked/>
    <w:uiPriority w:val="99"/>
    <w:pPr>
      <w:keepNext/>
      <w:keepLines/>
      <w:spacing w:before="260" w:after="260" w:line="416" w:lineRule="auto"/>
      <w:outlineLvl w:val="1"/>
    </w:pPr>
    <w:rPr>
      <w:rFonts w:ascii="Cambria" w:hAnsi="Cambria" w:cs="Cambria"/>
      <w:b/>
      <w:bCs/>
      <w:sz w:val="32"/>
      <w:szCs w:val="32"/>
    </w:rPr>
  </w:style>
  <w:style w:type="paragraph" w:styleId="9">
    <w:name w:val="heading 3"/>
    <w:basedOn w:val="1"/>
    <w:next w:val="1"/>
    <w:link w:val="51"/>
    <w:autoRedefine/>
    <w:qFormat/>
    <w:locked/>
    <w:uiPriority w:val="99"/>
    <w:pPr>
      <w:keepNext/>
      <w:keepLines/>
      <w:widowControl/>
      <w:spacing w:before="260" w:after="260" w:line="416" w:lineRule="auto"/>
      <w:jc w:val="left"/>
      <w:outlineLvl w:val="2"/>
    </w:pPr>
    <w:rPr>
      <w:rFonts w:ascii="宋体" w:hAnsi="宋体" w:cs="宋体"/>
      <w:b/>
      <w:bCs/>
      <w:color w:val="000000"/>
      <w:kern w:val="0"/>
      <w:sz w:val="32"/>
      <w:szCs w:val="32"/>
    </w:rPr>
  </w:style>
  <w:style w:type="paragraph" w:styleId="10">
    <w:name w:val="heading 4"/>
    <w:basedOn w:val="1"/>
    <w:next w:val="1"/>
    <w:link w:val="52"/>
    <w:autoRedefine/>
    <w:qFormat/>
    <w:locked/>
    <w:uiPriority w:val="99"/>
    <w:pPr>
      <w:keepNext/>
      <w:keepLines/>
      <w:spacing w:before="280" w:after="290" w:line="376" w:lineRule="auto"/>
      <w:outlineLvl w:val="3"/>
    </w:pPr>
    <w:rPr>
      <w:rFonts w:ascii="Cambria" w:hAnsi="Cambria" w:cs="Cambria"/>
      <w:b/>
      <w:bCs/>
      <w:sz w:val="28"/>
      <w:szCs w:val="28"/>
    </w:rPr>
  </w:style>
  <w:style w:type="character" w:default="1" w:styleId="38">
    <w:name w:val="Default Paragraph Font"/>
    <w:autoRedefine/>
    <w:semiHidden/>
    <w:qFormat/>
    <w:uiPriority w:val="99"/>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2"/>
    <w:basedOn w:val="1"/>
    <w:next w:val="3"/>
    <w:link w:val="57"/>
    <w:autoRedefine/>
    <w:qFormat/>
    <w:locked/>
    <w:uiPriority w:val="99"/>
    <w:pPr>
      <w:spacing w:after="120" w:line="480" w:lineRule="auto"/>
      <w:ind w:left="420" w:leftChars="200"/>
    </w:pPr>
  </w:style>
  <w:style w:type="paragraph" w:styleId="3">
    <w:name w:val="Body Text First Indent 2"/>
    <w:basedOn w:val="4"/>
    <w:next w:val="1"/>
    <w:link w:val="58"/>
    <w:autoRedefine/>
    <w:qFormat/>
    <w:locked/>
    <w:uiPriority w:val="99"/>
    <w:pPr>
      <w:ind w:firstLine="420" w:firstLineChars="200"/>
    </w:pPr>
    <w:rPr>
      <w:kern w:val="2"/>
      <w:sz w:val="21"/>
      <w:szCs w:val="21"/>
    </w:rPr>
  </w:style>
  <w:style w:type="paragraph" w:styleId="4">
    <w:name w:val="Body Text Indent"/>
    <w:basedOn w:val="1"/>
    <w:next w:val="5"/>
    <w:link w:val="56"/>
    <w:autoRedefine/>
    <w:qFormat/>
    <w:uiPriority w:val="99"/>
    <w:pPr>
      <w:spacing w:after="120"/>
      <w:ind w:left="420" w:leftChars="200"/>
    </w:pPr>
    <w:rPr>
      <w:kern w:val="0"/>
      <w:sz w:val="24"/>
      <w:szCs w:val="24"/>
    </w:rPr>
  </w:style>
  <w:style w:type="paragraph" w:customStyle="1" w:styleId="5">
    <w:name w:val="样式 正文文本缩进 + 行距: 1.5 倍行距"/>
    <w:basedOn w:val="6"/>
    <w:autoRedefine/>
    <w:qFormat/>
    <w:uiPriority w:val="0"/>
    <w:pPr>
      <w:ind w:left="90" w:leftChars="32" w:firstLine="560" w:firstLineChars="200"/>
    </w:pPr>
    <w:rPr>
      <w:rFonts w:cs="宋体"/>
    </w:rPr>
  </w:style>
  <w:style w:type="paragraph" w:customStyle="1" w:styleId="6">
    <w:name w:val="Body Text Indent"/>
    <w:basedOn w:val="1"/>
    <w:next w:val="5"/>
    <w:autoRedefine/>
    <w:qFormat/>
    <w:uiPriority w:val="0"/>
    <w:pPr>
      <w:spacing w:after="120" w:afterLines="0"/>
      <w:ind w:left="420" w:leftChars="200"/>
    </w:pPr>
    <w:rPr>
      <w:rFonts w:ascii="Times New Roman" w:hAnsi="Times New Roman" w:eastAsia="宋体"/>
      <w:sz w:val="24"/>
    </w:rPr>
  </w:style>
  <w:style w:type="paragraph" w:styleId="11">
    <w:name w:val="Normal Indent"/>
    <w:basedOn w:val="1"/>
    <w:next w:val="1"/>
    <w:autoRedefine/>
    <w:qFormat/>
    <w:locked/>
    <w:uiPriority w:val="99"/>
    <w:pPr>
      <w:adjustRightInd w:val="0"/>
      <w:ind w:firstLine="420" w:firstLineChars="200"/>
      <w:textAlignment w:val="baseline"/>
    </w:pPr>
    <w:rPr>
      <w:rFonts w:ascii="宋体" w:hAnsi="宋体" w:cs="宋体"/>
      <w:sz w:val="24"/>
      <w:szCs w:val="24"/>
    </w:rPr>
  </w:style>
  <w:style w:type="paragraph" w:styleId="12">
    <w:name w:val="Document Map"/>
    <w:basedOn w:val="1"/>
    <w:link w:val="53"/>
    <w:autoRedefine/>
    <w:semiHidden/>
    <w:qFormat/>
    <w:locked/>
    <w:uiPriority w:val="99"/>
    <w:rPr>
      <w:rFonts w:ascii="宋体" w:cs="宋体"/>
      <w:sz w:val="18"/>
      <w:szCs w:val="18"/>
    </w:rPr>
  </w:style>
  <w:style w:type="paragraph" w:styleId="13">
    <w:name w:val="annotation text"/>
    <w:basedOn w:val="1"/>
    <w:link w:val="54"/>
    <w:autoRedefine/>
    <w:semiHidden/>
    <w:qFormat/>
    <w:uiPriority w:val="99"/>
    <w:pPr>
      <w:jc w:val="left"/>
    </w:pPr>
    <w:rPr>
      <w:kern w:val="0"/>
      <w:sz w:val="24"/>
      <w:szCs w:val="24"/>
    </w:rPr>
  </w:style>
  <w:style w:type="paragraph" w:styleId="14">
    <w:name w:val="Salutation"/>
    <w:basedOn w:val="1"/>
    <w:next w:val="1"/>
    <w:autoRedefine/>
    <w:semiHidden/>
    <w:qFormat/>
    <w:uiPriority w:val="99"/>
    <w:pPr>
      <w:pBdr>
        <w:top w:val="single" w:color="auto" w:sz="4" w:space="1"/>
      </w:pBdr>
      <w:adjustRightInd w:val="0"/>
      <w:spacing w:line="360" w:lineRule="atLeast"/>
      <w:jc w:val="left"/>
      <w:textAlignment w:val="baseline"/>
    </w:pPr>
    <w:rPr>
      <w:kern w:val="0"/>
      <w:sz w:val="24"/>
      <w:szCs w:val="24"/>
    </w:rPr>
  </w:style>
  <w:style w:type="paragraph" w:styleId="15">
    <w:name w:val="Body Text"/>
    <w:basedOn w:val="1"/>
    <w:next w:val="16"/>
    <w:link w:val="55"/>
    <w:autoRedefine/>
    <w:qFormat/>
    <w:uiPriority w:val="99"/>
    <w:pPr>
      <w:widowControl/>
      <w:snapToGrid w:val="0"/>
      <w:spacing w:before="60" w:after="160" w:line="259" w:lineRule="auto"/>
      <w:ind w:right="113"/>
    </w:pPr>
    <w:rPr>
      <w:kern w:val="0"/>
      <w:sz w:val="18"/>
      <w:szCs w:val="18"/>
    </w:rPr>
  </w:style>
  <w:style w:type="paragraph" w:customStyle="1" w:styleId="16">
    <w:name w:val="xl27"/>
    <w:basedOn w:val="1"/>
    <w:next w:val="17"/>
    <w:autoRedefine/>
    <w:qFormat/>
    <w:uiPriority w:val="99"/>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4"/>
      <w:szCs w:val="34"/>
    </w:rPr>
  </w:style>
  <w:style w:type="paragraph" w:customStyle="1" w:styleId="17">
    <w:name w:val="A正文"/>
    <w:basedOn w:val="1"/>
    <w:autoRedefine/>
    <w:qFormat/>
    <w:uiPriority w:val="99"/>
    <w:pPr>
      <w:spacing w:line="360" w:lineRule="auto"/>
      <w:ind w:firstLine="480" w:firstLineChars="200"/>
      <w:jc w:val="left"/>
    </w:pPr>
    <w:rPr>
      <w:rFonts w:ascii="宋体" w:hAnsi="宋体" w:cs="宋体"/>
      <w:sz w:val="24"/>
      <w:szCs w:val="24"/>
    </w:rPr>
  </w:style>
  <w:style w:type="paragraph" w:styleId="18">
    <w:name w:val="Block Text"/>
    <w:basedOn w:val="1"/>
    <w:autoRedefine/>
    <w:qFormat/>
    <w:locked/>
    <w:uiPriority w:val="99"/>
    <w:pPr>
      <w:adjustRightInd w:val="0"/>
      <w:spacing w:line="500" w:lineRule="exact"/>
      <w:ind w:left="147" w:leftChars="70" w:right="160" w:rightChars="76"/>
    </w:pPr>
    <w:rPr>
      <w:rFonts w:ascii="宋体" w:hAnsi="宋体" w:cs="宋体"/>
    </w:rPr>
  </w:style>
  <w:style w:type="paragraph" w:styleId="19">
    <w:name w:val="List Bullet 2"/>
    <w:basedOn w:val="1"/>
    <w:autoRedefine/>
    <w:qFormat/>
    <w:locked/>
    <w:uiPriority w:val="99"/>
    <w:pPr>
      <w:widowControl/>
      <w:tabs>
        <w:tab w:val="left" w:pos="780"/>
      </w:tabs>
      <w:ind w:left="780" w:leftChars="200" w:hanging="360" w:hangingChars="200"/>
      <w:jc w:val="left"/>
    </w:pPr>
    <w:rPr>
      <w:rFonts w:ascii="宋体" w:hAnsi="宋体" w:eastAsia="等线" w:cs="宋体"/>
      <w:color w:val="000000"/>
      <w:kern w:val="0"/>
    </w:rPr>
  </w:style>
  <w:style w:type="paragraph" w:styleId="20">
    <w:name w:val="Plain Text"/>
    <w:basedOn w:val="1"/>
    <w:next w:val="14"/>
    <w:link w:val="59"/>
    <w:autoRedefine/>
    <w:qFormat/>
    <w:locked/>
    <w:uiPriority w:val="99"/>
    <w:rPr>
      <w:rFonts w:ascii="宋体" w:hAnsi="Courier New" w:cs="宋体"/>
    </w:rPr>
  </w:style>
  <w:style w:type="paragraph" w:styleId="21">
    <w:name w:val="List Bullet 5"/>
    <w:basedOn w:val="1"/>
    <w:autoRedefine/>
    <w:semiHidden/>
    <w:unhideWhenUsed/>
    <w:qFormat/>
    <w:uiPriority w:val="99"/>
    <w:pPr>
      <w:numPr>
        <w:ilvl w:val="0"/>
        <w:numId w:val="1"/>
      </w:numPr>
    </w:pPr>
  </w:style>
  <w:style w:type="paragraph" w:styleId="22">
    <w:name w:val="Date"/>
    <w:basedOn w:val="1"/>
    <w:next w:val="1"/>
    <w:link w:val="60"/>
    <w:autoRedefine/>
    <w:qFormat/>
    <w:uiPriority w:val="99"/>
    <w:pPr>
      <w:ind w:left="100" w:leftChars="2500"/>
    </w:pPr>
    <w:rPr>
      <w:kern w:val="0"/>
      <w:sz w:val="24"/>
      <w:szCs w:val="24"/>
    </w:rPr>
  </w:style>
  <w:style w:type="paragraph" w:styleId="23">
    <w:name w:val="Balloon Text"/>
    <w:basedOn w:val="1"/>
    <w:link w:val="61"/>
    <w:autoRedefine/>
    <w:semiHidden/>
    <w:qFormat/>
    <w:uiPriority w:val="99"/>
    <w:rPr>
      <w:kern w:val="0"/>
      <w:sz w:val="18"/>
      <w:szCs w:val="18"/>
    </w:rPr>
  </w:style>
  <w:style w:type="paragraph" w:styleId="24">
    <w:name w:val="footer"/>
    <w:basedOn w:val="1"/>
    <w:link w:val="62"/>
    <w:autoRedefine/>
    <w:qFormat/>
    <w:uiPriority w:val="99"/>
    <w:pPr>
      <w:tabs>
        <w:tab w:val="center" w:pos="4153"/>
        <w:tab w:val="right" w:pos="8306"/>
      </w:tabs>
      <w:snapToGrid w:val="0"/>
      <w:jc w:val="left"/>
    </w:pPr>
    <w:rPr>
      <w:kern w:val="0"/>
      <w:sz w:val="18"/>
      <w:szCs w:val="18"/>
    </w:rPr>
  </w:style>
  <w:style w:type="paragraph" w:styleId="25">
    <w:name w:val="header"/>
    <w:basedOn w:val="1"/>
    <w:next w:val="15"/>
    <w:link w:val="63"/>
    <w:autoRedefine/>
    <w:qFormat/>
    <w:uiPriority w:val="99"/>
    <w:pPr>
      <w:pBdr>
        <w:bottom w:val="single" w:color="auto" w:sz="6" w:space="1"/>
      </w:pBdr>
      <w:tabs>
        <w:tab w:val="center" w:pos="4153"/>
        <w:tab w:val="right" w:pos="8306"/>
      </w:tabs>
      <w:snapToGrid w:val="0"/>
      <w:jc w:val="center"/>
    </w:pPr>
    <w:rPr>
      <w:kern w:val="0"/>
      <w:sz w:val="18"/>
      <w:szCs w:val="18"/>
    </w:rPr>
  </w:style>
  <w:style w:type="paragraph" w:styleId="26">
    <w:name w:val="toc 1"/>
    <w:basedOn w:val="1"/>
    <w:next w:val="1"/>
    <w:autoRedefine/>
    <w:semiHidden/>
    <w:qFormat/>
    <w:locked/>
    <w:uiPriority w:val="99"/>
    <w:pPr>
      <w:spacing w:before="120" w:after="120"/>
      <w:jc w:val="left"/>
    </w:pPr>
    <w:rPr>
      <w:b/>
      <w:bCs/>
      <w:caps/>
      <w:sz w:val="20"/>
      <w:szCs w:val="20"/>
    </w:rPr>
  </w:style>
  <w:style w:type="paragraph" w:styleId="27">
    <w:name w:val="index heading"/>
    <w:basedOn w:val="1"/>
    <w:next w:val="28"/>
    <w:autoRedefine/>
    <w:semiHidden/>
    <w:qFormat/>
    <w:locked/>
    <w:uiPriority w:val="99"/>
    <w:pPr>
      <w:spacing w:line="480" w:lineRule="exact"/>
    </w:pPr>
    <w:rPr>
      <w:rFonts w:ascii="Arial" w:hAnsi="Arial" w:cs="Arial"/>
      <w:b/>
      <w:bCs/>
      <w:sz w:val="24"/>
      <w:szCs w:val="24"/>
    </w:rPr>
  </w:style>
  <w:style w:type="paragraph" w:styleId="28">
    <w:name w:val="index 1"/>
    <w:basedOn w:val="1"/>
    <w:next w:val="1"/>
    <w:autoRedefine/>
    <w:semiHidden/>
    <w:qFormat/>
    <w:locked/>
    <w:uiPriority w:val="99"/>
  </w:style>
  <w:style w:type="paragraph" w:styleId="29">
    <w:name w:val="List"/>
    <w:basedOn w:val="1"/>
    <w:autoRedefine/>
    <w:qFormat/>
    <w:locked/>
    <w:uiPriority w:val="99"/>
    <w:pPr>
      <w:ind w:left="200" w:hanging="200" w:hangingChars="200"/>
    </w:pPr>
  </w:style>
  <w:style w:type="paragraph" w:styleId="30">
    <w:name w:val="Body Text Indent 3"/>
    <w:basedOn w:val="1"/>
    <w:link w:val="64"/>
    <w:autoRedefine/>
    <w:qFormat/>
    <w:locked/>
    <w:uiPriority w:val="99"/>
    <w:pPr>
      <w:spacing w:after="120"/>
      <w:ind w:left="420" w:leftChars="200"/>
    </w:pPr>
    <w:rPr>
      <w:sz w:val="16"/>
      <w:szCs w:val="16"/>
    </w:rPr>
  </w:style>
  <w:style w:type="paragraph" w:styleId="31">
    <w:name w:val="table of figures"/>
    <w:basedOn w:val="1"/>
    <w:next w:val="1"/>
    <w:autoRedefine/>
    <w:unhideWhenUsed/>
    <w:qFormat/>
    <w:uiPriority w:val="99"/>
    <w:pPr>
      <w:ind w:left="200" w:leftChars="200" w:hanging="200" w:hangingChars="200"/>
    </w:pPr>
  </w:style>
  <w:style w:type="paragraph" w:styleId="32">
    <w:name w:val="Body Text 2"/>
    <w:basedOn w:val="1"/>
    <w:next w:val="1"/>
    <w:link w:val="65"/>
    <w:autoRedefine/>
    <w:qFormat/>
    <w:locked/>
    <w:uiPriority w:val="99"/>
    <w:pPr>
      <w:spacing w:after="120" w:line="480" w:lineRule="auto"/>
    </w:pPr>
    <w:rPr>
      <w:kern w:val="0"/>
      <w:sz w:val="24"/>
      <w:szCs w:val="24"/>
    </w:rPr>
  </w:style>
  <w:style w:type="paragraph" w:styleId="33">
    <w:name w:val="Normal (Web)"/>
    <w:basedOn w:val="1"/>
    <w:link w:val="68"/>
    <w:autoRedefine/>
    <w:qFormat/>
    <w:uiPriority w:val="99"/>
    <w:pPr>
      <w:widowControl/>
      <w:spacing w:before="100" w:beforeAutospacing="1" w:after="100" w:afterAutospacing="1"/>
      <w:jc w:val="left"/>
    </w:pPr>
    <w:rPr>
      <w:rFonts w:ascii="宋体" w:hAnsi="宋体" w:cs="宋体"/>
      <w:kern w:val="0"/>
      <w:sz w:val="24"/>
      <w:szCs w:val="24"/>
    </w:rPr>
  </w:style>
  <w:style w:type="paragraph" w:styleId="34">
    <w:name w:val="annotation subject"/>
    <w:basedOn w:val="13"/>
    <w:next w:val="13"/>
    <w:link w:val="66"/>
    <w:autoRedefine/>
    <w:semiHidden/>
    <w:qFormat/>
    <w:uiPriority w:val="99"/>
    <w:rPr>
      <w:b/>
      <w:bCs/>
      <w:kern w:val="2"/>
    </w:rPr>
  </w:style>
  <w:style w:type="paragraph" w:styleId="35">
    <w:name w:val="Body Text First Indent"/>
    <w:basedOn w:val="15"/>
    <w:next w:val="1"/>
    <w:autoRedefine/>
    <w:qFormat/>
    <w:uiPriority w:val="0"/>
    <w:pPr>
      <w:spacing w:before="120" w:after="240"/>
      <w:ind w:left="100" w:leftChars="100" w:firstLine="420" w:firstLineChars="100"/>
    </w:pPr>
  </w:style>
  <w:style w:type="table" w:styleId="37">
    <w:name w:val="Table Grid"/>
    <w:basedOn w:val="36"/>
    <w:autoRedefine/>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autoRedefine/>
    <w:qFormat/>
    <w:locked/>
    <w:uiPriority w:val="99"/>
    <w:rPr>
      <w:b/>
      <w:bCs/>
    </w:rPr>
  </w:style>
  <w:style w:type="character" w:styleId="40">
    <w:name w:val="page number"/>
    <w:basedOn w:val="38"/>
    <w:autoRedefine/>
    <w:qFormat/>
    <w:locked/>
    <w:uiPriority w:val="99"/>
  </w:style>
  <w:style w:type="character" w:styleId="41">
    <w:name w:val="Emphasis"/>
    <w:basedOn w:val="38"/>
    <w:autoRedefine/>
    <w:qFormat/>
    <w:locked/>
    <w:uiPriority w:val="99"/>
    <w:rPr>
      <w:i/>
      <w:iCs/>
    </w:rPr>
  </w:style>
  <w:style w:type="character" w:styleId="42">
    <w:name w:val="Hyperlink"/>
    <w:basedOn w:val="38"/>
    <w:autoRedefine/>
    <w:semiHidden/>
    <w:unhideWhenUsed/>
    <w:qFormat/>
    <w:uiPriority w:val="99"/>
    <w:rPr>
      <w:color w:val="0000FF"/>
      <w:u w:val="single"/>
    </w:rPr>
  </w:style>
  <w:style w:type="character" w:styleId="43">
    <w:name w:val="annotation reference"/>
    <w:basedOn w:val="38"/>
    <w:autoRedefine/>
    <w:semiHidden/>
    <w:qFormat/>
    <w:uiPriority w:val="99"/>
    <w:rPr>
      <w:sz w:val="21"/>
      <w:szCs w:val="21"/>
    </w:rPr>
  </w:style>
  <w:style w:type="paragraph" w:customStyle="1" w:styleId="44">
    <w:name w:val="Default"/>
    <w:basedOn w:val="45"/>
    <w:autoRedefine/>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45">
    <w:name w:val="标题2"/>
    <w:basedOn w:val="1"/>
    <w:next w:val="1"/>
    <w:autoRedefine/>
    <w:qFormat/>
    <w:uiPriority w:val="0"/>
    <w:rPr>
      <w:rFonts w:ascii="宋体" w:hAnsi="宋体"/>
      <w:b/>
      <w:kern w:val="0"/>
      <w:sz w:val="24"/>
      <w:szCs w:val="24"/>
    </w:rPr>
  </w:style>
  <w:style w:type="paragraph" w:customStyle="1" w:styleId="46">
    <w:name w:val="T正文"/>
    <w:autoRedefine/>
    <w:qFormat/>
    <w:uiPriority w:val="99"/>
    <w:pPr>
      <w:widowControl w:val="0"/>
      <w:adjustRightInd w:val="0"/>
      <w:snapToGrid w:val="0"/>
      <w:spacing w:line="360" w:lineRule="auto"/>
      <w:ind w:firstLine="200" w:firstLineChars="200"/>
      <w:jc w:val="both"/>
    </w:pPr>
    <w:rPr>
      <w:rFonts w:ascii="Times New Roman" w:hAnsi="Times New Roman" w:eastAsia="仿宋_GB2312" w:cs="Times New Roman"/>
      <w:kern w:val="0"/>
      <w:sz w:val="28"/>
      <w:szCs w:val="28"/>
      <w:lang w:val="en-US" w:eastAsia="zh-CN" w:bidi="ar-SA"/>
    </w:rPr>
  </w:style>
  <w:style w:type="paragraph" w:customStyle="1" w:styleId="47">
    <w:name w:val="文本"/>
    <w:basedOn w:val="1"/>
    <w:next w:val="1"/>
    <w:autoRedefine/>
    <w:qFormat/>
    <w:uiPriority w:val="0"/>
    <w:pPr>
      <w:autoSpaceDE w:val="0"/>
      <w:autoSpaceDN w:val="0"/>
      <w:ind w:firstLine="480"/>
    </w:pPr>
    <w:rPr>
      <w:lang w:val="zh-CN"/>
    </w:rPr>
  </w:style>
  <w:style w:type="paragraph" w:customStyle="1" w:styleId="48">
    <w:name w:val="样式1"/>
    <w:basedOn w:val="27"/>
    <w:next w:val="1"/>
    <w:autoRedefine/>
    <w:qFormat/>
    <w:uiPriority w:val="99"/>
    <w:pPr>
      <w:tabs>
        <w:tab w:val="right" w:leader="dot" w:pos="9061"/>
        <w:tab w:val="right" w:leader="dot" w:pos="9459"/>
      </w:tabs>
      <w:adjustRightInd w:val="0"/>
      <w:spacing w:line="360" w:lineRule="auto"/>
      <w:outlineLvl w:val="0"/>
    </w:pPr>
    <w:rPr>
      <w:sz w:val="28"/>
      <w:szCs w:val="28"/>
    </w:rPr>
  </w:style>
  <w:style w:type="character" w:customStyle="1" w:styleId="49">
    <w:name w:val="Heading 1 Char"/>
    <w:basedOn w:val="38"/>
    <w:link w:val="7"/>
    <w:autoRedefine/>
    <w:qFormat/>
    <w:uiPriority w:val="9"/>
    <w:rPr>
      <w:b/>
      <w:bCs/>
      <w:kern w:val="44"/>
      <w:sz w:val="44"/>
      <w:szCs w:val="44"/>
    </w:rPr>
  </w:style>
  <w:style w:type="character" w:customStyle="1" w:styleId="50">
    <w:name w:val="Heading 2 Char"/>
    <w:basedOn w:val="38"/>
    <w:link w:val="8"/>
    <w:autoRedefine/>
    <w:qFormat/>
    <w:locked/>
    <w:uiPriority w:val="99"/>
    <w:rPr>
      <w:rFonts w:ascii="Cambria" w:hAnsi="Cambria" w:eastAsia="宋体" w:cs="Cambria"/>
      <w:b/>
      <w:bCs/>
      <w:kern w:val="2"/>
      <w:sz w:val="32"/>
      <w:szCs w:val="32"/>
    </w:rPr>
  </w:style>
  <w:style w:type="character" w:customStyle="1" w:styleId="51">
    <w:name w:val="Heading 3 Char"/>
    <w:basedOn w:val="38"/>
    <w:link w:val="9"/>
    <w:autoRedefine/>
    <w:qFormat/>
    <w:locked/>
    <w:uiPriority w:val="99"/>
    <w:rPr>
      <w:rFonts w:ascii="宋体" w:eastAsia="宋体" w:cs="宋体"/>
      <w:b/>
      <w:bCs/>
      <w:color w:val="000000"/>
      <w:sz w:val="32"/>
      <w:szCs w:val="32"/>
    </w:rPr>
  </w:style>
  <w:style w:type="character" w:customStyle="1" w:styleId="52">
    <w:name w:val="Heading 4 Char"/>
    <w:basedOn w:val="38"/>
    <w:link w:val="10"/>
    <w:autoRedefine/>
    <w:semiHidden/>
    <w:qFormat/>
    <w:locked/>
    <w:uiPriority w:val="99"/>
    <w:rPr>
      <w:rFonts w:ascii="Cambria" w:hAnsi="Cambria" w:eastAsia="宋体" w:cs="Cambria"/>
      <w:b/>
      <w:bCs/>
      <w:kern w:val="2"/>
      <w:sz w:val="28"/>
      <w:szCs w:val="28"/>
    </w:rPr>
  </w:style>
  <w:style w:type="character" w:customStyle="1" w:styleId="53">
    <w:name w:val="Document Map Char"/>
    <w:basedOn w:val="38"/>
    <w:link w:val="12"/>
    <w:autoRedefine/>
    <w:qFormat/>
    <w:locked/>
    <w:uiPriority w:val="99"/>
    <w:rPr>
      <w:rFonts w:ascii="宋体" w:cs="宋体"/>
      <w:kern w:val="2"/>
      <w:sz w:val="18"/>
      <w:szCs w:val="18"/>
    </w:rPr>
  </w:style>
  <w:style w:type="character" w:customStyle="1" w:styleId="54">
    <w:name w:val="Comment Text Char"/>
    <w:basedOn w:val="38"/>
    <w:link w:val="13"/>
    <w:autoRedefine/>
    <w:qFormat/>
    <w:locked/>
    <w:uiPriority w:val="99"/>
    <w:rPr>
      <w:rFonts w:ascii="Times New Roman" w:hAnsi="Times New Roman" w:eastAsia="宋体" w:cs="Times New Roman"/>
      <w:sz w:val="24"/>
      <w:szCs w:val="24"/>
    </w:rPr>
  </w:style>
  <w:style w:type="character" w:customStyle="1" w:styleId="55">
    <w:name w:val="Body Text Char"/>
    <w:basedOn w:val="38"/>
    <w:link w:val="15"/>
    <w:autoRedefine/>
    <w:qFormat/>
    <w:locked/>
    <w:uiPriority w:val="99"/>
    <w:rPr>
      <w:sz w:val="18"/>
      <w:szCs w:val="18"/>
    </w:rPr>
  </w:style>
  <w:style w:type="character" w:customStyle="1" w:styleId="56">
    <w:name w:val="Body Text Indent Char"/>
    <w:basedOn w:val="38"/>
    <w:link w:val="4"/>
    <w:autoRedefine/>
    <w:semiHidden/>
    <w:qFormat/>
    <w:locked/>
    <w:uiPriority w:val="99"/>
    <w:rPr>
      <w:rFonts w:ascii="Times New Roman" w:hAnsi="Times New Roman" w:eastAsia="宋体" w:cs="Times New Roman"/>
      <w:sz w:val="24"/>
      <w:szCs w:val="24"/>
    </w:rPr>
  </w:style>
  <w:style w:type="character" w:customStyle="1" w:styleId="57">
    <w:name w:val="Body Text Indent 2 Char"/>
    <w:basedOn w:val="38"/>
    <w:link w:val="2"/>
    <w:autoRedefine/>
    <w:qFormat/>
    <w:locked/>
    <w:uiPriority w:val="99"/>
    <w:rPr>
      <w:kern w:val="2"/>
      <w:sz w:val="24"/>
      <w:szCs w:val="24"/>
    </w:rPr>
  </w:style>
  <w:style w:type="character" w:customStyle="1" w:styleId="58">
    <w:name w:val="Body Text First Indent 2 Char"/>
    <w:basedOn w:val="56"/>
    <w:link w:val="3"/>
    <w:autoRedefine/>
    <w:qFormat/>
    <w:locked/>
    <w:uiPriority w:val="99"/>
    <w:rPr>
      <w:kern w:val="2"/>
    </w:rPr>
  </w:style>
  <w:style w:type="character" w:customStyle="1" w:styleId="59">
    <w:name w:val="Plain Text Char"/>
    <w:basedOn w:val="38"/>
    <w:link w:val="20"/>
    <w:autoRedefine/>
    <w:semiHidden/>
    <w:qFormat/>
    <w:uiPriority w:val="99"/>
    <w:rPr>
      <w:rFonts w:ascii="宋体" w:hAnsi="Courier New" w:cs="Courier New"/>
      <w:szCs w:val="21"/>
    </w:rPr>
  </w:style>
  <w:style w:type="character" w:customStyle="1" w:styleId="60">
    <w:name w:val="Date Char"/>
    <w:basedOn w:val="38"/>
    <w:link w:val="22"/>
    <w:autoRedefine/>
    <w:qFormat/>
    <w:locked/>
    <w:uiPriority w:val="99"/>
    <w:rPr>
      <w:rFonts w:ascii="Times New Roman" w:hAnsi="Times New Roman" w:eastAsia="宋体" w:cs="Times New Roman"/>
      <w:sz w:val="24"/>
      <w:szCs w:val="24"/>
    </w:rPr>
  </w:style>
  <w:style w:type="character" w:customStyle="1" w:styleId="61">
    <w:name w:val="Balloon Text Char"/>
    <w:basedOn w:val="38"/>
    <w:link w:val="23"/>
    <w:autoRedefine/>
    <w:semiHidden/>
    <w:qFormat/>
    <w:locked/>
    <w:uiPriority w:val="99"/>
    <w:rPr>
      <w:rFonts w:ascii="Times New Roman" w:hAnsi="Times New Roman" w:eastAsia="宋体" w:cs="Times New Roman"/>
      <w:sz w:val="18"/>
      <w:szCs w:val="18"/>
    </w:rPr>
  </w:style>
  <w:style w:type="character" w:customStyle="1" w:styleId="62">
    <w:name w:val="Footer Char"/>
    <w:basedOn w:val="38"/>
    <w:link w:val="24"/>
    <w:autoRedefine/>
    <w:qFormat/>
    <w:locked/>
    <w:uiPriority w:val="99"/>
    <w:rPr>
      <w:sz w:val="18"/>
      <w:szCs w:val="18"/>
    </w:rPr>
  </w:style>
  <w:style w:type="character" w:customStyle="1" w:styleId="63">
    <w:name w:val="Header Char"/>
    <w:basedOn w:val="38"/>
    <w:link w:val="25"/>
    <w:autoRedefine/>
    <w:qFormat/>
    <w:locked/>
    <w:uiPriority w:val="99"/>
    <w:rPr>
      <w:sz w:val="18"/>
      <w:szCs w:val="18"/>
    </w:rPr>
  </w:style>
  <w:style w:type="character" w:customStyle="1" w:styleId="64">
    <w:name w:val="Body Text Indent 3 Char"/>
    <w:basedOn w:val="38"/>
    <w:link w:val="30"/>
    <w:autoRedefine/>
    <w:semiHidden/>
    <w:qFormat/>
    <w:uiPriority w:val="99"/>
    <w:rPr>
      <w:sz w:val="16"/>
      <w:szCs w:val="16"/>
    </w:rPr>
  </w:style>
  <w:style w:type="character" w:customStyle="1" w:styleId="65">
    <w:name w:val="Body Text 2 Char"/>
    <w:basedOn w:val="38"/>
    <w:link w:val="32"/>
    <w:autoRedefine/>
    <w:qFormat/>
    <w:locked/>
    <w:uiPriority w:val="99"/>
    <w:rPr>
      <w:sz w:val="24"/>
      <w:szCs w:val="24"/>
    </w:rPr>
  </w:style>
  <w:style w:type="character" w:customStyle="1" w:styleId="66">
    <w:name w:val="Comment Subject Char"/>
    <w:basedOn w:val="54"/>
    <w:link w:val="34"/>
    <w:autoRedefine/>
    <w:semiHidden/>
    <w:qFormat/>
    <w:locked/>
    <w:uiPriority w:val="99"/>
    <w:rPr>
      <w:b/>
      <w:bCs/>
      <w:kern w:val="2"/>
    </w:rPr>
  </w:style>
  <w:style w:type="character" w:customStyle="1" w:styleId="67">
    <w:name w:val="页脚 字符"/>
    <w:basedOn w:val="38"/>
    <w:autoRedefine/>
    <w:qFormat/>
    <w:uiPriority w:val="99"/>
  </w:style>
  <w:style w:type="character" w:customStyle="1" w:styleId="68">
    <w:name w:val="Normal (Web) Char"/>
    <w:link w:val="33"/>
    <w:autoRedefine/>
    <w:qFormat/>
    <w:locked/>
    <w:uiPriority w:val="99"/>
    <w:rPr>
      <w:rFonts w:ascii="宋体" w:hAnsi="宋体" w:eastAsia="宋体" w:cs="宋体"/>
      <w:sz w:val="24"/>
      <w:szCs w:val="24"/>
    </w:rPr>
  </w:style>
  <w:style w:type="character" w:customStyle="1" w:styleId="69">
    <w:name w:val="正文文本 字符1"/>
    <w:autoRedefine/>
    <w:semiHidden/>
    <w:qFormat/>
    <w:uiPriority w:val="99"/>
    <w:rPr>
      <w:rFonts w:ascii="Times New Roman" w:hAnsi="Times New Roman" w:eastAsia="宋体" w:cs="Times New Roman"/>
      <w:sz w:val="24"/>
      <w:szCs w:val="24"/>
    </w:rPr>
  </w:style>
  <w:style w:type="character" w:customStyle="1" w:styleId="70">
    <w:name w:val="表格 Char"/>
    <w:link w:val="71"/>
    <w:autoRedefine/>
    <w:qFormat/>
    <w:locked/>
    <w:uiPriority w:val="99"/>
    <w:rPr>
      <w:rFonts w:ascii="宋体" w:cs="宋体"/>
      <w:sz w:val="21"/>
      <w:szCs w:val="21"/>
    </w:rPr>
  </w:style>
  <w:style w:type="paragraph" w:customStyle="1" w:styleId="71">
    <w:name w:val="表格"/>
    <w:basedOn w:val="72"/>
    <w:next w:val="1"/>
    <w:link w:val="70"/>
    <w:autoRedefine/>
    <w:qFormat/>
    <w:uiPriority w:val="99"/>
    <w:pPr>
      <w:adjustRightInd w:val="0"/>
      <w:snapToGrid w:val="0"/>
      <w:spacing w:beforeLines="10" w:afterLines="10" w:line="259" w:lineRule="auto"/>
      <w:jc w:val="center"/>
    </w:pPr>
    <w:rPr>
      <w:rFonts w:ascii="宋体" w:cs="宋体"/>
      <w:kern w:val="0"/>
    </w:rPr>
  </w:style>
  <w:style w:type="paragraph" w:customStyle="1" w:styleId="72">
    <w:name w:val="表格式"/>
    <w:basedOn w:val="29"/>
    <w:autoRedefine/>
    <w:qFormat/>
    <w:uiPriority w:val="0"/>
    <w:pPr>
      <w:spacing w:before="60" w:after="100" w:line="320" w:lineRule="exact"/>
      <w:ind w:left="0" w:firstLine="0" w:firstLineChars="0"/>
      <w:jc w:val="center"/>
    </w:pPr>
    <w:rPr>
      <w:rFonts w:ascii="宋体" w:hAnsi="Brush Script MT"/>
      <w:szCs w:val="20"/>
    </w:rPr>
  </w:style>
  <w:style w:type="character" w:customStyle="1" w:styleId="73">
    <w:name w:val="日期 字符"/>
    <w:autoRedefine/>
    <w:semiHidden/>
    <w:qFormat/>
    <w:uiPriority w:val="99"/>
    <w:rPr>
      <w:rFonts w:ascii="Times New Roman" w:hAnsi="Times New Roman" w:eastAsia="宋体" w:cs="Times New Roman"/>
      <w:sz w:val="24"/>
      <w:szCs w:val="24"/>
    </w:rPr>
  </w:style>
  <w:style w:type="character" w:customStyle="1" w:styleId="74">
    <w:name w:val="批注文字 字符1"/>
    <w:autoRedefine/>
    <w:semiHidden/>
    <w:qFormat/>
    <w:uiPriority w:val="99"/>
    <w:rPr>
      <w:rFonts w:ascii="Times New Roman" w:hAnsi="Times New Roman" w:eastAsia="宋体" w:cs="Times New Roman"/>
      <w:sz w:val="24"/>
      <w:szCs w:val="24"/>
    </w:rPr>
  </w:style>
  <w:style w:type="paragraph" w:customStyle="1" w:styleId="75">
    <w:name w:val="正文_10"/>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6">
    <w:name w:val="普通(网站)2"/>
    <w:basedOn w:val="1"/>
    <w:autoRedefine/>
    <w:qFormat/>
    <w:uiPriority w:val="99"/>
    <w:pPr>
      <w:widowControl/>
      <w:spacing w:before="100" w:beforeAutospacing="1" w:after="100" w:afterAutospacing="1"/>
      <w:jc w:val="left"/>
    </w:pPr>
    <w:rPr>
      <w:rFonts w:ascii="宋体" w:hAnsi="宋体" w:cs="宋体"/>
      <w:sz w:val="24"/>
      <w:szCs w:val="24"/>
    </w:rPr>
  </w:style>
  <w:style w:type="character" w:customStyle="1" w:styleId="77">
    <w:name w:val="正文1 Char"/>
    <w:link w:val="78"/>
    <w:autoRedefine/>
    <w:qFormat/>
    <w:locked/>
    <w:uiPriority w:val="99"/>
    <w:rPr>
      <w:kern w:val="2"/>
      <w:sz w:val="24"/>
      <w:szCs w:val="24"/>
    </w:rPr>
  </w:style>
  <w:style w:type="paragraph" w:customStyle="1" w:styleId="78">
    <w:name w:val="正文1"/>
    <w:basedOn w:val="1"/>
    <w:link w:val="77"/>
    <w:autoRedefine/>
    <w:qFormat/>
    <w:uiPriority w:val="99"/>
    <w:pPr>
      <w:widowControl/>
      <w:adjustRightInd w:val="0"/>
      <w:snapToGrid w:val="0"/>
      <w:spacing w:line="480" w:lineRule="exact"/>
      <w:ind w:firstLine="200" w:firstLineChars="200"/>
      <w:jc w:val="left"/>
    </w:pPr>
    <w:rPr>
      <w:sz w:val="24"/>
      <w:szCs w:val="24"/>
    </w:rPr>
  </w:style>
  <w:style w:type="paragraph" w:customStyle="1" w:styleId="79">
    <w:name w:val="p0"/>
    <w:basedOn w:val="1"/>
    <w:autoRedefine/>
    <w:qFormat/>
    <w:uiPriority w:val="99"/>
    <w:pPr>
      <w:widowControl/>
    </w:pPr>
    <w:rPr>
      <w:kern w:val="0"/>
    </w:rPr>
  </w:style>
  <w:style w:type="character" w:customStyle="1" w:styleId="80">
    <w:name w:val="标题 2 Char Char"/>
    <w:autoRedefine/>
    <w:qFormat/>
    <w:uiPriority w:val="99"/>
    <w:rPr>
      <w:rFonts w:eastAsia="宋体"/>
      <w:b/>
      <w:bCs/>
      <w:sz w:val="24"/>
      <w:szCs w:val="24"/>
      <w:lang w:val="en-US" w:eastAsia="zh-CN"/>
    </w:rPr>
  </w:style>
  <w:style w:type="table" w:customStyle="1" w:styleId="81">
    <w:name w:val="Table Normal1"/>
    <w:autoRedefine/>
    <w:semiHidden/>
    <w:qFormat/>
    <w:uiPriority w:val="99"/>
    <w:pPr>
      <w:widowControl w:val="0"/>
      <w:autoSpaceDE w:val="0"/>
      <w:autoSpaceDN w:val="0"/>
    </w:pPr>
    <w:rPr>
      <w:rFonts w:ascii="Calibri" w:hAnsi="Calibri" w:cs="Calibri"/>
      <w:kern w:val="0"/>
      <w:sz w:val="22"/>
      <w:lang w:eastAsia="en-US"/>
    </w:rPr>
    <w:tblPr>
      <w:tblCellMar>
        <w:top w:w="0" w:type="dxa"/>
        <w:left w:w="0" w:type="dxa"/>
        <w:bottom w:w="0" w:type="dxa"/>
        <w:right w:w="0" w:type="dxa"/>
      </w:tblCellMar>
    </w:tblPr>
  </w:style>
  <w:style w:type="paragraph" w:customStyle="1" w:styleId="82">
    <w:name w:val="D图表标题"/>
    <w:basedOn w:val="29"/>
    <w:next w:val="1"/>
    <w:link w:val="83"/>
    <w:autoRedefine/>
    <w:qFormat/>
    <w:uiPriority w:val="99"/>
    <w:pPr>
      <w:spacing w:after="100"/>
      <w:ind w:left="0" w:firstLine="0" w:firstLineChars="0"/>
      <w:jc w:val="center"/>
    </w:pPr>
    <w:rPr>
      <w:b/>
      <w:bCs/>
    </w:rPr>
  </w:style>
  <w:style w:type="character" w:customStyle="1" w:styleId="83">
    <w:name w:val="D图表标题 字符"/>
    <w:link w:val="82"/>
    <w:autoRedefine/>
    <w:qFormat/>
    <w:locked/>
    <w:uiPriority w:val="99"/>
    <w:rPr>
      <w:b/>
      <w:bCs/>
      <w:kern w:val="2"/>
      <w:sz w:val="21"/>
      <w:szCs w:val="21"/>
    </w:rPr>
  </w:style>
  <w:style w:type="paragraph" w:customStyle="1" w:styleId="84">
    <w:name w:val="D图表内容"/>
    <w:basedOn w:val="1"/>
    <w:next w:val="1"/>
    <w:link w:val="85"/>
    <w:autoRedefine/>
    <w:qFormat/>
    <w:uiPriority w:val="99"/>
    <w:pPr>
      <w:widowControl/>
      <w:jc w:val="center"/>
    </w:pPr>
  </w:style>
  <w:style w:type="character" w:customStyle="1" w:styleId="85">
    <w:name w:val="D图表内容 字符"/>
    <w:link w:val="84"/>
    <w:autoRedefine/>
    <w:qFormat/>
    <w:locked/>
    <w:uiPriority w:val="99"/>
    <w:rPr>
      <w:kern w:val="2"/>
      <w:sz w:val="18"/>
      <w:szCs w:val="18"/>
    </w:rPr>
  </w:style>
  <w:style w:type="paragraph" w:styleId="86">
    <w:name w:val="List Paragraph"/>
    <w:basedOn w:val="1"/>
    <w:autoRedefine/>
    <w:qFormat/>
    <w:uiPriority w:val="99"/>
    <w:pPr>
      <w:ind w:firstLine="420" w:firstLineChars="200"/>
    </w:pPr>
  </w:style>
  <w:style w:type="character" w:customStyle="1" w:styleId="87">
    <w:name w:val="font31"/>
    <w:autoRedefine/>
    <w:qFormat/>
    <w:uiPriority w:val="99"/>
    <w:rPr>
      <w:rFonts w:ascii="宋体" w:hAnsi="宋体" w:eastAsia="宋体" w:cs="宋体"/>
      <w:color w:val="000000"/>
      <w:sz w:val="24"/>
      <w:szCs w:val="24"/>
      <w:u w:val="none"/>
    </w:rPr>
  </w:style>
  <w:style w:type="character" w:customStyle="1" w:styleId="88">
    <w:name w:val="font21"/>
    <w:autoRedefine/>
    <w:qFormat/>
    <w:uiPriority w:val="99"/>
    <w:rPr>
      <w:rFonts w:ascii="Times New Roman" w:hAnsi="Times New Roman" w:cs="Times New Roman"/>
      <w:color w:val="000000"/>
      <w:sz w:val="24"/>
      <w:szCs w:val="24"/>
      <w:u w:val="none"/>
    </w:rPr>
  </w:style>
  <w:style w:type="character" w:customStyle="1" w:styleId="89">
    <w:name w:val="正文 4 Char"/>
    <w:link w:val="90"/>
    <w:autoRedefine/>
    <w:qFormat/>
    <w:locked/>
    <w:uiPriority w:val="99"/>
    <w:rPr>
      <w:sz w:val="24"/>
      <w:szCs w:val="24"/>
    </w:rPr>
  </w:style>
  <w:style w:type="paragraph" w:customStyle="1" w:styleId="90">
    <w:name w:val="正文 4"/>
    <w:basedOn w:val="1"/>
    <w:link w:val="89"/>
    <w:autoRedefine/>
    <w:qFormat/>
    <w:uiPriority w:val="99"/>
    <w:pPr>
      <w:autoSpaceDE w:val="0"/>
      <w:autoSpaceDN w:val="0"/>
      <w:adjustRightInd w:val="0"/>
      <w:snapToGrid w:val="0"/>
      <w:spacing w:line="360" w:lineRule="auto"/>
      <w:ind w:firstLine="480" w:firstLineChars="200"/>
    </w:pPr>
    <w:rPr>
      <w:kern w:val="0"/>
      <w:sz w:val="24"/>
      <w:szCs w:val="24"/>
    </w:rPr>
  </w:style>
  <w:style w:type="character" w:customStyle="1" w:styleId="91">
    <w:name w:val="可研报告正文 Char"/>
    <w:link w:val="92"/>
    <w:autoRedefine/>
    <w:qFormat/>
    <w:locked/>
    <w:uiPriority w:val="99"/>
    <w:rPr>
      <w:kern w:val="2"/>
      <w:sz w:val="28"/>
      <w:szCs w:val="28"/>
    </w:rPr>
  </w:style>
  <w:style w:type="paragraph" w:customStyle="1" w:styleId="92">
    <w:name w:val="可研报告正文"/>
    <w:basedOn w:val="1"/>
    <w:link w:val="91"/>
    <w:autoRedefine/>
    <w:qFormat/>
    <w:uiPriority w:val="99"/>
    <w:pPr>
      <w:snapToGrid w:val="0"/>
      <w:spacing w:line="540" w:lineRule="exact"/>
      <w:ind w:firstLine="200" w:firstLineChars="200"/>
    </w:pPr>
    <w:rPr>
      <w:sz w:val="28"/>
      <w:szCs w:val="28"/>
    </w:rPr>
  </w:style>
  <w:style w:type="paragraph" w:customStyle="1" w:styleId="93">
    <w:name w:val="报告"/>
    <w:basedOn w:val="1"/>
    <w:autoRedefine/>
    <w:qFormat/>
    <w:uiPriority w:val="99"/>
    <w:pPr>
      <w:adjustRightInd w:val="0"/>
      <w:spacing w:line="560" w:lineRule="exact"/>
      <w:ind w:firstLine="200" w:firstLineChars="200"/>
      <w:textAlignment w:val="baseline"/>
    </w:pPr>
    <w:rPr>
      <w:kern w:val="0"/>
      <w:sz w:val="28"/>
      <w:szCs w:val="28"/>
    </w:rPr>
  </w:style>
  <w:style w:type="paragraph" w:customStyle="1" w:styleId="94">
    <w:name w:val="报告书正文"/>
    <w:basedOn w:val="1"/>
    <w:link w:val="95"/>
    <w:autoRedefine/>
    <w:qFormat/>
    <w:uiPriority w:val="99"/>
    <w:pPr>
      <w:autoSpaceDE w:val="0"/>
      <w:autoSpaceDN w:val="0"/>
      <w:spacing w:line="520" w:lineRule="exact"/>
      <w:ind w:firstLine="200" w:firstLineChars="200"/>
    </w:pPr>
    <w:rPr>
      <w:sz w:val="28"/>
      <w:szCs w:val="28"/>
    </w:rPr>
  </w:style>
  <w:style w:type="character" w:customStyle="1" w:styleId="95">
    <w:name w:val="报告书正文 Char"/>
    <w:link w:val="94"/>
    <w:autoRedefine/>
    <w:qFormat/>
    <w:locked/>
    <w:uiPriority w:val="99"/>
    <w:rPr>
      <w:kern w:val="2"/>
      <w:sz w:val="28"/>
      <w:szCs w:val="28"/>
    </w:rPr>
  </w:style>
  <w:style w:type="character" w:customStyle="1" w:styleId="96">
    <w:name w:val="常用表格样式 Char1"/>
    <w:link w:val="97"/>
    <w:autoRedefine/>
    <w:qFormat/>
    <w:locked/>
    <w:uiPriority w:val="99"/>
    <w:rPr>
      <w:rFonts w:ascii="宋体" w:hAnsi="新宋体" w:eastAsia="Times New Roman" w:cs="宋体"/>
      <w:spacing w:val="2"/>
      <w:kern w:val="2"/>
      <w:sz w:val="24"/>
      <w:szCs w:val="24"/>
    </w:rPr>
  </w:style>
  <w:style w:type="paragraph" w:customStyle="1" w:styleId="97">
    <w:name w:val="常用表格样式"/>
    <w:basedOn w:val="1"/>
    <w:next w:val="1"/>
    <w:link w:val="96"/>
    <w:autoRedefine/>
    <w:qFormat/>
    <w:uiPriority w:val="99"/>
    <w:pPr>
      <w:jc w:val="center"/>
    </w:pPr>
    <w:rPr>
      <w:rFonts w:ascii="宋体" w:hAnsi="新宋体" w:eastAsia="Times New Roman" w:cs="宋体"/>
      <w:spacing w:val="2"/>
      <w:sz w:val="24"/>
      <w:szCs w:val="24"/>
    </w:rPr>
  </w:style>
  <w:style w:type="paragraph" w:customStyle="1" w:styleId="98">
    <w:name w:val="表头"/>
    <w:basedOn w:val="1"/>
    <w:link w:val="99"/>
    <w:autoRedefine/>
    <w:qFormat/>
    <w:uiPriority w:val="99"/>
    <w:pPr>
      <w:spacing w:line="480" w:lineRule="exact"/>
      <w:ind w:firstLine="200" w:firstLineChars="200"/>
    </w:pPr>
    <w:rPr>
      <w:rFonts w:eastAsia="黑体"/>
      <w:sz w:val="24"/>
      <w:szCs w:val="24"/>
    </w:rPr>
  </w:style>
  <w:style w:type="character" w:customStyle="1" w:styleId="99">
    <w:name w:val="表头 Char Char"/>
    <w:link w:val="98"/>
    <w:autoRedefine/>
    <w:qFormat/>
    <w:locked/>
    <w:uiPriority w:val="99"/>
    <w:rPr>
      <w:rFonts w:eastAsia="黑体"/>
      <w:snapToGrid w:val="0"/>
      <w:kern w:val="2"/>
      <w:sz w:val="24"/>
      <w:szCs w:val="24"/>
    </w:rPr>
  </w:style>
  <w:style w:type="character" w:customStyle="1" w:styleId="100">
    <w:name w:val="表格标题 Exact"/>
    <w:autoRedefine/>
    <w:qFormat/>
    <w:uiPriority w:val="99"/>
    <w:rPr>
      <w:rFonts w:ascii="宋体" w:hAnsi="宋体" w:eastAsia="宋体" w:cs="宋体"/>
      <w:sz w:val="22"/>
      <w:szCs w:val="22"/>
      <w:u w:val="none"/>
    </w:rPr>
  </w:style>
  <w:style w:type="paragraph" w:customStyle="1" w:styleId="101">
    <w:name w:val="正文 首行缩进:  2 字符"/>
    <w:basedOn w:val="1"/>
    <w:autoRedefine/>
    <w:qFormat/>
    <w:uiPriority w:val="99"/>
    <w:pPr>
      <w:ind w:firstLine="579"/>
    </w:pPr>
  </w:style>
  <w:style w:type="character" w:customStyle="1" w:styleId="102">
    <w:name w:val="普通(网站) 字符"/>
    <w:autoRedefine/>
    <w:qFormat/>
    <w:uiPriority w:val="99"/>
    <w:rPr>
      <w:sz w:val="24"/>
      <w:szCs w:val="24"/>
    </w:rPr>
  </w:style>
  <w:style w:type="paragraph" w:customStyle="1" w:styleId="103">
    <w:name w:val="报告表内字"/>
    <w:autoRedefine/>
    <w:qFormat/>
    <w:uiPriority w:val="99"/>
    <w:pPr>
      <w:spacing w:line="320" w:lineRule="exact"/>
      <w:jc w:val="center"/>
    </w:pPr>
    <w:rPr>
      <w:rFonts w:ascii="Times New Roman" w:hAnsi="Times New Roman" w:eastAsia="宋体" w:cs="Times New Roman"/>
      <w:kern w:val="2"/>
      <w:sz w:val="21"/>
      <w:szCs w:val="21"/>
      <w:lang w:val="en-US" w:eastAsia="zh-CN" w:bidi="ar-SA"/>
    </w:rPr>
  </w:style>
  <w:style w:type="paragraph" w:customStyle="1" w:styleId="104">
    <w:name w:val="Table Paragraph"/>
    <w:basedOn w:val="1"/>
    <w:autoRedefine/>
    <w:qFormat/>
    <w:uiPriority w:val="99"/>
    <w:pPr>
      <w:autoSpaceDE w:val="0"/>
      <w:autoSpaceDN w:val="0"/>
      <w:jc w:val="left"/>
    </w:pPr>
    <w:rPr>
      <w:rFonts w:ascii="宋体" w:hAnsi="宋体" w:cs="宋体"/>
      <w:kern w:val="0"/>
      <w:sz w:val="22"/>
      <w:szCs w:val="22"/>
      <w:lang w:val="zh-CN"/>
    </w:rPr>
  </w:style>
  <w:style w:type="paragraph" w:customStyle="1" w:styleId="105">
    <w:name w:val="表格内容"/>
    <w:basedOn w:val="106"/>
    <w:next w:val="1"/>
    <w:autoRedefine/>
    <w:qFormat/>
    <w:uiPriority w:val="99"/>
    <w:pPr>
      <w:spacing w:line="240" w:lineRule="atLeast"/>
    </w:pPr>
    <w:rPr>
      <w:rFonts w:eastAsia="宋体"/>
      <w:sz w:val="21"/>
      <w:szCs w:val="21"/>
    </w:rPr>
  </w:style>
  <w:style w:type="paragraph" w:customStyle="1" w:styleId="106">
    <w:name w:val="表格标题"/>
    <w:basedOn w:val="35"/>
    <w:next w:val="105"/>
    <w:autoRedefine/>
    <w:qFormat/>
    <w:uiPriority w:val="99"/>
    <w:pPr>
      <w:spacing w:line="360" w:lineRule="auto"/>
      <w:jc w:val="center"/>
    </w:pPr>
    <w:rPr>
      <w:rFonts w:eastAsia="黑体"/>
      <w:sz w:val="24"/>
      <w:szCs w:val="24"/>
    </w:rPr>
  </w:style>
  <w:style w:type="paragraph" w:customStyle="1" w:styleId="107">
    <w:name w:val="表内容"/>
    <w:basedOn w:val="1"/>
    <w:autoRedefine/>
    <w:qFormat/>
    <w:uiPriority w:val="99"/>
    <w:pPr>
      <w:spacing w:line="360" w:lineRule="exact"/>
      <w:jc w:val="center"/>
    </w:pPr>
  </w:style>
  <w:style w:type="character" w:customStyle="1" w:styleId="108">
    <w:name w:val="表格正文 Char1"/>
    <w:link w:val="109"/>
    <w:autoRedefine/>
    <w:qFormat/>
    <w:locked/>
    <w:uiPriority w:val="99"/>
  </w:style>
  <w:style w:type="paragraph" w:customStyle="1" w:styleId="109">
    <w:name w:val="表格正文"/>
    <w:basedOn w:val="11"/>
    <w:link w:val="108"/>
    <w:autoRedefine/>
    <w:qFormat/>
    <w:uiPriority w:val="99"/>
    <w:pPr>
      <w:widowControl/>
      <w:adjustRightInd w:val="0"/>
      <w:snapToGrid w:val="0"/>
      <w:jc w:val="center"/>
    </w:pPr>
    <w:rPr>
      <w:kern w:val="0"/>
      <w:sz w:val="20"/>
      <w:szCs w:val="20"/>
    </w:rPr>
  </w:style>
  <w:style w:type="character" w:customStyle="1" w:styleId="110">
    <w:name w:val="页眉 Char21"/>
    <w:autoRedefine/>
    <w:qFormat/>
    <w:uiPriority w:val="99"/>
    <w:rPr>
      <w:rFonts w:ascii="Times New Roman" w:hAnsi="Times New Roman" w:eastAsia="宋体" w:cs="Times New Roman"/>
      <w:kern w:val="2"/>
      <w:sz w:val="18"/>
      <w:szCs w:val="18"/>
      <w:lang w:val="en-US" w:eastAsia="zh-CN"/>
    </w:rPr>
  </w:style>
  <w:style w:type="character" w:customStyle="1" w:styleId="111">
    <w:name w:val="正文文本 2 字符1"/>
    <w:basedOn w:val="38"/>
    <w:autoRedefine/>
    <w:semiHidden/>
    <w:qFormat/>
    <w:uiPriority w:val="99"/>
    <w:rPr>
      <w:kern w:val="2"/>
      <w:sz w:val="24"/>
      <w:szCs w:val="24"/>
    </w:rPr>
  </w:style>
  <w:style w:type="paragraph" w:customStyle="1" w:styleId="112">
    <w:name w:val="Char Char Char1 Char Char Char Char Char Char Char"/>
    <w:basedOn w:val="1"/>
    <w:autoRedefine/>
    <w:qFormat/>
    <w:uiPriority w:val="99"/>
    <w:rPr>
      <w:rFonts w:ascii="等线" w:hAnsi="等线" w:cs="等线"/>
      <w:spacing w:val="-2"/>
      <w:kern w:val="0"/>
    </w:rPr>
  </w:style>
  <w:style w:type="paragraph" w:customStyle="1" w:styleId="113">
    <w:name w:val="表中文字"/>
    <w:basedOn w:val="1"/>
    <w:autoRedefine/>
    <w:qFormat/>
    <w:uiPriority w:val="99"/>
    <w:pPr>
      <w:adjustRightInd w:val="0"/>
      <w:snapToGrid w:val="0"/>
      <w:jc w:val="center"/>
    </w:pPr>
  </w:style>
  <w:style w:type="paragraph" w:customStyle="1" w:styleId="114">
    <w:name w:val="我的正文"/>
    <w:basedOn w:val="78"/>
    <w:autoRedefine/>
    <w:qFormat/>
    <w:uiPriority w:val="99"/>
    <w:pPr>
      <w:ind w:firstLine="480"/>
    </w:pPr>
  </w:style>
  <w:style w:type="paragraph" w:customStyle="1" w:styleId="115">
    <w:name w:val="中文报告书样式"/>
    <w:basedOn w:val="1"/>
    <w:autoRedefine/>
    <w:qFormat/>
    <w:uiPriority w:val="99"/>
    <w:pPr>
      <w:adjustRightInd w:val="0"/>
      <w:spacing w:line="480" w:lineRule="atLeast"/>
      <w:ind w:firstLine="482"/>
      <w:textAlignment w:val="baseline"/>
    </w:pPr>
    <w:rPr>
      <w:kern w:val="24"/>
      <w:sz w:val="24"/>
      <w:szCs w:val="24"/>
    </w:rPr>
  </w:style>
  <w:style w:type="paragraph" w:customStyle="1" w:styleId="116">
    <w:name w:val="样式35"/>
    <w:basedOn w:val="1"/>
    <w:autoRedefine/>
    <w:qFormat/>
    <w:uiPriority w:val="0"/>
    <w:pPr>
      <w:adjustRightInd w:val="0"/>
      <w:spacing w:line="312" w:lineRule="auto"/>
      <w:ind w:firstLine="567"/>
    </w:pPr>
    <w:rPr>
      <w:rFonts w:ascii="宋体"/>
      <w:kern w:val="0"/>
      <w:sz w:val="28"/>
      <w:szCs w:val="20"/>
    </w:rPr>
  </w:style>
  <w:style w:type="paragraph" w:customStyle="1" w:styleId="117">
    <w:name w:val="正文20110920"/>
    <w:basedOn w:val="118"/>
    <w:autoRedefine/>
    <w:qFormat/>
    <w:uiPriority w:val="0"/>
    <w:pPr>
      <w:ind w:firstLine="480"/>
    </w:pPr>
  </w:style>
  <w:style w:type="paragraph" w:customStyle="1" w:styleId="118">
    <w:name w:val="样式 正文20110824 + 宋体 首行缩进:  2 字符"/>
    <w:basedOn w:val="119"/>
    <w:autoRedefine/>
    <w:qFormat/>
    <w:uiPriority w:val="0"/>
    <w:rPr>
      <w:rFonts w:cs="宋体"/>
    </w:rPr>
  </w:style>
  <w:style w:type="paragraph" w:customStyle="1" w:styleId="119">
    <w:name w:val="正文20110824"/>
    <w:basedOn w:val="1"/>
    <w:autoRedefine/>
    <w:qFormat/>
    <w:uiPriority w:val="0"/>
    <w:pPr>
      <w:spacing w:line="360" w:lineRule="auto"/>
      <w:ind w:firstLine="200" w:firstLineChars="200"/>
    </w:pPr>
    <w:rPr>
      <w:color w:val="000000"/>
      <w:sz w:val="24"/>
    </w:rPr>
  </w:style>
  <w:style w:type="paragraph" w:customStyle="1" w:styleId="120">
    <w:name w:val="图、表内容"/>
    <w:basedOn w:val="1"/>
    <w:autoRedefine/>
    <w:qFormat/>
    <w:uiPriority w:val="0"/>
    <w:pPr>
      <w:adjustRightInd w:val="0"/>
      <w:snapToGrid w:val="0"/>
      <w:jc w:val="center"/>
    </w:pPr>
    <w:rPr>
      <w:rFonts w:cs="宋体"/>
      <w:spacing w:val="-2"/>
      <w:kern w:val="0"/>
      <w:szCs w:val="20"/>
    </w:rPr>
  </w:style>
  <w:style w:type="paragraph" w:customStyle="1" w:styleId="121">
    <w:name w:val="Other|1"/>
    <w:basedOn w:val="1"/>
    <w:autoRedefine/>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customStyle="1" w:styleId="122">
    <w:name w:val="正文2"/>
    <w:basedOn w:val="1"/>
    <w:autoRedefine/>
    <w:qFormat/>
    <w:uiPriority w:val="0"/>
    <w:pPr>
      <w:adjustRightInd w:val="0"/>
      <w:spacing w:line="360" w:lineRule="auto"/>
      <w:ind w:firstLine="480" w:firstLineChars="200"/>
      <w:textAlignment w:val="baseline"/>
    </w:pPr>
    <w:rPr>
      <w:rFonts w:ascii="宋体" w:hAnsi="宋体" w:cs="宋体"/>
      <w:kern w:val="21"/>
      <w:sz w:val="24"/>
    </w:rPr>
  </w:style>
  <w:style w:type="character" w:customStyle="1" w:styleId="123">
    <w:name w:val="fontstyle01"/>
    <w:basedOn w:val="38"/>
    <w:autoRedefine/>
    <w:qFormat/>
    <w:uiPriority w:val="0"/>
    <w:rPr>
      <w:rFonts w:hint="eastAsia" w:ascii="宋体" w:hAnsi="宋体" w:eastAsia="宋体" w:cs="宋体"/>
      <w:color w:val="000000"/>
      <w:sz w:val="24"/>
      <w:szCs w:val="24"/>
    </w:rPr>
  </w:style>
  <w:style w:type="character" w:customStyle="1" w:styleId="124">
    <w:name w:val="fontstyle21"/>
    <w:basedOn w:val="38"/>
    <w:autoRedefine/>
    <w:qFormat/>
    <w:uiPriority w:val="0"/>
    <w:rPr>
      <w:rFonts w:hint="default" w:ascii="Times New Roman" w:hAnsi="Times New Roman" w:cs="Times New Roman"/>
      <w:color w:val="000000"/>
      <w:sz w:val="24"/>
      <w:szCs w:val="24"/>
    </w:rPr>
  </w:style>
  <w:style w:type="character" w:customStyle="1" w:styleId="125">
    <w:name w:val="font181"/>
    <w:basedOn w:val="38"/>
    <w:autoRedefine/>
    <w:qFormat/>
    <w:uiPriority w:val="0"/>
    <w:rPr>
      <w:rFonts w:hint="eastAsia" w:ascii="仿宋" w:hAnsi="仿宋" w:eastAsia="仿宋" w:cs="仿宋"/>
      <w:b/>
      <w:color w:val="000000"/>
      <w:sz w:val="22"/>
      <w:szCs w:val="22"/>
      <w:u w:val="none"/>
    </w:rPr>
  </w:style>
  <w:style w:type="paragraph" w:customStyle="1" w:styleId="126">
    <w:name w:val="1正文段落"/>
    <w:basedOn w:val="1"/>
    <w:autoRedefine/>
    <w:qFormat/>
    <w:uiPriority w:val="0"/>
    <w:pPr>
      <w:spacing w:line="360" w:lineRule="auto"/>
      <w:ind w:firstLine="480" w:firstLineChars="200"/>
      <w:jc w:val="left"/>
    </w:pPr>
    <w:rPr>
      <w:snapToGrid w:val="0"/>
      <w:kern w:val="0"/>
      <w:sz w:val="24"/>
    </w:rPr>
  </w:style>
  <w:style w:type="character" w:customStyle="1" w:styleId="127">
    <w:name w:val="font61"/>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58</Pages>
  <Words>29185</Words>
  <Characters>33157</Characters>
  <Lines>0</Lines>
  <Paragraphs>0</Paragraphs>
  <TotalTime>244</TotalTime>
  <ScaleCrop>false</ScaleCrop>
  <LinksUpToDate>false</LinksUpToDate>
  <CharactersWithSpaces>33801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2022-01-14T02:16:00Z</dcterms:created>
  <dc:creator>lhj</dc:creator>
  <cp:lastModifiedBy>行走¹⁹⁸⁰</cp:lastModifiedBy>
  <cp:lastPrinted>2024-01-19T08:03:00Z</cp:lastPrinted>
  <dcterms:modified xsi:type="dcterms:W3CDTF">2024-03-12T07:57:08Z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CC8EB0A6B1EE4335A1C8F58AAC0EA46E_13</vt:lpwstr>
  </property>
</Properties>
</file>