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eastAsia="仿宋"/>
          <w:bCs/>
          <w:color w:val="000000"/>
        </w:rPr>
      </w:pPr>
    </w:p>
    <w:p>
      <w:pPr>
        <w:spacing w:line="600" w:lineRule="exact"/>
        <w:jc w:val="center"/>
        <w:rPr>
          <w:rFonts w:ascii="Times New Roman" w:eastAsia="仿宋"/>
          <w:bCs/>
          <w:color w:val="000000"/>
        </w:rPr>
      </w:pPr>
    </w:p>
    <w:p>
      <w:pPr>
        <w:spacing w:line="600" w:lineRule="exact"/>
        <w:jc w:val="center"/>
        <w:rPr>
          <w:rFonts w:ascii="Times New Roman" w:eastAsia="仿宋"/>
          <w:bCs/>
          <w:color w:val="000000"/>
        </w:rPr>
      </w:pPr>
    </w:p>
    <w:p>
      <w:pPr>
        <w:spacing w:line="600" w:lineRule="exact"/>
        <w:jc w:val="center"/>
        <w:rPr>
          <w:rFonts w:ascii="Times New Roman" w:eastAsia="仿宋"/>
          <w:bCs/>
          <w:color w:val="000000"/>
        </w:rPr>
      </w:pPr>
    </w:p>
    <w:p>
      <w:pPr>
        <w:spacing w:line="600" w:lineRule="exact"/>
        <w:jc w:val="center"/>
        <w:rPr>
          <w:rFonts w:ascii="Times New Roman" w:eastAsia="仿宋"/>
          <w:bCs/>
          <w:color w:val="000000"/>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 w:cs="Times New Roman"/>
          <w:bCs/>
          <w:color w:val="000000"/>
        </w:rPr>
      </w:pPr>
      <w:r>
        <w:rPr>
          <w:rFonts w:hint="default" w:ascii="Times New Roman" w:hAnsi="Times New Roman" w:eastAsia="仿宋" w:cs="Times New Roman"/>
          <w:bCs/>
          <w:color w:val="000000"/>
        </w:rPr>
        <w:t>烈农水〔202</w:t>
      </w:r>
      <w:r>
        <w:rPr>
          <w:rFonts w:hint="eastAsia" w:ascii="Times New Roman" w:eastAsia="仿宋" w:cs="Times New Roman"/>
          <w:bCs/>
          <w:color w:val="000000"/>
          <w:lang w:val="en-US" w:eastAsia="zh-CN"/>
        </w:rPr>
        <w:t>3</w:t>
      </w:r>
      <w:r>
        <w:rPr>
          <w:rFonts w:hint="default" w:ascii="Times New Roman" w:hAnsi="Times New Roman" w:eastAsia="仿宋" w:cs="Times New Roman"/>
          <w:bCs/>
          <w:color w:val="000000"/>
        </w:rPr>
        <w:t>〕</w:t>
      </w:r>
      <w:r>
        <w:rPr>
          <w:rFonts w:hint="eastAsia" w:ascii="Times New Roman" w:eastAsia="仿宋" w:cs="Times New Roman"/>
          <w:bCs/>
          <w:color w:val="000000"/>
          <w:lang w:val="en-US" w:eastAsia="zh-CN"/>
        </w:rPr>
        <w:t>25</w:t>
      </w:r>
      <w:r>
        <w:rPr>
          <w:rFonts w:hint="default" w:ascii="Times New Roman" w:hAnsi="Times New Roman" w:eastAsia="仿宋" w:cs="Times New Roman"/>
          <w:bCs/>
          <w:color w:val="000000"/>
        </w:rPr>
        <w:t>号</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hanging="440" w:hangingChars="10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烈山区农业农村水利局关于印发</w:t>
      </w:r>
    </w:p>
    <w:p>
      <w:pPr>
        <w:keepNext w:val="0"/>
        <w:keepLines w:val="0"/>
        <w:pageBreakBefore w:val="0"/>
        <w:widowControl w:val="0"/>
        <w:kinsoku/>
        <w:wordWrap/>
        <w:overflowPunct/>
        <w:topLinePunct w:val="0"/>
        <w:autoSpaceDE/>
        <w:autoSpaceDN/>
        <w:bidi w:val="0"/>
        <w:adjustRightInd/>
        <w:snapToGrid/>
        <w:spacing w:line="570" w:lineRule="exact"/>
        <w:ind w:left="0" w:hanging="440" w:hangingChars="10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《2023年化学农药减量化行动实施方案》</w:t>
      </w:r>
    </w:p>
    <w:p>
      <w:pPr>
        <w:keepNext w:val="0"/>
        <w:keepLines w:val="0"/>
        <w:pageBreakBefore w:val="0"/>
        <w:widowControl w:val="0"/>
        <w:kinsoku/>
        <w:wordWrap/>
        <w:overflowPunct/>
        <w:topLinePunct w:val="0"/>
        <w:autoSpaceDE/>
        <w:autoSpaceDN/>
        <w:bidi w:val="0"/>
        <w:adjustRightInd/>
        <w:snapToGrid/>
        <w:spacing w:line="570" w:lineRule="exact"/>
        <w:ind w:left="0" w:hanging="440" w:hangingChars="10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三镇经济发展服务中心、杨庄综合站、局属各相关部门：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现将《烈山区2023年化学农药减量化行动实施方案》印发给你们，请结合实际，认真抓好落实。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烈山区农业农村水利局</w:t>
      </w: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2023年3月30日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2023年化学农药减量化行动实施方案</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根据淮北市农业农村局关于印发《2023年化学农药减量化行动实施方案》（淮农植函</w:t>
      </w:r>
      <w:r>
        <w:rPr>
          <w:rFonts w:hint="default" w:ascii="Times New Roman" w:hAnsi="Times New Roman" w:eastAsia="仿宋" w:cs="Times New Roman"/>
          <w:bCs/>
          <w:color w:val="000000"/>
          <w:sz w:val="32"/>
          <w:szCs w:val="32"/>
        </w:rPr>
        <w:t>〔202</w:t>
      </w:r>
      <w:r>
        <w:rPr>
          <w:rFonts w:hint="default" w:ascii="Times New Roman" w:hAnsi="Times New Roman" w:eastAsia="仿宋" w:cs="Times New Roman"/>
          <w:bCs/>
          <w:color w:val="000000"/>
          <w:sz w:val="32"/>
          <w:szCs w:val="32"/>
          <w:lang w:val="en-US" w:eastAsia="zh-CN"/>
        </w:rPr>
        <w:t>3</w:t>
      </w:r>
      <w:r>
        <w:rPr>
          <w:rFonts w:hint="default" w:ascii="Times New Roman" w:hAnsi="Times New Roman" w:eastAsia="仿宋" w:cs="Times New Roman"/>
          <w:bCs/>
          <w:color w:val="000000"/>
          <w:sz w:val="32"/>
          <w:szCs w:val="32"/>
        </w:rPr>
        <w:t>〕</w:t>
      </w:r>
      <w:r>
        <w:rPr>
          <w:rFonts w:hint="default" w:ascii="Times New Roman" w:hAnsi="Times New Roman" w:eastAsia="仿宋" w:cs="Times New Roman"/>
          <w:bCs/>
          <w:color w:val="000000"/>
          <w:sz w:val="32"/>
          <w:szCs w:val="32"/>
          <w:lang w:val="en-US" w:eastAsia="zh-CN"/>
        </w:rPr>
        <w:t>1</w:t>
      </w:r>
      <w:r>
        <w:rPr>
          <w:rFonts w:hint="default" w:ascii="Times New Roman" w:hAnsi="Times New Roman" w:eastAsia="仿宋" w:cs="Times New Roman"/>
          <w:bCs/>
          <w:color w:val="000000"/>
          <w:sz w:val="32"/>
          <w:szCs w:val="32"/>
        </w:rPr>
        <w:t>号</w:t>
      </w:r>
      <w:r>
        <w:rPr>
          <w:rFonts w:hint="default" w:ascii="Times New Roman" w:hAnsi="Times New Roman" w:eastAsia="仿宋_GB2312" w:cs="Times New Roman"/>
          <w:sz w:val="32"/>
          <w:szCs w:val="32"/>
          <w:lang w:val="en-US" w:eastAsia="zh-CN"/>
        </w:rPr>
        <w:t>）要求，为切实做好我区2023年化学农药减量化工作，提升绿色防控水平，全力保障农作物生产安全、农产品质量安全和生态环境安全，特制定本方案。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做好对小麦、玉米等主要粮食作物、果菜等经济作物化学农药使用强度（单位播种面积化学农药使用折百量）监测调查。科学安全用药水平进一步提高，化学农药使用量实现负增长。主要农作物病虫害绿色防控覆盖率达到56%，统防统治覆盖率达到48%，农药包装废弃物回收率达到80%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二、工作措施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（一）强化病虫监测预警。</w:t>
      </w:r>
      <w:r>
        <w:rPr>
          <w:rFonts w:hint="default" w:ascii="Times New Roman" w:hAnsi="Times New Roman" w:eastAsia="仿宋_GB2312" w:cs="Times New Roman"/>
          <w:sz w:val="32"/>
          <w:szCs w:val="32"/>
          <w:lang w:val="en-US" w:eastAsia="zh-CN"/>
        </w:rPr>
        <w:t>重点做好一类、二类农作物重大病虫草害和植物疫情监测调查，突出粮食作物、重大病虫害和重点植物疫情，统筹布局监测网点和任务。推广应用害虫性诱自动监测工具，示范应用智能化监测预报设备。全面启用省病虫疫情信息调度指挥平台，规范填写上报监测信息报表。加强区级病虫情发生趋势会商，及时发布病虫情信息。充分利用互联网、手机短信、电视、广播等方式，提高病虫预警信息发布时效性和覆盖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（二）推广绿色防控技术。</w:t>
      </w:r>
      <w:r>
        <w:rPr>
          <w:rFonts w:hint="default" w:ascii="Times New Roman" w:hAnsi="Times New Roman" w:eastAsia="仿宋_GB2312" w:cs="Times New Roman"/>
          <w:sz w:val="32"/>
          <w:szCs w:val="32"/>
          <w:lang w:val="en-US" w:eastAsia="zh-CN"/>
        </w:rPr>
        <w:t>创建绿色防控示范区，发挥绿色防控技术示范引领作用。制定粮食、油料和果菜等作物重大病虫草害防控技术方案，持续推进主要农作物及豇豆等蔬菜类作物绿色防控技术应用和示范推广。在重大病虫防控关键时期，组织植保专家和技术人员深入田间地头开展病虫 疫情防控指导、政策宣传和技术培训，落实防控工作措施，提高技术到位率。强化病虫疫情防控资金、队伍等要素保障。进一步健全完善病虫疫情防控指挥调度机制，落实病虫疫情报告和调度通报制度。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(三）推进专业化统防统治。</w:t>
      </w:r>
      <w:r>
        <w:rPr>
          <w:rFonts w:hint="default" w:ascii="Times New Roman" w:hAnsi="Times New Roman" w:eastAsia="仿宋_GB2312" w:cs="Times New Roman"/>
          <w:sz w:val="32"/>
          <w:szCs w:val="32"/>
          <w:lang w:val="en-US" w:eastAsia="zh-CN"/>
        </w:rPr>
        <w:t>认真贯彻《农作物病虫害专业化防治服务管理办法》，持续推进农作物病虫害专业化统防统治体系与能力建设。积极参加全国农作物病虫害专业化“统防统治百强县”创建，引领统防统治规范化、规模化发展。落实小麦“一喷三防”关键措施，培育一批管理规范、装备精良、技术先进的专业化防治服务组织。加大购买服务等项目资金对统防统治的支持力度，发挥专业化防治服务组织的主力军作用，科学做好农作物病虫草害及检疫性病虫的联防联控、统防统治和应急防治，促进统防统治和绿色防控融合发展，不断提升全区统防统治社会化程度和科学化水平，努力减轻灾害损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(四)开展科学安全用药培训指导。</w:t>
      </w:r>
      <w:r>
        <w:rPr>
          <w:rFonts w:hint="default" w:ascii="Times New Roman" w:hAnsi="Times New Roman" w:eastAsia="仿宋_GB2312" w:cs="Times New Roman"/>
          <w:sz w:val="32"/>
          <w:szCs w:val="32"/>
          <w:lang w:val="en-US" w:eastAsia="zh-CN"/>
        </w:rPr>
        <w:t>开展小麦赤霉病防治药剂对比试验，筛选高效低风险药剂。开展小麦“一喷三防”试验示范，为促进小麦增产的有效性应用提供科学依据。结合新型职业农民培训工程、农药经营者培训、科学安全用药等项目，加强对种植大户、统防统治组织技术人员和农药经营销售人员指导培训，开展全区科学安全用药技术培训，切实提升全区科学安全用药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(五）加强农药使用调查监测。</w:t>
      </w:r>
      <w:r>
        <w:rPr>
          <w:rFonts w:hint="default" w:ascii="Times New Roman" w:hAnsi="Times New Roman" w:eastAsia="仿宋_GB2312" w:cs="Times New Roman"/>
          <w:sz w:val="32"/>
          <w:szCs w:val="32"/>
          <w:lang w:val="en-US" w:eastAsia="zh-CN"/>
        </w:rPr>
        <w:t>推进实施三镇一办种植业农药使用监测调查工作。加强对农药使用监测调查人员和调查农户的指导培训，指导农户及时准确记录使用</w:t>
      </w:r>
      <w:r>
        <w:rPr>
          <w:rFonts w:hint="eastAsia" w:ascii="Times New Roman" w:cs="Times New Roman"/>
          <w:sz w:val="32"/>
          <w:szCs w:val="32"/>
          <w:lang w:val="en-US" w:eastAsia="zh-CN"/>
        </w:rPr>
        <w:t>情况</w:t>
      </w:r>
      <w:bookmarkStart w:id="0" w:name="_GoBack"/>
      <w:bookmarkEnd w:id="0"/>
      <w:r>
        <w:rPr>
          <w:rFonts w:hint="default" w:ascii="Times New Roman" w:hAnsi="Times New Roman" w:eastAsia="仿宋_GB2312" w:cs="Times New Roman"/>
          <w:sz w:val="32"/>
          <w:szCs w:val="32"/>
          <w:lang w:val="en-US" w:eastAsia="zh-CN"/>
        </w:rPr>
        <w:t>，做到随用随记，以防数据丢失。镇（办）负责植保工作人员要加强对农户提供数据的审核，发现错误数据要及时核对更正，区植保站人员要对系统生成数据进行认真分析，消除错误，减小误差，确保数据的科学性、真实性。完善农药调查监测平台数据，为农药科学使用、安全使用、减量使用提供支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(六)推进农药使用监督管理。</w:t>
      </w:r>
      <w:r>
        <w:rPr>
          <w:rFonts w:hint="default" w:ascii="Times New Roman" w:hAnsi="Times New Roman" w:eastAsia="仿宋_GB2312" w:cs="Times New Roman"/>
          <w:sz w:val="32"/>
          <w:szCs w:val="32"/>
          <w:lang w:val="en-US" w:eastAsia="zh-CN"/>
        </w:rPr>
        <w:t>强化省农药数字监督管理平台应用培训指导，扎实推进农药购买实名制。新建一批标准化示范门店，规范已经建成的市级和县级标准化示范门店，充分发挥其在规范经营、门店布局、实名制购买、电子台账和使用指导等方面的示范引领作用。要强化农药执法监督，加大市场农药质量抽查力度，依法打击制售假劣农药行为，完成全年农药市场质量监督抽检任务。开展禁限用农药整治，加强行业指导、网格化管理和执法检查工作，持续优化营商环境。稳步提高农药包装废弃物回收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（七）完成环保督察反馈问题整改。</w:t>
      </w:r>
      <w:r>
        <w:rPr>
          <w:rFonts w:hint="default" w:ascii="Times New Roman" w:hAnsi="Times New Roman" w:eastAsia="仿宋_GB2312" w:cs="Times New Roman"/>
          <w:sz w:val="32"/>
          <w:szCs w:val="32"/>
          <w:lang w:val="en-US" w:eastAsia="zh-CN"/>
        </w:rPr>
        <w:t>提高政治站位，进一步提升对中央环保督察、省委环保督察反馈问题整改重要性的认识。坚定不移走生态优先、绿色发展之路。建立长效机制，巩固环保督察反馈问题整改成效。及早明确省委环保督察整改内容和目标任务，强化统筹协调，明确责任单位、责任人，将整改工作抓紧抓实，顺利完成省委环保督察反馈问题整改验收销号工作。以环保督察反馈问题整改为契机，系统深入推进化学农药减量化工作，创新发展模式，促进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（一)强化组织领导。</w:t>
      </w:r>
      <w:r>
        <w:rPr>
          <w:rFonts w:hint="default" w:ascii="Times New Roman" w:hAnsi="Times New Roman" w:eastAsia="仿宋_GB2312" w:cs="Times New Roman"/>
          <w:sz w:val="32"/>
          <w:szCs w:val="32"/>
          <w:lang w:val="en-US" w:eastAsia="zh-CN"/>
        </w:rPr>
        <w:t>各镇（办）要把化学农药减量化工作作为保障农业生产安全与农产品质量安全，推动农业绿色高质量发展的重要抓手，切实抓紧抓好。要结合实际制定行动方案，明确目标任务，细化工作措施，把各项工作措施落到实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(二）强化资金投入。</w:t>
      </w:r>
      <w:r>
        <w:rPr>
          <w:rFonts w:hint="default" w:ascii="Times New Roman" w:hAnsi="Times New Roman" w:eastAsia="仿宋_GB2312" w:cs="Times New Roman"/>
          <w:sz w:val="32"/>
          <w:szCs w:val="32"/>
          <w:lang w:val="en-US" w:eastAsia="zh-CN"/>
        </w:rPr>
        <w:t>强化与财政、生态环境等相关部门协作，建立协调机制，积极争取区、镇财政投入，充分利用农业生产救灾补助资金、农作物重大病虫害防控补助资金等，加大植物保护能力提升工程配套资金和病虫害防治资金投入，整合资源，形合力，切实推进化学农药减量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（三）强化宣传引导。</w:t>
      </w:r>
      <w:r>
        <w:rPr>
          <w:rFonts w:hint="default" w:ascii="Times New Roman" w:hAnsi="Times New Roman" w:eastAsia="仿宋_GB2312" w:cs="Times New Roman"/>
          <w:sz w:val="32"/>
          <w:szCs w:val="32"/>
          <w:lang w:val="en-US" w:eastAsia="zh-CN"/>
        </w:rPr>
        <w:t>充分利用广播、电视、报刊、互联网等媒体，广泛宣传化学农药減量化对促进农业高质量发展、提高农产品质量、保护生态环境的作用意义，推进农业生产者的积极配合参与，争取社会各界关心与支持，营造良好社会氛围。</w:t>
      </w:r>
    </w:p>
    <w:p/>
    <w:sectPr>
      <w:headerReference r:id="rId4" w:type="first"/>
      <w:footerReference r:id="rId7" w:type="first"/>
      <w:footerReference r:id="rId5" w:type="default"/>
      <w:headerReference r:id="rId3" w:type="even"/>
      <w:footerReference r:id="rId6" w:type="even"/>
      <w:pgSz w:w="11906" w:h="16838"/>
      <w:pgMar w:top="1985"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Fonts w:ascii="Times New Roman"/>
        <w:sz w:val="32"/>
        <w:szCs w:val="32"/>
      </w:rPr>
    </w:pPr>
    <w:r>
      <w:rPr>
        <w:rStyle w:val="8"/>
        <w:rFonts w:ascii="Times New Roman"/>
        <w:sz w:val="32"/>
        <w:szCs w:val="32"/>
      </w:rPr>
      <w:fldChar w:fldCharType="begin"/>
    </w:r>
    <w:r>
      <w:rPr>
        <w:rStyle w:val="8"/>
        <w:rFonts w:ascii="Times New Roman"/>
        <w:sz w:val="32"/>
        <w:szCs w:val="32"/>
      </w:rPr>
      <w:instrText xml:space="preserve">PAGE  </w:instrText>
    </w:r>
    <w:r>
      <w:rPr>
        <w:rStyle w:val="8"/>
        <w:rFonts w:ascii="Times New Roman"/>
        <w:sz w:val="32"/>
        <w:szCs w:val="32"/>
      </w:rPr>
      <w:fldChar w:fldCharType="separate"/>
    </w:r>
    <w:r>
      <w:rPr>
        <w:rStyle w:val="8"/>
        <w:rFonts w:ascii="Times New Roman"/>
        <w:sz w:val="32"/>
        <w:szCs w:val="32"/>
      </w:rPr>
      <w:t>- 7 -</w:t>
    </w:r>
    <w:r>
      <w:rPr>
        <w:rStyle w:val="8"/>
        <w:rFonts w:ascii="Times New Roman"/>
        <w:sz w:val="32"/>
        <w:szCs w:val="32"/>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zgyZmQ5M2Q0NDMxNDk3ZGQxZDdkYTM0ZjUwMDEifQ=="/>
  </w:docVars>
  <w:rsids>
    <w:rsidRoot w:val="18713C0E"/>
    <w:rsid w:val="18713C0E"/>
    <w:rsid w:val="190F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1"/>
    <w:qFormat/>
    <w:uiPriority w:val="0"/>
    <w:pPr>
      <w:spacing w:before="100" w:beforeAutospacing="1"/>
      <w:ind w:firstLine="420" w:firstLineChars="200"/>
    </w:pPr>
    <w:rPr>
      <w:rFonts w:ascii="Calibri" w:hAnsi="Calibri" w:eastAsia="宋体" w:cs="宋体"/>
      <w:sz w:val="21"/>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2227</Words>
  <Characters>2259</Characters>
  <Lines>0</Lines>
  <Paragraphs>0</Paragraphs>
  <TotalTime>15</TotalTime>
  <ScaleCrop>false</ScaleCrop>
  <LinksUpToDate>false</LinksUpToDate>
  <CharactersWithSpaces>2260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2023-04-06T02:14:00Z</dcterms:created>
  <dc:creator>蛋仔橡皮</dc:creator>
  <cp:lastModifiedBy>努力我要努力</cp:lastModifiedBy>
  <cp:lastPrinted>2023-04-06T02:29:00Z</cp:lastPrinted>
  <dcterms:modified xsi:type="dcterms:W3CDTF">2024-04-16T01:31:54Z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C36475743CF4480288DE2B8A9E4275F6</vt:lpwstr>
  </property>
</Properties>
</file>