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水利站新增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及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绩效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目标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表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22"/>
        </w:rPr>
        <w:t>（</w:t>
      </w:r>
      <w:r>
        <w:rPr>
          <w:rFonts w:hint="eastAsia" w:ascii="Times New Roman" w:hAnsi="Times New Roman"/>
          <w:color w:val="000000"/>
          <w:kern w:val="0"/>
          <w:sz w:val="22"/>
          <w:lang w:val="en-US" w:eastAsia="zh-CN"/>
        </w:rPr>
        <w:t>2024</w:t>
      </w:r>
      <w:r>
        <w:rPr>
          <w:rFonts w:ascii="Times New Roman" w:hAnsi="Times New Roman"/>
          <w:color w:val="000000"/>
          <w:kern w:val="0"/>
          <w:sz w:val="22"/>
        </w:rPr>
        <w:t>年度）</w:t>
      </w:r>
    </w:p>
    <w:tbl>
      <w:tblPr>
        <w:tblStyle w:val="4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47"/>
        <w:gridCol w:w="1167"/>
        <w:gridCol w:w="1908"/>
        <w:gridCol w:w="670"/>
        <w:gridCol w:w="1700"/>
        <w:gridCol w:w="810"/>
        <w:gridCol w:w="79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4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水利站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专项支出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1"/>
                <w:szCs w:val="21"/>
                <w:lang w:eastAsia="zh-CN"/>
              </w:rPr>
              <w:t>项目金额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资金来源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本级预算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实施主体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烈山区水利工程管理站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项目概述</w:t>
            </w:r>
          </w:p>
        </w:tc>
        <w:tc>
          <w:tcPr>
            <w:tcW w:w="8215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烈山区水利站及华家湖水库工作运行经费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项目依据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2024年水利站重点工作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项目目标</w:t>
            </w:r>
          </w:p>
        </w:tc>
        <w:tc>
          <w:tcPr>
            <w:tcW w:w="8215" w:type="dxa"/>
            <w:gridSpan w:val="7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烈山区水利站及华家湖水库工作运行经费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其他资金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目标1：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目标2：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……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目标1完成情况：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目标2完成情况：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存在的问题：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整改的措施与建议：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总体绩效指标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一级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二级指标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三级指标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计算符号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计量单位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指标值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产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数量指标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按照计划完成工作任务数量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按照工作计划完成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质量指标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按照标准完成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保障工作运转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时效指标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按照序时进度完成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成本指标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按照计划完成支出进度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效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经济效益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减少单位负担保障日常支出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保障单位运转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社会效益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资金使用无重大违纪问题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生态效益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建设美丽乡村幸福河湖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无污染排放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提高工作积极性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有利水利事业提升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满意度指标(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服务对象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满意度指标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服务对象的满意程度。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5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9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9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2.定性指标根据指标完成情况分为：达成预期指标、部分达成预期指标并具有一定效果、未达成预期指标且效果较差三档，分别按照该指标对应分值区间100-80%(含80%)、80-60%(含50%)、60-0%合理确定分值。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96" w:type="dxa"/>
            <w:gridSpan w:val="9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3.定量指标若为正向指标（即指标值为≥*），则得分计算方法应用全年实际值/年度指标值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该指标分值；若定量指标为反向指标（即指标值为≤*），则得分计算方法应用年度指标值/全年实际值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该指标分值；定量指标得分最高不得超过该指标分值上限。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4.评价得分说明：说明全年实际值与年度指标值偏离情况（未达、持平、超额）。</w:t>
            </w:r>
          </w:p>
        </w:tc>
      </w:tr>
    </w:tbl>
    <w:p/>
    <w:p>
      <w:pPr>
        <w:pStyle w:val="2"/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水利站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新增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及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绩效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目标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表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22"/>
        </w:rPr>
        <w:t>（</w:t>
      </w:r>
      <w:r>
        <w:rPr>
          <w:rFonts w:hint="eastAsia" w:ascii="Times New Roman" w:hAnsi="Times New Roman"/>
          <w:color w:val="000000"/>
          <w:kern w:val="0"/>
          <w:sz w:val="22"/>
          <w:lang w:val="en-US" w:eastAsia="zh-CN"/>
        </w:rPr>
        <w:t>2024</w:t>
      </w:r>
      <w:r>
        <w:rPr>
          <w:rFonts w:ascii="Times New Roman" w:hAnsi="Times New Roman"/>
          <w:color w:val="000000"/>
          <w:kern w:val="0"/>
          <w:sz w:val="22"/>
        </w:rPr>
        <w:t>年度）</w:t>
      </w:r>
    </w:p>
    <w:tbl>
      <w:tblPr>
        <w:tblStyle w:val="4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47"/>
        <w:gridCol w:w="1167"/>
        <w:gridCol w:w="1908"/>
        <w:gridCol w:w="670"/>
        <w:gridCol w:w="1700"/>
        <w:gridCol w:w="810"/>
        <w:gridCol w:w="79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4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水利工程运行与维护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1"/>
                <w:szCs w:val="21"/>
                <w:lang w:eastAsia="zh-CN"/>
              </w:rPr>
              <w:t>项目金额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资金来源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本级预算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实施主体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烈山区水利工程管理站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项目概述</w:t>
            </w:r>
          </w:p>
        </w:tc>
        <w:tc>
          <w:tcPr>
            <w:tcW w:w="8215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烈山区一座中型水库三座小型水库运行维护管理支出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项目依据</w:t>
            </w:r>
          </w:p>
        </w:tc>
        <w:tc>
          <w:tcPr>
            <w:tcW w:w="821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《关于加快推进水闸安全运行专项检查问题整改工作的通知》皖水运管函&lt;2021&gt;408号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项目目标</w:t>
            </w:r>
          </w:p>
        </w:tc>
        <w:tc>
          <w:tcPr>
            <w:tcW w:w="8215" w:type="dxa"/>
            <w:gridSpan w:val="7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烈山区一座中型水库三座小型水库运行维护管理支出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其他资金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目标1：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目标2：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……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目标1完成情况：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目标2完成情况：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1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存在的问题：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整改的措施与建议：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总体绩效指标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一级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二级指标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三级指标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计算符号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计量单位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指标值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产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数量指标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按照计划完成工作任务数量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座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质量指标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按照标准完成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工程无重大险情发生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时效指标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按照序时进度完成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成本指标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按照设施需求所需资金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效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经济效益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全年没有发生重大险情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没有造成经济损失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社会效益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资金使用无重大违纪问题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生态效益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改善水环境生态治理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无污染水质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提高灌区居民生活幸福感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9"/>
                <w:szCs w:val="19"/>
                <w:shd w:val="clear" w:fill="EDF4FF"/>
              </w:rPr>
              <w:t>山水一体环境优美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满意度指标(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分)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服务对象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满意度指标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服务对象的满意程度。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5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9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9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2.定性指标根据指标完成情况分为：达成预期指标、部分达成预期指标并具有一定效果、未达成预期指标且效果较差三档，分别按照该指标对应分值区间100-80%(含80%)、80-60%(含50%)、60-0%合理确定分值。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96" w:type="dxa"/>
            <w:gridSpan w:val="9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3.定量指标若为正向指标（即指标值为≥*），则得分计算方法应用全年实际值/年度指标值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该指标分值；若定量指标为反向指标（即指标值为≤*），则得分计算方法应用年度指标值/全年实际值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该指标分值；定量指标得分最高不得超过该指标分值上限。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4.评价得分说明：说明全年实际值与年度指标值偏离情况（未达、持平、超额）。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jc w:val="both"/>
      </w:pPr>
    </w:p>
    <w:p>
      <w:pPr>
        <w:pStyle w:val="3"/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259A1"/>
    <w:multiLevelType w:val="singleLevel"/>
    <w:tmpl w:val="C9B259A1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DJlZTIyMjk3MGU2OWNmMWIwZDBmNjY3ZDk5ZTgifQ=="/>
  </w:docVars>
  <w:rsids>
    <w:rsidRoot w:val="6118282B"/>
    <w:rsid w:val="03E76AEF"/>
    <w:rsid w:val="315B164C"/>
    <w:rsid w:val="4D3C2A6D"/>
    <w:rsid w:val="6118282B"/>
    <w:rsid w:val="7E85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List Bullet 5"/>
    <w:basedOn w:val="1"/>
    <w:autoRedefine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2024-04-24T05:17:00Z</dcterms:created>
  <dc:creator>Administrator</dc:creator>
  <cp:lastModifiedBy>蓝色妖姬</cp:lastModifiedBy>
  <dcterms:modified xsi:type="dcterms:W3CDTF">2024-04-24T06:35:52Z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E7CC8CF89B50437FBF58CF323F66A366_12</vt:lpwstr>
  </property>
</Properties>
</file>