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淮北市烈山区赵集中心学校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both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淮北市烈山区</w:t>
      </w:r>
      <w:r>
        <w:rPr>
          <w:rFonts w:hint="eastAsia" w:ascii="仿宋_GB2312" w:hAnsi="仿宋"/>
          <w:szCs w:val="32"/>
        </w:rPr>
        <w:t>赵集中心学校202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万元，与预算持平。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淮北市烈山区</w:t>
      </w:r>
      <w:r>
        <w:rPr>
          <w:rFonts w:hint="eastAsia" w:ascii="仿宋_GB2312" w:hAnsi="仿宋"/>
          <w:szCs w:val="32"/>
        </w:rPr>
        <w:t>赵集中心学校202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年度预算持平。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年度预算持平。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年度预算持平。截至202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年12月31日，赵集中心学校开支财政拨款的公务用车保有量为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M2UyMzk1ODE5YTMzY2I2MzMyYzU5ODNkODk4MWM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C7D38BF"/>
    <w:rsid w:val="18242EF9"/>
    <w:rsid w:val="3A9C0774"/>
    <w:rsid w:val="54B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1070</Characters>
  <Lines>8</Lines>
  <Paragraphs>2</Paragraphs>
  <TotalTime>0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NTKO</cp:lastModifiedBy>
  <cp:lastPrinted>2020-09-14T08:17:00Z</cp:lastPrinted>
  <dcterms:modified xsi:type="dcterms:W3CDTF">2024-08-12T09:32:05Z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288DC6EE166549F4932EC4C8DD799616_13</vt:lpwstr>
  </property>
</Properties>
</file>