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hint="eastAsia" w:ascii="黑体" w:hAnsi="黑体" w:eastAsia="黑体" w:cs="Times New Roman"/>
          <w:sz w:val="32"/>
          <w:szCs w:val="32"/>
        </w:rPr>
      </w:pPr>
    </w:p>
    <w:p>
      <w:pPr>
        <w:spacing w:line="300" w:lineRule="exact"/>
        <w:rPr>
          <w:rFonts w:hint="eastAsia" w:ascii="黑体" w:hAnsi="黑体" w:eastAsia="黑体" w:cs="Times New Roman"/>
          <w:sz w:val="32"/>
          <w:szCs w:val="32"/>
        </w:rPr>
      </w:pPr>
    </w:p>
    <w:tbl>
      <w:tblPr>
        <w:tblStyle w:val="9"/>
        <w:tblW w:w="9228"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856"/>
      </w:tblGrid>
      <w:tr>
        <w:tblPrEx>
          <w:tblCellMar>
            <w:top w:w="0" w:type="dxa"/>
            <w:left w:w="108" w:type="dxa"/>
            <w:bottom w:w="0" w:type="dxa"/>
            <w:right w:w="108" w:type="dxa"/>
          </w:tblCellMar>
        </w:tblPrEx>
        <w:trPr>
          <w:trHeight w:val="454" w:hRule="exact"/>
          <w:jc w:val="center"/>
        </w:trPr>
        <w:tc>
          <w:tcPr>
            <w:tcW w:w="9228" w:type="dxa"/>
            <w:gridSpan w:val="14"/>
            <w:tcBorders>
              <w:top w:val="nil"/>
              <w:left w:val="nil"/>
              <w:bottom w:val="nil"/>
              <w:right w:val="nil"/>
            </w:tcBorders>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228" w:type="dxa"/>
            <w:gridSpan w:val="14"/>
            <w:tcBorders>
              <w:top w:val="nil"/>
              <w:left w:val="nil"/>
              <w:bottom w:val="nil"/>
              <w:right w:val="nil"/>
            </w:tcBorders>
          </w:tcPr>
          <w:p>
            <w:pPr>
              <w:widowControl/>
              <w:jc w:val="center"/>
              <w:rPr>
                <w:rFonts w:ascii="宋体" w:hAnsi="宋体" w:eastAsia="宋体" w:cs="宋体"/>
                <w:kern w:val="0"/>
                <w:sz w:val="22"/>
              </w:rPr>
            </w:pPr>
            <w:r>
              <w:rPr>
                <w:rFonts w:hint="eastAsia" w:ascii="宋体" w:hAnsi="宋体" w:eastAsia="宋体" w:cs="宋体"/>
                <w:kern w:val="0"/>
                <w:sz w:val="22"/>
              </w:rPr>
              <w:t xml:space="preserve">（ </w:t>
            </w:r>
            <w:r>
              <w:rPr>
                <w:rFonts w:hint="eastAsia" w:ascii="宋体" w:hAnsi="宋体" w:eastAsia="宋体" w:cs="宋体"/>
                <w:kern w:val="0"/>
                <w:sz w:val="22"/>
                <w:lang w:val="en-US" w:eastAsia="zh-CN"/>
              </w:rPr>
              <w:t>2022</w:t>
            </w:r>
            <w:r>
              <w:rPr>
                <w:rFonts w:hint="eastAsia" w:ascii="宋体" w:hAnsi="宋体" w:eastAsia="宋体" w:cs="宋体"/>
                <w:kern w:val="0"/>
                <w:sz w:val="22"/>
              </w:rPr>
              <w:t xml:space="preserve"> 年度）</w:t>
            </w:r>
          </w:p>
        </w:tc>
      </w:tr>
      <w:tr>
        <w:tblPrEx>
          <w:tblCellMar>
            <w:top w:w="0" w:type="dxa"/>
            <w:left w:w="108" w:type="dxa"/>
            <w:bottom w:w="0" w:type="dxa"/>
            <w:right w:w="108" w:type="dxa"/>
          </w:tblCellMar>
        </w:tblPrEx>
        <w:trPr>
          <w:trHeight w:val="79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660"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特种设备安全隐患排查专项经费</w:t>
            </w:r>
          </w:p>
        </w:tc>
      </w:tr>
      <w:tr>
        <w:tblPrEx>
          <w:tblCellMar>
            <w:top w:w="0" w:type="dxa"/>
            <w:left w:w="108" w:type="dxa"/>
            <w:bottom w:w="0" w:type="dxa"/>
            <w:right w:w="108" w:type="dxa"/>
          </w:tblCellMar>
        </w:tblPrEx>
        <w:trPr>
          <w:trHeight w:val="545"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淮北市市场局</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41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烈山区市场监督管理局</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85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4.95</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4.95</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4.95</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4.95</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55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597"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推动地方食品安全工作基础进一步夯实，推进食品安全监管一体化建设，提升食品安全保障能力。</w:t>
            </w:r>
          </w:p>
        </w:tc>
        <w:tc>
          <w:tcPr>
            <w:tcW w:w="355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开展了食品安全宣传活动等，提升了食品安全保障能力。</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5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67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20"/>
                <w:szCs w:val="20"/>
                <w:lang w:eastAsia="zh-CN"/>
              </w:rPr>
              <w:t>特种设备隐患排查</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0"/>
                <w:szCs w:val="20"/>
                <w:lang w:val="en-US" w:eastAsia="zh-CN"/>
              </w:rPr>
              <w:t>30家</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0"/>
                <w:szCs w:val="20"/>
                <w:lang w:val="en-US" w:eastAsia="zh-CN"/>
              </w:rPr>
              <w:t>30家</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5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5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i w:val="0"/>
                <w:iCs w:val="0"/>
                <w:color w:val="000000"/>
                <w:sz w:val="20"/>
                <w:szCs w:val="20"/>
                <w:u w:val="none"/>
              </w:rPr>
              <w:t>通过</w:t>
            </w:r>
            <w:r>
              <w:rPr>
                <w:rFonts w:hint="eastAsia" w:ascii="宋体" w:hAnsi="宋体" w:eastAsia="宋体" w:cs="宋体"/>
                <w:i w:val="0"/>
                <w:iCs w:val="0"/>
                <w:color w:val="000000"/>
                <w:sz w:val="20"/>
                <w:szCs w:val="20"/>
                <w:u w:val="none"/>
                <w:lang w:eastAsia="zh-CN"/>
              </w:rPr>
              <w:t>第三方隐患排查保障质量安全</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可保障</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可保障</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5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2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i w:val="0"/>
                <w:iCs w:val="0"/>
                <w:color w:val="000000"/>
                <w:sz w:val="20"/>
                <w:szCs w:val="20"/>
                <w:u w:val="none"/>
              </w:rPr>
              <w:t>全年工作按年度工作计划开展</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22"/>
                <w:szCs w:val="22"/>
                <w:lang w:eastAsia="zh-CN"/>
              </w:rPr>
            </w:pPr>
            <w:r>
              <w:rPr>
                <w:rFonts w:hint="eastAsia" w:ascii="宋体" w:hAnsi="宋体" w:eastAsia="宋体" w:cs="宋体"/>
                <w:kern w:val="0"/>
                <w:sz w:val="20"/>
                <w:szCs w:val="20"/>
                <w:lang w:eastAsia="zh-CN"/>
              </w:rPr>
              <w:t>符合</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22"/>
                <w:szCs w:val="22"/>
              </w:rPr>
            </w:pPr>
            <w:r>
              <w:rPr>
                <w:rFonts w:hint="eastAsia" w:ascii="宋体" w:hAnsi="宋体" w:eastAsia="宋体" w:cs="宋体"/>
                <w:kern w:val="0"/>
                <w:sz w:val="20"/>
                <w:szCs w:val="20"/>
                <w:lang w:eastAsia="zh-CN"/>
              </w:rPr>
              <w:t>符合</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5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8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项目总体支出成本</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24"/>
                <w:szCs w:val="24"/>
                <w:lang w:eastAsia="zh-CN"/>
              </w:rPr>
            </w:pPr>
            <w:r>
              <w:rPr>
                <w:rFonts w:hint="eastAsia" w:ascii="宋体" w:hAnsi="宋体" w:eastAsia="宋体" w:cs="宋体"/>
                <w:kern w:val="0"/>
                <w:sz w:val="18"/>
                <w:szCs w:val="18"/>
              </w:rPr>
              <w:t>≦</w:t>
            </w:r>
            <w:r>
              <w:rPr>
                <w:rFonts w:hint="eastAsia" w:ascii="宋体" w:hAnsi="宋体" w:eastAsia="宋体" w:cs="宋体"/>
                <w:kern w:val="0"/>
                <w:sz w:val="18"/>
                <w:szCs w:val="18"/>
                <w:lang w:eastAsia="zh-CN"/>
              </w:rPr>
              <w:t>项目预算</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24"/>
                <w:szCs w:val="24"/>
              </w:rPr>
            </w:pPr>
            <w:r>
              <w:rPr>
                <w:rFonts w:hint="eastAsia" w:ascii="宋体" w:hAnsi="宋体" w:eastAsia="宋体" w:cs="宋体"/>
                <w:kern w:val="0"/>
                <w:sz w:val="18"/>
                <w:szCs w:val="18"/>
              </w:rPr>
              <w:t>≦</w:t>
            </w:r>
            <w:r>
              <w:rPr>
                <w:rFonts w:hint="eastAsia" w:ascii="宋体" w:hAnsi="宋体" w:eastAsia="宋体" w:cs="宋体"/>
                <w:kern w:val="0"/>
                <w:sz w:val="18"/>
                <w:szCs w:val="18"/>
                <w:lang w:eastAsia="zh-CN"/>
              </w:rPr>
              <w:t>项目预算</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5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64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i w:val="0"/>
                <w:iCs w:val="0"/>
                <w:color w:val="000000"/>
                <w:sz w:val="20"/>
                <w:szCs w:val="20"/>
                <w:u w:val="none"/>
              </w:rPr>
              <w:t>履行市场监管职责职能</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18"/>
                <w:szCs w:val="18"/>
                <w:lang w:eastAsia="zh-CN"/>
              </w:rPr>
              <w:t>效果显著</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18"/>
                <w:szCs w:val="18"/>
                <w:lang w:eastAsia="zh-CN"/>
              </w:rPr>
              <w:t>效果显著</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5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1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保障群众权益</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21"/>
                <w:szCs w:val="21"/>
                <w:lang w:eastAsia="zh-CN"/>
              </w:rPr>
            </w:pPr>
            <w:r>
              <w:rPr>
                <w:rFonts w:hint="eastAsia" w:ascii="宋体" w:hAnsi="宋体" w:eastAsia="宋体" w:cs="宋体"/>
                <w:kern w:val="0"/>
                <w:sz w:val="18"/>
                <w:szCs w:val="18"/>
                <w:lang w:eastAsia="zh-CN"/>
              </w:rPr>
              <w:t>效果显著</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18"/>
                <w:szCs w:val="18"/>
                <w:lang w:eastAsia="zh-CN"/>
              </w:rPr>
              <w:t>效果显著</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5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4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无</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96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保障企业安全发展</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21"/>
                <w:szCs w:val="21"/>
                <w:lang w:eastAsia="zh-CN"/>
              </w:rPr>
            </w:pPr>
            <w:r>
              <w:rPr>
                <w:rFonts w:hint="eastAsia" w:ascii="宋体" w:hAnsi="宋体" w:eastAsia="宋体" w:cs="宋体"/>
                <w:kern w:val="0"/>
                <w:sz w:val="18"/>
                <w:szCs w:val="18"/>
                <w:lang w:eastAsia="zh-CN"/>
              </w:rPr>
              <w:t>效果显著</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18"/>
                <w:szCs w:val="18"/>
                <w:lang w:eastAsia="zh-CN"/>
              </w:rPr>
              <w:t>效果显著</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5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99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i w:val="0"/>
                <w:iCs w:val="0"/>
                <w:color w:val="000000"/>
                <w:sz w:val="20"/>
                <w:szCs w:val="20"/>
                <w:u w:val="none"/>
              </w:rPr>
              <w:t>社会公众或单位的服务对象对我局履职效果的满意程度</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5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15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rPr>
          <w:rFonts w:ascii="黑体"/>
          <w:sz w:val="15"/>
        </w:rPr>
        <w:sectPr>
          <w:pgSz w:w="11911" w:h="16838"/>
          <w:pgMar w:top="1582" w:right="1417" w:bottom="1582" w:left="1480" w:header="0" w:footer="1383" w:gutter="0"/>
          <w:cols w:space="0" w:num="1"/>
        </w:sectPr>
      </w:pPr>
    </w:p>
    <w:p>
      <w:pPr>
        <w:pStyle w:val="7"/>
        <w:spacing w:before="1"/>
        <w:rPr>
          <w:rFonts w:ascii="黑体"/>
          <w:sz w:val="60"/>
        </w:rPr>
      </w:pPr>
      <w:bookmarkStart w:id="1" w:name="_GoBack"/>
      <w:bookmarkEnd w:id="1"/>
    </w:p>
    <w:p>
      <w:pPr>
        <w:pStyle w:val="7"/>
        <w:rPr>
          <w:rFonts w:ascii="PMingLiU"/>
          <w:sz w:val="52"/>
        </w:rPr>
      </w:pPr>
    </w:p>
    <w:p>
      <w:pPr>
        <w:pStyle w:val="7"/>
        <w:spacing w:before="13"/>
        <w:rPr>
          <w:rFonts w:ascii="PMingLiU"/>
          <w:sz w:val="33"/>
        </w:rPr>
      </w:pPr>
    </w:p>
    <w:p>
      <w:pPr>
        <w:pStyle w:val="7"/>
        <w:spacing w:before="13"/>
        <w:rPr>
          <w:rFonts w:ascii="PMingLiU"/>
          <w:sz w:val="33"/>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w w:val="145"/>
          <w:sz w:val="44"/>
          <w:szCs w:val="44"/>
          <w:lang w:eastAsia="zh-CN"/>
        </w:rPr>
        <w:t>特种设备安全隐患排查</w:t>
      </w:r>
      <w:r>
        <w:rPr>
          <w:rFonts w:hint="eastAsia" w:ascii="方正小标宋简体" w:hAnsi="方正小标宋简体" w:eastAsia="方正小标宋简体" w:cs="方正小标宋简体"/>
          <w:w w:val="115"/>
          <w:sz w:val="44"/>
          <w:szCs w:val="44"/>
        </w:rPr>
        <w:t>项目支出绩效评价报告</w:t>
      </w:r>
    </w:p>
    <w:p>
      <w:pPr>
        <w:pStyle w:val="7"/>
        <w:rPr>
          <w:rFonts w:ascii="PMingLiU"/>
          <w:sz w:val="52"/>
        </w:rPr>
      </w:pPr>
    </w:p>
    <w:p>
      <w:pPr>
        <w:pStyle w:val="7"/>
        <w:rPr>
          <w:rFonts w:ascii="PMingLiU"/>
          <w:sz w:val="52"/>
        </w:rPr>
      </w:pPr>
    </w:p>
    <w:p>
      <w:pPr>
        <w:pStyle w:val="7"/>
        <w:rPr>
          <w:rFonts w:ascii="PMingLiU"/>
          <w:sz w:val="52"/>
        </w:rPr>
      </w:pPr>
    </w:p>
    <w:p>
      <w:pPr>
        <w:pStyle w:val="7"/>
        <w:rPr>
          <w:rFonts w:ascii="PMingLiU"/>
          <w:sz w:val="52"/>
        </w:rPr>
      </w:pPr>
    </w:p>
    <w:p>
      <w:pPr>
        <w:pStyle w:val="7"/>
        <w:rPr>
          <w:rFonts w:ascii="PMingLiU"/>
          <w:sz w:val="52"/>
        </w:rPr>
      </w:pPr>
    </w:p>
    <w:p>
      <w:pPr>
        <w:pStyle w:val="7"/>
        <w:rPr>
          <w:rFonts w:ascii="PMingLiU"/>
          <w:sz w:val="52"/>
        </w:rPr>
      </w:pPr>
    </w:p>
    <w:p>
      <w:pPr>
        <w:pStyle w:val="7"/>
        <w:rPr>
          <w:rFonts w:ascii="PMingLiU"/>
          <w:sz w:val="52"/>
        </w:rPr>
      </w:pPr>
    </w:p>
    <w:p>
      <w:pPr>
        <w:pStyle w:val="7"/>
        <w:spacing w:before="5"/>
        <w:rPr>
          <w:rFonts w:ascii="PMingLiU"/>
          <w:sz w:val="67"/>
        </w:rPr>
      </w:pPr>
    </w:p>
    <w:p>
      <w:pPr>
        <w:pStyle w:val="7"/>
        <w:ind w:left="62" w:right="1156"/>
        <w:jc w:val="center"/>
        <w:rPr>
          <w:rFonts w:ascii="方正小标宋简体" w:hAnsi="方正小标宋简体" w:eastAsia="方正小标宋简体" w:cs="方正小标宋简体"/>
          <w:w w:val="115"/>
          <w:sz w:val="44"/>
          <w:szCs w:val="44"/>
        </w:rPr>
        <w:sectPr>
          <w:footerReference r:id="rId3" w:type="default"/>
          <w:type w:val="continuous"/>
          <w:pgSz w:w="11911" w:h="16838"/>
          <w:pgMar w:top="1582" w:right="1417" w:bottom="1582" w:left="1480" w:header="0" w:footer="1383" w:gutter="0"/>
          <w:cols w:space="0" w:num="1"/>
        </w:sectPr>
      </w:pPr>
    </w:p>
    <w:p>
      <w:pPr>
        <w:pStyle w:val="7"/>
        <w:rPr>
          <w:rFonts w:ascii="楷体"/>
          <w:sz w:val="20"/>
        </w:rPr>
      </w:pPr>
    </w:p>
    <w:p>
      <w:pPr>
        <w:pStyle w:val="7"/>
        <w:spacing w:before="10"/>
        <w:rPr>
          <w:rFonts w:ascii="楷体"/>
          <w:sz w:val="26"/>
        </w:rPr>
      </w:pPr>
    </w:p>
    <w:p>
      <w:pPr>
        <w:pStyle w:val="3"/>
        <w:tabs>
          <w:tab w:val="left" w:pos="880"/>
        </w:tabs>
        <w:spacing w:before="59"/>
        <w:ind w:right="2"/>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目</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rPr>
        <w:t>录</w:t>
      </w:r>
    </w:p>
    <w:p>
      <w:pPr>
        <w:pStyle w:val="7"/>
        <w:rPr>
          <w:rFonts w:ascii="方正小标宋简体" w:hAnsi="方正小标宋简体" w:eastAsia="方正小标宋简体" w:cs="方正小标宋简体"/>
          <w:sz w:val="44"/>
          <w:szCs w:val="44"/>
        </w:rPr>
      </w:pPr>
    </w:p>
    <w:p>
      <w:pPr>
        <w:tabs>
          <w:tab w:val="left" w:pos="880"/>
        </w:tabs>
        <w:ind w:right="2"/>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摘</w:t>
      </w:r>
      <w:r>
        <w:rPr>
          <w:rFonts w:hint="eastAsia" w:ascii="方正小标宋简体" w:hAnsi="方正小标宋简体" w:eastAsia="方正小标宋简体" w:cs="方正小标宋简体"/>
          <w:sz w:val="44"/>
          <w:szCs w:val="44"/>
        </w:rPr>
        <w:tab/>
      </w:r>
      <w:r>
        <w:rPr>
          <w:rFonts w:hint="eastAsia" w:ascii="方正小标宋简体" w:hAnsi="方正小标宋简体" w:eastAsia="方正小标宋简体" w:cs="方正小标宋简体"/>
          <w:sz w:val="44"/>
          <w:szCs w:val="44"/>
        </w:rPr>
        <w:t>要</w:t>
      </w:r>
    </w:p>
    <w:p>
      <w:pPr>
        <w:pStyle w:val="7"/>
        <w:spacing w:before="304" w:line="480" w:lineRule="auto"/>
        <w:ind w:left="106" w:right="46" w:firstLine="160"/>
      </w:pPr>
      <w:r>
        <w:rPr>
          <w:w w:val="95"/>
        </w:rPr>
        <w:t xml:space="preserve">（主要从项目基本情况、绩效目标及完成情况、综合评价情况 </w:t>
      </w:r>
      <w:r>
        <w:t>及评价结论、存在问题和有关建议等方面分段简要概述）</w:t>
      </w:r>
    </w:p>
    <w:p>
      <w:pPr>
        <w:spacing w:line="480" w:lineRule="auto"/>
        <w:sectPr>
          <w:pgSz w:w="11911" w:h="16838"/>
          <w:pgMar w:top="1582" w:right="1417" w:bottom="1582" w:left="1480" w:header="0" w:footer="1383" w:gutter="0"/>
          <w:cols w:space="0" w:num="1"/>
        </w:sectPr>
      </w:pPr>
    </w:p>
    <w:p>
      <w:pPr>
        <w:pStyle w:val="7"/>
        <w:spacing w:before="4"/>
        <w:rPr>
          <w:sz w:val="19"/>
        </w:rPr>
      </w:pPr>
    </w:p>
    <w:p>
      <w:pPr>
        <w:pStyle w:val="3"/>
        <w:spacing w:before="58"/>
        <w:ind w:right="5"/>
      </w:pPr>
      <w:r>
        <w:rPr>
          <w:rFonts w:hint="eastAsia" w:ascii="方正小标宋简体" w:hAnsi="方正小标宋简体" w:eastAsia="方正小标宋简体" w:cs="方正小标宋简体"/>
        </w:rPr>
        <w:t>正文部分</w:t>
      </w:r>
    </w:p>
    <w:p>
      <w:pPr>
        <w:pStyle w:val="7"/>
        <w:ind w:left="751"/>
        <w:rPr>
          <w:rFonts w:ascii="黑体" w:eastAsia="黑体"/>
        </w:rPr>
      </w:pPr>
      <w:r>
        <w:rPr>
          <w:rFonts w:hint="eastAsia" w:ascii="黑体" w:eastAsia="黑体"/>
        </w:rPr>
        <w:t>一、项目基本情况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val="en-US" w:eastAsia="zh-CN"/>
        </w:rPr>
        <w:t>项目概况</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为强化特种设备安全管理，做好管理薄弱领域、重点监控单位特种设备隐患风险排查工作，进一步巩固全区特种设备安全形势持续稳定。经局长办公会研究决定，通过购买第三方技术服务开展特种设备安全隐患排查治理，弥补监管力量和专业化程度不足，巩固2021年工作成效，消除安全隐患，防范事故发生。</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我局从全区特种设备使用单位中选出了30家重点单位，委托淮北市安全生产科技中心进行隐患排查，全年共排查2轮，上半年和下半年各排查一次，针对辖区特种设备使用单位特种设备情况，统筹考虑特种设备风险程度，下半年将特种设备风险程度高、特种设备数量多的企业替换风险程度相对较小、特种设备数量少的企业，总数保持30家不变。</w:t>
      </w:r>
    </w:p>
    <w:p>
      <w:pPr>
        <w:pStyle w:val="7"/>
        <w:spacing w:before="6"/>
        <w:ind w:left="751"/>
      </w:pPr>
    </w:p>
    <w:p>
      <w:pPr>
        <w:pStyle w:val="7"/>
        <w:spacing w:before="149"/>
        <w:ind w:left="751"/>
        <w:rPr>
          <w:rFonts w:ascii="黑体" w:eastAsia="黑体"/>
        </w:rPr>
      </w:pPr>
      <w:r>
        <w:rPr>
          <w:rFonts w:hint="eastAsia" w:ascii="黑体" w:eastAsia="黑体"/>
        </w:rPr>
        <w:t>二、绩效评价工作开展情况</w:t>
      </w:r>
    </w:p>
    <w:p>
      <w:pPr>
        <w:pStyle w:val="7"/>
        <w:spacing w:before="149"/>
        <w:ind w:left="751"/>
      </w:pPr>
      <w:r>
        <w:t>（一）绩效评价目的、对象和范围。</w:t>
      </w:r>
    </w:p>
    <w:p>
      <w:pPr>
        <w:pStyle w:val="7"/>
        <w:keepNext w:val="0"/>
        <w:keepLines w:val="0"/>
        <w:pageBreakBefore w:val="0"/>
        <w:widowControl w:val="0"/>
        <w:kinsoku/>
        <w:wordWrap/>
        <w:overflowPunct/>
        <w:topLinePunct w:val="0"/>
        <w:autoSpaceDE/>
        <w:autoSpaceDN/>
        <w:bidi w:val="0"/>
        <w:adjustRightInd/>
        <w:snapToGrid/>
        <w:spacing w:before="149"/>
        <w:ind w:left="748"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绩效评价的对象，包括部门预算管理的财政性资金和上级政府对下级政府的转移支付资金；范围包括项目支出等部门预算支出。</w:t>
      </w:r>
    </w:p>
    <w:p>
      <w:pPr>
        <w:pStyle w:val="7"/>
        <w:numPr>
          <w:ilvl w:val="0"/>
          <w:numId w:val="1"/>
        </w:numPr>
        <w:spacing w:before="152" w:line="326" w:lineRule="auto"/>
        <w:ind w:left="106" w:right="106" w:firstLine="645"/>
        <w:rPr>
          <w:spacing w:val="-2"/>
        </w:rPr>
      </w:pPr>
      <w:r>
        <w:rPr>
          <w:spacing w:val="-2"/>
        </w:rPr>
        <w:t>绩效评价原则、评价指标体系</w:t>
      </w:r>
      <w:r>
        <w:t>（附表说明</w:t>
      </w:r>
      <w:r>
        <w:rPr>
          <w:spacing w:val="-159"/>
        </w:rPr>
        <w:t>）</w:t>
      </w:r>
      <w:r>
        <w:rPr>
          <w:spacing w:val="-2"/>
        </w:rPr>
        <w:t>、评价方法、评价标准等。</w:t>
      </w:r>
    </w:p>
    <w:p>
      <w:pPr>
        <w:pStyle w:val="7"/>
        <w:numPr>
          <w:ilvl w:val="0"/>
          <w:numId w:val="2"/>
        </w:numPr>
        <w:spacing w:before="152" w:line="326" w:lineRule="auto"/>
        <w:ind w:left="751" w:leftChars="0" w:right="106" w:rightChars="0"/>
        <w:rPr>
          <w:rFonts w:hint="eastAsia"/>
          <w:spacing w:val="-2"/>
          <w:lang w:val="en-US" w:eastAsia="zh-CN"/>
        </w:rPr>
      </w:pPr>
      <w:r>
        <w:rPr>
          <w:rFonts w:hint="eastAsia"/>
          <w:spacing w:val="-2"/>
          <w:lang w:val="en-US" w:eastAsia="zh-CN"/>
        </w:rPr>
        <w:t>科学公正。绩效评价应当运用科学合理的方法，按照规范的程序，对项目绩效进行客观、公正的反应。</w:t>
      </w:r>
    </w:p>
    <w:p>
      <w:pPr>
        <w:pStyle w:val="7"/>
        <w:numPr>
          <w:ilvl w:val="0"/>
          <w:numId w:val="2"/>
        </w:numPr>
        <w:spacing w:before="152" w:line="326" w:lineRule="auto"/>
        <w:ind w:left="751" w:leftChars="0" w:right="106" w:rightChars="0"/>
        <w:rPr>
          <w:rFonts w:hint="default"/>
          <w:spacing w:val="-2"/>
          <w:lang w:val="en-US" w:eastAsia="zh-CN"/>
        </w:rPr>
      </w:pPr>
      <w:r>
        <w:rPr>
          <w:rFonts w:hint="eastAsia"/>
          <w:spacing w:val="-2"/>
          <w:lang w:val="en-US" w:eastAsia="zh-CN"/>
        </w:rPr>
        <w:t>统筹兼顾。单位自评、部门评价和财政评价应职责明确，各有侧重，相互衔接。</w:t>
      </w:r>
    </w:p>
    <w:p>
      <w:pPr>
        <w:pStyle w:val="7"/>
        <w:numPr>
          <w:ilvl w:val="0"/>
          <w:numId w:val="2"/>
        </w:numPr>
        <w:spacing w:before="152" w:line="326" w:lineRule="auto"/>
        <w:ind w:left="751" w:leftChars="0" w:right="106" w:rightChars="0"/>
        <w:rPr>
          <w:rFonts w:hint="default"/>
          <w:spacing w:val="-2"/>
          <w:lang w:val="en-US" w:eastAsia="zh-CN"/>
        </w:rPr>
      </w:pPr>
      <w:r>
        <w:rPr>
          <w:rFonts w:hint="eastAsia"/>
          <w:spacing w:val="-2"/>
          <w:lang w:val="en-US" w:eastAsia="zh-CN"/>
        </w:rPr>
        <w:t>公开透明。绩效评价结果应依法依规公开，并自觉接受社会监督。</w:t>
      </w:r>
    </w:p>
    <w:p>
      <w:pPr>
        <w:pStyle w:val="7"/>
        <w:spacing w:before="151" w:line="326" w:lineRule="auto"/>
        <w:ind w:left="751" w:right="1534"/>
      </w:pPr>
      <w:r>
        <w:rPr>
          <w:rFonts w:hint="eastAsia" w:ascii="黑体" w:eastAsia="黑体"/>
        </w:rPr>
        <w:t>三、综合评价情况及评价结论</w:t>
      </w:r>
      <w:r>
        <w:t>（附相关评分表）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根据绩效评价完成情况及效果情况等，我局2022年度整体支出绩效情况较好，下一步将对绩效自评情况进行及时整理、归纳、分析，提高资金使用效率。</w:t>
      </w:r>
    </w:p>
    <w:p>
      <w:pPr>
        <w:pStyle w:val="7"/>
        <w:spacing w:before="151" w:line="326" w:lineRule="auto"/>
        <w:ind w:left="751" w:right="1534"/>
      </w:pPr>
    </w:p>
    <w:p>
      <w:pPr>
        <w:pStyle w:val="7"/>
        <w:spacing w:before="151" w:line="326" w:lineRule="auto"/>
        <w:ind w:left="751" w:right="1534"/>
      </w:pPr>
      <w:r>
        <w:t xml:space="preserve"> </w:t>
      </w:r>
      <w:r>
        <w:rPr>
          <w:rFonts w:hint="eastAsia" w:ascii="黑体" w:eastAsia="黑体"/>
        </w:rPr>
        <w:t>四、绩效评价指标分析</w:t>
      </w:r>
      <w:r>
        <w:t>（可附表进行分析）</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（一）项目决策情况。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我单位对专项资金的使用设立了明确的目标，且目标细化、量化、到了明确的目标，且目标细化、量化到了具体的每一项工作。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（二）项目过程情况。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专项资金的使用符合相关规定，制定了各专项目标，项目资金的使用符合申报条件。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（三）项目产出情况。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根据年初制定的工作计划和预算编制计划，我局完成了年初制定的工作目标，各项项目都完成了年初各项指标，质量指标值达100%。每一项项目的开展，在规定的时间内完成。</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（四）项目效益情况。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通过项目的实施，保障了全区的食品安全，获得了群众的一致好评。</w:t>
      </w:r>
    </w:p>
    <w:p>
      <w:pPr>
        <w:pStyle w:val="7"/>
        <w:numPr>
          <w:ilvl w:val="0"/>
          <w:numId w:val="3"/>
        </w:numPr>
        <w:spacing w:before="151"/>
        <w:ind w:left="751"/>
        <w:rPr>
          <w:rFonts w:hint="eastAsia" w:ascii="黑体" w:eastAsia="黑体"/>
        </w:rPr>
      </w:pPr>
      <w:r>
        <w:rPr>
          <w:rFonts w:hint="eastAsia" w:ascii="黑体" w:eastAsia="黑体"/>
        </w:rPr>
        <w:t>主要经验及做法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保证专项资金规范使用，我局将根据预算资金的总量、方向及实际专项工作情况，对批复到位的专项资金做好精细核算，切实做到专款专用，实现资金使用效率最优化，具体做到：一是强化制度保障。完善单位《财务管理制度》及《经费管理办法》，为专项资金的使用管理提供制度保障。二是强化绩效与经费挂钩。为保障专项资金用到实处，实行拨付基本的专项经费外，对绩效目标明确、完成情况好的单位实行专项经费的再倾斜。三是强化专项经费的报销程序。规定每一笔经费在核定的支出限额和支出范围内凭发票据实报销，每一笔费用支出都必须经过经办人、使用单位负责人、主管局领导、主管财务局领导及财务管理人员多方核实后方可报销，确保专项资金支出依法依规依序。</w:t>
      </w:r>
    </w:p>
    <w:p>
      <w:pPr>
        <w:pStyle w:val="7"/>
        <w:numPr>
          <w:ilvl w:val="0"/>
          <w:numId w:val="3"/>
        </w:numPr>
        <w:spacing w:before="149" w:line="326" w:lineRule="auto"/>
        <w:ind w:left="751" w:leftChars="0" w:right="4733" w:firstLine="0" w:firstLineChars="0"/>
        <w:rPr>
          <w:rFonts w:hint="eastAsia" w:ascii="黑体" w:eastAsia="黑体"/>
        </w:rPr>
      </w:pPr>
      <w:r>
        <w:rPr>
          <w:rFonts w:hint="eastAsia" w:ascii="黑体" w:eastAsia="黑体"/>
        </w:rPr>
        <w:t>存在问题及原因分析</w:t>
      </w:r>
    </w:p>
    <w:p>
      <w:pPr>
        <w:pStyle w:val="7"/>
        <w:bidi w:val="0"/>
        <w:ind w:firstLine="640" w:firstLineChars="20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预算执行进度和效率有待加强。建议及时拨付项目资金，提高资金使用效率。</w:t>
      </w:r>
    </w:p>
    <w:p>
      <w:pPr>
        <w:pStyle w:val="7"/>
        <w:spacing w:before="149" w:line="326" w:lineRule="auto"/>
        <w:ind w:left="751" w:right="4733"/>
        <w:rPr>
          <w:rFonts w:ascii="黑体" w:eastAsia="黑体"/>
        </w:rPr>
      </w:pPr>
      <w:r>
        <w:rPr>
          <w:rFonts w:hint="eastAsia" w:ascii="黑体" w:eastAsia="黑体"/>
        </w:rPr>
        <w:t>七、有关建议</w:t>
      </w:r>
    </w:p>
    <w:p>
      <w:pPr>
        <w:pStyle w:val="7"/>
        <w:spacing w:before="6" w:line="326" w:lineRule="auto"/>
        <w:ind w:left="106" w:right="109" w:firstLine="645"/>
        <w:rPr>
          <w:rFonts w:hint="eastAsia" w:eastAsia="仿宋_GB2312"/>
          <w:spacing w:val="4"/>
          <w:lang w:eastAsia="zh-CN"/>
        </w:rPr>
      </w:pPr>
      <w:r>
        <w:rPr>
          <w:rFonts w:hint="eastAsia"/>
          <w:spacing w:val="4"/>
          <w:lang w:eastAsia="zh-CN"/>
        </w:rPr>
        <w:t>无</w:t>
      </w:r>
    </w:p>
    <w:p>
      <w:bookmarkStart w:id="0" w:name="1603附件3.pdf"/>
      <w:bookmarkEnd w:id="0"/>
    </w:p>
    <w:sectPr>
      <w:footerReference r:id="rId4" w:type="default"/>
      <w:pgSz w:w="11911" w:h="16838"/>
      <w:pgMar w:top="1582" w:right="1417" w:bottom="1582" w:left="1480" w:header="0" w:footer="1383" w:gutter="0"/>
      <w:cols w:space="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posOffset>2654935</wp:posOffset>
              </wp:positionH>
              <wp:positionV relativeFrom="paragraph">
                <wp:posOffset>-85725</wp:posOffset>
              </wp:positionV>
              <wp:extent cx="314325" cy="3244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14325" cy="324485"/>
                      </a:xfrm>
                      <a:prstGeom prst="rect">
                        <a:avLst/>
                      </a:prstGeom>
                      <a:noFill/>
                      <a:ln w="6350">
                        <a:noFill/>
                      </a:ln>
                      <a:effectLst/>
                    </wps:spPr>
                    <wps:txbx>
                      <w:txbxContent>
                        <w:p>
                          <w:pPr>
                            <w:pStyle w:val="2"/>
                            <w:rPr>
                              <w:sz w:val="30"/>
                              <w:szCs w:val="30"/>
                            </w:rPr>
                          </w:pP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Pr>
                              <w:sz w:val="30"/>
                              <w:szCs w:val="30"/>
                            </w:rPr>
                            <w:t>- 2 -</w:t>
                          </w:r>
                          <w:r>
                            <w:rPr>
                              <w:rFonts w:hint="eastAsia"/>
                              <w:sz w:val="30"/>
                              <w:szCs w:val="30"/>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05pt;margin-top:-6.75pt;height:25.55pt;width:24.75pt;mso-position-horizontal-relative:margin;z-index:251660288;mso-width-relative:page;mso-height-relative:page;" filled="f" stroked="f" coordsize="21600,21600" o:gfxdata="UEsDBAoAAAAAAIdO4kAAAAAAAAAAAAAAAAAEAAAAZHJzL1BLAwQUAAAACACHTuJA9Ye3UNkAAAAK&#10;AQAADwAAAGRycy9kb3ducmV2LnhtbE2Py07DMBBF90j8gzVI7FrbtIQqZNIFjx3PAhLsnNgkEfY4&#10;sp20/D1mBavRaI7unFttD86y2YQ4eEKQSwHMUOv1QB3C68vtYgMsJkVaWU8G4dtE2NbHR5Uqtd/T&#10;s5l3qWM5hGKpEPqUxpLz2PbGqbj0o6F8+/TBqZTX0HEd1D6HO8vPhCi4UwPlD70azVVv2q/d5BDs&#10;ewx3jUgf83V3n54e+fR2Ix8QT0+kuASWzCH9wfCrn9Whzk6Nn0hHZhHWciMzirCQq3NgmVgXFwWw&#10;BmGVJ68r/r9C/QNQSwMEFAAAAAgAh07iQHvo0nA+AgAAbwQAAA4AAABkcnMvZTJvRG9jLnhtbK1U&#10;zY7TMBC+I/EOlu80/V2toqarslURUsWuVBBn13EaS7bH2E6T5QHgDThx2TvP1edgnJ8uWjjsgUs6&#10;nhnPzPfN5y5vGq3ISTgvwWR0MhpTIgyHXJpjRj993L65psQHZnKmwIiMPghPb1avXy1rm4oplKBy&#10;4QgWMT6tbUbLEGyaJJ6XQjM/AisMBgtwmgU8umOSO1Zjda2S6Xh8ldTgcuuAC+/Ru+mCtK/oXlIQ&#10;ikJysQFeaWFCV9UJxQJC8qW0nq7aaYtC8HBXFF4EojKKSEP7xSZoH+I3WS1ZenTMlpL3I7CXjPAM&#10;k2bSYNNLqQ0LjFRO/lVKS+7AQxFGHHTSAWkZQRST8TNu9iWzosWCVHt7Id3/v7L8w+neEZmjEigx&#10;TOPCzz++n3/+Oj9+I5NIT219ill7i3mheQtNTO39Hp0RdVM4HX8RD8E4kvtwIVc0gXB0zibz2XRB&#10;CcfQbDqfXy9ileTpsnU+vBOgSTQy6nB3LaXstPOhSx1SYi8DW6kU+lmqDKkzejVbjNsLlwgWVyYm&#10;iFYJfZkIqBs8WqE5ND2aA+QPCNJBpxJv+VbiKDvmwz1zKAvEhQ8n3OGnUIAtobcoKcF9/Zc/5uO2&#10;MEpJjTLLqP9SMScoUe8N7jFqcjDcYBwGw1T6FlC5uBucpjXxggtqMAsH+jO+p3XsgiFmOPbKaBjM&#10;29CJHd8jF+t1m1RZJ49ldwFVaFnYmb3lsU1H7LoKUMiW80hRxwvuKh5Qh+3W+jcThf7nuc16+p9Y&#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1h7dQ2QAAAAoBAAAPAAAAAAAAAAEAIAAAACIAAABk&#10;cnMvZG93bnJldi54bWxQSwECFAAUAAAACACHTuJAe+jScD4CAABvBAAADgAAAAAAAAABACAAAAAo&#10;AQAAZHJzL2Uyb0RvYy54bWxQSwUGAAAAAAYABgBZAQAA2AUAAAAA&#10;">
              <v:fill on="f" focussize="0,0"/>
              <v:stroke on="f" weight="0.5pt"/>
              <v:imagedata o:title=""/>
              <o:lock v:ext="edit" aspectratio="f"/>
              <v:textbox inset="0mm,0mm,0mm,0mm">
                <w:txbxContent>
                  <w:p>
                    <w:pPr>
                      <w:pStyle w:val="2"/>
                      <w:rPr>
                        <w:sz w:val="30"/>
                        <w:szCs w:val="30"/>
                      </w:rPr>
                    </w:pP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Pr>
                        <w:sz w:val="30"/>
                        <w:szCs w:val="30"/>
                      </w:rPr>
                      <w:t>- 2 -</w:t>
                    </w:r>
                    <w:r>
                      <w:rPr>
                        <w:rFonts w:hint="eastAsia"/>
                        <w:sz w:val="30"/>
                        <w:szCs w:val="3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5154930</wp:posOffset>
              </wp:positionH>
              <wp:positionV relativeFrom="page">
                <wp:posOffset>6828790</wp:posOffset>
              </wp:positionV>
              <wp:extent cx="381000" cy="2032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1000" cy="203200"/>
                      </a:xfrm>
                      <a:prstGeom prst="rect">
                        <a:avLst/>
                      </a:prstGeom>
                      <a:noFill/>
                      <a:ln>
                        <a:noFill/>
                      </a:ln>
                      <a:effectLst/>
                    </wps:spPr>
                    <wps:txbx>
                      <w:txbxContent>
                        <w:p>
                          <w:pPr>
                            <w:spacing w:line="320" w:lineRule="exact"/>
                            <w:ind w:left="20"/>
                            <w:jc w:val="left"/>
                            <w:rPr>
                              <w:rFonts w:ascii="宋体"/>
                              <w:sz w:val="28"/>
                            </w:rPr>
                          </w:pPr>
                          <w:r>
                            <w:rPr>
                              <w:rFonts w:ascii="宋体"/>
                              <w:sz w:val="28"/>
                            </w:rPr>
                            <w:t>-</w:t>
                          </w:r>
                          <w:r>
                            <w:fldChar w:fldCharType="begin"/>
                          </w:r>
                          <w:r>
                            <w:rPr>
                              <w:rFonts w:ascii="宋体"/>
                              <w:sz w:val="28"/>
                            </w:rPr>
                            <w:instrText xml:space="preserve"> PAGE </w:instrText>
                          </w:r>
                          <w:r>
                            <w:fldChar w:fldCharType="separate"/>
                          </w:r>
                          <w:r>
                            <w:rPr>
                              <w:rFonts w:ascii="宋体"/>
                              <w:sz w:val="28"/>
                            </w:rPr>
                            <w:t>32</w:t>
                          </w:r>
                          <w:r>
                            <w:fldChar w:fldCharType="end"/>
                          </w:r>
                          <w:r>
                            <w:rPr>
                              <w:rFonts w:ascii="宋体"/>
                              <w:sz w:val="28"/>
                            </w:rPr>
                            <w:t>-</w:t>
                          </w:r>
                        </w:p>
                      </w:txbxContent>
                    </wps:txbx>
                    <wps:bodyPr lIns="0" tIns="0" rIns="0" bIns="0" upright="1"/>
                  </wps:wsp>
                </a:graphicData>
              </a:graphic>
            </wp:anchor>
          </w:drawing>
        </mc:Choice>
        <mc:Fallback>
          <w:pict>
            <v:shape id="_x0000_s1026" o:spid="_x0000_s1026" o:spt="202" type="#_x0000_t202" style="position:absolute;left:0pt;margin-left:405.9pt;margin-top:537.7pt;height:16pt;width:30pt;mso-position-horizontal-relative:page;mso-position-vertical-relative:page;z-index:-251657216;mso-width-relative:page;mso-height-relative:page;" filled="f" stroked="f" coordsize="21600,21600" o:gfxdata="UEsDBAoAAAAAAIdO4kAAAAAAAAAAAAAAAAAEAAAAZHJzL1BLAwQUAAAACACHTuJA60JqjdkAAAAN&#10;AQAADwAAAGRycy9kb3ducmV2LnhtbE2PzU7DMBCE70i8g7WVuFE7qLQhjVMhBCckRBoOHJ14m0SN&#10;1yF2f3h7tqdy3JnR7Df55uwGccQp9J40JHMFAqnxtqdWw1f1dp+CCNGQNYMn1PCLATbF7U1uMutP&#10;VOJxG1vBJRQyo6GLccykDE2HzoS5H5HY2/nJmcjn1Eo7mROXu0E+KLWUzvTEHzoz4kuHzX57cBqe&#10;v6l87X8+6s9yV/ZV9aTofbnX+m6WqDWIiOd4DcMFn9GhYKbaH8gGMWhIk4TRIxtq9bgAwZF0dZFq&#10;llhbgCxy+X9F8QdQSwMEFAAAAAgAh07iQFsxO167AQAAfwMAAA4AAABkcnMvZTJvRG9jLnhtbK1T&#10;zY7TMBC+I/EOlu/UaVZCq6jpSqhahIQAaeEBXGfcWPKfbLdJXwDegBMX7jxXn4Oxk5RlueyBizOe&#10;GX8z3zeTzd1oNDlBiMrZlq5XFSVgheuUPbT0y+f7V7eUxMRtx7Wz0NIzRHq3ffliM/gGatc73UEg&#10;CGJjM/iW9in5hrEoejA8rpwHi0HpguEJr+HAusAHRDea1VX1mg0udD44ATGidzcF6YwYngPopFQC&#10;dk4cDdg0oQbQPCGl2Csf6bZ0KyWI9FHKCInoliLTVE4sgvY+n2y74c0hcN8rMbfAn9PCE06GK4tF&#10;r1A7njg5BvUPlFEiuOhkWgln2ESkKIIs1tUTbR567qFwQamjv4oe/x+s+HD6FIjqWlpTYrnBgV++&#10;f7v8+HX5+ZXUWZ7BxwazHjzmpfGNG3FpFn9EZ2Y9ymDyF/kQjKO456u4MCYi0Hlzu64qjAgM1dUN&#10;rkJGYX8e+xDTW3CGZKOlAWdXJOWn9zFNqUtKrmXdvdK6zE/bvxyIOXmgLMD8OvOY+s1WGvfjTG7v&#10;ujNy0+8s6pp3ZDHCYuwX4+iDOvTYXFGAZSCcS2Ex71Ae/OM72o//m+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0JqjdkAAAANAQAADwAAAAAAAAABACAAAAAiAAAAZHJzL2Rvd25yZXYueG1sUEsB&#10;AhQAFAAAAAgAh07iQFsxO167AQAAfwMAAA4AAAAAAAAAAQAgAAAAKAEAAGRycy9lMm9Eb2MueG1s&#10;UEsFBgAAAAAGAAYAWQEAAFUFAAAAAA==&#10;">
              <v:fill on="f" focussize="0,0"/>
              <v:stroke on="f"/>
              <v:imagedata o:title=""/>
              <o:lock v:ext="edit" aspectratio="f"/>
              <v:textbox inset="0mm,0mm,0mm,0mm">
                <w:txbxContent>
                  <w:p>
                    <w:pPr>
                      <w:spacing w:line="320" w:lineRule="exact"/>
                      <w:ind w:left="20"/>
                      <w:jc w:val="left"/>
                      <w:rPr>
                        <w:rFonts w:ascii="宋体"/>
                        <w:sz w:val="28"/>
                      </w:rPr>
                    </w:pPr>
                    <w:r>
                      <w:rPr>
                        <w:rFonts w:ascii="宋体"/>
                        <w:sz w:val="28"/>
                      </w:rPr>
                      <w:t>-</w:t>
                    </w:r>
                    <w:r>
                      <w:fldChar w:fldCharType="begin"/>
                    </w:r>
                    <w:r>
                      <w:rPr>
                        <w:rFonts w:ascii="宋体"/>
                        <w:sz w:val="28"/>
                      </w:rPr>
                      <w:instrText xml:space="preserve"> PAGE </w:instrText>
                    </w:r>
                    <w:r>
                      <w:fldChar w:fldCharType="separate"/>
                    </w:r>
                    <w:r>
                      <w:rPr>
                        <w:rFonts w:ascii="宋体"/>
                        <w:sz w:val="28"/>
                      </w:rPr>
                      <w:t>32</w:t>
                    </w:r>
                    <w:r>
                      <w:fldChar w:fldCharType="end"/>
                    </w:r>
                    <w:r>
                      <w:rPr>
                        <w:rFonts w:ascii="宋体"/>
                        <w:sz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3B6877"/>
    <w:multiLevelType w:val="singleLevel"/>
    <w:tmpl w:val="F23B6877"/>
    <w:lvl w:ilvl="0" w:tentative="0">
      <w:start w:val="1"/>
      <w:numFmt w:val="decimal"/>
      <w:suff w:val="nothing"/>
      <w:lvlText w:val="%1、"/>
      <w:lvlJc w:val="left"/>
    </w:lvl>
  </w:abstractNum>
  <w:abstractNum w:abstractNumId="1">
    <w:nsid w:val="0B0E3DA7"/>
    <w:multiLevelType w:val="singleLevel"/>
    <w:tmpl w:val="0B0E3DA7"/>
    <w:lvl w:ilvl="0" w:tentative="0">
      <w:start w:val="2"/>
      <w:numFmt w:val="chineseCounting"/>
      <w:suff w:val="nothing"/>
      <w:lvlText w:val="（%1）"/>
      <w:lvlJc w:val="left"/>
      <w:rPr>
        <w:rFonts w:hint="eastAsia"/>
      </w:rPr>
    </w:lvl>
  </w:abstractNum>
  <w:abstractNum w:abstractNumId="2">
    <w:nsid w:val="75C8E0EC"/>
    <w:multiLevelType w:val="singleLevel"/>
    <w:tmpl w:val="75C8E0EC"/>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mNjYzMDYzZDIxZjllZWNlMWNlNjUyZGZjZjQ3YmUifQ=="/>
  </w:docVars>
  <w:rsids>
    <w:rsidRoot w:val="71F41DB5"/>
    <w:rsid w:val="029E219D"/>
    <w:rsid w:val="0AC95B57"/>
    <w:rsid w:val="0FBB32DE"/>
    <w:rsid w:val="171B4C37"/>
    <w:rsid w:val="19A46AF8"/>
    <w:rsid w:val="342E2357"/>
    <w:rsid w:val="36400F1E"/>
    <w:rsid w:val="3FD71712"/>
    <w:rsid w:val="437D5FD0"/>
    <w:rsid w:val="44267390"/>
    <w:rsid w:val="493B392A"/>
    <w:rsid w:val="4BE52360"/>
    <w:rsid w:val="55C976BF"/>
    <w:rsid w:val="57297BD1"/>
    <w:rsid w:val="670E7B02"/>
    <w:rsid w:val="6C30488A"/>
    <w:rsid w:val="6EA32411"/>
    <w:rsid w:val="6F632C47"/>
    <w:rsid w:val="71F41DB5"/>
    <w:rsid w:val="723F6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
    <w:pPr>
      <w:ind w:right="332"/>
      <w:jc w:val="center"/>
      <w:outlineLvl w:val="0"/>
    </w:pPr>
    <w:rPr>
      <w:rFonts w:ascii="PMingLiU" w:hAnsi="PMingLiU" w:eastAsia="PMingLiU" w:cs="PMingLiU"/>
      <w:sz w:val="44"/>
      <w:szCs w:val="44"/>
      <w:lang w:val="zh-CN" w:bidi="zh-CN"/>
    </w:rPr>
  </w:style>
  <w:style w:type="paragraph" w:styleId="4">
    <w:name w:val="heading 2"/>
    <w:basedOn w:val="1"/>
    <w:next w:val="1"/>
    <w:qFormat/>
    <w:uiPriority w:val="0"/>
    <w:pPr>
      <w:keepNext/>
      <w:keepLines/>
      <w:spacing w:line="413" w:lineRule="auto"/>
      <w:outlineLvl w:val="1"/>
    </w:pPr>
    <w:rPr>
      <w:rFonts w:ascii="Arial" w:hAnsi="Arial" w:eastAsia="黑体" w:cs="Times New Roman"/>
      <w:b/>
      <w:sz w:val="32"/>
      <w:szCs w:val="24"/>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link w:val="15"/>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7">
    <w:name w:val="Body Text"/>
    <w:basedOn w:val="1"/>
    <w:link w:val="16"/>
    <w:qFormat/>
    <w:uiPriority w:val="1"/>
    <w:rPr>
      <w:rFonts w:ascii="仿宋_GB2312" w:hAnsi="仿宋_GB2312" w:eastAsia="仿宋_GB2312" w:cs="仿宋_GB2312"/>
      <w:sz w:val="32"/>
      <w:szCs w:val="32"/>
      <w:lang w:val="zh-CN" w:bidi="zh-CN"/>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uiPriority w:val="0"/>
  </w:style>
  <w:style w:type="paragraph" w:styleId="13">
    <w:name w:val="List Paragraph"/>
    <w:basedOn w:val="1"/>
    <w:qFormat/>
    <w:uiPriority w:val="1"/>
    <w:pPr>
      <w:ind w:left="266" w:firstLine="640"/>
    </w:pPr>
    <w:rPr>
      <w:rFonts w:ascii="仿宋_GB2312" w:hAnsi="仿宋_GB2312" w:eastAsia="仿宋_GB2312" w:cs="仿宋_GB2312"/>
      <w:lang w:val="zh-CN" w:bidi="zh-CN"/>
    </w:rPr>
  </w:style>
  <w:style w:type="paragraph" w:customStyle="1" w:styleId="14">
    <w:name w:val="Table Paragraph"/>
    <w:basedOn w:val="1"/>
    <w:qFormat/>
    <w:uiPriority w:val="1"/>
    <w:rPr>
      <w:rFonts w:ascii="宋体" w:hAnsi="宋体" w:eastAsia="宋体" w:cs="宋体"/>
      <w:lang w:val="zh-CN" w:bidi="zh-CN"/>
    </w:rPr>
  </w:style>
  <w:style w:type="character" w:customStyle="1" w:styleId="15">
    <w:name w:val="标题 4 Char"/>
    <w:link w:val="6"/>
    <w:uiPriority w:val="0"/>
    <w:rPr>
      <w:rFonts w:ascii="Arial" w:hAnsi="Arial" w:eastAsia="黑体"/>
      <w:b/>
      <w:sz w:val="28"/>
    </w:rPr>
  </w:style>
  <w:style w:type="character" w:customStyle="1" w:styleId="16">
    <w:name w:val="正文文本 Char"/>
    <w:link w:val="7"/>
    <w:qFormat/>
    <w:uiPriority w:val="1"/>
    <w:rPr>
      <w:rFonts w:ascii="仿宋_GB2312" w:hAnsi="仿宋_GB2312" w:eastAsia="仿宋_GB2312" w:cs="仿宋_GB2312"/>
      <w:sz w:val="32"/>
      <w:szCs w:val="3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2000</Words>
  <Characters>2056</Characters>
  <Lines>0</Lines>
  <Paragraphs>0</Paragraphs>
  <TotalTime>1</TotalTime>
  <ScaleCrop>false</ScaleCrop>
  <LinksUpToDate>false</LinksUpToDate>
  <CharactersWithSpaces>2073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2022-04-28T08:55:00Z</dcterms:created>
  <dc:creator>Administrator</dc:creator>
  <cp:lastModifiedBy>Administrator</cp:lastModifiedBy>
  <cp:lastPrinted>2023-01-29T03:07:20Z</cp:lastPrinted>
  <dcterms:modified xsi:type="dcterms:W3CDTF">2023-01-29T03:07:57Z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5CB1D6A22D894BD280DDE184CB471884</vt:lpwstr>
  </property>
</Properties>
</file>