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淮北市自然资源和规划局烈山分局2024年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p/>
    <w:p/>
    <w:p/>
    <w:p/>
    <w:p/>
    <w:p/>
    <w:p/>
    <w:p/>
    <w:p/>
    <w:p/>
    <w:p/>
    <w:p/>
    <w:p/>
    <w:p/>
    <w:p/>
    <w:p/>
    <w:p/>
    <w:p/>
    <w:p/>
    <w:p/>
    <w:p/>
    <w:p>
      <w:pPr>
        <w:pStyle w:val="8"/>
        <w:adjustRightInd w:val="0"/>
        <w:snapToGrid w:val="0"/>
        <w:spacing w:line="560" w:lineRule="exact"/>
        <w:jc w:val="center"/>
        <w:rPr>
          <w:rFonts w:ascii="TimesNewRoman" w:hAnsi="TimesNewRoman" w:eastAsia="黑体" w:cs="TimesNewRoman"/>
          <w:bCs/>
          <w:sz w:val="44"/>
          <w:szCs w:val="44"/>
        </w:rPr>
      </w:pPr>
    </w:p>
    <w:p>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2024年2月</w:t>
      </w:r>
    </w:p>
    <w:p/>
    <w:p/>
    <w:p>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 1、主要职责</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1、淮北市自然资源和规划局烈山分局2024年收支总表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2、淮北市自然资源和规划局烈山分局2024年收入总表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3、淮北市自然资源和规划局烈山分局2024年支出总表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4、淮北市自然资源和规划局烈山分局2024年财政拨款收支总表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5、淮北市自然资源和规划局烈山分局2024年一般公共预算支出表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6、淮北市自然资源和规划局烈山分局2024年一般公共预算基本支出表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7、淮北市自然资源和规划局烈山分局2024年政府性基金预算支出表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8、淮北市自然资源和规划局烈山分局2024年国有资本经营预算支出表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9、淮北市自然资源和规划局烈山分局2024年项目支出表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10、淮北市自然资源和规划局烈山分局2024年政府采购支出表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11、淮北市自然资源和规划局烈山分局2024年政府购买服务支出表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12、淮北市自然资源和规划局烈山分局</w:t>
      </w:r>
      <w:r>
        <w:rPr>
          <w:rFonts w:ascii="TimesNewRoman" w:hAnsi="TimesNewRoman" w:eastAsia="仿宋_GB2312" w:cs="TimesNewRoman"/>
          <w:bCs/>
          <w:sz w:val="32"/>
          <w:szCs w:val="32"/>
        </w:rPr>
        <w:t>2024年通用资产配置支出表</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1、淮北市自然资源和规划局烈山分局2024年部门预算纳入绩效考评项目表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2、淮北市自然资源和规划局烈山分局2024年部门预算专项资金管理清单（专栏公开）</w:t>
      </w:r>
    </w:p>
    <w:p>
      <w:pPr>
        <w:pStyle w:val="8"/>
        <w:adjustRightInd w:val="0"/>
        <w:snapToGrid w:val="0"/>
        <w:spacing w:line="400" w:lineRule="exact"/>
        <w:ind w:firstLine="800" w:firstLineChars="250"/>
        <w:rPr>
          <w:rFonts w:ascii="TimesNewRoman" w:hAnsi="TimesNewRoman" w:eastAsia="仿宋_GB2312" w:cs="TimesNewRoman"/>
          <w:bCs/>
          <w:sz w:val="32"/>
          <w:szCs w:val="32"/>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8"/>
        <w:numPr>
          <w:ilvl w:val="0"/>
          <w:numId w:val="1"/>
        </w:numPr>
        <w:adjustRightInd w:val="0"/>
        <w:snapToGrid w:val="0"/>
        <w:spacing w:line="560" w:lineRule="exact"/>
        <w:rPr>
          <w:rFonts w:ascii="TimesNewRoman" w:hAnsi="TimesNewRoman" w:eastAsia="黑体" w:cs="TimesNewRoman"/>
          <w:bCs/>
          <w:sz w:val="32"/>
          <w:szCs w:val="32"/>
        </w:rPr>
      </w:pPr>
      <w:r>
        <w:rPr>
          <w:rFonts w:hint="eastAsia" w:ascii="TimesNewRoman" w:hAnsi="TimesNewRoman" w:eastAsia="黑体" w:cs="TimesNewRoman"/>
          <w:bCs/>
          <w:sz w:val="32"/>
          <w:szCs w:val="32"/>
        </w:rPr>
        <w:t>主要职责</w:t>
      </w:r>
    </w:p>
    <w:p>
      <w:pPr>
        <w:pStyle w:val="8"/>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宣传贯彻执行国土资源管理的法律法规和有关方针政策；落实土地利用总体规划、矿产资源规划和动态巡查制度；依法监督管理本区域内土地、矿产资源和测绘工作；组织实施基本农田保护和未利用土地开发、整理、复垦工作；协助市局做好各类用地的审查报批、建设用地管理、地籍管理、建设项目的评估选址、非煤矿山管理、测绘管理工作；对矿业权人履行法定权利义务、矿产资源合理开发利用与保护、矿山生态环境保护与治理进行监督检查；协助做好地质灾害监测和防治工作、地下水等地质环境资源的动态监测和地质遗迹的保护工作；开展国土资源执法监察，配合市局查处辖区内土地、矿产、测绘违法案件；做好对辖区内国土资源所人员和业务的管理工作；做好国土资源信访接待工作，及时调处和化解矛盾，发现重大上访苗头，及时向当地党委、政府和上级国土资源部门报告。</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淮北市自然资源和规划局烈山分局</w:t>
      </w:r>
      <w:r>
        <w:rPr>
          <w:rFonts w:hint="eastAsia" w:ascii="TimesNewRoman" w:hAnsi="TimesNewRoman" w:eastAsia="仿宋_GB2312" w:cs="TimesNewRoman"/>
          <w:sz w:val="32"/>
          <w:szCs w:val="32"/>
        </w:rPr>
        <w:t>2024年度部门预算包括局本级预算和局下属单位预算，纳入部门预算编制范围的预算单位共1个，具体情况见下表。</w:t>
      </w:r>
    </w:p>
    <w:tbl>
      <w:tblPr>
        <w:tblStyle w:val="10"/>
        <w:tblW w:w="8540" w:type="dxa"/>
        <w:jc w:val="center"/>
        <w:tblLayout w:type="fixed"/>
        <w:tblCellMar>
          <w:top w:w="0" w:type="dxa"/>
          <w:left w:w="0" w:type="dxa"/>
          <w:bottom w:w="0" w:type="dxa"/>
          <w:right w:w="0" w:type="dxa"/>
        </w:tblCellMar>
      </w:tblPr>
      <w:tblGrid>
        <w:gridCol w:w="712"/>
        <w:gridCol w:w="3840"/>
        <w:gridCol w:w="3988"/>
      </w:tblGrid>
      <w:tr>
        <w:tblPrEx>
          <w:tblCellMar>
            <w:top w:w="0" w:type="dxa"/>
            <w:left w:w="0" w:type="dxa"/>
            <w:bottom w:w="0" w:type="dxa"/>
            <w:right w:w="0" w:type="dxa"/>
          </w:tblCellMar>
        </w:tblPrEx>
        <w:trPr>
          <w:trHeight w:val="579" w:hRule="atLeast"/>
          <w:jc w:val="center"/>
        </w:trPr>
        <w:tc>
          <w:tcPr>
            <w:tcW w:w="7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8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3988"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7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淮北市自然资源和规划局烈山分局</w:t>
            </w:r>
          </w:p>
        </w:tc>
        <w:tc>
          <w:tcPr>
            <w:tcW w:w="3988"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bl>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numPr>
          <w:ilvl w:val="0"/>
          <w:numId w:val="2"/>
        </w:numPr>
        <w:spacing w:line="6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持续抓好党建引领工作</w:t>
      </w:r>
    </w:p>
    <w:p>
      <w:pPr>
        <w:pStyle w:val="8"/>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一是要提高政治站位。深入学习贯彻习近平新时代中国特色社会主义思想，推动全体党员干部全面贯彻党的二十大战略部署，保持全党统一的思想、坚定的意志、协调的行动、强大的战斗力；二是要严守政治规矩。把政治纪律放在首位，增强政治敏锐性和政治辨别力，站稳政治立场、把牢政治方向、落实政治要求；三是要加强支部建设。全面贯彻落实基层党支部规范化建设文件精神和要求，推动主体责任全面落实，进一步做好抓基层工作，规范“三会一课”、主题党日活动。</w:t>
      </w:r>
    </w:p>
    <w:p>
      <w:pPr>
        <w:numPr>
          <w:ilvl w:val="0"/>
          <w:numId w:val="2"/>
        </w:numPr>
        <w:spacing w:line="660" w:lineRule="exact"/>
        <w:ind w:firstLine="640" w:firstLineChars="200"/>
        <w:rPr>
          <w:rFonts w:ascii="黑体" w:hAnsi="黑体" w:eastAsia="黑体" w:cs="黑体"/>
          <w:color w:val="000000" w:themeColor="text1"/>
          <w:sz w:val="32"/>
          <w:szCs w:val="32"/>
        </w:rPr>
      </w:pPr>
      <w:r>
        <w:rPr>
          <w:rFonts w:ascii="黑体" w:hAnsi="黑体" w:eastAsia="黑体" w:cs="黑体"/>
          <w:color w:val="000000" w:themeColor="text1"/>
          <w:sz w:val="32"/>
          <w:szCs w:val="32"/>
        </w:rPr>
        <w:t>严格履行耕地保护职责</w:t>
      </w:r>
    </w:p>
    <w:p>
      <w:pPr>
        <w:pStyle w:val="8"/>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一是日常变更及时预警。根据国家日常变更监测到的图斑和各镇所执法巡查自行发现提取图斑，结合最新影像提取疑似图斑，实地调查举证，对于耕地非粮化、非农化图斑，向耕保和执法部门发送移交单，协助开展整改工作。二是严格整治土地违法。加大卫片执法力度，压实镇办主体责任，及时发现问题、推动整改，减少新增违法用地面积和比例；推动历史遗留违法用地整改，对疑难问题采取一地一策方式研究落实整改措施，努力实现见底清零。</w:t>
      </w:r>
    </w:p>
    <w:p>
      <w:pPr>
        <w:numPr>
          <w:ilvl w:val="0"/>
          <w:numId w:val="2"/>
        </w:numPr>
        <w:spacing w:line="660" w:lineRule="exact"/>
        <w:ind w:firstLine="640" w:firstLineChars="200"/>
        <w:rPr>
          <w:rFonts w:ascii="黑体" w:hAnsi="黑体" w:eastAsia="黑体" w:cs="黑体"/>
          <w:color w:val="000000" w:themeColor="text1"/>
          <w:sz w:val="32"/>
          <w:szCs w:val="32"/>
        </w:rPr>
      </w:pPr>
      <w:r>
        <w:rPr>
          <w:rFonts w:ascii="黑体" w:hAnsi="黑体" w:eastAsia="黑体" w:cs="黑体"/>
          <w:color w:val="000000" w:themeColor="text1"/>
          <w:sz w:val="32"/>
          <w:szCs w:val="32"/>
        </w:rPr>
        <w:t>不断提高要素保障能力</w:t>
      </w:r>
    </w:p>
    <w:p>
      <w:pPr>
        <w:pStyle w:val="8"/>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一是全面分析2024年重点项目用地时序、指标来源，健全补充耕地项目管理制度，全力保占补、争指标。二是做好建设用地报批工作，做实做细做优项目前期工作，提高报件质量和报批效率。三是优化国土空间格局，完善国土空间规划编制管理体系，结合城镇开发边界调整及市级国土空间总体规划编制内容，及时启动已批复的村庄规划的修改程序，努力探索村庄规划编制管理模式和推进驻镇规划师制度试点工作。</w:t>
      </w:r>
    </w:p>
    <w:p>
      <w:pPr>
        <w:numPr>
          <w:ilvl w:val="0"/>
          <w:numId w:val="2"/>
        </w:numPr>
        <w:spacing w:line="660" w:lineRule="exact"/>
        <w:ind w:firstLine="640" w:firstLineChars="200"/>
        <w:rPr>
          <w:rFonts w:ascii="黑体" w:hAnsi="黑体" w:eastAsia="黑体" w:cs="黑体"/>
          <w:color w:val="000000" w:themeColor="text1"/>
          <w:sz w:val="32"/>
          <w:szCs w:val="32"/>
        </w:rPr>
      </w:pPr>
      <w:r>
        <w:rPr>
          <w:rFonts w:ascii="黑体" w:hAnsi="黑体" w:eastAsia="黑体" w:cs="黑体"/>
          <w:color w:val="000000" w:themeColor="text1"/>
          <w:sz w:val="32"/>
          <w:szCs w:val="32"/>
        </w:rPr>
        <w:t>依规实施生态修复项目</w:t>
      </w:r>
    </w:p>
    <w:p>
      <w:pPr>
        <w:pStyle w:val="8"/>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一是科学谋划。统筹矿山国土空间现状、未来国土空间适宜性和产业发展需求，分类推进废弃矿山的生态修复工作。二是依规审查。深刻解读自然资源部、自然资源厅相关管理办法，扎实开展项目工程设计、评估论证工作，严格项目前期准备程序。三是严格实施。应结合项目实际，强化项目实施管理，从建立落实实施管理制度、规范实施方案调整、规范工程验收、做好后期管护等环节进行确保项目实施程序规范、质量达标。实施过程中聘请第三方进行动态监测，严禁越层越界。</w:t>
      </w:r>
    </w:p>
    <w:p>
      <w:pPr>
        <w:numPr>
          <w:ilvl w:val="0"/>
          <w:numId w:val="2"/>
        </w:numPr>
        <w:spacing w:line="660" w:lineRule="exact"/>
        <w:ind w:firstLine="640" w:firstLineChars="200"/>
        <w:rPr>
          <w:rFonts w:ascii="黑体" w:hAnsi="黑体" w:eastAsia="黑体" w:cs="黑体"/>
          <w:color w:val="000000" w:themeColor="text1"/>
          <w:sz w:val="32"/>
          <w:szCs w:val="32"/>
        </w:rPr>
      </w:pPr>
      <w:r>
        <w:rPr>
          <w:rFonts w:ascii="黑体" w:hAnsi="黑体" w:eastAsia="黑体" w:cs="黑体"/>
          <w:color w:val="000000" w:themeColor="text1"/>
          <w:sz w:val="32"/>
          <w:szCs w:val="32"/>
        </w:rPr>
        <w:t>持续优化为民为企服务</w:t>
      </w:r>
    </w:p>
    <w:p>
      <w:pPr>
        <w:pStyle w:val="8"/>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一是农村房地一体确权登记工作。继续大力推进农村宅基地使用权及地上房屋不动产确权登记工作，采取集中统一办理，简化办事流程，解决了群众办证难问题；二是承接工业项目审批工作。深入推进规划管理改革，对标江浙沪先进做法，在承诺事项上持续发力，为烈山工业项目高质量发展提供规划要素保障。同时做好批后监管服务工作，及时提醒建设单位按照规划要求进行建设，对工业项目涉及的历史遗留难题逐步破解。</w:t>
      </w:r>
    </w:p>
    <w:p>
      <w:pPr>
        <w:numPr>
          <w:ilvl w:val="0"/>
          <w:numId w:val="2"/>
        </w:numPr>
        <w:spacing w:line="660" w:lineRule="exact"/>
        <w:ind w:firstLine="640" w:firstLineChars="200"/>
        <w:rPr>
          <w:rFonts w:ascii="黑体" w:hAnsi="黑体" w:eastAsia="黑体" w:cs="黑体"/>
          <w:color w:val="000000" w:themeColor="text1"/>
          <w:sz w:val="32"/>
          <w:szCs w:val="32"/>
        </w:rPr>
      </w:pPr>
      <w:r>
        <w:rPr>
          <w:rFonts w:ascii="黑体" w:hAnsi="黑体" w:eastAsia="黑体" w:cs="黑体"/>
          <w:color w:val="000000" w:themeColor="text1"/>
          <w:sz w:val="32"/>
          <w:szCs w:val="32"/>
        </w:rPr>
        <w:t>全力巩固林业改革成果</w:t>
      </w:r>
    </w:p>
    <w:p>
      <w:pPr>
        <w:pStyle w:val="8"/>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一是建立适应现代化农业发展需求的农田防护林体系。规划2024年将在古饶镇张庄村、王店村，宋疃东风村、军王村，烈山镇南庄村实施高标建设，种植农田防护林7400棵。二是健全石质山区森林生态系统质量提升机制。我区的石质山造林于2015年全部完成绿化，2016年-2022年为进一步巩固荒山绿化成果，提升东部山场绿化、美化、彩化档次，实施森林多目标经营活动。从2023年到2027年市林业局在我区实施二次上山行动暨绿水青山2.0版，主要是对石质山森林生态系统的提升，我局将根据市林业局的布局编制我区石质山森林系统质量提升机制。2024年在蒋疃南套山场实施提质增效工程，实施面积约1000亩。</w:t>
      </w:r>
    </w:p>
    <w:p>
      <w:pPr>
        <w:pStyle w:val="8"/>
        <w:adjustRightInd w:val="0"/>
        <w:snapToGrid w:val="0"/>
        <w:spacing w:line="560" w:lineRule="exact"/>
        <w:jc w:val="center"/>
        <w:rPr>
          <w:rFonts w:hint="eastAsia" w:ascii="TimesNewRoman" w:hAnsi="TimesNewRoman" w:eastAsia="黑体" w:cs="TimesNewRoman"/>
          <w:bCs/>
          <w:sz w:val="36"/>
          <w:szCs w:val="36"/>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8"/>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自然资源和规划局烈山分局所有收入和支出均纳入部门预算管理。淮北市自然资源和规划局烈山分局2024年收支总预算876.76万元，收入包括一般公共预算拨款收入、政府性基金预算拨款收入，支出包括：社会保障和就业支出、卫生健康支出、</w:t>
      </w:r>
      <w:r>
        <w:rPr>
          <w:rFonts w:hint="eastAsia" w:ascii="仿宋_GB2312" w:hAnsi="仿宋" w:eastAsia="仿宋_GB2312"/>
          <w:sz w:val="32"/>
          <w:szCs w:val="32"/>
        </w:rPr>
        <w:t>城乡社区支出、自然资源海洋气象等支出、</w:t>
      </w:r>
      <w:r>
        <w:rPr>
          <w:rFonts w:hint="eastAsia" w:ascii="TimesNewRoman" w:hAnsi="TimesNewRoman" w:eastAsia="仿宋_GB2312" w:cs="TimesNewRoman"/>
          <w:sz w:val="32"/>
          <w:szCs w:val="32"/>
        </w:rPr>
        <w:t>住房保障支出。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淮北市自然资源和规划局烈山分局2024年收入预算876.76万元，其中，本年收入876.76万元。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（一）本年收入876.76万元，</w:t>
      </w:r>
      <w:r>
        <w:rPr>
          <w:rFonts w:hint="eastAsia" w:ascii="TimesNewRoman" w:hAnsi="TimesNewRoman" w:eastAsia="仿宋_GB2312" w:cs="TimesNewRoman"/>
          <w:kern w:val="0"/>
          <w:sz w:val="32"/>
          <w:szCs w:val="32"/>
        </w:rPr>
        <w:t>主要包括：一般公共预算拨款收入734.76万元，占83.80%，比2023年预算增加38.28万元，增长5.50%，原因主要是</w:t>
      </w:r>
      <w:r>
        <w:rPr>
          <w:rFonts w:hint="eastAsia" w:ascii="仿宋_GB2312" w:hAnsi="仿宋" w:eastAsia="仿宋_GB2312" w:cs="Times New Roman"/>
          <w:sz w:val="32"/>
          <w:szCs w:val="32"/>
        </w:rPr>
        <w:t>人员增加</w:t>
      </w:r>
      <w:r>
        <w:rPr>
          <w:rFonts w:hint="eastAsia" w:ascii="TimesNewRoman" w:hAnsi="TimesNewRoman" w:eastAsia="仿宋_GB2312" w:cs="TimesNewRoman"/>
          <w:kern w:val="0"/>
          <w:sz w:val="32"/>
          <w:szCs w:val="32"/>
        </w:rPr>
        <w:t>；政府性基金预算拨款收入142万元，占16.20%，与2023年预算一致；财政专户管理资金收入0万元，</w:t>
      </w:r>
      <w:r>
        <w:rPr>
          <w:rFonts w:hint="eastAsia" w:ascii="TimesNewRoman" w:hAnsi="TimesNewRoman" w:eastAsia="仿宋_GB2312" w:cs="TimesNewRoman"/>
          <w:kern w:val="0"/>
          <w:sz w:val="32"/>
          <w:szCs w:val="32"/>
          <w:lang w:eastAsia="zh-CN"/>
        </w:rPr>
        <w:t>占比</w:t>
      </w:r>
      <w:r>
        <w:rPr>
          <w:rFonts w:hint="eastAsia" w:ascii="TimesNewRoman" w:hAnsi="TimesNewRoman" w:eastAsia="仿宋_GB2312" w:cs="TimesNewRoman"/>
          <w:kern w:val="0"/>
          <w:sz w:val="32"/>
          <w:szCs w:val="32"/>
          <w:lang w:val="en-US" w:eastAsia="zh-CN"/>
        </w:rPr>
        <w:t>0%，</w:t>
      </w:r>
      <w:bookmarkStart w:id="0" w:name="_GoBack"/>
      <w:bookmarkEnd w:id="0"/>
      <w:r>
        <w:rPr>
          <w:rFonts w:hint="eastAsia" w:ascii="TimesNewRoman" w:hAnsi="TimesNewRoman" w:eastAsia="仿宋_GB2312" w:cs="TimesNewRoman"/>
          <w:kern w:val="0"/>
          <w:sz w:val="32"/>
          <w:szCs w:val="32"/>
        </w:rPr>
        <w:t>与2023年预算一致。</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淮北市自然资源和规划局烈山分局2024年支出预算876.76万元，比2023年预算增加38.28万元，增长4.57%，原因主要是</w:t>
      </w:r>
      <w:r>
        <w:rPr>
          <w:rFonts w:hint="eastAsia" w:ascii="仿宋_GB2312" w:hAnsi="仿宋" w:eastAsia="仿宋_GB2312" w:cs="Times New Roman"/>
          <w:sz w:val="32"/>
          <w:szCs w:val="32"/>
        </w:rPr>
        <w:t>人员增加</w:t>
      </w:r>
      <w:r>
        <w:rPr>
          <w:rFonts w:hint="eastAsia" w:ascii="TimesNewRoman" w:hAnsi="TimesNewRoman" w:eastAsia="仿宋_GB2312" w:cs="TimesNewRoman"/>
          <w:kern w:val="0"/>
          <w:sz w:val="32"/>
          <w:szCs w:val="32"/>
        </w:rPr>
        <w:t>。其中，基本支出734.76万元，占83.80%，主要用于保障机构日常运转、完成日常工作任务；项目支出142万元，占16.20%，主要用于</w:t>
      </w:r>
      <w:r>
        <w:rPr>
          <w:rFonts w:hint="eastAsia" w:ascii="仿宋_GB2312" w:hAnsi="仿宋" w:eastAsia="仿宋_GB2312"/>
          <w:sz w:val="32"/>
          <w:szCs w:val="32"/>
        </w:rPr>
        <w:t>局本级和局下属单位项目支出。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2024年财政拨款收支预算876.76万元。收入按资金来源分为：一般公共预算拨款734.76万元、政府性基金预算拨款142万元；按资金年度分为：本年财政拨款收入876.76万元。支出按功能分类分为：社会保障和就业支出113.95万元，占13.00%；卫生健康支出34.60万元，占3.95%；城乡社区支出</w:t>
      </w:r>
      <w:r>
        <w:rPr>
          <w:rFonts w:hint="eastAsia" w:ascii="TimesNewRoman" w:hAnsi="TimesNewRoman" w:eastAsia="仿宋_GB2312" w:cs="TimesNewRoman"/>
          <w:color w:val="000000" w:themeColor="text1"/>
          <w:kern w:val="0"/>
          <w:sz w:val="32"/>
          <w:szCs w:val="32"/>
        </w:rPr>
        <w:t>142</w:t>
      </w:r>
      <w:r>
        <w:rPr>
          <w:rFonts w:hint="eastAsia" w:ascii="TimesNewRoman" w:hAnsi="TimesNewRoman" w:eastAsia="仿宋_GB2312" w:cs="TimesNewRoman"/>
          <w:kern w:val="0"/>
          <w:sz w:val="32"/>
          <w:szCs w:val="32"/>
        </w:rPr>
        <w:t>万元，占16.20%；自然资源海洋气象等支出463.71万元，占52.89%；住房保障支出122.50万元，占13.97%。</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淮北市自然资源和规划局烈山分局2024年一般公共预算支出734.76万元，比2023年预算增加38.28万元，增长5.50%，主要原因：</w:t>
      </w:r>
      <w:r>
        <w:rPr>
          <w:rFonts w:hint="eastAsia" w:ascii="仿宋_GB2312" w:hAnsi="仿宋" w:eastAsia="仿宋_GB2312" w:cs="Times New Roman"/>
          <w:sz w:val="32"/>
          <w:szCs w:val="32"/>
        </w:rPr>
        <w:t>人员增加</w:t>
      </w:r>
      <w:r>
        <w:rPr>
          <w:rFonts w:hint="eastAsia" w:ascii="TimesNewRoman" w:hAnsi="TimesNewRoman" w:eastAsia="仿宋_GB2312" w:cs="TimesNewRoman"/>
          <w:kern w:val="0"/>
          <w:sz w:val="32"/>
          <w:szCs w:val="32"/>
        </w:rPr>
        <w:t>。</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社会保障和就业支出113.95万元，占13.00%；卫生健康支出34.60万元，占3.95%；城乡社区支出</w:t>
      </w:r>
      <w:r>
        <w:rPr>
          <w:rFonts w:hint="eastAsia" w:ascii="TimesNewRoman" w:hAnsi="TimesNewRoman" w:eastAsia="仿宋_GB2312" w:cs="TimesNewRoman"/>
          <w:color w:val="000000" w:themeColor="text1"/>
          <w:kern w:val="0"/>
          <w:sz w:val="32"/>
          <w:szCs w:val="32"/>
        </w:rPr>
        <w:t>142</w:t>
      </w:r>
      <w:r>
        <w:rPr>
          <w:rFonts w:hint="eastAsia" w:ascii="TimesNewRoman" w:hAnsi="TimesNewRoman" w:eastAsia="仿宋_GB2312" w:cs="TimesNewRoman"/>
          <w:kern w:val="0"/>
          <w:sz w:val="32"/>
          <w:szCs w:val="32"/>
        </w:rPr>
        <w:t>万元，占16.20%；自然资源海洋气象等支出463.71万元，占52.89%；住房保障支出122.50万元，占13.97% 。</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（类）行政事业单位养老支出（款）行政单位离退休（项）</w:t>
      </w:r>
      <w:r>
        <w:rPr>
          <w:rFonts w:hint="eastAsia" w:ascii="TimesNewRoman" w:hAnsi="TimesNewRoman" w:eastAsia="仿宋_GB2312" w:cs="TimesNewRoman"/>
          <w:kern w:val="0"/>
          <w:sz w:val="32"/>
          <w:szCs w:val="32"/>
        </w:rPr>
        <w:t>2024年预算15.97万元，比2023年预算增加0.94万元，增长6.25%，原因主要是增加退休人员提租补贴。</w:t>
      </w:r>
    </w:p>
    <w:p>
      <w:pPr>
        <w:ind w:firstLine="640" w:firstLineChars="200"/>
        <w:rPr>
          <w:rFonts w:ascii="TimesNewRoman" w:hAnsi="TimesNewRoman" w:eastAsia="仿宋_GB2312" w:cs="TimesNewRoman"/>
          <w:kern w:val="0"/>
          <w:sz w:val="32"/>
          <w:szCs w:val="32"/>
          <w:shd w:val="clear" w:color="FFFFFF" w:fill="D9D9D9"/>
        </w:rPr>
      </w:pPr>
      <w:r>
        <w:rPr>
          <w:rFonts w:hint="eastAsia" w:ascii="TimesNewRoman" w:hAnsi="TimesNewRoman" w:eastAsia="仿宋_GB2312" w:cs="TimesNewRoman"/>
          <w:kern w:val="0"/>
          <w:sz w:val="32"/>
          <w:szCs w:val="32"/>
        </w:rPr>
        <w:t>2、</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（类）行政事业单位养老支出（款）机关事业单位基本养老保险缴费支出（项）</w:t>
      </w:r>
      <w:r>
        <w:rPr>
          <w:rFonts w:hint="eastAsia" w:ascii="TimesNewRoman" w:hAnsi="TimesNewRoman" w:eastAsia="仿宋_GB2312" w:cs="TimesNewRoman"/>
          <w:kern w:val="0"/>
          <w:sz w:val="32"/>
          <w:szCs w:val="32"/>
        </w:rPr>
        <w:t>2024年预算63.96万元，比2023年预算增加2.57万元，增长4.19%，原因主要是</w:t>
      </w:r>
      <w:r>
        <w:rPr>
          <w:rFonts w:hint="eastAsia" w:ascii="仿宋_GB2312" w:hAnsi="仿宋" w:eastAsia="仿宋_GB2312"/>
          <w:sz w:val="32"/>
          <w:szCs w:val="32"/>
        </w:rPr>
        <w:t>人员变动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shd w:val="clear" w:color="FFFFFF" w:fill="D9D9D9"/>
        </w:rPr>
      </w:pPr>
      <w:r>
        <w:rPr>
          <w:rFonts w:hint="eastAsia" w:ascii="TimesNewRoman" w:hAnsi="TimesNewRoman" w:eastAsia="仿宋_GB2312" w:cs="TimesNewRoman"/>
          <w:kern w:val="0"/>
          <w:sz w:val="32"/>
          <w:szCs w:val="32"/>
        </w:rPr>
        <w:t>3、</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（类）行政事业单位养老支出（款）机关事业单位职业年金缴费支出（项）</w:t>
      </w:r>
      <w:r>
        <w:rPr>
          <w:rFonts w:hint="eastAsia" w:ascii="TimesNewRoman" w:hAnsi="TimesNewRoman" w:eastAsia="仿宋_GB2312" w:cs="TimesNewRoman"/>
          <w:kern w:val="0"/>
          <w:sz w:val="32"/>
          <w:szCs w:val="32"/>
        </w:rPr>
        <w:t>2024年预算31.98万元，比2023年预算增加1.02万元，增长3.32%，原因主要是</w:t>
      </w:r>
      <w:r>
        <w:rPr>
          <w:rFonts w:hint="eastAsia" w:ascii="仿宋_GB2312" w:hAnsi="仿宋" w:eastAsia="仿宋_GB2312"/>
          <w:sz w:val="32"/>
          <w:szCs w:val="32"/>
        </w:rPr>
        <w:t>人员变动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（类）行政事业单位养老支出（款）其他行政事业单位养老支出（项）</w:t>
      </w:r>
      <w:r>
        <w:rPr>
          <w:rFonts w:hint="eastAsia" w:ascii="TimesNewRoman" w:hAnsi="TimesNewRoman" w:eastAsia="仿宋_GB2312" w:cs="TimesNewRoman"/>
          <w:kern w:val="0"/>
          <w:sz w:val="32"/>
          <w:szCs w:val="32"/>
        </w:rPr>
        <w:t>2024年预算0.09万元，与2023年预算一致。</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（类）其他社会保障和就业支出（款）其他社会保障和就业支出（项）</w:t>
      </w:r>
      <w:r>
        <w:rPr>
          <w:rFonts w:hint="eastAsia" w:ascii="TimesNewRoman" w:hAnsi="TimesNewRoman" w:eastAsia="仿宋_GB2312" w:cs="TimesNewRoman"/>
          <w:kern w:val="0"/>
          <w:sz w:val="32"/>
          <w:szCs w:val="32"/>
        </w:rPr>
        <w:t>2024年预算1.95万元，比2023年预算增加0.05万元，增长2.63%，原因主要是人员变动。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（类）行政事业单位医疗（款）事业单位医疗（项）</w:t>
      </w:r>
      <w:r>
        <w:rPr>
          <w:rFonts w:hint="eastAsia" w:ascii="TimesNewRoman" w:hAnsi="TimesNewRoman" w:eastAsia="仿宋_GB2312" w:cs="TimesNewRoman"/>
          <w:kern w:val="0"/>
          <w:sz w:val="32"/>
          <w:szCs w:val="32"/>
        </w:rPr>
        <w:t>2024年预算24.89万元，比2023年预算增加1.03万元，增长4.32%，原因主要是社保基数调整及人员变动。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（类）行政事业单位医疗（款）公务员医疗补助（项）</w:t>
      </w:r>
      <w:r>
        <w:rPr>
          <w:rFonts w:hint="eastAsia" w:ascii="TimesNewRoman" w:hAnsi="TimesNewRoman" w:eastAsia="仿宋_GB2312" w:cs="TimesNewRoman"/>
          <w:kern w:val="0"/>
          <w:sz w:val="32"/>
          <w:szCs w:val="32"/>
        </w:rPr>
        <w:t>2024年预算9.72万元，比2023年预算增加0.37万元，增长3.96%，原因主要是社保基数调整及人员变动。</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8、</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（类）自然资源事务（款）行政运行（项）</w:t>
      </w:r>
      <w:r>
        <w:rPr>
          <w:rFonts w:hint="eastAsia" w:ascii="TimesNewRoman" w:hAnsi="TimesNewRoman" w:eastAsia="仿宋_GB2312" w:cs="TimesNewRoman"/>
          <w:kern w:val="0"/>
          <w:sz w:val="32"/>
          <w:szCs w:val="32"/>
        </w:rPr>
        <w:t>2024年预算68.13万元，比2023年预算增加12.88万元，增长23.31%，原因主要是</w:t>
      </w:r>
      <w:r>
        <w:rPr>
          <w:rFonts w:hint="eastAsia" w:ascii="仿宋_GB2312" w:hAnsi="仿宋" w:eastAsia="仿宋_GB2312"/>
          <w:sz w:val="32"/>
          <w:szCs w:val="32"/>
        </w:rPr>
        <w:t>人员变动。</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9、</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（类）自然资源事务（款）事业运行（项）</w:t>
      </w:r>
      <w:r>
        <w:rPr>
          <w:rFonts w:hint="eastAsia" w:ascii="TimesNewRoman" w:hAnsi="TimesNewRoman" w:eastAsia="仿宋_GB2312" w:cs="TimesNewRoman"/>
          <w:kern w:val="0"/>
          <w:sz w:val="32"/>
          <w:szCs w:val="32"/>
        </w:rPr>
        <w:t>2024年预算395.58万元，比2023年预算减少16.28万元，下降3.95%，原因主要是</w:t>
      </w:r>
      <w:r>
        <w:rPr>
          <w:rFonts w:hint="eastAsia" w:ascii="仿宋_GB2312" w:hAnsi="仿宋" w:eastAsia="仿宋_GB2312"/>
          <w:sz w:val="32"/>
          <w:szCs w:val="32"/>
        </w:rPr>
        <w:t>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（类）住房改革支出（款）住房公积金（项）</w:t>
      </w:r>
      <w:r>
        <w:rPr>
          <w:rFonts w:hint="eastAsia" w:ascii="TimesNewRoman" w:hAnsi="TimesNewRoman" w:eastAsia="仿宋_GB2312" w:cs="TimesNewRoman"/>
          <w:kern w:val="0"/>
          <w:sz w:val="32"/>
          <w:szCs w:val="32"/>
        </w:rPr>
        <w:t>2024年预算73.50万元，比2023年预算增加12.04万元，增长19.59%，原因主要是公积金基数调整及人员变动。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（类）住房改革支出（款）提租补贴（项）</w:t>
      </w:r>
      <w:r>
        <w:rPr>
          <w:rFonts w:hint="eastAsia" w:ascii="TimesNewRoman" w:hAnsi="TimesNewRoman" w:eastAsia="仿宋_GB2312" w:cs="TimesNewRoman"/>
          <w:kern w:val="0"/>
          <w:sz w:val="32"/>
          <w:szCs w:val="32"/>
        </w:rPr>
        <w:t>2024年预算18.38万元，比2023年预算增加18.38万元，增长100%，原因主要是新增提租补贴费用支出。</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（类）住房改革支出（款）购房补贴（项）</w:t>
      </w:r>
      <w:r>
        <w:rPr>
          <w:rFonts w:hint="eastAsia" w:ascii="TimesNewRoman" w:hAnsi="TimesNewRoman" w:eastAsia="仿宋_GB2312" w:cs="TimesNewRoman"/>
          <w:kern w:val="0"/>
          <w:sz w:val="32"/>
          <w:szCs w:val="32"/>
        </w:rPr>
        <w:t>2024年预算30.63万元，比2023年预算增加5.02万元，增长19.60%，原因主要是公积金基数调整及人员变动。</w:t>
      </w:r>
    </w:p>
    <w:p>
      <w:p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淮北市自然资源和规划局烈山分局2024年一般公共预算基本支出734.76万元，其中，人员经费679.88万元，公用经费54.88万元。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（一）人员经费679.88万元，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办公费、工会经费、福利费、住房公积金、其他商品服务支出、退休费、生活补助、医疗费补助、其他对个人和家庭的补助。</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（二）公用经费54.88万元，</w:t>
      </w:r>
      <w:r>
        <w:rPr>
          <w:rFonts w:hint="eastAsia" w:ascii="TimesNewRoman" w:hAnsi="TimesNewRoman" w:eastAsia="仿宋_GB2312" w:cs="TimesNewRoman"/>
          <w:kern w:val="0"/>
          <w:sz w:val="32"/>
          <w:szCs w:val="32"/>
        </w:rPr>
        <w:t>主要包括：水费、电费、公务用车运行维护费、其他交通费用、其他商品服务支出。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淮北市自然资源和规划局烈山分局2024年政府性基金支出142万元，与2023年预算一致。具体情况如下：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（一）城乡社区支出（类）国有土地使用权出让收入安排的支出（款）土地出让业务支出（项）</w:t>
      </w:r>
      <w:r>
        <w:rPr>
          <w:rFonts w:hint="eastAsia" w:ascii="TimesNewRoman" w:hAnsi="TimesNewRoman" w:eastAsia="仿宋_GB2312" w:cs="TimesNewRoman"/>
          <w:kern w:val="0"/>
          <w:sz w:val="32"/>
          <w:szCs w:val="32"/>
        </w:rPr>
        <w:t>2024年预算142万元，</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淮北市自然资源和规划局烈山分局2024年没有国有资本经营预算拨款收入，也没有使用国有资本经营预算拨款安排的支出。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淮北市自然资源和规划局烈山分局2024年预算共安排项目支出142万元，</w:t>
      </w:r>
      <w:r>
        <w:rPr>
          <w:rFonts w:hint="eastAsia" w:ascii="仿宋_GB2312" w:hAnsi="仿宋" w:eastAsia="仿宋_GB2312" w:cs="Times New Roman"/>
          <w:sz w:val="32"/>
          <w:szCs w:val="32"/>
        </w:rPr>
        <w:t>与</w:t>
      </w:r>
      <w:r>
        <w:rPr>
          <w:rFonts w:hint="eastAsia" w:ascii="TimesNewRoman" w:hAnsi="TimesNewRoman" w:eastAsia="仿宋_GB2312" w:cs="TimesNewRoman"/>
          <w:kern w:val="0"/>
          <w:sz w:val="32"/>
          <w:szCs w:val="32"/>
        </w:rPr>
        <w:t>2023</w:t>
      </w:r>
      <w:r>
        <w:rPr>
          <w:rFonts w:hint="eastAsia" w:ascii="仿宋_GB2312" w:hAnsi="仿宋" w:eastAsia="仿宋_GB2312" w:cs="Times New Roman"/>
          <w:sz w:val="32"/>
          <w:szCs w:val="32"/>
        </w:rPr>
        <w:t>年预算一致</w:t>
      </w:r>
      <w:r>
        <w:rPr>
          <w:rFonts w:hint="eastAsia" w:ascii="TimesNewRoman" w:hAnsi="TimesNewRoman" w:eastAsia="仿宋_GB2312" w:cs="TimesNewRoman"/>
          <w:kern w:val="0"/>
          <w:sz w:val="32"/>
          <w:szCs w:val="32"/>
        </w:rPr>
        <w:t>。主要包括：本年财政拨款安排142万元（其中，一般公共预算拨款安排0万元，政府性基金预算拨款安排142万元），财政专户管理资金安排0万元。</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rPr>
        <w:t>4年没有使用一般公共预算拨款、政府性基金预算拨款、国有资本经营预算拨款、财政专户管理资金和单位资金安排的政府采购支出。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rPr>
        <w:t>4年预算没有安排政府购买服务支出。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1、“单位劳务保障支出”项目</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2次行政区划调整未入编人员经费：2005年10月，淮北市国土资源局对所辖事业单位实行垂直管理，并进行入编定岗考试，由于行政区划调整，乡镇合并，原有四个国土所变为3个，受编制限制，其中王峰等人未能入编。以上人员一直在原工作岗位工作，正常参加年度考核。1、全年工资；2、绩效工资；3、社会保障缴费(含基本医疗、生育、工伤、失业、大病医疗)4、养老保险；5、住房公积金共(含住房补贴)；6、一次性奖励；公务费定额，工会经费，职工教育经费元，福利费，独生子女费；遗属补助和临时人员工资。</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（2）立项依据。市长办公会会议纪要,皖人社发【2015】34号 关于全省乡镇机关事业单位工作人员实行补贴的通知。</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（5）项目内容。2次行政区划调整未入编人员经费</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（6）年度预算安排：69万元</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vAlign w:val="center"/>
          </w:tcPr>
          <w:p>
            <w:pPr>
              <w:jc w:val="center"/>
              <w:rPr>
                <w:rFonts w:ascii="宋体" w:cs="宋体"/>
                <w:sz w:val="20"/>
              </w:rPr>
            </w:pPr>
            <w:r>
              <w:rPr>
                <w:rFonts w:hint="eastAsia" w:ascii="宋体" w:cs="宋体"/>
                <w:sz w:val="20"/>
              </w:rPr>
              <w:t>201-淮北市自然资源和规划局</w:t>
            </w:r>
          </w:p>
        </w:tc>
        <w:tc>
          <w:tcPr>
            <w:tcW w:w="1848" w:type="dxa"/>
            <w:vAlign w:val="center"/>
          </w:tcPr>
          <w:p>
            <w:pPr>
              <w:widowControl/>
              <w:jc w:val="center"/>
              <w:textAlignment w:val="center"/>
            </w:pPr>
            <w:r>
              <w:rPr>
                <w:rFonts w:hint="eastAsia" w:ascii="宋体" w:hAnsi="宋体" w:cs="宋体"/>
                <w:color w:val="000000"/>
                <w:kern w:val="0"/>
                <w:sz w:val="20"/>
                <w:szCs w:val="20"/>
              </w:rPr>
              <w:t>实施单位</w:t>
            </w:r>
          </w:p>
        </w:tc>
        <w:tc>
          <w:tcPr>
            <w:tcW w:w="2380" w:type="dxa"/>
            <w:vAlign w:val="center"/>
          </w:tcPr>
          <w:p>
            <w:r>
              <w:rPr>
                <w:rFonts w:hint="eastAsia" w:ascii="宋体" w:cs="宋体"/>
                <w:sz w:val="20"/>
              </w:rPr>
              <w:t>淮北市自然资源和规划局烈山分局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vAlign w:val="center"/>
          </w:tcPr>
          <w:p>
            <w:pPr>
              <w:jc w:val="center"/>
              <w:rPr>
                <w:rFonts w:ascii="宋体" w:cs="宋体"/>
                <w:sz w:val="20"/>
              </w:rPr>
            </w:pPr>
            <w:r>
              <w:rPr>
                <w:rFonts w:hint="eastAsia" w:ascii="宋体" w:cs="宋体"/>
                <w:sz w:val="20"/>
              </w:rPr>
              <w:t>1-本级申报项目</w:t>
            </w:r>
          </w:p>
        </w:tc>
        <w:tc>
          <w:tcPr>
            <w:tcW w:w="1848" w:type="dxa"/>
            <w:vAlign w:val="center"/>
          </w:tcPr>
          <w:p>
            <w:pPr>
              <w:widowControl/>
              <w:jc w:val="center"/>
              <w:textAlignment w:val="center"/>
            </w:pPr>
            <w:r>
              <w:rPr>
                <w:rFonts w:hint="eastAsia" w:ascii="宋体" w:hAnsi="宋体" w:cs="宋体"/>
                <w:color w:val="000000"/>
                <w:kern w:val="0"/>
                <w:sz w:val="20"/>
                <w:szCs w:val="20"/>
              </w:rPr>
              <w:t>项目期</w:t>
            </w:r>
          </w:p>
        </w:tc>
        <w:tc>
          <w:tcPr>
            <w:tcW w:w="2380" w:type="dxa"/>
            <w:vAlign w:val="center"/>
          </w:tcPr>
          <w:p>
            <w:pPr>
              <w:jc w:val="cente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vAlign w:val="center"/>
          </w:tcPr>
          <w:p>
            <w:pPr>
              <w:jc w:val="right"/>
              <w:rPr>
                <w:rFonts w:ascii="宋体" w:cs="宋体"/>
                <w:sz w:val="20"/>
              </w:rPr>
            </w:pPr>
            <w:r>
              <w:rPr>
                <w:rFonts w:hint="eastAsia" w:ascii="宋体" w:cs="宋体"/>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vAlign w:val="center"/>
          </w:tcPr>
          <w:p>
            <w:pPr>
              <w:jc w:val="right"/>
              <w:rPr>
                <w:rFonts w:ascii="宋体" w:cs="宋体"/>
                <w:sz w:val="20"/>
              </w:rPr>
            </w:pPr>
            <w:r>
              <w:rPr>
                <w:rFonts w:hint="eastAsia" w:ascii="宋体" w:cs="宋体"/>
                <w:sz w:val="2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vAlign w:val="center"/>
          </w:tcPr>
          <w:p>
            <w:pPr>
              <w:widowControl/>
              <w:spacing w:line="20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保障原上划待岗人员的工资发放，维护职工合法权益，提高工作积极性</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vAlign w:val="center"/>
          </w:tcPr>
          <w:p>
            <w:pPr>
              <w:widowControl/>
              <w:spacing w:line="20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38" w:type="dxa"/>
            <w:vMerge w:val="continue"/>
            <w:vAlign w:val="center"/>
          </w:tcPr>
          <w:p>
            <w:pPr>
              <w:jc w:val="center"/>
              <w:rPr>
                <w:rFonts w:ascii="宋体" w:cs="宋体"/>
                <w:sz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指标1：</w:t>
            </w:r>
          </w:p>
          <w:p>
            <w:pPr>
              <w:jc w:val="left"/>
              <w:rPr>
                <w:rFonts w:ascii="宋体" w:hAnsi="宋体" w:cs="宋体"/>
                <w:color w:val="000000"/>
                <w:kern w:val="0"/>
                <w:sz w:val="20"/>
                <w:szCs w:val="20"/>
              </w:rPr>
            </w:pPr>
            <w:r>
              <w:rPr>
                <w:rFonts w:hint="eastAsia" w:ascii="宋体" w:hAnsi="宋体" w:cs="宋体"/>
                <w:color w:val="000000"/>
                <w:kern w:val="0"/>
                <w:sz w:val="20"/>
                <w:szCs w:val="20"/>
              </w:rPr>
              <w:t>待岗人员及其他劳务支出</w:t>
            </w:r>
          </w:p>
          <w:p>
            <w:pPr>
              <w:widowControl/>
              <w:jc w:val="left"/>
              <w:textAlignment w:val="center"/>
              <w:rPr>
                <w:rFonts w:ascii="宋体" w:hAnsi="宋体" w:cs="宋体"/>
                <w:color w:val="000000"/>
                <w:kern w:val="0"/>
                <w:sz w:val="20"/>
                <w:szCs w:val="20"/>
              </w:rPr>
            </w:pPr>
          </w:p>
        </w:tc>
        <w:tc>
          <w:tcPr>
            <w:tcW w:w="4228"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保障所有待岗人员各项支出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指标1：经费支出合规性</w:t>
            </w:r>
          </w:p>
        </w:tc>
        <w:tc>
          <w:tcPr>
            <w:tcW w:w="4228" w:type="dxa"/>
            <w:gridSpan w:val="2"/>
            <w:vAlign w:val="center"/>
          </w:tcPr>
          <w:p>
            <w:pPr>
              <w:jc w:val="center"/>
              <w:rPr>
                <w:rFonts w:ascii="宋体" w:cs="宋体"/>
                <w:sz w:val="20"/>
              </w:rPr>
            </w:pPr>
            <w:r>
              <w:rPr>
                <w:rFonts w:hint="eastAsia" w:ascii="宋体" w:cs="宋体"/>
                <w:sz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指标1：经费支出时效性</w:t>
            </w:r>
          </w:p>
        </w:tc>
        <w:tc>
          <w:tcPr>
            <w:tcW w:w="4228" w:type="dxa"/>
            <w:gridSpan w:val="2"/>
            <w:vAlign w:val="center"/>
          </w:tcPr>
          <w:p>
            <w:pPr>
              <w:jc w:val="center"/>
              <w:rPr>
                <w:rFonts w:ascii="宋体" w:cs="宋体"/>
                <w:sz w:val="20"/>
              </w:rPr>
            </w:pPr>
            <w:r>
              <w:rPr>
                <w:rFonts w:hint="eastAsia" w:ascii="宋体" w:cs="宋体"/>
                <w:sz w:val="20"/>
              </w:rPr>
              <w:t>按人社部门核定的工资社保和相关政策及时足额支付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指标1：项目总成本</w:t>
            </w:r>
          </w:p>
        </w:tc>
        <w:tc>
          <w:tcPr>
            <w:tcW w:w="4228" w:type="dxa"/>
            <w:gridSpan w:val="2"/>
            <w:vAlign w:val="center"/>
          </w:tcPr>
          <w:p>
            <w:pPr>
              <w:jc w:val="center"/>
              <w:rPr>
                <w:rFonts w:ascii="宋体" w:cs="宋体"/>
                <w:sz w:val="20"/>
              </w:rPr>
            </w:pPr>
            <w:r>
              <w:rPr>
                <w:rFonts w:hint="eastAsia" w:ascii="宋体" w:cs="宋体"/>
                <w:sz w:val="20"/>
              </w:rPr>
              <w:t>69万元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指标1：促进经济发展</w:t>
            </w:r>
          </w:p>
        </w:tc>
        <w:tc>
          <w:tcPr>
            <w:tcW w:w="4228" w:type="dxa"/>
            <w:gridSpan w:val="2"/>
            <w:vAlign w:val="center"/>
          </w:tcPr>
          <w:p>
            <w:pPr>
              <w:jc w:val="center"/>
              <w:rPr>
                <w:rFonts w:ascii="宋体" w:cs="宋体"/>
                <w:sz w:val="20"/>
              </w:rPr>
            </w:pPr>
            <w:r>
              <w:rPr>
                <w:rFonts w:hint="eastAsia" w:ascii="宋体" w:cs="宋体"/>
                <w:sz w:val="20"/>
              </w:rPr>
              <w:t>全民推进自然资源工作可持续发展，促进经济发展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指标1：保障机构正常运行</w:t>
            </w:r>
          </w:p>
        </w:tc>
        <w:tc>
          <w:tcPr>
            <w:tcW w:w="4228" w:type="dxa"/>
            <w:gridSpan w:val="2"/>
            <w:vAlign w:val="center"/>
          </w:tcPr>
          <w:p>
            <w:pPr>
              <w:jc w:val="center"/>
              <w:rPr>
                <w:rFonts w:ascii="宋体" w:cs="宋体"/>
                <w:sz w:val="20"/>
              </w:rPr>
            </w:pPr>
            <w:r>
              <w:rPr>
                <w:rFonts w:hint="eastAsia" w:ascii="宋体" w:cs="宋体"/>
                <w:sz w:val="20"/>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指标1：生物多样性</w:t>
            </w:r>
          </w:p>
        </w:tc>
        <w:tc>
          <w:tcPr>
            <w:tcW w:w="4228" w:type="dxa"/>
            <w:gridSpan w:val="2"/>
            <w:vAlign w:val="center"/>
          </w:tcPr>
          <w:p>
            <w:pPr>
              <w:jc w:val="center"/>
              <w:rPr>
                <w:rFonts w:ascii="宋体" w:cs="宋体"/>
                <w:sz w:val="20"/>
              </w:rPr>
            </w:pPr>
            <w:r>
              <w:rPr>
                <w:rFonts w:hint="eastAsia" w:ascii="宋体" w:cs="宋体"/>
                <w:sz w:val="20"/>
              </w:rPr>
              <w:t>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vAlign w:val="center"/>
          </w:tcPr>
          <w:p>
            <w:pPr>
              <w:widowControl/>
              <w:jc w:val="left"/>
              <w:textAlignment w:val="center"/>
              <w:rPr>
                <w:rFonts w:ascii="宋体" w:hAnsi="宋体" w:cs="宋体"/>
                <w:sz w:val="20"/>
              </w:rPr>
            </w:pPr>
            <w:r>
              <w:rPr>
                <w:rFonts w:hint="eastAsia" w:ascii="宋体" w:hAnsi="宋体" w:cs="宋体"/>
                <w:color w:val="000000"/>
                <w:kern w:val="0"/>
                <w:sz w:val="20"/>
                <w:szCs w:val="20"/>
              </w:rPr>
              <w:t>指标1：待岗人员支出长期保障</w:t>
            </w:r>
          </w:p>
        </w:tc>
        <w:tc>
          <w:tcPr>
            <w:tcW w:w="4228" w:type="dxa"/>
            <w:gridSpan w:val="2"/>
            <w:vAlign w:val="center"/>
          </w:tcPr>
          <w:p>
            <w:pPr>
              <w:jc w:val="center"/>
              <w:rPr>
                <w:rFonts w:ascii="宋体" w:cs="宋体"/>
                <w:sz w:val="20"/>
              </w:rPr>
            </w:pPr>
            <w:r>
              <w:rPr>
                <w:rFonts w:hint="eastAsia" w:ascii="宋体" w:cs="宋体"/>
                <w:sz w:val="20"/>
              </w:rPr>
              <w:t>持续保障待岗人员支出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38" w:type="dxa"/>
            <w:vMerge w:val="continue"/>
            <w:vAlign w:val="center"/>
          </w:tcPr>
          <w:p>
            <w:pPr>
              <w:jc w:val="center"/>
              <w:rPr>
                <w:rFonts w:ascii="宋体" w:cs="宋体"/>
                <w:sz w:val="20"/>
              </w:rPr>
            </w:pPr>
          </w:p>
        </w:tc>
        <w:tc>
          <w:tcPr>
            <w:tcW w:w="723" w:type="dxa"/>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vAlign w:val="center"/>
          </w:tcPr>
          <w:p>
            <w:pPr>
              <w:widowControl/>
              <w:jc w:val="left"/>
              <w:textAlignment w:val="center"/>
              <w:rPr>
                <w:rFonts w:ascii="宋体" w:hAnsi="宋体" w:cs="宋体"/>
                <w:sz w:val="20"/>
              </w:rPr>
            </w:pPr>
            <w:r>
              <w:rPr>
                <w:rFonts w:hint="eastAsia" w:ascii="宋体" w:hAnsi="宋体" w:cs="宋体"/>
                <w:color w:val="000000"/>
                <w:kern w:val="0"/>
                <w:sz w:val="20"/>
                <w:szCs w:val="20"/>
              </w:rPr>
              <w:t>指标1：职工满意度</w:t>
            </w:r>
          </w:p>
        </w:tc>
        <w:tc>
          <w:tcPr>
            <w:tcW w:w="4228" w:type="dxa"/>
            <w:gridSpan w:val="2"/>
            <w:vAlign w:val="center"/>
          </w:tcPr>
          <w:p>
            <w:pPr>
              <w:jc w:val="center"/>
              <w:rPr>
                <w:rFonts w:ascii="宋体" w:cs="宋体"/>
                <w:sz w:val="20"/>
              </w:rPr>
            </w:pPr>
            <w:r>
              <w:rPr>
                <w:rFonts w:hint="eastAsia" w:ascii="宋体" w:cs="宋体"/>
                <w:sz w:val="20"/>
              </w:rPr>
              <w:t>100</w:t>
            </w:r>
          </w:p>
        </w:tc>
      </w:tr>
    </w:tbl>
    <w:p>
      <w:pPr>
        <w:ind w:firstLine="640" w:firstLineChars="200"/>
        <w:rPr>
          <w:rFonts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2、“办公楼运行维修费”项目。</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（1）项目概述。办公楼维修费</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（5）项目内容。办公楼维修费</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（6）年度预算安排。3万元</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vAlign w:val="center"/>
          </w:tcPr>
          <w:p>
            <w:pPr>
              <w:jc w:val="center"/>
              <w:rPr>
                <w:rFonts w:ascii="宋体" w:cs="宋体"/>
                <w:sz w:val="20"/>
              </w:rPr>
            </w:pPr>
            <w:r>
              <w:rPr>
                <w:rFonts w:hint="eastAsia" w:ascii="宋体" w:hAnsi="宋体" w:cs="宋体"/>
                <w:color w:val="000000"/>
                <w:kern w:val="0"/>
                <w:sz w:val="20"/>
                <w:szCs w:val="20"/>
              </w:rPr>
              <w:t>办公楼运行维修费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vAlign w:val="center"/>
          </w:tcPr>
          <w:p>
            <w:pPr>
              <w:jc w:val="center"/>
              <w:rPr>
                <w:rFonts w:ascii="宋体" w:cs="宋体"/>
                <w:sz w:val="20"/>
              </w:rPr>
            </w:pPr>
            <w:r>
              <w:rPr>
                <w:rFonts w:hint="eastAsia" w:ascii="宋体" w:cs="宋体"/>
                <w:sz w:val="20"/>
              </w:rPr>
              <w:t>201-淮北市自然资源和规划局</w:t>
            </w:r>
          </w:p>
        </w:tc>
        <w:tc>
          <w:tcPr>
            <w:tcW w:w="1848" w:type="dxa"/>
            <w:vAlign w:val="center"/>
          </w:tcPr>
          <w:p>
            <w:pPr>
              <w:widowControl/>
              <w:jc w:val="center"/>
              <w:textAlignment w:val="center"/>
            </w:pPr>
            <w:r>
              <w:rPr>
                <w:rFonts w:hint="eastAsia" w:ascii="宋体" w:hAnsi="宋体" w:cs="宋体"/>
                <w:color w:val="000000"/>
                <w:kern w:val="0"/>
                <w:sz w:val="20"/>
                <w:szCs w:val="20"/>
              </w:rPr>
              <w:t>实施单位</w:t>
            </w:r>
          </w:p>
        </w:tc>
        <w:tc>
          <w:tcPr>
            <w:tcW w:w="2380" w:type="dxa"/>
            <w:vAlign w:val="center"/>
          </w:tcPr>
          <w:p>
            <w:r>
              <w:rPr>
                <w:rFonts w:hint="eastAsia" w:ascii="宋体" w:cs="宋体"/>
                <w:sz w:val="20"/>
              </w:rPr>
              <w:t>淮北市自然资源和规划局烈山分局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vAlign w:val="center"/>
          </w:tcPr>
          <w:p>
            <w:pPr>
              <w:jc w:val="center"/>
              <w:rPr>
                <w:rFonts w:ascii="宋体" w:cs="宋体"/>
                <w:sz w:val="20"/>
              </w:rPr>
            </w:pPr>
            <w:r>
              <w:rPr>
                <w:rFonts w:hint="eastAsia" w:ascii="宋体" w:cs="宋体"/>
                <w:sz w:val="20"/>
              </w:rPr>
              <w:t>1-本级申报项目</w:t>
            </w:r>
          </w:p>
        </w:tc>
        <w:tc>
          <w:tcPr>
            <w:tcW w:w="1848" w:type="dxa"/>
            <w:vAlign w:val="center"/>
          </w:tcPr>
          <w:p>
            <w:pPr>
              <w:widowControl/>
              <w:jc w:val="center"/>
              <w:textAlignment w:val="center"/>
            </w:pPr>
            <w:r>
              <w:rPr>
                <w:rFonts w:hint="eastAsia" w:ascii="宋体" w:hAnsi="宋体" w:cs="宋体"/>
                <w:color w:val="000000"/>
                <w:kern w:val="0"/>
                <w:sz w:val="20"/>
                <w:szCs w:val="20"/>
              </w:rPr>
              <w:t>项目期</w:t>
            </w:r>
          </w:p>
        </w:tc>
        <w:tc>
          <w:tcPr>
            <w:tcW w:w="2380" w:type="dxa"/>
            <w:vAlign w:val="center"/>
          </w:tcPr>
          <w:p>
            <w:pPr>
              <w:jc w:val="cente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vAlign w:val="center"/>
          </w:tcPr>
          <w:p>
            <w:pPr>
              <w:jc w:val="right"/>
              <w:rPr>
                <w:rFonts w:ascii="宋体" w:cs="宋体"/>
                <w:sz w:val="20"/>
              </w:rPr>
            </w:pPr>
            <w:r>
              <w:rPr>
                <w:rFonts w:hint="eastAsia" w:ascii="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vAlign w:val="center"/>
          </w:tcPr>
          <w:p>
            <w:pPr>
              <w:jc w:val="right"/>
              <w:rPr>
                <w:rFonts w:ascii="宋体" w:cs="宋体"/>
                <w:sz w:val="20"/>
              </w:rPr>
            </w:pPr>
            <w:r>
              <w:rPr>
                <w:rFonts w:hint="eastAsia" w:ascii="宋体" w:cs="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vAlign w:val="center"/>
          </w:tcPr>
          <w:p>
            <w:pPr>
              <w:widowControl/>
              <w:spacing w:line="20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改善办公环境、确保大楼正常运转、保障各项业务顺利推进</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vAlign w:val="center"/>
          </w:tcPr>
          <w:p>
            <w:pPr>
              <w:widowControl/>
              <w:spacing w:line="20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指标1：服务人数数量</w:t>
            </w:r>
          </w:p>
        </w:tc>
        <w:tc>
          <w:tcPr>
            <w:tcW w:w="4228" w:type="dxa"/>
            <w:gridSpan w:val="2"/>
            <w:vAlign w:val="center"/>
          </w:tcPr>
          <w:p>
            <w:pPr>
              <w:jc w:val="center"/>
              <w:rPr>
                <w:rFonts w:ascii="宋体" w:cs="宋体"/>
                <w:sz w:val="20"/>
              </w:rPr>
            </w:pPr>
            <w:r>
              <w:rPr>
                <w:rFonts w:hint="eastAsia" w:ascii="宋体" w:cs="宋体"/>
                <w:sz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指标1：经费支出合规性</w:t>
            </w:r>
          </w:p>
        </w:tc>
        <w:tc>
          <w:tcPr>
            <w:tcW w:w="4228" w:type="dxa"/>
            <w:gridSpan w:val="2"/>
            <w:vAlign w:val="center"/>
          </w:tcPr>
          <w:p>
            <w:pPr>
              <w:jc w:val="center"/>
              <w:rPr>
                <w:rFonts w:ascii="宋体" w:cs="宋体"/>
                <w:sz w:val="20"/>
              </w:rPr>
            </w:pPr>
            <w:r>
              <w:rPr>
                <w:rFonts w:hint="eastAsia" w:ascii="宋体" w:cs="宋体"/>
                <w:sz w:val="20"/>
              </w:rPr>
              <w:t>严格执行相关经济法规、制度等规定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指标1：办公大楼运转及时性</w:t>
            </w:r>
          </w:p>
        </w:tc>
        <w:tc>
          <w:tcPr>
            <w:tcW w:w="4228" w:type="dxa"/>
            <w:gridSpan w:val="2"/>
            <w:vAlign w:val="center"/>
          </w:tcPr>
          <w:p>
            <w:pPr>
              <w:jc w:val="center"/>
              <w:rPr>
                <w:rFonts w:ascii="宋体" w:cs="宋体"/>
                <w:sz w:val="20"/>
              </w:rPr>
            </w:pPr>
            <w:r>
              <w:rPr>
                <w:rFonts w:hint="eastAsia" w:ascii="宋体" w:cs="宋体"/>
                <w:sz w:val="20"/>
              </w:rPr>
              <w:t>大楼楼房管理完善、设备设施维护保养及时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指标1：项目总成本</w:t>
            </w:r>
          </w:p>
        </w:tc>
        <w:tc>
          <w:tcPr>
            <w:tcW w:w="4228" w:type="dxa"/>
            <w:gridSpan w:val="2"/>
            <w:vAlign w:val="center"/>
          </w:tcPr>
          <w:p>
            <w:pPr>
              <w:jc w:val="center"/>
              <w:rPr>
                <w:rFonts w:ascii="宋体" w:cs="宋体"/>
                <w:sz w:val="20"/>
              </w:rPr>
            </w:pPr>
            <w:r>
              <w:rPr>
                <w:rFonts w:hint="eastAsia" w:ascii="宋体" w:cs="宋体"/>
                <w:sz w:val="20"/>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指标1：项目总金额</w:t>
            </w:r>
          </w:p>
        </w:tc>
        <w:tc>
          <w:tcPr>
            <w:tcW w:w="4228" w:type="dxa"/>
            <w:gridSpan w:val="2"/>
            <w:vAlign w:val="center"/>
          </w:tcPr>
          <w:p>
            <w:pPr>
              <w:jc w:val="center"/>
              <w:rPr>
                <w:rFonts w:ascii="宋体" w:cs="宋体"/>
                <w:sz w:val="20"/>
              </w:rPr>
            </w:pPr>
            <w:r>
              <w:rPr>
                <w:rFonts w:hint="eastAsia" w:ascii="宋体" w:cs="宋体"/>
                <w:sz w:val="20"/>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指标1：保障各项工作正常开展的影响</w:t>
            </w:r>
          </w:p>
        </w:tc>
        <w:tc>
          <w:tcPr>
            <w:tcW w:w="4228" w:type="dxa"/>
            <w:gridSpan w:val="2"/>
            <w:vAlign w:val="center"/>
          </w:tcPr>
          <w:p>
            <w:pPr>
              <w:jc w:val="center"/>
              <w:rPr>
                <w:rFonts w:ascii="宋体" w:cs="宋体"/>
                <w:sz w:val="20"/>
              </w:rPr>
            </w:pPr>
            <w:r>
              <w:rPr>
                <w:rFonts w:hint="eastAsia" w:ascii="宋体" w:cs="宋体"/>
                <w:sz w:val="20"/>
              </w:rPr>
              <w:t>大楼各项工作顺利开展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指标1：增强生态文明意识</w:t>
            </w:r>
          </w:p>
        </w:tc>
        <w:tc>
          <w:tcPr>
            <w:tcW w:w="4228" w:type="dxa"/>
            <w:gridSpan w:val="2"/>
            <w:vAlign w:val="center"/>
          </w:tcPr>
          <w:p>
            <w:pPr>
              <w:jc w:val="center"/>
              <w:rPr>
                <w:rFonts w:ascii="宋体" w:cs="宋体"/>
                <w:sz w:val="20"/>
              </w:rPr>
            </w:pPr>
            <w:r>
              <w:rPr>
                <w:rFonts w:hint="eastAsia" w:ascii="宋体" w:cs="宋体"/>
                <w:sz w:val="20"/>
              </w:rPr>
              <w:t>生态文明意识增强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vAlign w:val="center"/>
          </w:tcPr>
          <w:p>
            <w:pPr>
              <w:widowControl/>
              <w:jc w:val="left"/>
              <w:textAlignment w:val="center"/>
              <w:rPr>
                <w:rFonts w:ascii="宋体" w:hAnsi="宋体" w:cs="宋体"/>
                <w:sz w:val="20"/>
              </w:rPr>
            </w:pPr>
            <w:r>
              <w:rPr>
                <w:rFonts w:hint="eastAsia" w:ascii="宋体" w:hAnsi="宋体" w:cs="宋体"/>
                <w:color w:val="000000"/>
                <w:kern w:val="0"/>
                <w:sz w:val="20"/>
                <w:szCs w:val="20"/>
              </w:rPr>
              <w:t>指标1：保障自然资源业务顺利开展</w:t>
            </w:r>
          </w:p>
        </w:tc>
        <w:tc>
          <w:tcPr>
            <w:tcW w:w="4228" w:type="dxa"/>
            <w:gridSpan w:val="2"/>
            <w:vAlign w:val="center"/>
          </w:tcPr>
          <w:p>
            <w:pPr>
              <w:jc w:val="center"/>
              <w:rPr>
                <w:rFonts w:ascii="宋体" w:cs="宋体"/>
                <w:sz w:val="20"/>
              </w:rPr>
            </w:pPr>
            <w:r>
              <w:rPr>
                <w:rFonts w:hint="eastAsia" w:ascii="宋体" w:cs="宋体"/>
                <w:sz w:val="20"/>
              </w:rPr>
              <w:t>提高管理科学化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vAlign w:val="center"/>
          </w:tcPr>
          <w:p>
            <w:pPr>
              <w:widowControl/>
              <w:jc w:val="left"/>
              <w:textAlignment w:val="center"/>
              <w:rPr>
                <w:rFonts w:ascii="宋体" w:hAnsi="宋体" w:cs="宋体"/>
                <w:sz w:val="20"/>
              </w:rPr>
            </w:pPr>
            <w:r>
              <w:rPr>
                <w:rFonts w:hint="eastAsia" w:ascii="宋体" w:hAnsi="宋体" w:cs="宋体"/>
                <w:color w:val="000000"/>
                <w:kern w:val="0"/>
                <w:sz w:val="20"/>
                <w:szCs w:val="20"/>
              </w:rPr>
              <w:t>指标1：职工满意度</w:t>
            </w:r>
          </w:p>
        </w:tc>
        <w:tc>
          <w:tcPr>
            <w:tcW w:w="4228" w:type="dxa"/>
            <w:gridSpan w:val="2"/>
            <w:vAlign w:val="center"/>
          </w:tcPr>
          <w:p>
            <w:pPr>
              <w:jc w:val="center"/>
              <w:rPr>
                <w:rFonts w:ascii="宋体" w:cs="宋体"/>
                <w:sz w:val="20"/>
              </w:rPr>
            </w:pPr>
            <w:r>
              <w:rPr>
                <w:rFonts w:hint="eastAsia" w:ascii="宋体" w:cs="宋体"/>
                <w:sz w:val="20"/>
              </w:rPr>
              <w:t>100</w:t>
            </w:r>
          </w:p>
        </w:tc>
      </w:tr>
    </w:tbl>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3、“自然资源业务费”项目。</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（1）项目概述。一、</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办公运行：1、取暖制冷补助，为改善办公环境，确保职工正常采暖制冷，结合当前物价上涨水平，需申请取暖制冷补助。2、档案管理维护费，为统一国土资源业务档案管理，实现档案纸质化和电子化，提高资料查询效率与档案保管的年限，需申请经费。3、办公设备购置，办公设备老化，分局需新采购一批电脑、相机、打印机。   二、专项业务费：1、普法宣传教育，完成普法宣传教育工作目标，加大国土资源法律法规宣传力度费 。2、土地变更调查，加强宅基地管理，外业测量、内业编制报告完善档案资料。3、处理信访业务费 ，处理经济发展土地征用采煤塌陷矛盾冲突。4、国土资源业务培训费，用于干部教育培训，业务学习培训。5、征迁业务费，土地征用村庄搬迁需工作经费。6、土地资本运营是一项系统工程，从土地储备到土地供应，期间发生的各项费用。只有发挥系统功能的作用，才能实现土地资本运营收益的最大化。土地资本运营业务费包括土地业务人员办公费、印刷费、培训费、差旅费、维修（护）费、规划、评标、勘测、公告、公证等委托业务费，会议费，土地评标、拍卖主持人、保洁人员劳务费，信息网络购建费。7、土地调查数据库更：用于更新农村土地利用现状数据库，为经济发展和国土资源服务；年度土地变更调查数据更新，用于年度变更调查和成果确认后数据库更新及软件升级。8、党建活动租车费6、地质灾害防治经费，9、测量标志管护费用。</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二、1、全国人大常委会关于进一步加强法制宣传教育的决议，皖法制办《2011》11号，皖国土资函【2011】439号，国土资电发【2011】85号。2、《国土资源部关于开展2010年全国土地变更调查与遥感监测工作的通知》（国土资电发【2010】145号。3、淮信组【2010】7号。 4、《2012年全市干部培训教育工作要点》、《干部教育培训工作条例（试行）》、《2012年国土资源培训教育计划》5、皖价房【2012】47号，【1992】价费字597号，淮政办【2007】30号。《2015年度国有土地收购储备及招拍挂出让计划》、土委会会议纪要、财综字【1995】326号。《自然资源部关于开展2018年度全国土地变更调查与遥感监测工作的通知》（自然资发【2018】139号。</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（5）项目内容。办公运行费用及专项业务费</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（6）年度预算安排。70万元</w:t>
      </w:r>
    </w:p>
    <w:p>
      <w:pPr>
        <w:spacing w:line="600" w:lineRule="exact"/>
        <w:ind w:firstLine="63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vAlign w:val="center"/>
          </w:tcPr>
          <w:p>
            <w:pPr>
              <w:jc w:val="center"/>
              <w:rPr>
                <w:rFonts w:ascii="宋体" w:cs="宋体"/>
                <w:sz w:val="20"/>
              </w:rPr>
            </w:pPr>
            <w:r>
              <w:rPr>
                <w:rFonts w:hint="eastAsia" w:ascii="宋体" w:hAnsi="宋体" w:cs="宋体"/>
                <w:color w:val="000000"/>
                <w:kern w:val="0"/>
                <w:sz w:val="20"/>
                <w:szCs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vAlign w:val="center"/>
          </w:tcPr>
          <w:p>
            <w:pPr>
              <w:jc w:val="center"/>
              <w:rPr>
                <w:rFonts w:ascii="宋体" w:cs="宋体"/>
                <w:sz w:val="20"/>
              </w:rPr>
            </w:pPr>
            <w:r>
              <w:rPr>
                <w:rFonts w:hint="eastAsia" w:ascii="宋体" w:cs="宋体"/>
                <w:sz w:val="20"/>
              </w:rPr>
              <w:t>201-淮北市自然资源和规划局</w:t>
            </w:r>
          </w:p>
        </w:tc>
        <w:tc>
          <w:tcPr>
            <w:tcW w:w="1848" w:type="dxa"/>
            <w:vAlign w:val="center"/>
          </w:tcPr>
          <w:p>
            <w:pPr>
              <w:widowControl/>
              <w:jc w:val="center"/>
              <w:textAlignment w:val="center"/>
            </w:pPr>
            <w:r>
              <w:rPr>
                <w:rFonts w:hint="eastAsia" w:ascii="宋体" w:hAnsi="宋体" w:cs="宋体"/>
                <w:color w:val="000000"/>
                <w:kern w:val="0"/>
                <w:sz w:val="20"/>
                <w:szCs w:val="20"/>
              </w:rPr>
              <w:t>实施单位</w:t>
            </w:r>
          </w:p>
        </w:tc>
        <w:tc>
          <w:tcPr>
            <w:tcW w:w="2380" w:type="dxa"/>
            <w:vAlign w:val="center"/>
          </w:tcPr>
          <w:p>
            <w:r>
              <w:rPr>
                <w:rFonts w:hint="eastAsia" w:ascii="宋体" w:cs="宋体"/>
                <w:sz w:val="20"/>
              </w:rPr>
              <w:t>淮北市自然资源和规划局烈山分局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vAlign w:val="center"/>
          </w:tcPr>
          <w:p>
            <w:pPr>
              <w:jc w:val="center"/>
              <w:rPr>
                <w:rFonts w:ascii="宋体" w:cs="宋体"/>
                <w:sz w:val="20"/>
              </w:rPr>
            </w:pPr>
            <w:r>
              <w:rPr>
                <w:rFonts w:hint="eastAsia" w:ascii="宋体" w:cs="宋体"/>
                <w:sz w:val="20"/>
              </w:rPr>
              <w:t>1-本级申报项目</w:t>
            </w:r>
          </w:p>
        </w:tc>
        <w:tc>
          <w:tcPr>
            <w:tcW w:w="1848" w:type="dxa"/>
            <w:vAlign w:val="center"/>
          </w:tcPr>
          <w:p>
            <w:pPr>
              <w:widowControl/>
              <w:jc w:val="center"/>
              <w:textAlignment w:val="center"/>
            </w:pPr>
            <w:r>
              <w:rPr>
                <w:rFonts w:hint="eastAsia" w:ascii="宋体" w:hAnsi="宋体" w:cs="宋体"/>
                <w:color w:val="000000"/>
                <w:kern w:val="0"/>
                <w:sz w:val="20"/>
                <w:szCs w:val="20"/>
              </w:rPr>
              <w:t>项目期</w:t>
            </w:r>
          </w:p>
        </w:tc>
        <w:tc>
          <w:tcPr>
            <w:tcW w:w="2380" w:type="dxa"/>
            <w:vAlign w:val="center"/>
          </w:tcPr>
          <w:p>
            <w:pPr>
              <w:jc w:val="center"/>
            </w:pPr>
            <w:r>
              <w:rPr>
                <w:rFonts w:hint="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vAlign w:val="center"/>
          </w:tcPr>
          <w:p>
            <w:pPr>
              <w:jc w:val="right"/>
              <w:rPr>
                <w:rFonts w:ascii="宋体" w:cs="宋体"/>
                <w:sz w:val="20"/>
              </w:rPr>
            </w:pPr>
            <w:r>
              <w:rPr>
                <w:rFonts w:hint="eastAsia" w:ascii="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ascii="宋体" w:cs="宋体"/>
                <w:sz w:val="20"/>
              </w:rPr>
            </w:pPr>
          </w:p>
        </w:tc>
        <w:tc>
          <w:tcPr>
            <w:tcW w:w="3349" w:type="dxa"/>
            <w:gridSpan w:val="2"/>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vAlign w:val="center"/>
          </w:tcPr>
          <w:p>
            <w:pPr>
              <w:jc w:val="right"/>
              <w:rPr>
                <w:rFonts w:ascii="宋体" w:cs="宋体"/>
                <w:sz w:val="20"/>
              </w:rPr>
            </w:pPr>
            <w:r>
              <w:rPr>
                <w:rFonts w:hint="eastAsia" w:ascii="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vAlign w:val="center"/>
          </w:tcPr>
          <w:p>
            <w:pPr>
              <w:widowControl/>
              <w:spacing w:line="20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提高管理科学化、规范化水平、保障各项业务工作顺利推进。</w:t>
            </w:r>
          </w:p>
          <w:p>
            <w:pPr>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vAlign w:val="center"/>
          </w:tcPr>
          <w:p>
            <w:pPr>
              <w:widowControl/>
              <w:spacing w:line="200" w:lineRule="exac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指标1：项目总金额</w:t>
            </w:r>
          </w:p>
        </w:tc>
        <w:tc>
          <w:tcPr>
            <w:tcW w:w="4228" w:type="dxa"/>
            <w:gridSpan w:val="2"/>
            <w:vAlign w:val="center"/>
          </w:tcPr>
          <w:p>
            <w:pPr>
              <w:jc w:val="center"/>
              <w:rPr>
                <w:rFonts w:ascii="宋体" w:cs="宋体"/>
                <w:sz w:val="20"/>
              </w:rPr>
            </w:pPr>
            <w:r>
              <w:rPr>
                <w:rFonts w:hint="eastAsia" w:ascii="宋体" w:cs="宋体"/>
                <w:sz w:val="20"/>
              </w:rPr>
              <w:t>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指标1：经费支出合规性</w:t>
            </w:r>
          </w:p>
        </w:tc>
        <w:tc>
          <w:tcPr>
            <w:tcW w:w="4228" w:type="dxa"/>
            <w:gridSpan w:val="2"/>
            <w:vAlign w:val="center"/>
          </w:tcPr>
          <w:p>
            <w:pPr>
              <w:jc w:val="center"/>
              <w:rPr>
                <w:rFonts w:ascii="宋体" w:cs="宋体"/>
                <w:sz w:val="20"/>
              </w:rPr>
            </w:pPr>
            <w:r>
              <w:rPr>
                <w:rFonts w:hint="eastAsia" w:ascii="宋体" w:cs="宋体"/>
                <w:sz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指标1：项目完成及时性</w:t>
            </w:r>
          </w:p>
        </w:tc>
        <w:tc>
          <w:tcPr>
            <w:tcW w:w="4228" w:type="dxa"/>
            <w:gridSpan w:val="2"/>
            <w:vAlign w:val="center"/>
          </w:tcPr>
          <w:p>
            <w:pPr>
              <w:jc w:val="center"/>
              <w:rPr>
                <w:rFonts w:ascii="宋体" w:cs="宋体"/>
                <w:sz w:val="20"/>
              </w:rPr>
            </w:pPr>
            <w:r>
              <w:rPr>
                <w:rFonts w:hint="eastAsia" w:ascii="宋体" w:cs="宋体"/>
                <w:sz w:val="20"/>
              </w:rPr>
              <w:t>采购及时质量有保障，确保各项任务顺利开展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指标1：项目总成本</w:t>
            </w:r>
          </w:p>
        </w:tc>
        <w:tc>
          <w:tcPr>
            <w:tcW w:w="4228" w:type="dxa"/>
            <w:gridSpan w:val="2"/>
            <w:vAlign w:val="center"/>
          </w:tcPr>
          <w:p>
            <w:pPr>
              <w:jc w:val="center"/>
              <w:rPr>
                <w:rFonts w:ascii="宋体" w:cs="宋体"/>
                <w:sz w:val="20"/>
              </w:rPr>
            </w:pPr>
            <w:r>
              <w:rPr>
                <w:rFonts w:hint="eastAsia" w:ascii="宋体" w:cs="宋体"/>
                <w:sz w:val="20"/>
              </w:rPr>
              <w:t>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restart"/>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指标1：资源利用率</w:t>
            </w:r>
          </w:p>
        </w:tc>
        <w:tc>
          <w:tcPr>
            <w:tcW w:w="4228" w:type="dxa"/>
            <w:gridSpan w:val="2"/>
            <w:vAlign w:val="center"/>
          </w:tcPr>
          <w:p>
            <w:pPr>
              <w:jc w:val="center"/>
              <w:rPr>
                <w:rFonts w:ascii="宋体" w:cs="宋体"/>
                <w:sz w:val="20"/>
              </w:rPr>
            </w:pPr>
            <w:r>
              <w:rPr>
                <w:rFonts w:hint="eastAsia" w:ascii="宋体" w:cs="宋体"/>
                <w:sz w:val="20"/>
              </w:rPr>
              <w:t>成本节约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指标1：保障自然资源各项业务顺利开展</w:t>
            </w:r>
          </w:p>
        </w:tc>
        <w:tc>
          <w:tcPr>
            <w:tcW w:w="4228" w:type="dxa"/>
            <w:gridSpan w:val="2"/>
            <w:vAlign w:val="center"/>
          </w:tcPr>
          <w:p>
            <w:pPr>
              <w:jc w:val="center"/>
              <w:rPr>
                <w:rFonts w:ascii="宋体" w:cs="宋体"/>
                <w:sz w:val="20"/>
              </w:rPr>
            </w:pPr>
            <w:r>
              <w:rPr>
                <w:rFonts w:hint="eastAsia" w:ascii="宋体" w:cs="宋体"/>
                <w:sz w:val="20"/>
              </w:rPr>
              <w:t>提高管理科学化、规范化水平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vAlign w:val="center"/>
          </w:tcPr>
          <w:p>
            <w:pPr>
              <w:widowControl/>
              <w:jc w:val="left"/>
              <w:textAlignment w:val="center"/>
              <w:rPr>
                <w:rFonts w:ascii="宋体" w:cs="宋体"/>
                <w:sz w:val="20"/>
              </w:rPr>
            </w:pPr>
            <w:r>
              <w:rPr>
                <w:rFonts w:hint="eastAsia" w:ascii="宋体" w:hAnsi="宋体" w:cs="宋体"/>
                <w:color w:val="000000"/>
                <w:kern w:val="0"/>
                <w:sz w:val="20"/>
                <w:szCs w:val="20"/>
              </w:rPr>
              <w:t>指标1：增强生态文明建设</w:t>
            </w:r>
          </w:p>
        </w:tc>
        <w:tc>
          <w:tcPr>
            <w:tcW w:w="4228" w:type="dxa"/>
            <w:gridSpan w:val="2"/>
            <w:vAlign w:val="center"/>
          </w:tcPr>
          <w:p>
            <w:pPr>
              <w:jc w:val="center"/>
              <w:rPr>
                <w:rFonts w:ascii="宋体" w:cs="宋体"/>
                <w:sz w:val="20"/>
              </w:rPr>
            </w:pPr>
            <w:r>
              <w:rPr>
                <w:rFonts w:hint="eastAsia" w:ascii="宋体" w:cs="宋体"/>
                <w:sz w:val="20"/>
              </w:rPr>
              <w:t>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vAlign w:val="center"/>
          </w:tcPr>
          <w:p>
            <w:pPr>
              <w:jc w:val="center"/>
              <w:rPr>
                <w:rFonts w:ascii="宋体" w:cs="宋体"/>
                <w:sz w:val="20"/>
              </w:rPr>
            </w:pPr>
          </w:p>
        </w:tc>
        <w:tc>
          <w:tcPr>
            <w:tcW w:w="723" w:type="dxa"/>
            <w:vMerge w:val="continue"/>
            <w:vAlign w:val="center"/>
          </w:tcPr>
          <w:p>
            <w:pPr>
              <w:jc w:val="center"/>
              <w:rPr>
                <w:rFonts w:ascii="宋体" w:cs="宋体"/>
                <w:sz w:val="20"/>
              </w:rPr>
            </w:pPr>
          </w:p>
        </w:tc>
        <w:tc>
          <w:tcPr>
            <w:tcW w:w="759" w:type="dxa"/>
            <w:gridSpan w:val="2"/>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vAlign w:val="center"/>
          </w:tcPr>
          <w:p>
            <w:pPr>
              <w:widowControl/>
              <w:jc w:val="left"/>
              <w:textAlignment w:val="center"/>
              <w:rPr>
                <w:rFonts w:ascii="宋体" w:hAnsi="宋体" w:cs="宋体"/>
                <w:sz w:val="20"/>
              </w:rPr>
            </w:pPr>
            <w:r>
              <w:rPr>
                <w:rFonts w:hint="eastAsia" w:ascii="宋体" w:hAnsi="宋体" w:cs="宋体"/>
                <w:color w:val="000000"/>
                <w:kern w:val="0"/>
                <w:sz w:val="20"/>
                <w:szCs w:val="20"/>
              </w:rPr>
              <w:t>指标1：保障地质灾害防治工作可持续开展</w:t>
            </w:r>
          </w:p>
        </w:tc>
        <w:tc>
          <w:tcPr>
            <w:tcW w:w="4228" w:type="dxa"/>
            <w:gridSpan w:val="2"/>
            <w:vAlign w:val="center"/>
          </w:tcPr>
          <w:p>
            <w:pPr>
              <w:jc w:val="center"/>
              <w:rPr>
                <w:rFonts w:ascii="宋体" w:cs="宋体"/>
                <w:sz w:val="20"/>
              </w:rPr>
            </w:pPr>
            <w:r>
              <w:rPr>
                <w:rFonts w:hint="eastAsia" w:ascii="宋体" w:cs="宋体"/>
                <w:sz w:val="20"/>
              </w:rPr>
              <w:t>提高管理科学化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ascii="宋体" w:cs="宋体"/>
                <w:sz w:val="20"/>
              </w:rPr>
            </w:pPr>
          </w:p>
        </w:tc>
        <w:tc>
          <w:tcPr>
            <w:tcW w:w="723" w:type="dxa"/>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vAlign w:val="center"/>
          </w:tcPr>
          <w:p>
            <w:pPr>
              <w:widowControl/>
              <w:jc w:val="left"/>
              <w:textAlignment w:val="center"/>
              <w:rPr>
                <w:rFonts w:ascii="宋体" w:hAnsi="宋体" w:cs="宋体"/>
                <w:sz w:val="20"/>
              </w:rPr>
            </w:pPr>
            <w:r>
              <w:rPr>
                <w:rFonts w:hint="eastAsia" w:ascii="宋体" w:hAnsi="宋体" w:cs="宋体"/>
                <w:color w:val="000000"/>
                <w:kern w:val="0"/>
                <w:sz w:val="20"/>
                <w:szCs w:val="20"/>
              </w:rPr>
              <w:t>指标1：群众满意度</w:t>
            </w:r>
          </w:p>
        </w:tc>
        <w:tc>
          <w:tcPr>
            <w:tcW w:w="4228" w:type="dxa"/>
            <w:gridSpan w:val="2"/>
            <w:vAlign w:val="center"/>
          </w:tcPr>
          <w:p>
            <w:pPr>
              <w:jc w:val="center"/>
              <w:rPr>
                <w:rFonts w:ascii="宋体" w:cs="宋体"/>
                <w:sz w:val="20"/>
              </w:rPr>
            </w:pPr>
            <w:r>
              <w:rPr>
                <w:rFonts w:hint="eastAsia" w:ascii="宋体" w:cs="宋体"/>
                <w:sz w:val="20"/>
              </w:rPr>
              <w:t>群众满意度较高</w:t>
            </w:r>
          </w:p>
        </w:tc>
      </w:tr>
    </w:tbl>
    <w:p>
      <w:pPr>
        <w:ind w:firstLine="640" w:firstLineChars="200"/>
        <w:rPr>
          <w:rFonts w:ascii="TimesNewRoman" w:hAnsi="TimesNewRoman" w:eastAsia="仿宋_GB2312" w:cs="TimesNewRoman"/>
          <w:kern w:val="0"/>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淮北市自然资源和规划局烈山分局2024年机关运行经费财政拨款预算54.88万元，比2023年预算增加3.04万元，增长5.86%，原因主要是人员变动。</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淮北市自然资源和规划局烈山分局2024年政府采购预算0万元。其中：政府采购货物预算0万元，政府采购工程预算0万元，政府采购服务预算0万元。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截至2023年12月31日，淮北市自然资源和规划局烈山分局共有车辆0辆。单价50万元以上的通用设备0台（套），单价100万元以上的专用设备0台（套）。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2024年部门预算安排购置公务用车0辆，购置费0万元；安排购置单价50万元以上的通用设备台（套），购置费0万元；安排购置单价100万元以上专用设备台（套），购置费0万元。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2024年，淮北市自然资源和规划局烈山分局3个项目实行了绩效目标管理，涉及一般公共预算当年财政拨款0万元、政府性基金预算当年财政拨款142万元、财政专户管理资金当年安排0万元。</w:t>
      </w: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Pr>
        <w:ind w:firstLine="643" w:firstLineChars="200"/>
      </w:pPr>
      <w:r>
        <w:rPr>
          <w:rFonts w:hint="eastAsia" w:ascii="TimesNewRoman" w:hAnsi="TimesNewRoman" w:eastAsia="仿宋_GB2312" w:cs="TimesNewRoman"/>
          <w:b/>
          <w:kern w:val="0"/>
          <w:sz w:val="32"/>
          <w:szCs w:val="32"/>
        </w:rPr>
        <w:t>十一、“三公”经费：</w:t>
      </w:r>
      <w:r>
        <w:rPr>
          <w:rFonts w:hint="eastAsia" w:ascii="TimesNewRoman" w:hAnsi="TimesNewRoman" w:eastAsia="仿宋_GB2312" w:cs="TimesNewRoman"/>
          <w:bCs/>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8"/>
        <w:adjustRightInd w:val="0"/>
        <w:snapToGrid w:val="0"/>
        <w:spacing w:line="560" w:lineRule="exact"/>
        <w:ind w:firstLine="470" w:firstLineChars="196"/>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A5981"/>
    <w:multiLevelType w:val="singleLevel"/>
    <w:tmpl w:val="F73A5981"/>
    <w:lvl w:ilvl="0" w:tentative="0">
      <w:start w:val="1"/>
      <w:numFmt w:val="chineseCounting"/>
      <w:suff w:val="nothing"/>
      <w:lvlText w:val="%1、"/>
      <w:lvlJc w:val="left"/>
      <w:pPr>
        <w:ind w:left="0" w:firstLine="420"/>
      </w:pPr>
      <w:rPr>
        <w:rFonts w:hint="eastAsia"/>
      </w:rPr>
    </w:lvl>
  </w:abstractNum>
  <w:abstractNum w:abstractNumId="1">
    <w:nsid w:val="62970DE7"/>
    <w:multiLevelType w:val="multilevel"/>
    <w:tmpl w:val="62970DE7"/>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07C4"/>
    <w:rsid w:val="000B157B"/>
    <w:rsid w:val="000D68C4"/>
    <w:rsid w:val="000E28EE"/>
    <w:rsid w:val="000E3F1D"/>
    <w:rsid w:val="000F7126"/>
    <w:rsid w:val="00267E33"/>
    <w:rsid w:val="0029289C"/>
    <w:rsid w:val="00300844"/>
    <w:rsid w:val="00343490"/>
    <w:rsid w:val="0036021C"/>
    <w:rsid w:val="0038322A"/>
    <w:rsid w:val="00422D53"/>
    <w:rsid w:val="0044618A"/>
    <w:rsid w:val="00455277"/>
    <w:rsid w:val="0046165F"/>
    <w:rsid w:val="004A4DC6"/>
    <w:rsid w:val="004A65F4"/>
    <w:rsid w:val="005200F0"/>
    <w:rsid w:val="00527DA7"/>
    <w:rsid w:val="0057562B"/>
    <w:rsid w:val="005A0F34"/>
    <w:rsid w:val="005C6C20"/>
    <w:rsid w:val="00616862"/>
    <w:rsid w:val="006546AF"/>
    <w:rsid w:val="006B3F7D"/>
    <w:rsid w:val="006E2CD0"/>
    <w:rsid w:val="0072432D"/>
    <w:rsid w:val="00726D96"/>
    <w:rsid w:val="007436A8"/>
    <w:rsid w:val="00784FC4"/>
    <w:rsid w:val="0080596F"/>
    <w:rsid w:val="008A063F"/>
    <w:rsid w:val="008F6D1A"/>
    <w:rsid w:val="00926B3D"/>
    <w:rsid w:val="00942C0E"/>
    <w:rsid w:val="009657B4"/>
    <w:rsid w:val="009A3CA3"/>
    <w:rsid w:val="00A10A71"/>
    <w:rsid w:val="00A54F6D"/>
    <w:rsid w:val="00A84E0A"/>
    <w:rsid w:val="00AE3242"/>
    <w:rsid w:val="00AF6C12"/>
    <w:rsid w:val="00B06386"/>
    <w:rsid w:val="00BD640A"/>
    <w:rsid w:val="00C63D96"/>
    <w:rsid w:val="00C8534E"/>
    <w:rsid w:val="00CB6FBB"/>
    <w:rsid w:val="00CE1BCA"/>
    <w:rsid w:val="00D22D1D"/>
    <w:rsid w:val="00D93181"/>
    <w:rsid w:val="00DB2A5C"/>
    <w:rsid w:val="00DC5721"/>
    <w:rsid w:val="00E2476C"/>
    <w:rsid w:val="00E907C4"/>
    <w:rsid w:val="00EC7755"/>
    <w:rsid w:val="00F23202"/>
    <w:rsid w:val="00F8299F"/>
    <w:rsid w:val="00F93DD2"/>
    <w:rsid w:val="00F973F2"/>
    <w:rsid w:val="00F974AD"/>
    <w:rsid w:val="00FD6E92"/>
    <w:rsid w:val="018D4874"/>
    <w:rsid w:val="01C42ED8"/>
    <w:rsid w:val="035E7AB4"/>
    <w:rsid w:val="082321F2"/>
    <w:rsid w:val="084C0C0A"/>
    <w:rsid w:val="0A440291"/>
    <w:rsid w:val="0B2835EF"/>
    <w:rsid w:val="0BF42C59"/>
    <w:rsid w:val="0E921D4B"/>
    <w:rsid w:val="109404BA"/>
    <w:rsid w:val="11BE4514"/>
    <w:rsid w:val="142F799E"/>
    <w:rsid w:val="149659B2"/>
    <w:rsid w:val="15207107"/>
    <w:rsid w:val="189147F2"/>
    <w:rsid w:val="1A4822EB"/>
    <w:rsid w:val="1A69487E"/>
    <w:rsid w:val="1B272AA4"/>
    <w:rsid w:val="1BD53653"/>
    <w:rsid w:val="224E5073"/>
    <w:rsid w:val="230D1AC3"/>
    <w:rsid w:val="23326B5C"/>
    <w:rsid w:val="28486B7D"/>
    <w:rsid w:val="29B97D36"/>
    <w:rsid w:val="2B0817D2"/>
    <w:rsid w:val="2F516EA2"/>
    <w:rsid w:val="30954586"/>
    <w:rsid w:val="32EC611B"/>
    <w:rsid w:val="33433098"/>
    <w:rsid w:val="34110E50"/>
    <w:rsid w:val="34342781"/>
    <w:rsid w:val="35241977"/>
    <w:rsid w:val="36371D79"/>
    <w:rsid w:val="36A5695F"/>
    <w:rsid w:val="39542035"/>
    <w:rsid w:val="402B3535"/>
    <w:rsid w:val="405E4440"/>
    <w:rsid w:val="421A4399"/>
    <w:rsid w:val="424D62CE"/>
    <w:rsid w:val="42D0798C"/>
    <w:rsid w:val="4ADC318E"/>
    <w:rsid w:val="4D412229"/>
    <w:rsid w:val="4D800601"/>
    <w:rsid w:val="4FB20C7E"/>
    <w:rsid w:val="517C0121"/>
    <w:rsid w:val="5278502E"/>
    <w:rsid w:val="552256FA"/>
    <w:rsid w:val="570C5455"/>
    <w:rsid w:val="598525CC"/>
    <w:rsid w:val="59EE1680"/>
    <w:rsid w:val="5BF91FBB"/>
    <w:rsid w:val="5D7A4684"/>
    <w:rsid w:val="60F03CEC"/>
    <w:rsid w:val="618A15A2"/>
    <w:rsid w:val="63AF1276"/>
    <w:rsid w:val="64064D57"/>
    <w:rsid w:val="66060A8C"/>
    <w:rsid w:val="68D11FB9"/>
    <w:rsid w:val="6B2D0E73"/>
    <w:rsid w:val="6C7E7701"/>
    <w:rsid w:val="6CBF6979"/>
    <w:rsid w:val="6D086DE6"/>
    <w:rsid w:val="70CF50CE"/>
    <w:rsid w:val="716B38F2"/>
    <w:rsid w:val="72707664"/>
    <w:rsid w:val="735F43FA"/>
    <w:rsid w:val="756543F3"/>
    <w:rsid w:val="758949BC"/>
    <w:rsid w:val="7A6F37BC"/>
    <w:rsid w:val="7B0459D4"/>
    <w:rsid w:val="7BC47430"/>
    <w:rsid w:val="7E14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Date"/>
    <w:basedOn w:val="1"/>
    <w:next w:val="1"/>
    <w:qFormat/>
    <w:uiPriority w:val="0"/>
    <w:pPr>
      <w:ind w:left="25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Title"/>
    <w:next w:val="1"/>
    <w:qFormat/>
    <w:uiPriority w:val="10"/>
    <w:pPr>
      <w:widowControl w:val="0"/>
      <w:autoSpaceDE w:val="0"/>
      <w:autoSpaceDN w:val="0"/>
      <w:snapToGrid w:val="0"/>
      <w:spacing w:line="560" w:lineRule="exact"/>
      <w:ind w:firstLine="200" w:firstLineChars="200"/>
    </w:pPr>
    <w:rPr>
      <w:rFonts w:ascii="仿宋" w:hAnsi="仿宋" w:eastAsia="仿宋" w:cs="Times New Roman"/>
      <w:bCs/>
      <w:kern w:val="2"/>
      <w:sz w:val="30"/>
      <w:szCs w:val="32"/>
      <w:lang w:val="en-US" w:eastAsia="zh-CN" w:bidi="ar-SA"/>
    </w:rPr>
  </w:style>
  <w:style w:type="character" w:styleId="12">
    <w:name w:val="Strong"/>
    <w:basedOn w:val="11"/>
    <w:qFormat/>
    <w:uiPriority w:val="22"/>
    <w:rPr>
      <w:b/>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paragraph" w:customStyle="1" w:styleId="15">
    <w:name w:val="正文2"/>
    <w:basedOn w:val="1"/>
    <w:next w:val="1"/>
    <w:qFormat/>
    <w:uiPriority w:val="0"/>
    <w:rPr>
      <w:rFonts w:ascii="Calibri" w:hAnsi="Calibri"/>
    </w:rPr>
  </w:style>
  <w:style w:type="paragraph" w:customStyle="1" w:styleId="16">
    <w:name w:val="No Spacing1"/>
    <w:basedOn w:val="1"/>
    <w:qFormat/>
    <w:uiPriority w:val="99"/>
    <w:pPr>
      <w:spacing w:line="400" w:lineRule="exact"/>
    </w:pPr>
    <w:rPr>
      <w:sz w:val="24"/>
      <w:szCs w:val="24"/>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1550</Words>
  <Characters>8841</Characters>
  <Lines>73</Lines>
  <Paragraphs>20</Paragraphs>
  <TotalTime>36</TotalTime>
  <ScaleCrop>false</ScaleCrop>
  <LinksUpToDate>false</LinksUpToDate>
  <CharactersWithSpaces>10371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2024-03-01T08:11:16Z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