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0" w:name="_GoBack"/>
      <w:bookmarkEnd w:id="0"/>
      <w:r>
        <w:rPr>
          <w:rFonts w:ascii="仿宋_GB2312"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142875</wp:posOffset>
                </wp:positionH>
                <wp:positionV relativeFrom="paragraph">
                  <wp:posOffset>133350</wp:posOffset>
                </wp:positionV>
                <wp:extent cx="5486400" cy="2377440"/>
                <wp:effectExtent l="0" t="0" r="0" b="14605"/>
                <wp:wrapNone/>
                <wp:docPr id="5" name="组合 5"/>
                <wp:cNvGraphicFramePr/>
                <a:graphic xmlns:a="http://schemas.openxmlformats.org/drawingml/2006/main">
                  <a:graphicData uri="http://schemas.microsoft.com/office/word/2010/wordprocessingGroup">
                    <wpg:wgp>
                      <wpg:cNvGrpSpPr/>
                      <wpg:grpSpPr>
                        <a:xfrm>
                          <a:off x="0" y="0"/>
                          <a:ext cx="5486400" cy="2377440"/>
                          <a:chOff x="1768" y="2566"/>
                          <a:chExt cx="8640" cy="3120"/>
                        </a:xfrm>
                      </wpg:grpSpPr>
                      <wps:wsp>
                        <wps:cNvPr id="1" name="矩形 1"/>
                        <wps:cNvSpPr/>
                        <wps:spPr>
                          <a:xfrm>
                            <a:off x="1768" y="2566"/>
                            <a:ext cx="8460" cy="2652"/>
                          </a:xfrm>
                          <a:prstGeom prst="rect">
                            <a:avLst/>
                          </a:prstGeom>
                          <a:noFill/>
                          <a:ln>
                            <a:noFill/>
                          </a:ln>
                        </wps:spPr>
                        <wps:txbx>
                          <w:txbxContent>
                            <w:p>
                              <w:pPr>
                                <w:rPr>
                                  <w:rFonts w:hint="eastAsia" w:ascii="方正小标宋简体" w:eastAsia="方正小标宋简体"/>
                                  <w:color w:val="FF0000"/>
                                  <w:w w:val="40"/>
                                  <w:sz w:val="136"/>
                                  <w:szCs w:val="136"/>
                                </w:rPr>
                              </w:pPr>
                              <w:r>
                                <w:rPr>
                                  <w:rFonts w:hint="eastAsia" w:ascii="方正小标宋简体" w:eastAsia="方正小标宋简体"/>
                                  <w:color w:val="FF0000"/>
                                  <w:w w:val="40"/>
                                  <w:sz w:val="136"/>
                                  <w:szCs w:val="136"/>
                                </w:rPr>
                                <w:t>淮北市烈山区安全生产委员会文件</w:t>
                              </w:r>
                            </w:p>
                            <w:p>
                              <w:pPr>
                                <w:rPr>
                                  <w:rFonts w:hint="eastAsia"/>
                                  <w:szCs w:val="156"/>
                                </w:rPr>
                              </w:pPr>
                            </w:p>
                          </w:txbxContent>
                        </wps:txbx>
                        <wps:bodyPr upright="1"/>
                      </wps:wsp>
                      <wpg:grpSp>
                        <wpg:cNvPr id="4" name="组合 4"/>
                        <wpg:cNvGrpSpPr/>
                        <wpg:grpSpPr>
                          <a:xfrm>
                            <a:off x="1768" y="5686"/>
                            <a:ext cx="8640" cy="0"/>
                            <a:chOff x="1768" y="5686"/>
                            <a:chExt cx="8640" cy="0"/>
                          </a:xfrm>
                        </wpg:grpSpPr>
                        <wps:wsp>
                          <wps:cNvPr id="2" name="直接连接符 2"/>
                          <wps:cNvCnPr/>
                          <wps:spPr>
                            <a:xfrm>
                              <a:off x="1768" y="5686"/>
                              <a:ext cx="3957" cy="0"/>
                            </a:xfrm>
                            <a:prstGeom prst="line">
                              <a:avLst/>
                            </a:prstGeom>
                            <a:ln w="28575" cap="flat" cmpd="sng">
                              <a:solidFill>
                                <a:srgbClr val="FF0000"/>
                              </a:solidFill>
                              <a:prstDash val="solid"/>
                              <a:headEnd type="none" w="med" len="med"/>
                              <a:tailEnd type="none" w="med" len="med"/>
                            </a:ln>
                          </wps:spPr>
                          <wps:bodyPr upright="1"/>
                        </wps:wsp>
                        <wps:wsp>
                          <wps:cNvPr id="3" name="直接连接符 3"/>
                          <wps:cNvCnPr/>
                          <wps:spPr>
                            <a:xfrm>
                              <a:off x="6448" y="5686"/>
                              <a:ext cx="3960" cy="0"/>
                            </a:xfrm>
                            <a:prstGeom prst="line">
                              <a:avLst/>
                            </a:prstGeom>
                            <a:ln w="28575" cap="flat" cmpd="sng">
                              <a:solidFill>
                                <a:srgbClr val="FF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11.25pt;margin-top:10.5pt;height:187.2pt;width:432pt;z-index:251659264;mso-width-relative:page;mso-height-relative:page;" coordorigin="1768,2566" coordsize="8640,3120" o:gfxdata="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KqAohfaAAAACQEAAA8AAAAAAAAAAQAgAAAAIgAAAGRycy9kb3ducmV2LnhtbFBLAQIU&#10;ABQAAAAIAIdO4kD/Ys33DgMAALYJAAAOAAAAAAAAAAEAIAAAACkBAABkcnMvZTJvRG9jLnhtbFBL&#10;BQYAAAAABgAGAFkBAACpBgAAAAA=&#10;">
                <o:lock v:ext="edit" aspectratio="f"/>
                <v:rect id="_x0000_s1026" o:spid="_x0000_s1026" o:spt="1" style="position:absolute;left:1768;top:2566;height:2652;width:846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ascii="方正小标宋简体" w:eastAsia="方正小标宋简体"/>
                            <w:color w:val="FF0000"/>
                            <w:w w:val="40"/>
                            <w:sz w:val="136"/>
                            <w:szCs w:val="136"/>
                          </w:rPr>
                        </w:pPr>
                        <w:r>
                          <w:rPr>
                            <w:rFonts w:hint="eastAsia" w:ascii="方正小标宋简体" w:eastAsia="方正小标宋简体"/>
                            <w:color w:val="FF0000"/>
                            <w:w w:val="40"/>
                            <w:sz w:val="136"/>
                            <w:szCs w:val="136"/>
                          </w:rPr>
                          <w:t>淮北市烈山区安全生产委员会文件</w:t>
                        </w:r>
                      </w:p>
                      <w:p>
                        <w:pPr>
                          <w:rPr>
                            <w:rFonts w:hint="eastAsia"/>
                            <w:szCs w:val="156"/>
                          </w:rPr>
                        </w:pPr>
                      </w:p>
                    </w:txbxContent>
                  </v:textbox>
                </v:rect>
                <v:group id="_x0000_s1026" o:spid="_x0000_s1026" o:spt="203" style="position:absolute;left:1768;top:5686;height:0;width:8640;" coordorigin="1768,5686" coordsize="864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1768;top:5686;height:0;width:3957;"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_x0000_s1026" o:spid="_x0000_s1026" o:spt="20" style="position:absolute;left:6448;top:5686;height:0;width:3960;"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v:group>
            </w:pict>
          </mc:Fallback>
        </mc:AlternateConten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4320" w:firstLineChars="900"/>
        <w:rPr>
          <w:rFonts w:hint="eastAsia" w:ascii="仿宋_GB2312" w:eastAsia="仿宋_GB2312"/>
          <w:color w:val="FF0000"/>
          <w:sz w:val="48"/>
          <w:szCs w:val="48"/>
        </w:rPr>
      </w:pPr>
      <w:r>
        <w:rPr>
          <w:rFonts w:hint="eastAsia" w:ascii="仿宋_GB2312" w:eastAsia="仿宋_GB2312"/>
          <w:color w:val="FF0000"/>
          <w:sz w:val="48"/>
          <w:szCs w:val="48"/>
        </w:rPr>
        <w:t xml:space="preserve">   </w:t>
      </w:r>
    </w:p>
    <w:p>
      <w:pPr>
        <w:ind w:firstLine="3200" w:firstLineChars="1000"/>
        <w:rPr>
          <w:rFonts w:hint="eastAsia" w:ascii="仿宋_GB2312" w:eastAsia="仿宋_GB2312"/>
          <w:b/>
          <w:sz w:val="44"/>
          <w:szCs w:val="44"/>
        </w:rPr>
      </w:pPr>
      <w:r>
        <w:rPr>
          <w:rFonts w:ascii="仿宋_GB2312" w:eastAsia="仿宋_GB2312"/>
          <w:sz w:val="32"/>
          <w:szCs w:val="32"/>
        </w:rPr>
        <w:tab/>
      </w:r>
      <w:r>
        <w:rPr>
          <w:rFonts w:hint="eastAsia" w:ascii="仿宋_GB2312" w:hAnsi="仿宋" w:eastAsia="仿宋_GB2312" w:cs="仿宋"/>
          <w:bCs/>
          <w:sz w:val="32"/>
          <w:szCs w:val="32"/>
        </w:rPr>
        <w:t>烈安</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hAnsi="仿宋" w:eastAsia="仿宋_GB2312" w:cs="仿宋"/>
          <w:bCs/>
          <w:sz w:val="32"/>
          <w:szCs w:val="32"/>
        </w:rPr>
        <w:t>号</w:t>
      </w:r>
    </w:p>
    <w:p>
      <w:pPr>
        <w:keepNext w:val="0"/>
        <w:keepLines w:val="0"/>
        <w:pageBreakBefore w:val="0"/>
        <w:kinsoku/>
        <w:wordWrap/>
        <w:overflowPunct/>
        <w:topLinePunct w:val="0"/>
        <w:autoSpaceDE/>
        <w:autoSpaceDN/>
        <w:bidi w:val="0"/>
        <w:adjustRightInd/>
        <w:snapToGrid/>
        <w:spacing w:line="560" w:lineRule="exact"/>
        <w:ind w:firstLine="4290" w:firstLineChars="75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eastAsia="仿宋_GB2312"/>
          <w:color w:val="FF0000"/>
          <w:w w:val="110"/>
          <w:sz w:val="52"/>
          <w:szCs w:val="52"/>
        </w:rPr>
        <w:t>★</w:t>
      </w:r>
    </w:p>
    <w:p>
      <w:pPr>
        <w:keepNext w:val="0"/>
        <w:keepLines w:val="0"/>
        <w:widowControl/>
        <w:suppressLineNumbers w:val="0"/>
        <w:ind w:firstLine="3200" w:firstLineChars="1000"/>
        <w:jc w:val="left"/>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方正小标宋_GBK" w:hAnsi="方正小标宋_GBK" w:eastAsia="方正小标宋_GBK" w:cs="方正小标宋_GBK"/>
          <w:b w:val="0"/>
          <w:bCs w:val="0"/>
          <w:color w:val="000000"/>
          <w:kern w:val="0"/>
          <w:sz w:val="44"/>
          <w:szCs w:val="44"/>
          <w:lang w:val="en-US" w:eastAsia="zh-CN" w:bidi="ar"/>
        </w:rPr>
        <w:t>关于印发《烈山区安委会2021年工作要点》的通知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各镇办人民政府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经开区管委会，区</w:t>
      </w:r>
      <w:r>
        <w:rPr>
          <w:rFonts w:hint="eastAsia" w:ascii="仿宋_GB2312" w:hAnsi="仿宋_GB2312" w:eastAsia="仿宋_GB2312" w:cs="仿宋_GB2312"/>
          <w:sz w:val="32"/>
          <w:szCs w:val="32"/>
        </w:rPr>
        <w:t>安委会各成员单位</w:t>
      </w:r>
      <w:r>
        <w:rPr>
          <w:rFonts w:hint="eastAsia" w:ascii="仿宋_GB2312" w:hAnsi="仿宋_GB2312" w:eastAsia="仿宋_GB2312" w:cs="仿宋_GB2312"/>
          <w:sz w:val="32"/>
          <w:szCs w:val="32"/>
          <w:lang w:eastAsia="zh-CN"/>
        </w:rPr>
        <w:t>，有关单位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《烈山区安委会2021年工作要点（征求意见稿）》已经征求各单位意见，并进行了修改，</w:t>
      </w:r>
      <w:r>
        <w:rPr>
          <w:rFonts w:hint="eastAsia" w:ascii="仿宋_GB2312" w:hAnsi="仿宋_GB2312" w:eastAsia="仿宋_GB2312" w:cs="仿宋_GB2312"/>
          <w:color w:val="000000"/>
          <w:kern w:val="0"/>
          <w:sz w:val="32"/>
          <w:szCs w:val="32"/>
          <w:lang w:bidi="ar"/>
        </w:rPr>
        <w:t>经</w:t>
      </w:r>
      <w:r>
        <w:rPr>
          <w:rFonts w:hint="eastAsia" w:ascii="仿宋_GB2312" w:hAnsi="仿宋_GB2312" w:eastAsia="仿宋_GB2312" w:cs="仿宋_GB2312"/>
          <w:color w:val="000000"/>
          <w:kern w:val="0"/>
          <w:sz w:val="32"/>
          <w:szCs w:val="32"/>
          <w:lang w:eastAsia="zh-CN" w:bidi="ar"/>
        </w:rPr>
        <w:t>区</w:t>
      </w:r>
      <w:r>
        <w:rPr>
          <w:rFonts w:hint="eastAsia" w:ascii="仿宋_GB2312" w:hAnsi="仿宋_GB2312" w:eastAsia="仿宋_GB2312" w:cs="仿宋_GB2312"/>
          <w:color w:val="000000"/>
          <w:kern w:val="0"/>
          <w:sz w:val="32"/>
          <w:szCs w:val="32"/>
          <w:lang w:bidi="ar"/>
        </w:rPr>
        <w:t>安委会领导同意，现将《</w:t>
      </w:r>
      <w:r>
        <w:rPr>
          <w:rFonts w:hint="eastAsia" w:ascii="仿宋_GB2312" w:hAnsi="仿宋_GB2312" w:eastAsia="仿宋_GB2312" w:cs="仿宋_GB2312"/>
          <w:color w:val="000000"/>
          <w:kern w:val="0"/>
          <w:sz w:val="32"/>
          <w:szCs w:val="32"/>
          <w:lang w:eastAsia="zh-CN" w:bidi="ar"/>
        </w:rPr>
        <w:t>烈山区安委会</w:t>
      </w:r>
      <w:r>
        <w:rPr>
          <w:rFonts w:hint="eastAsia" w:ascii="仿宋_GB2312" w:hAnsi="仿宋_GB2312" w:eastAsia="仿宋_GB2312" w:cs="仿宋_GB2312"/>
          <w:color w:val="000000"/>
          <w:kern w:val="0"/>
          <w:sz w:val="32"/>
          <w:szCs w:val="32"/>
          <w:lang w:val="en-US" w:eastAsia="zh-CN" w:bidi="ar"/>
        </w:rPr>
        <w:t>2021年工作要点</w:t>
      </w:r>
      <w:r>
        <w:rPr>
          <w:rFonts w:hint="eastAsia" w:ascii="仿宋_GB2312" w:hAnsi="仿宋_GB2312" w:eastAsia="仿宋_GB2312" w:cs="仿宋_GB2312"/>
          <w:color w:val="000000"/>
          <w:kern w:val="0"/>
          <w:sz w:val="32"/>
          <w:szCs w:val="32"/>
          <w:lang w:bidi="ar"/>
        </w:rPr>
        <w:t xml:space="preserve">》印发给你们，请结合实际认真贯彻落实。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bidi="ar"/>
        </w:rPr>
      </w:pPr>
    </w:p>
    <w:p>
      <w:pPr>
        <w:keepNext w:val="0"/>
        <w:keepLines w:val="0"/>
        <w:pageBreakBefore w:val="0"/>
        <w:widowControl/>
        <w:tabs>
          <w:tab w:val="left" w:pos="7920"/>
          <w:tab w:val="left" w:pos="8100"/>
        </w:tabs>
        <w:kinsoku/>
        <w:wordWrap/>
        <w:overflowPunct/>
        <w:topLinePunct w:val="0"/>
        <w:autoSpaceDE/>
        <w:autoSpaceDN/>
        <w:bidi w:val="0"/>
        <w:adjustRightInd/>
        <w:snapToGrid/>
        <w:spacing w:line="560" w:lineRule="exact"/>
        <w:ind w:right="640"/>
        <w:jc w:val="right"/>
        <w:textAlignment w:val="auto"/>
        <w:rPr>
          <w:rFonts w:hint="eastAsia" w:ascii="仿宋_GB2312" w:hAnsi="仿宋_GB2312" w:eastAsia="仿宋_GB2312" w:cs="仿宋_GB2312"/>
          <w:color w:val="000000"/>
          <w:kern w:val="0"/>
          <w:sz w:val="32"/>
          <w:szCs w:val="32"/>
          <w:lang w:eastAsia="zh-CN" w:bidi="ar"/>
        </w:rPr>
      </w:pPr>
    </w:p>
    <w:p>
      <w:pPr>
        <w:keepNext w:val="0"/>
        <w:keepLines w:val="0"/>
        <w:pageBreakBefore w:val="0"/>
        <w:widowControl/>
        <w:tabs>
          <w:tab w:val="left" w:pos="7920"/>
          <w:tab w:val="left" w:pos="8100"/>
        </w:tabs>
        <w:kinsoku/>
        <w:wordWrap/>
        <w:overflowPunct/>
        <w:topLinePunct w:val="0"/>
        <w:autoSpaceDE/>
        <w:autoSpaceDN/>
        <w:bidi w:val="0"/>
        <w:adjustRightInd/>
        <w:snapToGrid/>
        <w:spacing w:line="560" w:lineRule="exact"/>
        <w:ind w:right="640"/>
        <w:jc w:val="right"/>
        <w:textAlignment w:val="auto"/>
        <w:rPr>
          <w:rFonts w:hint="eastAsia" w:ascii="仿宋_GB2312" w:hAnsi="仿宋_GB2312" w:eastAsia="仿宋_GB2312" w:cs="仿宋_GB2312"/>
          <w:color w:val="000000"/>
          <w:kern w:val="0"/>
          <w:sz w:val="32"/>
          <w:szCs w:val="32"/>
          <w:lang w:eastAsia="zh-CN" w:bidi="ar"/>
        </w:rPr>
      </w:pPr>
    </w:p>
    <w:p>
      <w:pPr>
        <w:keepNext w:val="0"/>
        <w:keepLines w:val="0"/>
        <w:pageBreakBefore w:val="0"/>
        <w:widowControl/>
        <w:tabs>
          <w:tab w:val="left" w:pos="7920"/>
          <w:tab w:val="left" w:pos="8100"/>
        </w:tabs>
        <w:kinsoku/>
        <w:wordWrap/>
        <w:overflowPunct/>
        <w:topLinePunct w:val="0"/>
        <w:autoSpaceDE/>
        <w:autoSpaceDN/>
        <w:bidi w:val="0"/>
        <w:adjustRightInd/>
        <w:snapToGrid/>
        <w:spacing w:line="560" w:lineRule="exact"/>
        <w:ind w:right="640"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bidi="ar"/>
        </w:rPr>
        <w:t>烈山区</w:t>
      </w:r>
      <w:r>
        <w:rPr>
          <w:rFonts w:hint="eastAsia" w:ascii="仿宋_GB2312" w:hAnsi="仿宋_GB2312" w:eastAsia="仿宋_GB2312" w:cs="仿宋_GB2312"/>
          <w:color w:val="000000"/>
          <w:kern w:val="0"/>
          <w:sz w:val="32"/>
          <w:szCs w:val="32"/>
          <w:lang w:bidi="ar"/>
        </w:rPr>
        <w:t xml:space="preserve">安全生产委员会 </w:t>
      </w:r>
    </w:p>
    <w:p>
      <w:pPr>
        <w:keepNext w:val="0"/>
        <w:keepLines w:val="0"/>
        <w:pageBreakBefore w:val="0"/>
        <w:widowControl/>
        <w:tabs>
          <w:tab w:val="left" w:pos="8100"/>
        </w:tabs>
        <w:kinsoku/>
        <w:wordWrap/>
        <w:overflowPunct/>
        <w:topLinePunct w:val="0"/>
        <w:autoSpaceDE/>
        <w:autoSpaceDN/>
        <w:bidi w:val="0"/>
        <w:adjustRightInd/>
        <w:snapToGrid/>
        <w:spacing w:line="560" w:lineRule="exact"/>
        <w:ind w:right="8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202</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bidi="ar"/>
        </w:rPr>
        <w:t xml:space="preserve"> 年 </w:t>
      </w:r>
      <w:r>
        <w:rPr>
          <w:rFonts w:hint="eastAsia" w:ascii="仿宋_GB2312" w:hAnsi="仿宋_GB2312" w:eastAsia="仿宋_GB2312" w:cs="仿宋_GB2312"/>
          <w:color w:val="000000"/>
          <w:kern w:val="0"/>
          <w:sz w:val="32"/>
          <w:szCs w:val="32"/>
          <w:lang w:val="en-US" w:eastAsia="zh-CN" w:bidi="ar"/>
        </w:rPr>
        <w:t>6</w:t>
      </w:r>
      <w:r>
        <w:rPr>
          <w:rFonts w:hint="eastAsia" w:ascii="仿宋_GB2312" w:hAnsi="仿宋_GB2312" w:eastAsia="仿宋_GB2312" w:cs="仿宋_GB2312"/>
          <w:color w:val="000000"/>
          <w:kern w:val="0"/>
          <w:sz w:val="32"/>
          <w:szCs w:val="32"/>
          <w:lang w:bidi="ar"/>
        </w:rPr>
        <w:t xml:space="preserve">月 </w:t>
      </w:r>
      <w:r>
        <w:rPr>
          <w:rFonts w:hint="eastAsia" w:ascii="仿宋_GB2312" w:hAnsi="仿宋_GB2312" w:eastAsia="仿宋_GB2312" w:cs="仿宋_GB2312"/>
          <w:color w:val="000000"/>
          <w:kern w:val="0"/>
          <w:sz w:val="32"/>
          <w:szCs w:val="32"/>
          <w:lang w:val="en-US" w:eastAsia="zh-CN" w:bidi="ar"/>
        </w:rPr>
        <w:t>23</w:t>
      </w:r>
      <w:r>
        <w:rPr>
          <w:rFonts w:hint="eastAsia" w:ascii="仿宋_GB2312" w:hAnsi="仿宋_GB2312" w:eastAsia="仿宋_GB2312" w:cs="仿宋_GB2312"/>
          <w:color w:val="000000"/>
          <w:kern w:val="0"/>
          <w:sz w:val="32"/>
          <w:szCs w:val="32"/>
          <w:lang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kern w:val="0"/>
          <w:sz w:val="44"/>
          <w:szCs w:val="44"/>
          <w:lang w:val="en-US" w:eastAsia="zh-CN" w:bidi="ar"/>
        </w:rPr>
        <w:t xml:space="preserve">烈山区安委会 2021 年工作要点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2021 年区安委会的主要任务是：坚持以习近平新时代中国特色社会主义思想为指引，深入贯彻党的十九大和十九届二中、三中、四中、五中全会精神，认真贯彻落实习近平总书记考察安徽重要讲话指示精神和关于安全生产重要论述，按照省委、省政府，市委、市政府，区委、区政府决策部署，坚持“两个至上”，统筹发展和安全两件大事，围绕从根本上消除事故隐患、从根本上解决问题，深入推进安全生产专项整治三年行动以及“铸安”行动常态化实效化和风险管控“六项机制”制度化规范化建设，进一步完善落实安全生产责任制，切实加强安全生产监管执法，有效防范化解重大安全风险，切实把确保人民生命安全放在第一位落到实处，坚决遏制重特大生产安全事故，有效防范较大事故，实现事故总量和死亡人数“双下降”的年度安全生产工作目标，扎实推动安全生产治理体系和治理能力现代化，为“十四五”开好局、起好步，全面开启经济强、百姓富、生态美的新阶段现代化美好烈山建设创造安全稳定的环境，以优异成绩庆祝建党 100 周年。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一、深入学习宣传贯彻落实习近平总书记关于安全生产重要论述和重要指示批示精神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 广泛开展专题宣传教育培训。</w:t>
      </w:r>
      <w:r>
        <w:rPr>
          <w:rFonts w:hint="eastAsia" w:ascii="仿宋_GB2312" w:hAnsi="仿宋_GB2312" w:eastAsia="仿宋_GB2312" w:cs="仿宋_GB2312"/>
          <w:color w:val="000000"/>
          <w:kern w:val="0"/>
          <w:sz w:val="32"/>
          <w:szCs w:val="32"/>
          <w:lang w:val="en-US" w:eastAsia="zh-CN" w:bidi="ar"/>
        </w:rPr>
        <w:t>组织观看学习《生命重于泰山——习近平总书记关于安全生产重要论述》电视专题片。推动各地、各有关部门和单位党委（党组）专题学习，推进学习教育全覆盖。推动将习近平总书记关于安全生产重要论述纳入党委宣传工作重点，部署开展经常性、系统性宣讲活动。镇（办）、经开区及各行业主要开设专题专栏，做好权威解读，交流学习体会，强化学习效果。（</w:t>
      </w:r>
      <w:r>
        <w:rPr>
          <w:rFonts w:hint="eastAsia" w:ascii="楷体_GB2312" w:hAnsi="楷体_GB2312" w:eastAsia="楷体_GB2312" w:cs="楷体_GB2312"/>
          <w:color w:val="000000"/>
          <w:kern w:val="0"/>
          <w:sz w:val="32"/>
          <w:szCs w:val="32"/>
          <w:lang w:val="en-US" w:eastAsia="zh-CN" w:bidi="ar"/>
        </w:rPr>
        <w:t xml:space="preserve">牵头责任单位：区委宣传部、区应急局，协同责任单位：区安委会各成员单位。各镇（办）政府、经开区管委会落实属地管理责任，以下均需各镇（办）政府、经开区管委会落实属地管理责任，不再重复列出） </w:t>
      </w:r>
    </w:p>
    <w:p>
      <w:pPr>
        <w:keepNext w:val="0"/>
        <w:keepLines w:val="0"/>
        <w:pageBreakBefore w:val="0"/>
        <w:widowControl/>
        <w:suppressLineNumbers w:val="0"/>
        <w:kinsoku/>
        <w:wordWrap/>
        <w:overflowPunct/>
        <w:topLinePunct w:val="0"/>
        <w:autoSpaceDE/>
        <w:autoSpaceDN/>
        <w:bidi w:val="0"/>
        <w:adjustRightInd/>
        <w:snapToGrid/>
        <w:spacing w:line="560" w:lineRule="exact"/>
        <w:ind w:left="634" w:leftChars="302" w:firstLine="0" w:firstLineChars="0"/>
        <w:jc w:val="left"/>
        <w:textAlignment w:val="auto"/>
        <w:rPr>
          <w:rFonts w:hint="default"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2. 扎实推动中央及省、市、区重要决策部署落地生根。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持续推动安全生产领域改革发展，强化制度性成果，不断推进安全生产治理体系和治理能力现代化。组织对《关于全面加强危险化学品安全生产工作的实施意见》落实情况开展“回头看”，督促各地、各有关部门按职责任务分工抓好落实。认真贯彻落实中央办公厅、国务院办公厅《关于深化应急管理综合行政执法改革的意见》及省、市实施意见，按照时限要求，出台我区实施意见，落实相关政策措施，强化基层安全监管执法能力。深化非煤矿山安全监管监察体制改革。</w:t>
      </w:r>
      <w:r>
        <w:rPr>
          <w:rFonts w:hint="eastAsia" w:ascii="楷体_GB2312" w:hAnsi="楷体_GB2312" w:eastAsia="楷体_GB2312" w:cs="楷体_GB2312"/>
          <w:color w:val="000000"/>
          <w:kern w:val="0"/>
          <w:sz w:val="32"/>
          <w:szCs w:val="32"/>
          <w:lang w:val="en-US" w:eastAsia="zh-CN" w:bidi="ar"/>
        </w:rPr>
        <w:t xml:space="preserve">（牵头责任单位：区应急局，协同责任单位：区安委会各有关成员单位）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3. 制定实施安全生产“十四五”规划。</w:t>
      </w:r>
      <w:r>
        <w:rPr>
          <w:rFonts w:hint="eastAsia" w:ascii="仿宋_GB2312" w:hAnsi="仿宋_GB2312" w:eastAsia="仿宋_GB2312" w:cs="仿宋_GB2312"/>
          <w:color w:val="000000"/>
          <w:kern w:val="0"/>
          <w:sz w:val="32"/>
          <w:szCs w:val="32"/>
          <w:lang w:val="en-US" w:eastAsia="zh-CN" w:bidi="ar"/>
        </w:rPr>
        <w:t>立足新发展阶段、贯彻新发展理念、构建新发展格局，将安全生产重点内容纳入国民经济和社会发展“十四五”规划。制定印发《烈山区安全生产“十四五”规划》及相关规划，推动出台交通运输、道路交通、电力等重点行业领域的安全发展专项规划。（</w:t>
      </w:r>
      <w:r>
        <w:rPr>
          <w:rFonts w:hint="eastAsia" w:ascii="楷体_GB2312" w:hAnsi="楷体_GB2312" w:eastAsia="楷体_GB2312" w:cs="楷体_GB2312"/>
          <w:color w:val="000000"/>
          <w:kern w:val="0"/>
          <w:sz w:val="32"/>
          <w:szCs w:val="32"/>
          <w:lang w:val="en-US" w:eastAsia="zh-CN" w:bidi="ar"/>
        </w:rPr>
        <w:t xml:space="preserve">牵头责任单位：区应急局、烈山区道路运政服务中心、市公安局烈山分局、交警四大队、区发改委，协同责任单位：区安委会各有关成员单位）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二、健全完善安全生产责任体系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color w:val="000000"/>
          <w:kern w:val="0"/>
          <w:sz w:val="31"/>
          <w:szCs w:val="31"/>
          <w:lang w:val="en-US" w:eastAsia="zh-CN" w:bidi="ar"/>
        </w:rPr>
        <w:t>4. 推动安全生产党政领导责任落地。</w:t>
      </w:r>
      <w:r>
        <w:rPr>
          <w:rFonts w:hint="eastAsia" w:ascii="仿宋_GB2312" w:hAnsi="仿宋_GB2312" w:eastAsia="仿宋_GB2312" w:cs="仿宋_GB2312"/>
          <w:color w:val="000000"/>
          <w:kern w:val="0"/>
          <w:sz w:val="32"/>
          <w:szCs w:val="32"/>
          <w:lang w:val="en-US" w:eastAsia="zh-CN" w:bidi="ar"/>
        </w:rPr>
        <w:t>推动省、市、区《党政领导干部安全生产责任制实施细则》落到实处，层层制定区、镇（办）党政领导干部安全生产“职责清单”和年度“工作清单”，把履责情况纳入述职考核、安全生产巡查内容，把安全生产相关要求纳入高质量发展综合绩效评价指标体系（</w:t>
      </w:r>
      <w:r>
        <w:rPr>
          <w:rFonts w:hint="eastAsia" w:ascii="楷体_GB2312" w:hAnsi="楷体_GB2312" w:eastAsia="楷体_GB2312" w:cs="楷体_GB2312"/>
          <w:color w:val="000000"/>
          <w:kern w:val="0"/>
          <w:sz w:val="32"/>
          <w:szCs w:val="32"/>
          <w:lang w:val="en-US" w:eastAsia="zh-CN" w:bidi="ar"/>
        </w:rPr>
        <w:t>责任单位：区委组织部、区发改委、区应急局）。</w:t>
      </w:r>
      <w:r>
        <w:rPr>
          <w:rFonts w:hint="eastAsia" w:ascii="仿宋_GB2312" w:hAnsi="仿宋_GB2312" w:eastAsia="仿宋_GB2312" w:cs="仿宋_GB2312"/>
          <w:color w:val="000000"/>
          <w:kern w:val="0"/>
          <w:sz w:val="32"/>
          <w:szCs w:val="32"/>
          <w:lang w:val="en-US" w:eastAsia="zh-CN" w:bidi="ar"/>
        </w:rPr>
        <w:t>对新调整的镇（办）党政领导干部负有安全监管职责的部门负责人进行轮训，强化各级党政领导干部“促一方发展、保一方平安”的政治责任。（</w:t>
      </w:r>
      <w:r>
        <w:rPr>
          <w:rFonts w:hint="eastAsia" w:ascii="楷体_GB2312" w:hAnsi="楷体_GB2312" w:eastAsia="楷体_GB2312" w:cs="楷体_GB2312"/>
          <w:color w:val="000000"/>
          <w:kern w:val="0"/>
          <w:sz w:val="32"/>
          <w:szCs w:val="32"/>
          <w:lang w:val="en-US" w:eastAsia="zh-CN" w:bidi="ar"/>
        </w:rPr>
        <w:t xml:space="preserve">牵头责任单位：区委组织部、区应急局，协同责任单位：区安委会各成员单位）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5. 落实部门监管责任。</w:t>
      </w:r>
      <w:r>
        <w:rPr>
          <w:rFonts w:hint="eastAsia" w:ascii="仿宋_GB2312" w:hAnsi="仿宋_GB2312" w:eastAsia="仿宋_GB2312" w:cs="仿宋_GB2312"/>
          <w:color w:val="000000"/>
          <w:kern w:val="0"/>
          <w:sz w:val="32"/>
          <w:szCs w:val="32"/>
          <w:lang w:val="en-US" w:eastAsia="zh-CN" w:bidi="ar"/>
        </w:rPr>
        <w:t>坚持“管行业必须管安全、管业务必须管安全、管生产经营必须管安全”和“谁主管谁负责”的原则，修订区安委会成员单位安全职责清单。各部门持续开展本系统、本行业、本领域安全风险评估，加强对新技术、新工艺、新产品、新业态、新模式的安全风险研究，推动厘清监管事权、消除监管盲区。推动进一步明确农村用电用气、农家乐、民宿、农村饭店及村民自建经营活动用房等安全监管责任。（</w:t>
      </w:r>
      <w:r>
        <w:rPr>
          <w:rFonts w:hint="eastAsia" w:ascii="楷体_GB2312" w:hAnsi="楷体_GB2312" w:eastAsia="楷体_GB2312" w:cs="楷体_GB2312"/>
          <w:color w:val="000000"/>
          <w:kern w:val="0"/>
          <w:sz w:val="32"/>
          <w:szCs w:val="32"/>
          <w:lang w:val="en-US" w:eastAsia="zh-CN" w:bidi="ar"/>
        </w:rPr>
        <w:t xml:space="preserve">责任单位：区安委会各有关成员单位）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6. 加强安全生产和消防工作考核巡查。</w:t>
      </w:r>
      <w:r>
        <w:rPr>
          <w:rFonts w:hint="eastAsia" w:ascii="仿宋_GB2312" w:hAnsi="仿宋_GB2312" w:eastAsia="仿宋_GB2312" w:cs="仿宋_GB2312"/>
          <w:color w:val="000000"/>
          <w:kern w:val="0"/>
          <w:sz w:val="32"/>
          <w:szCs w:val="32"/>
          <w:lang w:val="en-US" w:eastAsia="zh-CN" w:bidi="ar"/>
        </w:rPr>
        <w:t>进一步完善评价指标，创新方式方法，多措并举用好约谈通报、警示曝光、督导回访等</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组合拳</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，切实发挥考核巡查的</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指挥棒</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作用。</w:t>
      </w:r>
      <w:r>
        <w:rPr>
          <w:rFonts w:hint="eastAsia" w:ascii="楷体_GB2312" w:hAnsi="楷体_GB2312" w:eastAsia="楷体_GB2312" w:cs="楷体_GB2312"/>
          <w:color w:val="000000"/>
          <w:kern w:val="0"/>
          <w:sz w:val="32"/>
          <w:szCs w:val="32"/>
          <w:lang w:val="en-US" w:eastAsia="zh-CN" w:bidi="ar"/>
        </w:rPr>
        <w:t xml:space="preserve">（牵头责任单位：区应急局，协同责任单位：区安委会各有关成员单位）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7</w:t>
      </w:r>
      <w:r>
        <w:rPr>
          <w:rFonts w:hint="eastAsia" w:ascii="楷体_GB2312" w:hAnsi="楷体_GB2312" w:eastAsia="楷体_GB2312" w:cs="楷体_GB2312"/>
          <w:b/>
          <w:bCs/>
          <w:color w:val="000000"/>
          <w:kern w:val="0"/>
          <w:sz w:val="32"/>
          <w:szCs w:val="32"/>
          <w:lang w:val="en-US" w:eastAsia="zh-CN" w:bidi="ar"/>
        </w:rPr>
        <w:t>．推动企业安全生产主体责任落实。</w:t>
      </w:r>
      <w:r>
        <w:rPr>
          <w:rFonts w:ascii="仿宋_GB2312" w:hAnsi="仿宋_GB2312" w:eastAsia="仿宋_GB2312" w:cs="仿宋_GB2312"/>
          <w:color w:val="000000"/>
          <w:kern w:val="0"/>
          <w:sz w:val="31"/>
          <w:szCs w:val="31"/>
          <w:lang w:val="en-US" w:eastAsia="zh-CN" w:bidi="ar"/>
        </w:rPr>
        <w:t>大</w:t>
      </w:r>
      <w:r>
        <w:rPr>
          <w:rFonts w:hint="eastAsia" w:ascii="仿宋_GB2312" w:hAnsi="仿宋_GB2312" w:eastAsia="仿宋_GB2312" w:cs="仿宋_GB2312"/>
          <w:color w:val="000000"/>
          <w:kern w:val="0"/>
          <w:sz w:val="32"/>
          <w:szCs w:val="32"/>
          <w:lang w:val="en-US" w:eastAsia="zh-CN" w:bidi="ar"/>
        </w:rPr>
        <w:t>力推进企业安全生产标准化创建工作，进一步完善安全生产标准化创建的经济杠杆、差异化监管等激励措施，加强安全预防控制体系建设，强化企业安全基础管理，提升企业安全生产水平。落实企业安全生产风险报告制度，规范企业安全风险辨识、评估、管控、报告工作。大力开展高危行业企业主要负责人、安管人员、特种作业人员安全技能培训，督促企业制定并实施安全技能提升培训计划，严把一线作业人员、新上岗员工、班组长安全技能培训质效，确保培训覆盖全员。</w:t>
      </w:r>
      <w:r>
        <w:rPr>
          <w:rFonts w:hint="eastAsia" w:ascii="楷体_GB2312" w:hAnsi="楷体_GB2312" w:eastAsia="楷体_GB2312" w:cs="楷体_GB2312"/>
          <w:color w:val="000000"/>
          <w:kern w:val="0"/>
          <w:sz w:val="32"/>
          <w:szCs w:val="32"/>
          <w:lang w:val="en-US" w:eastAsia="zh-CN" w:bidi="ar"/>
        </w:rPr>
        <w:t xml:space="preserve">（牵头责任单位：区应急局，协同责任单位：区安委会各有关成员单位）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8. </w:t>
      </w:r>
      <w:r>
        <w:rPr>
          <w:rFonts w:hint="eastAsia" w:ascii="楷体_GB2312" w:hAnsi="楷体_GB2312" w:eastAsia="楷体_GB2312" w:cs="楷体_GB2312"/>
          <w:b/>
          <w:bCs/>
          <w:color w:val="000000"/>
          <w:kern w:val="0"/>
          <w:sz w:val="32"/>
          <w:szCs w:val="32"/>
          <w:lang w:val="en-US" w:eastAsia="zh-CN" w:bidi="ar"/>
        </w:rPr>
        <w:t>完善齐抓共管体制机制。</w:t>
      </w:r>
      <w:r>
        <w:rPr>
          <w:rFonts w:hint="eastAsia" w:ascii="仿宋_GB2312" w:hAnsi="仿宋_GB2312" w:eastAsia="仿宋_GB2312" w:cs="仿宋_GB2312"/>
          <w:color w:val="000000"/>
          <w:kern w:val="0"/>
          <w:sz w:val="32"/>
          <w:szCs w:val="32"/>
          <w:lang w:val="en-US" w:eastAsia="zh-CN" w:bidi="ar"/>
        </w:rPr>
        <w:t>不断完善区安委会十四个专项领导小组工作制度，落实好信息通报、联合执法、会商研判等工作制度，充分发挥各专项小组作用。落实</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国家监察、地方监管、企业负责</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非煤矿山安全监管监察体制。</w:t>
      </w:r>
      <w:r>
        <w:rPr>
          <w:rFonts w:hint="eastAsia" w:ascii="楷体_GB2312" w:hAnsi="楷体_GB2312" w:eastAsia="楷体_GB2312" w:cs="楷体_GB2312"/>
          <w:color w:val="000000"/>
          <w:kern w:val="0"/>
          <w:sz w:val="32"/>
          <w:szCs w:val="32"/>
          <w:lang w:val="en-US" w:eastAsia="zh-CN" w:bidi="ar"/>
        </w:rPr>
        <w:t>（牵头责任单位：区应急局，协同责任单位：区安委会各成员单位）</w:t>
      </w:r>
      <w:r>
        <w:rPr>
          <w:rFonts w:hint="eastAsia" w:ascii="仿宋_GB2312" w:hAnsi="仿宋_GB2312" w:eastAsia="仿宋_GB2312" w:cs="仿宋_GB2312"/>
          <w:color w:val="000000"/>
          <w:kern w:val="0"/>
          <w:sz w:val="32"/>
          <w:szCs w:val="32"/>
          <w:lang w:val="en-US" w:eastAsia="zh-CN" w:bidi="ar"/>
        </w:rPr>
        <w:t>推动建立健全旅游安全、危险化学品安全、铁路沿线安全环境治理等工作的联席会议制度，落实好信息通报、联合执法、会商研判等工作制度（</w:t>
      </w:r>
      <w:r>
        <w:rPr>
          <w:rFonts w:hint="eastAsia" w:ascii="楷体_GB2312" w:hAnsi="楷体_GB2312" w:eastAsia="楷体_GB2312" w:cs="楷体_GB2312"/>
          <w:color w:val="000000"/>
          <w:kern w:val="0"/>
          <w:sz w:val="32"/>
          <w:szCs w:val="32"/>
          <w:lang w:val="en-US" w:eastAsia="zh-CN" w:bidi="ar"/>
        </w:rPr>
        <w:t>责任单位：区发改委、区经济科技信息化局、市公安局烈山分局、市生态环境局烈山分局、区住房和城乡建设局、烈山区道路运政服务中心、区农业农村水利局、区文化旅游体育局、区应急局、区市场监督管理局、烈山自然资源与规划分局）。</w:t>
      </w:r>
      <w:r>
        <w:rPr>
          <w:rFonts w:hint="eastAsia" w:ascii="仿宋_GB2312" w:hAnsi="仿宋_GB2312" w:eastAsia="仿宋_GB2312" w:cs="仿宋_GB2312"/>
          <w:color w:val="000000"/>
          <w:kern w:val="0"/>
          <w:sz w:val="32"/>
          <w:szCs w:val="32"/>
          <w:lang w:val="en-US" w:eastAsia="zh-CN" w:bidi="ar"/>
        </w:rPr>
        <w:t>推动建立完善基层应急组织体系，落实基层应急管理及救援力量，推动建立</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第一响应人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制度，解决应急管理</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最后一公里</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问题。</w:t>
      </w:r>
      <w:r>
        <w:rPr>
          <w:rFonts w:hint="eastAsia" w:ascii="楷体_GB2312" w:hAnsi="楷体_GB2312" w:eastAsia="楷体_GB2312" w:cs="楷体_GB2312"/>
          <w:color w:val="000000"/>
          <w:kern w:val="0"/>
          <w:sz w:val="32"/>
          <w:szCs w:val="32"/>
          <w:lang w:val="en-US" w:eastAsia="zh-CN" w:bidi="ar"/>
        </w:rPr>
        <w:t xml:space="preserve">（责任单位：区应急局、区消防救援大队）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9</w:t>
      </w:r>
      <w:r>
        <w:rPr>
          <w:rFonts w:hint="eastAsia" w:ascii="楷体_GB2312" w:hAnsi="楷体_GB2312" w:eastAsia="楷体_GB2312" w:cs="楷体_GB2312"/>
          <w:b/>
          <w:bCs/>
          <w:color w:val="000000"/>
          <w:kern w:val="0"/>
          <w:sz w:val="32"/>
          <w:szCs w:val="32"/>
          <w:lang w:val="en-US" w:eastAsia="zh-CN" w:bidi="ar"/>
        </w:rPr>
        <w:t>．强化事故调查处理。</w:t>
      </w:r>
      <w:r>
        <w:rPr>
          <w:rFonts w:hint="eastAsia" w:ascii="仿宋_GB2312" w:hAnsi="仿宋_GB2312" w:eastAsia="仿宋_GB2312" w:cs="仿宋_GB2312"/>
          <w:color w:val="000000"/>
          <w:kern w:val="0"/>
          <w:sz w:val="32"/>
          <w:szCs w:val="32"/>
          <w:lang w:val="en-US" w:eastAsia="zh-CN" w:bidi="ar"/>
        </w:rPr>
        <w:t>完善事故调查处理工作机制，规范事故调查处理工作程序，严格执行事故整改评估制度，督促事故整改措施落实到位。规范事故统计直报制度，建立部门事故统计信息共享机制，做好安全生产形势分析，为全区安全生产宏观决策提供数据支撑。严格事故挂牌督办，跟踪评估较大事故调查报告提出的整改措施落实情况，加大约谈、警示、通报等工作力度，切实用事故教训推动安全生产工作。（</w:t>
      </w:r>
      <w:r>
        <w:rPr>
          <w:rFonts w:hint="eastAsia" w:ascii="楷体_GB2312" w:hAnsi="楷体_GB2312" w:eastAsia="楷体_GB2312" w:cs="楷体_GB2312"/>
          <w:color w:val="000000"/>
          <w:kern w:val="0"/>
          <w:sz w:val="32"/>
          <w:szCs w:val="32"/>
          <w:lang w:val="en-US" w:eastAsia="zh-CN" w:bidi="ar"/>
        </w:rPr>
        <w:t>牵头责任单位：区应急局，协同责任单位：区安委会各成员单位）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三、扎实推进</w:t>
      </w:r>
      <w:r>
        <w:rPr>
          <w:rFonts w:hint="default" w:ascii="Times New Roman" w:hAnsi="Times New Roman" w:eastAsia="宋体" w:cs="Times New Roman"/>
          <w:color w:val="000000"/>
          <w:kern w:val="0"/>
          <w:sz w:val="31"/>
          <w:szCs w:val="31"/>
          <w:lang w:val="en-US" w:eastAsia="zh-CN" w:bidi="ar"/>
        </w:rPr>
        <w:t>“1+11+N”</w:t>
      </w:r>
      <w:r>
        <w:rPr>
          <w:rFonts w:hint="eastAsia" w:ascii="黑体" w:hAnsi="宋体" w:eastAsia="黑体" w:cs="黑体"/>
          <w:color w:val="000000"/>
          <w:kern w:val="0"/>
          <w:sz w:val="31"/>
          <w:szCs w:val="31"/>
          <w:lang w:val="en-US" w:eastAsia="zh-CN" w:bidi="ar"/>
        </w:rPr>
        <w:t xml:space="preserve">安全生产专项整治三年行动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10. </w:t>
      </w:r>
      <w:r>
        <w:rPr>
          <w:rFonts w:hint="eastAsia" w:ascii="楷体_GB2312" w:hAnsi="楷体_GB2312" w:eastAsia="楷体_GB2312" w:cs="楷体_GB2312"/>
          <w:b/>
          <w:bCs/>
          <w:color w:val="000000"/>
          <w:kern w:val="0"/>
          <w:sz w:val="32"/>
          <w:szCs w:val="32"/>
          <w:lang w:val="en-US" w:eastAsia="zh-CN" w:bidi="ar"/>
        </w:rPr>
        <w:t>深入开展专项整治集中攻坚。</w:t>
      </w:r>
      <w:r>
        <w:rPr>
          <w:rFonts w:hint="eastAsia" w:ascii="仿宋_GB2312" w:hAnsi="仿宋_GB2312" w:eastAsia="仿宋_GB2312" w:cs="仿宋_GB2312"/>
          <w:color w:val="000000"/>
          <w:kern w:val="0"/>
          <w:sz w:val="32"/>
          <w:szCs w:val="32"/>
          <w:lang w:val="en-US" w:eastAsia="zh-CN" w:bidi="ar"/>
        </w:rPr>
        <w:t>推动各地、各有关部门持续动态更新问题隐患和制度措施“两个清单”，强化清单化任务管理和挂图作战工作机制，聚焦重点难点问题加大专项整治攻坚力度。坚持条块结合，发挥有关部门专业优势和牵头部门的统筹协调作用，形成治理合力。</w:t>
      </w:r>
      <w:r>
        <w:rPr>
          <w:rFonts w:hint="eastAsia" w:ascii="楷体_GB2312" w:hAnsi="楷体_GB2312" w:eastAsia="楷体_GB2312" w:cs="楷体_GB2312"/>
          <w:color w:val="000000"/>
          <w:kern w:val="0"/>
          <w:sz w:val="32"/>
          <w:szCs w:val="32"/>
          <w:lang w:val="en-US" w:eastAsia="zh-CN" w:bidi="ar"/>
        </w:rPr>
        <w:t>（牵头责任单位：区应急局，协同责任单位：区安委会各成员单位）</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11. </w:t>
      </w:r>
      <w:r>
        <w:rPr>
          <w:rFonts w:hint="eastAsia" w:ascii="楷体_GB2312" w:hAnsi="楷体_GB2312" w:eastAsia="楷体_GB2312" w:cs="楷体_GB2312"/>
          <w:b/>
          <w:bCs/>
          <w:color w:val="000000"/>
          <w:kern w:val="0"/>
          <w:sz w:val="32"/>
          <w:szCs w:val="32"/>
          <w:lang w:val="en-US" w:eastAsia="zh-CN" w:bidi="ar"/>
        </w:rPr>
        <w:t>适时考核调度通报。</w:t>
      </w:r>
      <w:r>
        <w:rPr>
          <w:rFonts w:ascii="仿宋_GB2312" w:hAnsi="仿宋_GB2312" w:eastAsia="仿宋_GB2312" w:cs="仿宋_GB2312"/>
          <w:color w:val="000000"/>
          <w:kern w:val="0"/>
          <w:sz w:val="31"/>
          <w:szCs w:val="31"/>
          <w:lang w:val="en-US" w:eastAsia="zh-CN" w:bidi="ar"/>
        </w:rPr>
        <w:t>完</w:t>
      </w:r>
      <w:r>
        <w:rPr>
          <w:rFonts w:hint="eastAsia" w:ascii="仿宋_GB2312" w:hAnsi="仿宋_GB2312" w:eastAsia="仿宋_GB2312" w:cs="仿宋_GB2312"/>
          <w:color w:val="000000"/>
          <w:kern w:val="0"/>
          <w:sz w:val="32"/>
          <w:szCs w:val="32"/>
          <w:lang w:val="en-US" w:eastAsia="zh-CN" w:bidi="ar"/>
        </w:rPr>
        <w:t xml:space="preserve">善专班工作机制，加强工作推动。将安全整治任务落实情况和工作成效纳入对各地区、各有关部门和单位安全生产巡查考核重点内容。建立安全监管执法典型案件月度报告制度，各负有安全监管执法职责的部门每月向区安委办报送本行业领域 </w:t>
      </w:r>
      <w:r>
        <w:rPr>
          <w:rFonts w:hint="default" w:ascii="仿宋_GB2312" w:hAnsi="仿宋_GB2312" w:eastAsia="仿宋_GB2312" w:cs="仿宋_GB2312"/>
          <w:color w:val="000000"/>
          <w:kern w:val="0"/>
          <w:sz w:val="32"/>
          <w:szCs w:val="32"/>
          <w:lang w:val="en-US" w:eastAsia="zh-CN" w:bidi="ar"/>
        </w:rPr>
        <w:t xml:space="preserve">1 </w:t>
      </w:r>
      <w:r>
        <w:rPr>
          <w:rFonts w:hint="eastAsia" w:ascii="仿宋_GB2312" w:hAnsi="仿宋_GB2312" w:eastAsia="仿宋_GB2312" w:cs="仿宋_GB2312"/>
          <w:color w:val="000000"/>
          <w:kern w:val="0"/>
          <w:sz w:val="32"/>
          <w:szCs w:val="32"/>
          <w:lang w:val="en-US" w:eastAsia="zh-CN" w:bidi="ar"/>
        </w:rPr>
        <w:t xml:space="preserve">至 </w:t>
      </w:r>
      <w:r>
        <w:rPr>
          <w:rFonts w:hint="default" w:ascii="仿宋_GB2312" w:hAnsi="仿宋_GB2312" w:eastAsia="仿宋_GB2312" w:cs="仿宋_GB2312"/>
          <w:color w:val="000000"/>
          <w:kern w:val="0"/>
          <w:sz w:val="32"/>
          <w:szCs w:val="32"/>
          <w:lang w:val="en-US" w:eastAsia="zh-CN" w:bidi="ar"/>
        </w:rPr>
        <w:t xml:space="preserve">3 </w:t>
      </w:r>
      <w:r>
        <w:rPr>
          <w:rFonts w:hint="eastAsia" w:ascii="仿宋_GB2312" w:hAnsi="仿宋_GB2312" w:eastAsia="仿宋_GB2312" w:cs="仿宋_GB2312"/>
          <w:color w:val="000000"/>
          <w:kern w:val="0"/>
          <w:sz w:val="32"/>
          <w:szCs w:val="32"/>
          <w:lang w:val="en-US" w:eastAsia="zh-CN" w:bidi="ar"/>
        </w:rPr>
        <w:t>件典型执法案例，区安委办梳理通报，切实解决</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屡禁不止、屡罚不改</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的痼疾。</w:t>
      </w:r>
      <w:r>
        <w:rPr>
          <w:rFonts w:hint="eastAsia" w:ascii="楷体_GB2312" w:hAnsi="楷体_GB2312" w:eastAsia="楷体_GB2312" w:cs="楷体_GB2312"/>
          <w:color w:val="000000"/>
          <w:kern w:val="0"/>
          <w:sz w:val="32"/>
          <w:szCs w:val="32"/>
          <w:lang w:val="en-US" w:eastAsia="zh-CN" w:bidi="ar"/>
        </w:rPr>
        <w:t xml:space="preserve">（牵头责任单位：区应急局，协同责任单位：区安委会各成员单位）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12. </w:t>
      </w:r>
      <w:r>
        <w:rPr>
          <w:rFonts w:hint="eastAsia" w:ascii="楷体_GB2312" w:hAnsi="楷体_GB2312" w:eastAsia="楷体_GB2312" w:cs="楷体_GB2312"/>
          <w:b/>
          <w:bCs/>
          <w:color w:val="000000"/>
          <w:kern w:val="0"/>
          <w:sz w:val="32"/>
          <w:szCs w:val="32"/>
          <w:lang w:val="en-US" w:eastAsia="zh-CN" w:bidi="ar"/>
        </w:rPr>
        <w:t>突出重点时节开展明查暗访。</w:t>
      </w:r>
      <w:r>
        <w:rPr>
          <w:rFonts w:ascii="仿宋_GB2312" w:hAnsi="仿宋_GB2312" w:eastAsia="仿宋_GB2312" w:cs="仿宋_GB2312"/>
          <w:color w:val="000000"/>
          <w:kern w:val="0"/>
          <w:sz w:val="31"/>
          <w:szCs w:val="31"/>
          <w:lang w:val="en-US" w:eastAsia="zh-CN" w:bidi="ar"/>
        </w:rPr>
        <w:t>针</w:t>
      </w:r>
      <w:r>
        <w:rPr>
          <w:rFonts w:hint="eastAsia" w:ascii="仿宋_GB2312" w:hAnsi="仿宋_GB2312" w:eastAsia="仿宋_GB2312" w:cs="仿宋_GB2312"/>
          <w:color w:val="000000"/>
          <w:kern w:val="0"/>
          <w:sz w:val="32"/>
          <w:szCs w:val="32"/>
          <w:lang w:val="en-US" w:eastAsia="zh-CN" w:bidi="ar"/>
        </w:rPr>
        <w:t xml:space="preserve">对建党 </w:t>
      </w:r>
      <w:r>
        <w:rPr>
          <w:rFonts w:hint="default" w:ascii="仿宋_GB2312" w:hAnsi="仿宋_GB2312" w:eastAsia="仿宋_GB2312" w:cs="仿宋_GB2312"/>
          <w:color w:val="000000"/>
          <w:kern w:val="0"/>
          <w:sz w:val="32"/>
          <w:szCs w:val="32"/>
          <w:lang w:val="en-US" w:eastAsia="zh-CN" w:bidi="ar"/>
        </w:rPr>
        <w:t xml:space="preserve">100 </w:t>
      </w:r>
      <w:r>
        <w:rPr>
          <w:rFonts w:hint="eastAsia" w:ascii="仿宋_GB2312" w:hAnsi="仿宋_GB2312" w:eastAsia="仿宋_GB2312" w:cs="仿宋_GB2312"/>
          <w:color w:val="000000"/>
          <w:kern w:val="0"/>
          <w:sz w:val="32"/>
          <w:szCs w:val="32"/>
          <w:lang w:val="en-US" w:eastAsia="zh-CN" w:bidi="ar"/>
        </w:rPr>
        <w:t>周年等重大活动和岁末年初、全国</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两会</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及国庆节等关键节点，强化工作部署，建立健全重点时段安全生产调度制度，针对性组织开展安全生产明查暗访，切实推动安全防范各项任务措施落实落地。</w:t>
      </w:r>
      <w:r>
        <w:rPr>
          <w:rFonts w:hint="eastAsia" w:ascii="楷体_GB2312" w:hAnsi="楷体_GB2312" w:eastAsia="楷体_GB2312" w:cs="楷体_GB2312"/>
          <w:color w:val="000000"/>
          <w:kern w:val="0"/>
          <w:sz w:val="32"/>
          <w:szCs w:val="32"/>
          <w:lang w:val="en-US" w:eastAsia="zh-CN" w:bidi="ar"/>
        </w:rPr>
        <w:t>（牵头责任单位：区应急局，协同责任单位：区安委会各有关成员单位）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四、突出防控重点行业领域安全风险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13. </w:t>
      </w:r>
      <w:r>
        <w:rPr>
          <w:rFonts w:hint="eastAsia" w:ascii="楷体_GB2312" w:hAnsi="楷体_GB2312" w:eastAsia="楷体_GB2312" w:cs="楷体_GB2312"/>
          <w:b/>
          <w:bCs/>
          <w:color w:val="000000"/>
          <w:kern w:val="0"/>
          <w:sz w:val="32"/>
          <w:szCs w:val="32"/>
          <w:lang w:val="en-US" w:eastAsia="zh-CN" w:bidi="ar"/>
        </w:rPr>
        <w:t>强化危险化学品安全风险防控。</w:t>
      </w:r>
      <w:r>
        <w:rPr>
          <w:rFonts w:ascii="仿宋_GB2312" w:hAnsi="仿宋_GB2312" w:eastAsia="仿宋_GB2312" w:cs="仿宋_GB2312"/>
          <w:color w:val="000000"/>
          <w:kern w:val="0"/>
          <w:sz w:val="31"/>
          <w:szCs w:val="31"/>
          <w:lang w:val="en-US" w:eastAsia="zh-CN" w:bidi="ar"/>
        </w:rPr>
        <w:t>全</w:t>
      </w:r>
      <w:r>
        <w:rPr>
          <w:rFonts w:hint="eastAsia" w:ascii="仿宋_GB2312" w:hAnsi="仿宋_GB2312" w:eastAsia="仿宋_GB2312" w:cs="仿宋_GB2312"/>
          <w:color w:val="000000"/>
          <w:kern w:val="0"/>
          <w:sz w:val="32"/>
          <w:szCs w:val="32"/>
          <w:lang w:val="en-US" w:eastAsia="zh-CN" w:bidi="ar"/>
        </w:rPr>
        <w:t>面落实《关于全面加强危险化学品安全生产工作的意见》和省实施意见，强化对危险化学品生产、贮存、使用、经营、运输、处置等环节全主体、全品种、全链条安全管理，充分利用省危险化学品领域安全防控监测信息系统功能作用，完善化工装置和危险化学品储存设施自动化改造，持续开展危险废物专项整治三年行动，实现危险化学品重大安全风险闭环管理。强化硝化工艺、精细化工企业等高危风险管控。加快推进园区外危化品生产企业</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进区入园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，深入开展非法违法</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小化工</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专项整治，严格新建化工项目准入条件，持续开展工业园区整顿治理。深化油气储存和长输管道企业、烟花爆竹经营企业安全风险隐患排查整治。</w:t>
      </w:r>
      <w:r>
        <w:rPr>
          <w:rFonts w:hint="eastAsia" w:ascii="楷体_GB2312" w:hAnsi="楷体_GB2312" w:eastAsia="楷体_GB2312" w:cs="楷体_GB2312"/>
          <w:color w:val="000000"/>
          <w:kern w:val="0"/>
          <w:sz w:val="32"/>
          <w:szCs w:val="32"/>
          <w:lang w:val="en-US" w:eastAsia="zh-CN" w:bidi="ar"/>
        </w:rPr>
        <w:t xml:space="preserve">（责任单位：区应急局、区经济科技信息化局、区商务局、烈山区道路运管服务中心、市公安局烈山分局、市生态环境局烈山分局、区市场监督管理局、区发改委）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14. </w:t>
      </w:r>
      <w:r>
        <w:rPr>
          <w:rFonts w:hint="eastAsia" w:ascii="楷体_GB2312" w:hAnsi="楷体_GB2312" w:eastAsia="楷体_GB2312" w:cs="楷体_GB2312"/>
          <w:b/>
          <w:bCs/>
          <w:color w:val="000000"/>
          <w:kern w:val="0"/>
          <w:sz w:val="32"/>
          <w:szCs w:val="32"/>
          <w:lang w:val="en-US" w:eastAsia="zh-CN" w:bidi="ar"/>
        </w:rPr>
        <w:t>强化非煤矿山安全风险防控。</w:t>
      </w:r>
      <w:r>
        <w:rPr>
          <w:rFonts w:hint="eastAsia" w:ascii="仿宋_GB2312" w:hAnsi="仿宋_GB2312" w:eastAsia="仿宋_GB2312" w:cs="仿宋_GB2312"/>
          <w:color w:val="000000"/>
          <w:kern w:val="0"/>
          <w:sz w:val="32"/>
          <w:szCs w:val="32"/>
          <w:lang w:val="en-US" w:eastAsia="zh-CN" w:bidi="ar"/>
        </w:rPr>
        <w:t>进一步强化非煤矿山地压、 水、火等风险灾害治理，推进</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零超限</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零突出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零着火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零透水</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零死亡</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目标管理，扎实开展非煤矿安全生产大排查，加快推进非煤矿智能化、信息化建设，严肃查处赶进度抢产量、超能力超强度、瓦斯超限不撤人、有透水征兆不撤人、破坏安全监控系统、提供虚假信息、提升运输保护装置失效等违法违规行为。严格停产关闭整顿矿井管控措施，严防违法违规开采。</w:t>
      </w:r>
      <w:r>
        <w:rPr>
          <w:rFonts w:hint="eastAsia" w:ascii="楷体_GB2312" w:hAnsi="楷体_GB2312" w:eastAsia="楷体_GB2312" w:cs="楷体_GB2312"/>
          <w:color w:val="000000"/>
          <w:kern w:val="0"/>
          <w:sz w:val="32"/>
          <w:szCs w:val="32"/>
          <w:lang w:val="en-US" w:eastAsia="zh-CN" w:bidi="ar"/>
        </w:rPr>
        <w:t>（责任单位：区应急局）</w:t>
      </w:r>
      <w:r>
        <w:rPr>
          <w:rFonts w:hint="eastAsia" w:ascii="仿宋_GB2312" w:hAnsi="仿宋_GB2312" w:eastAsia="仿宋_GB2312" w:cs="仿宋_GB2312"/>
          <w:color w:val="000000"/>
          <w:kern w:val="0"/>
          <w:sz w:val="32"/>
          <w:szCs w:val="32"/>
          <w:lang w:val="en-US" w:eastAsia="zh-CN" w:bidi="ar"/>
        </w:rPr>
        <w:t xml:space="preserve">深入开展对单班入井人数 </w:t>
      </w:r>
      <w:r>
        <w:rPr>
          <w:rFonts w:hint="default" w:ascii="仿宋_GB2312" w:hAnsi="仿宋_GB2312" w:eastAsia="仿宋_GB2312" w:cs="仿宋_GB2312"/>
          <w:color w:val="000000"/>
          <w:kern w:val="0"/>
          <w:sz w:val="32"/>
          <w:szCs w:val="32"/>
          <w:lang w:val="en-US" w:eastAsia="zh-CN" w:bidi="ar"/>
        </w:rPr>
        <w:t xml:space="preserve">30 </w:t>
      </w:r>
      <w:r>
        <w:rPr>
          <w:rFonts w:hint="eastAsia" w:ascii="仿宋_GB2312" w:hAnsi="仿宋_GB2312" w:eastAsia="仿宋_GB2312" w:cs="仿宋_GB2312"/>
          <w:color w:val="000000"/>
          <w:kern w:val="0"/>
          <w:sz w:val="32"/>
          <w:szCs w:val="32"/>
          <w:lang w:val="en-US" w:eastAsia="zh-CN" w:bidi="ar"/>
        </w:rPr>
        <w:t xml:space="preserve">人以上、采深 </w:t>
      </w:r>
      <w:r>
        <w:rPr>
          <w:rFonts w:hint="default" w:ascii="仿宋_GB2312" w:hAnsi="仿宋_GB2312" w:eastAsia="仿宋_GB2312" w:cs="仿宋_GB2312"/>
          <w:color w:val="000000"/>
          <w:kern w:val="0"/>
          <w:sz w:val="32"/>
          <w:szCs w:val="32"/>
          <w:lang w:val="en-US" w:eastAsia="zh-CN" w:bidi="ar"/>
        </w:rPr>
        <w:t xml:space="preserve">800 </w:t>
      </w:r>
      <w:r>
        <w:rPr>
          <w:rFonts w:hint="eastAsia" w:ascii="仿宋_GB2312" w:hAnsi="仿宋_GB2312" w:eastAsia="仿宋_GB2312" w:cs="仿宋_GB2312"/>
          <w:color w:val="000000"/>
          <w:kern w:val="0"/>
          <w:sz w:val="32"/>
          <w:szCs w:val="32"/>
          <w:lang w:val="en-US" w:eastAsia="zh-CN" w:bidi="ar"/>
        </w:rPr>
        <w:t>米以上的地下非煤矿山（含基建非煤矿山）等重点矿山安全整治攻坚。全面开展非煤矿山生产系统、安全设施、出入井管理、采空区等安全隐患的排查整治，加快推进非煤矿山机械化换人、自动化减人工作，严厉打击突击生产、私挖盗采、超层越界等违法行为。（</w:t>
      </w:r>
      <w:r>
        <w:rPr>
          <w:rFonts w:hint="eastAsia" w:ascii="楷体_GB2312" w:hAnsi="楷体_GB2312" w:eastAsia="楷体_GB2312" w:cs="楷体_GB2312"/>
          <w:color w:val="000000"/>
          <w:kern w:val="0"/>
          <w:sz w:val="32"/>
          <w:szCs w:val="32"/>
          <w:lang w:val="en-US" w:eastAsia="zh-CN" w:bidi="ar"/>
        </w:rPr>
        <w:t xml:space="preserve">责任单位：区应急局、烈山自然资源与规划分局）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15. </w:t>
      </w:r>
      <w:r>
        <w:rPr>
          <w:rFonts w:hint="eastAsia" w:ascii="楷体_GB2312" w:hAnsi="楷体_GB2312" w:eastAsia="楷体_GB2312" w:cs="楷体_GB2312"/>
          <w:b/>
          <w:bCs/>
          <w:color w:val="000000"/>
          <w:kern w:val="0"/>
          <w:sz w:val="32"/>
          <w:szCs w:val="32"/>
          <w:lang w:val="en-US" w:eastAsia="zh-CN" w:bidi="ar"/>
        </w:rPr>
        <w:t>强化交通运输领域安全风险防控。</w:t>
      </w:r>
      <w:r>
        <w:rPr>
          <w:rFonts w:hint="eastAsia" w:ascii="仿宋_GB2312" w:hAnsi="仿宋_GB2312" w:eastAsia="仿宋_GB2312" w:cs="仿宋_GB2312"/>
          <w:color w:val="000000"/>
          <w:kern w:val="0"/>
          <w:sz w:val="32"/>
          <w:szCs w:val="32"/>
          <w:lang w:val="en-US" w:eastAsia="zh-CN" w:bidi="ar"/>
        </w:rPr>
        <w:t>严厉打击道路运输非法营运行为，严格落实重点车辆动态监管责任，深入推进</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两客一危一货</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以及</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百吨王</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、总质量 </w:t>
      </w:r>
      <w:r>
        <w:rPr>
          <w:rFonts w:hint="default" w:ascii="仿宋_GB2312" w:hAnsi="仿宋_GB2312" w:eastAsia="仿宋_GB2312" w:cs="仿宋_GB2312"/>
          <w:color w:val="000000"/>
          <w:kern w:val="0"/>
          <w:sz w:val="32"/>
          <w:szCs w:val="32"/>
          <w:lang w:val="en-US" w:eastAsia="zh-CN" w:bidi="ar"/>
        </w:rPr>
        <w:t xml:space="preserve">4.5 </w:t>
      </w:r>
      <w:r>
        <w:rPr>
          <w:rFonts w:hint="eastAsia" w:ascii="仿宋_GB2312" w:hAnsi="仿宋_GB2312" w:eastAsia="仿宋_GB2312" w:cs="仿宋_GB2312"/>
          <w:color w:val="000000"/>
          <w:kern w:val="0"/>
          <w:sz w:val="32"/>
          <w:szCs w:val="32"/>
          <w:lang w:val="en-US" w:eastAsia="zh-CN" w:bidi="ar"/>
        </w:rPr>
        <w:t>吨及以下普通货运车辆治理，严查</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三超一疲劳</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、无牌无证以及货车</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大吨小标</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、违法载人等行为。严厉打击违法违规生产销售改装货车、变型拖拉机、危险货物道路运输常压罐车等行为，加强车辆关键技术参数符合性和产品一致性等检查。深刻汲取江苏宜兴</w:t>
      </w:r>
      <w:r>
        <w:rPr>
          <w:rFonts w:hint="default" w:ascii="仿宋_GB2312" w:hAnsi="仿宋_GB2312" w:eastAsia="仿宋_GB2312" w:cs="仿宋_GB2312"/>
          <w:color w:val="000000"/>
          <w:kern w:val="0"/>
          <w:sz w:val="32"/>
          <w:szCs w:val="32"/>
          <w:lang w:val="en-US" w:eastAsia="zh-CN" w:bidi="ar"/>
        </w:rPr>
        <w:t>“9.28”</w:t>
      </w:r>
      <w:r>
        <w:rPr>
          <w:rFonts w:hint="eastAsia" w:ascii="仿宋_GB2312" w:hAnsi="仿宋_GB2312" w:eastAsia="仿宋_GB2312" w:cs="仿宋_GB2312"/>
          <w:color w:val="000000"/>
          <w:kern w:val="0"/>
          <w:sz w:val="32"/>
          <w:szCs w:val="32"/>
          <w:lang w:val="en-US" w:eastAsia="zh-CN" w:bidi="ar"/>
        </w:rPr>
        <w:t>特别重大交通事故和濉溪县</w:t>
      </w:r>
      <w:r>
        <w:rPr>
          <w:rFonts w:hint="default" w:ascii="仿宋_GB2312" w:hAnsi="仿宋_GB2312" w:eastAsia="仿宋_GB2312" w:cs="仿宋_GB2312"/>
          <w:color w:val="000000"/>
          <w:kern w:val="0"/>
          <w:sz w:val="32"/>
          <w:szCs w:val="32"/>
          <w:lang w:val="en-US" w:eastAsia="zh-CN" w:bidi="ar"/>
        </w:rPr>
        <w:t>“3.7”</w:t>
      </w:r>
      <w:r>
        <w:rPr>
          <w:rFonts w:hint="eastAsia" w:ascii="仿宋_GB2312" w:hAnsi="仿宋_GB2312" w:eastAsia="仿宋_GB2312" w:cs="仿宋_GB2312"/>
          <w:color w:val="000000"/>
          <w:kern w:val="0"/>
          <w:sz w:val="32"/>
          <w:szCs w:val="32"/>
          <w:lang w:val="en-US" w:eastAsia="zh-CN" w:bidi="ar"/>
        </w:rPr>
        <w:t>较大道路交通事故教训，严厉查处非法“挂靠”“挂而不管”等违法违规行为，规范道路客运接驳运输。对个人名下</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营转非</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大客车进行集中管控，掌握车辆用途去向和安全技术状况，排查消除安全隐患，保证车辆运行安全。（</w:t>
      </w:r>
      <w:r>
        <w:rPr>
          <w:rFonts w:hint="eastAsia" w:ascii="楷体_GB2312" w:hAnsi="楷体_GB2312" w:eastAsia="楷体_GB2312" w:cs="楷体_GB2312"/>
          <w:color w:val="000000"/>
          <w:kern w:val="0"/>
          <w:sz w:val="32"/>
          <w:szCs w:val="32"/>
          <w:lang w:val="en-US" w:eastAsia="zh-CN" w:bidi="ar"/>
        </w:rPr>
        <w:t xml:space="preserve">责任单位：烈山区道路运政服务中心、市公安局烈山分局、交警四大队、区文化旅游体育局、区农业农村水利局、区经济科技信息化局、区市场监督管理局、区发改委）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16. </w:t>
      </w:r>
      <w:r>
        <w:rPr>
          <w:rFonts w:hint="eastAsia" w:ascii="楷体_GB2312" w:hAnsi="楷体_GB2312" w:eastAsia="楷体_GB2312" w:cs="楷体_GB2312"/>
          <w:b/>
          <w:bCs/>
          <w:color w:val="000000"/>
          <w:kern w:val="0"/>
          <w:sz w:val="32"/>
          <w:szCs w:val="32"/>
          <w:lang w:val="en-US" w:eastAsia="zh-CN" w:bidi="ar"/>
        </w:rPr>
        <w:t>强化水域安全监管，突出做好自用船舶管理和青少年防溺水工作。</w:t>
      </w:r>
      <w:r>
        <w:rPr>
          <w:rFonts w:hint="eastAsia" w:ascii="仿宋_GB2312" w:hAnsi="仿宋_GB2312" w:eastAsia="仿宋_GB2312" w:cs="仿宋_GB2312"/>
          <w:color w:val="000000"/>
          <w:kern w:val="0"/>
          <w:sz w:val="32"/>
          <w:szCs w:val="32"/>
          <w:lang w:val="en-US" w:eastAsia="zh-CN" w:bidi="ar"/>
        </w:rPr>
        <w:t>督促指导镇（办）人民政府落实镇（办）自用船舶安全监管责任，加强镇（办）自用船舶非法载人危害性宣传，加强镇（办）自用船舶登记和管理，切实消除镇（办）自用船舶安全隐患。依法依规加强管辖水域的巡查管理，严禁镇（办）自用船舶进入管辖水域非法开展各类活动，对私自进入管辖水域活动的要联合公安部门严肃查处(</w:t>
      </w:r>
      <w:r>
        <w:rPr>
          <w:rFonts w:hint="eastAsia" w:ascii="楷体_GB2312" w:hAnsi="楷体_GB2312" w:eastAsia="楷体_GB2312" w:cs="楷体_GB2312"/>
          <w:color w:val="000000"/>
          <w:kern w:val="0"/>
          <w:sz w:val="32"/>
          <w:szCs w:val="32"/>
          <w:lang w:val="en-US" w:eastAsia="zh-CN" w:bidi="ar"/>
        </w:rPr>
        <w:t>责任单位:烈山区道路运政服务中心、区农业农村水利局、区住房和城乡建设局、烈山自然资源与规划分局、市公安局烈山分局)。</w:t>
      </w:r>
      <w:r>
        <w:rPr>
          <w:rFonts w:hint="eastAsia" w:ascii="仿宋_GB2312" w:hAnsi="仿宋_GB2312" w:eastAsia="仿宋_GB2312" w:cs="仿宋_GB2312"/>
          <w:color w:val="000000"/>
          <w:kern w:val="0"/>
          <w:sz w:val="32"/>
          <w:szCs w:val="32"/>
          <w:lang w:val="en-US" w:eastAsia="zh-CN" w:bidi="ar"/>
        </w:rPr>
        <w:t>组织开展防溺水专项行动，全面加强校内教育，全面排查隐患，进一步完善监护管护措施、健全安全提示提醒机制，全面压实责任，严防青少年儿童溺水。加强家校联动和宣传引导，营造家庭、学校、社会全面深度参与的防溺水工作格局。精心谋划、及早准备，加强力量保障，确保汛期中高考安全。</w:t>
      </w:r>
      <w:r>
        <w:rPr>
          <w:rFonts w:hint="eastAsia" w:ascii="楷体_GB2312" w:hAnsi="楷体_GB2312" w:eastAsia="楷体_GB2312" w:cs="楷体_GB2312"/>
          <w:color w:val="000000"/>
          <w:kern w:val="0"/>
          <w:sz w:val="32"/>
          <w:szCs w:val="32"/>
          <w:lang w:val="en-US" w:eastAsia="zh-CN" w:bidi="ar"/>
        </w:rPr>
        <w:t xml:space="preserve">(责任单位:区教育局、区农业农村水利局、市公安局烈山分局、区应急局)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17. </w:t>
      </w:r>
      <w:r>
        <w:rPr>
          <w:rFonts w:hint="eastAsia" w:ascii="楷体_GB2312" w:hAnsi="楷体_GB2312" w:eastAsia="楷体_GB2312" w:cs="楷体_GB2312"/>
          <w:b/>
          <w:bCs/>
          <w:color w:val="000000"/>
          <w:kern w:val="0"/>
          <w:sz w:val="32"/>
          <w:szCs w:val="32"/>
          <w:lang w:val="en-US" w:eastAsia="zh-CN" w:bidi="ar"/>
        </w:rPr>
        <w:t>加强危险化学品（易燃易爆品）运输管理。</w:t>
      </w:r>
      <w:r>
        <w:rPr>
          <w:rFonts w:hint="eastAsia" w:ascii="仿宋_GB2312" w:hAnsi="仿宋_GB2312" w:eastAsia="仿宋_GB2312" w:cs="仿宋_GB2312"/>
          <w:color w:val="000000"/>
          <w:kern w:val="0"/>
          <w:sz w:val="32"/>
          <w:szCs w:val="32"/>
          <w:lang w:val="en-US" w:eastAsia="zh-CN" w:bidi="ar"/>
        </w:rPr>
        <w:t xml:space="preserve">加强对爆炸品、液化气体、易燃液体、剧毒品等危险化学品货物的运输安全管理，落实托运、承运、装卸、车辆运行等危险货物运输全链条安全责任。加强源头监管，开展危化品易燃易爆品运输安全隐患排查整治。利用危险化学品领域安全防范检测信息系统应用，加强数据共享，严格车辆 </w:t>
      </w:r>
      <w:r>
        <w:rPr>
          <w:rFonts w:hint="default" w:ascii="仿宋_GB2312" w:hAnsi="仿宋_GB2312" w:eastAsia="仿宋_GB2312" w:cs="仿宋_GB2312"/>
          <w:color w:val="000000"/>
          <w:kern w:val="0"/>
          <w:sz w:val="32"/>
          <w:szCs w:val="32"/>
          <w:lang w:val="en-US" w:eastAsia="zh-CN" w:bidi="ar"/>
        </w:rPr>
        <w:t xml:space="preserve">GPS </w:t>
      </w:r>
      <w:r>
        <w:rPr>
          <w:rFonts w:hint="eastAsia" w:ascii="仿宋_GB2312" w:hAnsi="仿宋_GB2312" w:eastAsia="仿宋_GB2312" w:cs="仿宋_GB2312"/>
          <w:color w:val="000000"/>
          <w:kern w:val="0"/>
          <w:sz w:val="32"/>
          <w:szCs w:val="32"/>
          <w:lang w:val="en-US" w:eastAsia="zh-CN" w:bidi="ar"/>
        </w:rPr>
        <w:t>动态监管。严格查处超员、超速、疲劳驾驶、未按规定线路行驶等各类违法违章行为。加强安全教育与应急能力培训，提高从业人员安全意识和突发事件的处置能力。（</w:t>
      </w:r>
      <w:r>
        <w:rPr>
          <w:rFonts w:hint="eastAsia" w:ascii="楷体_GB2312" w:hAnsi="楷体_GB2312" w:eastAsia="楷体_GB2312" w:cs="楷体_GB2312"/>
          <w:color w:val="000000"/>
          <w:kern w:val="0"/>
          <w:sz w:val="32"/>
          <w:szCs w:val="32"/>
          <w:lang w:val="en-US" w:eastAsia="zh-CN" w:bidi="ar"/>
        </w:rPr>
        <w:t xml:space="preserve">牵头责任单位：烈山区道路运政服务中心、市公安局烈山分局，交警四大队，协同责任单位：区应急局等）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18. </w:t>
      </w:r>
      <w:r>
        <w:rPr>
          <w:rFonts w:hint="eastAsia" w:ascii="楷体_GB2312" w:hAnsi="楷体_GB2312" w:eastAsia="楷体_GB2312" w:cs="楷体_GB2312"/>
          <w:b/>
          <w:bCs/>
          <w:color w:val="000000"/>
          <w:kern w:val="0"/>
          <w:sz w:val="32"/>
          <w:szCs w:val="32"/>
          <w:lang w:val="en-US" w:eastAsia="zh-CN" w:bidi="ar"/>
        </w:rPr>
        <w:t>强化建设市政领域安全风险防控。</w:t>
      </w:r>
      <w:r>
        <w:rPr>
          <w:rFonts w:hint="eastAsia" w:ascii="仿宋_GB2312" w:hAnsi="仿宋_GB2312" w:eastAsia="仿宋_GB2312" w:cs="仿宋_GB2312"/>
          <w:color w:val="000000"/>
          <w:kern w:val="0"/>
          <w:sz w:val="32"/>
          <w:szCs w:val="32"/>
          <w:lang w:val="en-US" w:eastAsia="zh-CN" w:bidi="ar"/>
        </w:rPr>
        <w:t>加强燃气、污水管网等市政公用设施运行维护安全。扎实排查利用原有建筑物改建为酒店、饭店、学校等人员密集场所安全隐患，依法查处违法建设以及违规改变建筑主体结构或使用功能等造成安全隐患的行为。开展建筑起重机械设备</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双随机、一公开</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检查，建立起重机械设备信息台账，严厉打击起重机械设备安装拆除和使用过程的违法违规行为。强化对生产经营单位内部建设施工活动监管，严厉打击非法违法建设行为。有序推进农村房屋安全隐患排查整治工作。（</w:t>
      </w:r>
      <w:r>
        <w:rPr>
          <w:rFonts w:hint="eastAsia" w:ascii="楷体_GB2312" w:hAnsi="楷体_GB2312" w:eastAsia="楷体_GB2312" w:cs="楷体_GB2312"/>
          <w:color w:val="000000"/>
          <w:kern w:val="0"/>
          <w:sz w:val="32"/>
          <w:szCs w:val="32"/>
          <w:lang w:val="en-US" w:eastAsia="zh-CN" w:bidi="ar"/>
        </w:rPr>
        <w:t xml:space="preserve">责任单位：区住房和城乡建设局、区教育局、烈山自然资源与规划分局、区市场监督管理局、烈山区道路运政服务中心、区商务局、区应急局、区农业农村水利局、市公安局烈山分局、区民政局、区司法局、区文化旅游体育局、区卫健委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19. </w:t>
      </w:r>
      <w:r>
        <w:rPr>
          <w:rFonts w:hint="eastAsia" w:ascii="楷体_GB2312" w:hAnsi="楷体_GB2312" w:eastAsia="楷体_GB2312" w:cs="楷体_GB2312"/>
          <w:b/>
          <w:bCs/>
          <w:color w:val="000000"/>
          <w:kern w:val="0"/>
          <w:sz w:val="32"/>
          <w:szCs w:val="32"/>
          <w:lang w:val="en-US" w:eastAsia="zh-CN" w:bidi="ar"/>
        </w:rPr>
        <w:t>强化重点领域消防安全风险防控。</w:t>
      </w:r>
      <w:r>
        <w:rPr>
          <w:rFonts w:hint="eastAsia" w:ascii="仿宋_GB2312" w:hAnsi="仿宋_GB2312" w:eastAsia="仿宋_GB2312" w:cs="仿宋_GB2312"/>
          <w:color w:val="000000"/>
          <w:kern w:val="0"/>
          <w:sz w:val="32"/>
          <w:szCs w:val="32"/>
          <w:lang w:val="en-US" w:eastAsia="zh-CN" w:bidi="ar"/>
        </w:rPr>
        <w:t>持续推进打通消防</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生命通道</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工程，全面实行消防车通道划线管理，加强老旧小区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一区一策</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治理督办，建立完善联合执法管理机制。紧盯大型商业综合体、高层建筑、地下空间和城中村、</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多合一</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、文博单位等重点场所，以及电动自行车、彩钢板、聚氨酯保温材料等突出风险，分类开展火灾隐患排查整治。加强对农村人员密集场所房屋消防安全管理，统筹开展农村地区火灾隐患治理。（</w:t>
      </w:r>
      <w:r>
        <w:rPr>
          <w:rFonts w:hint="eastAsia" w:ascii="楷体_GB2312" w:hAnsi="楷体_GB2312" w:eastAsia="楷体_GB2312" w:cs="楷体_GB2312"/>
          <w:color w:val="000000"/>
          <w:kern w:val="0"/>
          <w:sz w:val="32"/>
          <w:szCs w:val="32"/>
          <w:lang w:val="en-US" w:eastAsia="zh-CN" w:bidi="ar"/>
        </w:rPr>
        <w:t xml:space="preserve">责任单位：区消防救援大队、区住房和城乡建设局、市公安局烈山分局、区商务局、区文化旅游体育局、区教育局、区卫健委、区民政局、区城管局、区应急局、烈山自然资源与规划分局等）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20. </w:t>
      </w:r>
      <w:r>
        <w:rPr>
          <w:rFonts w:hint="eastAsia" w:ascii="楷体_GB2312" w:hAnsi="楷体_GB2312" w:eastAsia="楷体_GB2312" w:cs="楷体_GB2312"/>
          <w:b/>
          <w:bCs/>
          <w:color w:val="000000"/>
          <w:kern w:val="0"/>
          <w:sz w:val="32"/>
          <w:szCs w:val="32"/>
          <w:lang w:val="en-US" w:eastAsia="zh-CN" w:bidi="ar"/>
        </w:rPr>
        <w:t>强化工贸等其他行业领域安全风险防控。</w:t>
      </w:r>
      <w:r>
        <w:rPr>
          <w:rFonts w:ascii="仿宋_GB2312" w:hAnsi="仿宋_GB2312" w:eastAsia="仿宋_GB2312" w:cs="仿宋_GB2312"/>
          <w:color w:val="000000"/>
          <w:kern w:val="0"/>
          <w:sz w:val="31"/>
          <w:szCs w:val="31"/>
          <w:lang w:val="en-US" w:eastAsia="zh-CN" w:bidi="ar"/>
        </w:rPr>
        <w:t>以</w:t>
      </w:r>
      <w:r>
        <w:rPr>
          <w:rFonts w:hint="eastAsia" w:ascii="仿宋_GB2312" w:hAnsi="仿宋_GB2312" w:eastAsia="仿宋_GB2312" w:cs="仿宋_GB2312"/>
          <w:color w:val="000000"/>
          <w:kern w:val="0"/>
          <w:sz w:val="32"/>
          <w:szCs w:val="32"/>
          <w:lang w:val="en-US" w:eastAsia="zh-CN" w:bidi="ar"/>
        </w:rPr>
        <w:t>粉尘涉爆、液氨制冷、有限空间作业等为重点，强化工贸企业安全隐患整治（责任单位：区应急局）。持续推进烟花爆竹、特种设备、民爆、电力、油气输送管道、旅游、农机、校园实验室等重点行业领域专项整治，有效防控安全风险、坚决消除安全隐患。（</w:t>
      </w:r>
      <w:r>
        <w:rPr>
          <w:rFonts w:hint="eastAsia" w:ascii="楷体_GB2312" w:hAnsi="楷体_GB2312" w:eastAsia="楷体_GB2312" w:cs="楷体_GB2312"/>
          <w:color w:val="000000"/>
          <w:kern w:val="0"/>
          <w:sz w:val="32"/>
          <w:szCs w:val="32"/>
          <w:lang w:val="en-US" w:eastAsia="zh-CN" w:bidi="ar"/>
        </w:rPr>
        <w:t>责任单位：区应急局、区经济科技信息化局、烈山区道路运政服务中心、区住房和城乡建设局、区农业农村水利局、区发改委、区文化旅游体育局、区市场监督管理局、区教育局等）</w:t>
      </w:r>
      <w:r>
        <w:rPr>
          <w:rFonts w:hint="eastAsia" w:ascii="仿宋_GB2312" w:hAnsi="仿宋_GB2312" w:eastAsia="仿宋_GB2312" w:cs="仿宋_GB2312"/>
          <w:color w:val="000000"/>
          <w:kern w:val="0"/>
          <w:sz w:val="32"/>
          <w:szCs w:val="32"/>
          <w:lang w:val="en-US" w:eastAsia="zh-CN" w:bidi="ar"/>
        </w:rPr>
        <w:t xml:space="preserve"> 加强瓶装液化石油气安全管理，组织开展液化石油气中掺混二甲醚专项整治及危险化学品相关移动式压力容器充装等专项排查整治。</w:t>
      </w:r>
      <w:r>
        <w:rPr>
          <w:rFonts w:hint="eastAsia" w:ascii="楷体_GB2312" w:hAnsi="楷体_GB2312" w:eastAsia="楷体_GB2312" w:cs="楷体_GB2312"/>
          <w:color w:val="000000"/>
          <w:kern w:val="0"/>
          <w:sz w:val="32"/>
          <w:szCs w:val="32"/>
          <w:lang w:val="en-US" w:eastAsia="zh-CN" w:bidi="ar"/>
        </w:rPr>
        <w:t xml:space="preserve">（责任单位：区住房和城乡建设局、区市场监督管理局）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21. </w:t>
      </w:r>
      <w:r>
        <w:rPr>
          <w:rFonts w:hint="eastAsia" w:ascii="楷体_GB2312" w:hAnsi="楷体_GB2312" w:eastAsia="楷体_GB2312" w:cs="楷体_GB2312"/>
          <w:b/>
          <w:bCs/>
          <w:color w:val="000000"/>
          <w:kern w:val="0"/>
          <w:sz w:val="32"/>
          <w:szCs w:val="32"/>
          <w:lang w:val="en-US" w:eastAsia="zh-CN" w:bidi="ar"/>
        </w:rPr>
        <w:t>推进城市安全发展。</w:t>
      </w:r>
      <w:r>
        <w:rPr>
          <w:rFonts w:hint="eastAsia" w:ascii="仿宋_GB2312" w:hAnsi="仿宋_GB2312" w:eastAsia="仿宋_GB2312" w:cs="仿宋_GB2312"/>
          <w:color w:val="000000"/>
          <w:kern w:val="0"/>
          <w:sz w:val="32"/>
          <w:szCs w:val="32"/>
          <w:lang w:val="en-US" w:eastAsia="zh-CN" w:bidi="ar"/>
        </w:rPr>
        <w:t>深入贯彻落实《关于推进城市安全发展的实施意见》，加强对城市高层建筑、大型综合体、电力设施等的检测维护，加大对人员密集场所的安全监管力度，推进电梯应急救援平台建设，构建系统性、现代化的城市安全保障体系。</w:t>
      </w:r>
      <w:r>
        <w:rPr>
          <w:rFonts w:hint="eastAsia" w:ascii="楷体_GB2312" w:hAnsi="楷体_GB2312" w:eastAsia="楷体_GB2312" w:cs="楷体_GB2312"/>
          <w:color w:val="000000"/>
          <w:kern w:val="0"/>
          <w:sz w:val="32"/>
          <w:szCs w:val="32"/>
          <w:lang w:val="en-US" w:eastAsia="zh-CN" w:bidi="ar"/>
        </w:rPr>
        <w:t xml:space="preserve">（牵头责任单位：区应急局，协同责任单位：区住房和城乡建设局、区商务局、烈山区道路运政服务中心、区发改委、区市场监督管理局、市公安局烈山分局、区文化旅游体育局等）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五、切实提高本质安全水平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22. </w:t>
      </w:r>
      <w:r>
        <w:rPr>
          <w:rFonts w:hint="eastAsia" w:ascii="楷体_GB2312" w:hAnsi="楷体_GB2312" w:eastAsia="楷体_GB2312" w:cs="楷体_GB2312"/>
          <w:b/>
          <w:bCs/>
          <w:color w:val="000000"/>
          <w:kern w:val="0"/>
          <w:sz w:val="32"/>
          <w:szCs w:val="32"/>
          <w:lang w:val="en-US" w:eastAsia="zh-CN" w:bidi="ar"/>
        </w:rPr>
        <w:t>推进</w:t>
      </w:r>
      <w:r>
        <w:rPr>
          <w:rFonts w:hint="default" w:ascii="楷体_GB2312" w:hAnsi="楷体_GB2312" w:eastAsia="楷体_GB2312" w:cs="楷体_GB2312"/>
          <w:b/>
          <w:bCs/>
          <w:color w:val="000000"/>
          <w:kern w:val="0"/>
          <w:sz w:val="32"/>
          <w:szCs w:val="32"/>
          <w:lang w:val="en-US" w:eastAsia="zh-CN" w:bidi="ar"/>
        </w:rPr>
        <w:t>“</w:t>
      </w:r>
      <w:r>
        <w:rPr>
          <w:rFonts w:hint="eastAsia" w:ascii="楷体_GB2312" w:hAnsi="楷体_GB2312" w:eastAsia="楷体_GB2312" w:cs="楷体_GB2312"/>
          <w:b/>
          <w:bCs/>
          <w:color w:val="000000"/>
          <w:kern w:val="0"/>
          <w:sz w:val="32"/>
          <w:szCs w:val="32"/>
          <w:lang w:val="en-US" w:eastAsia="zh-CN" w:bidi="ar"/>
        </w:rPr>
        <w:t>智慧应急</w:t>
      </w:r>
      <w:r>
        <w:rPr>
          <w:rFonts w:hint="default" w:ascii="楷体_GB2312" w:hAnsi="楷体_GB2312" w:eastAsia="楷体_GB2312" w:cs="楷体_GB2312"/>
          <w:b/>
          <w:bCs/>
          <w:color w:val="000000"/>
          <w:kern w:val="0"/>
          <w:sz w:val="32"/>
          <w:szCs w:val="32"/>
          <w:lang w:val="en-US" w:eastAsia="zh-CN" w:bidi="ar"/>
        </w:rPr>
        <w:t>”</w:t>
      </w:r>
      <w:r>
        <w:rPr>
          <w:rFonts w:hint="eastAsia" w:ascii="楷体_GB2312" w:hAnsi="楷体_GB2312" w:eastAsia="楷体_GB2312" w:cs="楷体_GB2312"/>
          <w:b/>
          <w:bCs/>
          <w:color w:val="000000"/>
          <w:kern w:val="0"/>
          <w:sz w:val="32"/>
          <w:szCs w:val="32"/>
          <w:lang w:val="en-US" w:eastAsia="zh-CN" w:bidi="ar"/>
        </w:rPr>
        <w:t>建设。</w:t>
      </w:r>
      <w:r>
        <w:rPr>
          <w:rFonts w:hint="eastAsia" w:ascii="仿宋_GB2312" w:hAnsi="仿宋_GB2312" w:eastAsia="仿宋_GB2312" w:cs="仿宋_GB2312"/>
          <w:color w:val="000000"/>
          <w:kern w:val="0"/>
          <w:sz w:val="32"/>
          <w:szCs w:val="32"/>
          <w:lang w:val="en-US" w:eastAsia="zh-CN" w:bidi="ar"/>
        </w:rPr>
        <w:t>积极推进各领域应急系统和监测数据互联互通，加快构建风险源头管控、险情应急响应、事故抢险救援网络。加快推进应急指挥协调能力提升项目建设，建设完善应急管理信息化平台、安全生产和自然灾害监测预警系统，贯通应急指挥通信网、卫星通信网、无线通信网，早日形成信息化战斗力，以信息化推进应急管理现代化。</w:t>
      </w:r>
      <w:r>
        <w:rPr>
          <w:rFonts w:hint="eastAsia" w:ascii="楷体_GB2312" w:hAnsi="楷体_GB2312" w:eastAsia="楷体_GB2312" w:cs="楷体_GB2312"/>
          <w:color w:val="000000"/>
          <w:kern w:val="0"/>
          <w:sz w:val="32"/>
          <w:szCs w:val="32"/>
          <w:lang w:val="en-US" w:eastAsia="zh-CN" w:bidi="ar"/>
        </w:rPr>
        <w:t xml:space="preserve">（牵头责任单位：区应急局，协同责任单位：区安委会各有关成员单位）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23. </w:t>
      </w:r>
      <w:r>
        <w:rPr>
          <w:rFonts w:hint="eastAsia" w:ascii="楷体_GB2312" w:hAnsi="楷体_GB2312" w:eastAsia="楷体_GB2312" w:cs="楷体_GB2312"/>
          <w:b/>
          <w:bCs/>
          <w:color w:val="000000"/>
          <w:kern w:val="0"/>
          <w:sz w:val="32"/>
          <w:szCs w:val="32"/>
          <w:lang w:val="en-US" w:eastAsia="zh-CN" w:bidi="ar"/>
        </w:rPr>
        <w:t>加强安全生产科技支撑。</w:t>
      </w:r>
      <w:r>
        <w:rPr>
          <w:rFonts w:ascii="仿宋_GB2312" w:hAnsi="仿宋_GB2312" w:eastAsia="仿宋_GB2312" w:cs="仿宋_GB2312"/>
          <w:color w:val="000000"/>
          <w:kern w:val="0"/>
          <w:sz w:val="31"/>
          <w:szCs w:val="31"/>
          <w:lang w:val="en-US" w:eastAsia="zh-CN" w:bidi="ar"/>
        </w:rPr>
        <w:t>深</w:t>
      </w:r>
      <w:r>
        <w:rPr>
          <w:rFonts w:hint="eastAsia" w:ascii="仿宋_GB2312" w:hAnsi="仿宋_GB2312" w:eastAsia="仿宋_GB2312" w:cs="仿宋_GB2312"/>
          <w:color w:val="000000"/>
          <w:kern w:val="0"/>
          <w:sz w:val="32"/>
          <w:szCs w:val="32"/>
          <w:lang w:val="en-US" w:eastAsia="zh-CN" w:bidi="ar"/>
        </w:rPr>
        <w:t>入推进高危行业领域</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机械化换人、自动化减人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。开展危险化学品、非煤矿山、消防等行业领域安全避险、应急救援等关键技术攻关及先进适用装备研发。（</w:t>
      </w:r>
      <w:r>
        <w:rPr>
          <w:rFonts w:hint="eastAsia" w:ascii="楷体_GB2312" w:hAnsi="楷体_GB2312" w:eastAsia="楷体_GB2312" w:cs="楷体_GB2312"/>
          <w:color w:val="000000"/>
          <w:kern w:val="0"/>
          <w:sz w:val="32"/>
          <w:szCs w:val="32"/>
          <w:lang w:val="en-US" w:eastAsia="zh-CN" w:bidi="ar"/>
        </w:rPr>
        <w:t>牵头责任单位：区应急局、区经济科技信息化局、区消防救援大队，协同责任单位：区安委会各有关成员单位）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24. </w:t>
      </w:r>
      <w:r>
        <w:rPr>
          <w:rFonts w:hint="eastAsia" w:ascii="楷体_GB2312" w:hAnsi="楷体_GB2312" w:eastAsia="楷体_GB2312" w:cs="楷体_GB2312"/>
          <w:b/>
          <w:bCs/>
          <w:color w:val="000000"/>
          <w:kern w:val="0"/>
          <w:sz w:val="32"/>
          <w:szCs w:val="32"/>
          <w:lang w:val="en-US" w:eastAsia="zh-CN" w:bidi="ar"/>
        </w:rPr>
        <w:t>强化安全生产源头防控。</w:t>
      </w:r>
      <w:r>
        <w:rPr>
          <w:rFonts w:ascii="仿宋_GB2312" w:hAnsi="仿宋_GB2312" w:eastAsia="仿宋_GB2312" w:cs="仿宋_GB2312"/>
          <w:color w:val="000000"/>
          <w:kern w:val="0"/>
          <w:sz w:val="31"/>
          <w:szCs w:val="31"/>
          <w:lang w:val="en-US" w:eastAsia="zh-CN" w:bidi="ar"/>
        </w:rPr>
        <w:t>推</w:t>
      </w:r>
      <w:r>
        <w:rPr>
          <w:rFonts w:hint="eastAsia" w:ascii="仿宋_GB2312" w:hAnsi="仿宋_GB2312" w:eastAsia="仿宋_GB2312" w:cs="仿宋_GB2312"/>
          <w:color w:val="000000"/>
          <w:kern w:val="0"/>
          <w:sz w:val="32"/>
          <w:szCs w:val="32"/>
          <w:lang w:val="en-US" w:eastAsia="zh-CN" w:bidi="ar"/>
        </w:rPr>
        <w:t>动完善工业产业发展规划，落实园区新建项目准入条件，严把各类项目安全生产准入关，对存在重大安全隐患的要坚决做到</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一票否决</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。推进城镇人口密集区危险化学品生产企业搬迁改造（</w:t>
      </w:r>
      <w:r>
        <w:rPr>
          <w:rFonts w:hint="eastAsia" w:ascii="楷体_GB2312" w:hAnsi="楷体_GB2312" w:eastAsia="楷体_GB2312" w:cs="楷体_GB2312"/>
          <w:color w:val="000000"/>
          <w:kern w:val="0"/>
          <w:sz w:val="32"/>
          <w:szCs w:val="32"/>
          <w:lang w:val="en-US" w:eastAsia="zh-CN" w:bidi="ar"/>
        </w:rPr>
        <w:t>责任单位：区经济科技信息化局、区应急局）。</w:t>
      </w:r>
      <w:r>
        <w:rPr>
          <w:rFonts w:hint="eastAsia" w:ascii="仿宋_GB2312" w:hAnsi="仿宋_GB2312" w:eastAsia="仿宋_GB2312" w:cs="仿宋_GB2312"/>
          <w:color w:val="000000"/>
          <w:kern w:val="0"/>
          <w:sz w:val="32"/>
          <w:szCs w:val="32"/>
          <w:lang w:val="en-US" w:eastAsia="zh-CN" w:bidi="ar"/>
        </w:rPr>
        <w:t>淘汰地下非煤矿山采用干式制动的无轨胶轮车或者改装车辆运输人员、炸药、油料等落后工艺设备（</w:t>
      </w:r>
      <w:r>
        <w:rPr>
          <w:rFonts w:hint="eastAsia" w:ascii="楷体_GB2312" w:hAnsi="楷体_GB2312" w:eastAsia="楷体_GB2312" w:cs="楷体_GB2312"/>
          <w:color w:val="000000"/>
          <w:kern w:val="0"/>
          <w:sz w:val="32"/>
          <w:szCs w:val="32"/>
          <w:lang w:val="en-US" w:eastAsia="zh-CN" w:bidi="ar"/>
        </w:rPr>
        <w:t>责任单位：区应急局）。</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25. </w:t>
      </w:r>
      <w:r>
        <w:rPr>
          <w:rFonts w:hint="eastAsia" w:ascii="楷体_GB2312" w:hAnsi="楷体_GB2312" w:eastAsia="楷体_GB2312" w:cs="楷体_GB2312"/>
          <w:b/>
          <w:bCs/>
          <w:color w:val="000000"/>
          <w:kern w:val="0"/>
          <w:sz w:val="32"/>
          <w:szCs w:val="32"/>
          <w:lang w:val="en-US" w:eastAsia="zh-CN" w:bidi="ar"/>
        </w:rPr>
        <w:t>实施重点领域工程治理。</w:t>
      </w:r>
      <w:r>
        <w:rPr>
          <w:rFonts w:ascii="仿宋_GB2312" w:hAnsi="仿宋_GB2312" w:eastAsia="仿宋_GB2312" w:cs="仿宋_GB2312"/>
          <w:color w:val="000000"/>
          <w:kern w:val="0"/>
          <w:sz w:val="31"/>
          <w:szCs w:val="31"/>
          <w:lang w:val="en-US" w:eastAsia="zh-CN" w:bidi="ar"/>
        </w:rPr>
        <w:t>持</w:t>
      </w:r>
      <w:r>
        <w:rPr>
          <w:rFonts w:hint="eastAsia" w:ascii="仿宋_GB2312" w:hAnsi="仿宋_GB2312" w:eastAsia="仿宋_GB2312" w:cs="仿宋_GB2312"/>
          <w:color w:val="000000"/>
          <w:kern w:val="0"/>
          <w:sz w:val="32"/>
          <w:szCs w:val="32"/>
          <w:lang w:val="en-US" w:eastAsia="zh-CN" w:bidi="ar"/>
        </w:rPr>
        <w:t>续推进公路交通安全设施建设、农村平交路口</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千灯万带示范工程</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责任单位：烈山区道路运政服务中心、市公安局烈山分局、区住房和城乡建设局）</w:t>
      </w:r>
      <w:r>
        <w:rPr>
          <w:rFonts w:hint="eastAsia" w:ascii="仿宋_GB2312" w:hAnsi="仿宋_GB2312" w:eastAsia="仿宋_GB2312" w:cs="仿宋_GB2312"/>
          <w:color w:val="000000"/>
          <w:kern w:val="0"/>
          <w:sz w:val="32"/>
          <w:szCs w:val="32"/>
          <w:lang w:val="en-US" w:eastAsia="zh-CN" w:bidi="ar"/>
        </w:rPr>
        <w:t>。推动强化危险化学品车辆专用停车场的规划、建设、管理（</w:t>
      </w:r>
      <w:r>
        <w:rPr>
          <w:rFonts w:hint="eastAsia" w:ascii="楷体_GB2312" w:hAnsi="楷体_GB2312" w:eastAsia="楷体_GB2312" w:cs="楷体_GB2312"/>
          <w:color w:val="000000"/>
          <w:kern w:val="0"/>
          <w:sz w:val="32"/>
          <w:szCs w:val="32"/>
          <w:lang w:val="en-US" w:eastAsia="zh-CN" w:bidi="ar"/>
        </w:rPr>
        <w:t xml:space="preserve">责任单位：烈山自然资源与规划分局、区住房和城乡建设局、区经济科技信息化局、烈山区道路运政服务中心、市公安局烈山分局）。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default" w:ascii="楷体_GB2312" w:hAnsi="楷体_GB2312" w:eastAsia="楷体_GB2312" w:cs="楷体_GB2312"/>
          <w:b/>
          <w:bCs/>
          <w:color w:val="000000"/>
          <w:kern w:val="0"/>
          <w:sz w:val="32"/>
          <w:szCs w:val="32"/>
          <w:lang w:val="en-US" w:eastAsia="zh-CN" w:bidi="ar"/>
        </w:rPr>
        <w:t xml:space="preserve">26. </w:t>
      </w:r>
      <w:r>
        <w:rPr>
          <w:rFonts w:hint="eastAsia" w:ascii="楷体_GB2312" w:hAnsi="楷体_GB2312" w:eastAsia="楷体_GB2312" w:cs="楷体_GB2312"/>
          <w:b/>
          <w:bCs/>
          <w:color w:val="000000"/>
          <w:kern w:val="0"/>
          <w:sz w:val="32"/>
          <w:szCs w:val="32"/>
          <w:lang w:val="en-US" w:eastAsia="zh-CN" w:bidi="ar"/>
        </w:rPr>
        <w:t>深入开展示范创建工作。</w:t>
      </w:r>
      <w:r>
        <w:rPr>
          <w:rFonts w:hint="eastAsia" w:ascii="仿宋_GB2312" w:hAnsi="仿宋_GB2312" w:eastAsia="仿宋_GB2312" w:cs="仿宋_GB2312"/>
          <w:color w:val="000000"/>
          <w:kern w:val="0"/>
          <w:sz w:val="32"/>
          <w:szCs w:val="32"/>
          <w:lang w:val="en-US" w:eastAsia="zh-CN" w:bidi="ar"/>
        </w:rPr>
        <w:t>深入推进公路水运工程、农机等行业领域平安创建（</w:t>
      </w:r>
      <w:r>
        <w:rPr>
          <w:rFonts w:hint="eastAsia" w:ascii="楷体_GB2312" w:hAnsi="楷体_GB2312" w:eastAsia="楷体_GB2312" w:cs="楷体_GB2312"/>
          <w:color w:val="000000"/>
          <w:kern w:val="0"/>
          <w:sz w:val="32"/>
          <w:szCs w:val="32"/>
          <w:lang w:val="en-US" w:eastAsia="zh-CN" w:bidi="ar"/>
        </w:rPr>
        <w:t>责任单位：烈山区道路运政服务中心、区农业农村水利局）。</w:t>
      </w:r>
      <w:r>
        <w:rPr>
          <w:rFonts w:hint="eastAsia" w:ascii="仿宋_GB2312" w:hAnsi="仿宋_GB2312" w:eastAsia="仿宋_GB2312" w:cs="仿宋_GB2312"/>
          <w:color w:val="000000"/>
          <w:kern w:val="0"/>
          <w:sz w:val="32"/>
          <w:szCs w:val="32"/>
          <w:lang w:val="en-US" w:eastAsia="zh-CN" w:bidi="ar"/>
        </w:rPr>
        <w:t>扎实开展非煤矿山等行业粉尘危害治理，推进健康企业建设（</w:t>
      </w:r>
      <w:r>
        <w:rPr>
          <w:rFonts w:hint="eastAsia" w:ascii="楷体_GB2312" w:hAnsi="楷体_GB2312" w:eastAsia="楷体_GB2312" w:cs="楷体_GB2312"/>
          <w:color w:val="000000"/>
          <w:kern w:val="0"/>
          <w:sz w:val="32"/>
          <w:szCs w:val="32"/>
          <w:lang w:val="en-US" w:eastAsia="zh-CN" w:bidi="ar"/>
        </w:rPr>
        <w:t>责任单位：区卫健委）</w:t>
      </w:r>
      <w:r>
        <w:rPr>
          <w:rFonts w:hint="eastAsia" w:ascii="仿宋_GB2312" w:hAnsi="仿宋_GB2312" w:eastAsia="仿宋_GB2312" w:cs="仿宋_GB2312"/>
          <w:color w:val="000000"/>
          <w:kern w:val="0"/>
          <w:sz w:val="32"/>
          <w:szCs w:val="32"/>
          <w:lang w:val="en-US" w:eastAsia="zh-CN" w:bidi="ar"/>
        </w:rPr>
        <w:t>。</w:t>
      </w:r>
      <w:r>
        <w:rPr>
          <w:rFonts w:ascii="楷体_GB2312" w:hAnsi="楷体_GB2312" w:eastAsia="楷体_GB2312" w:cs="楷体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六、巩固提升安全生产基层基础保障能力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27. </w:t>
      </w:r>
      <w:r>
        <w:rPr>
          <w:rFonts w:hint="eastAsia" w:ascii="楷体_GB2312" w:hAnsi="楷体_GB2312" w:eastAsia="楷体_GB2312" w:cs="楷体_GB2312"/>
          <w:b/>
          <w:bCs/>
          <w:color w:val="000000"/>
          <w:kern w:val="0"/>
          <w:sz w:val="32"/>
          <w:szCs w:val="32"/>
          <w:lang w:val="en-US" w:eastAsia="zh-CN" w:bidi="ar"/>
        </w:rPr>
        <w:t>完善安全生产相关法律制度和标准规范。</w:t>
      </w:r>
      <w:r>
        <w:rPr>
          <w:rFonts w:hint="eastAsia" w:ascii="仿宋_GB2312" w:hAnsi="仿宋_GB2312" w:eastAsia="仿宋_GB2312" w:cs="仿宋_GB2312"/>
          <w:color w:val="000000"/>
          <w:kern w:val="0"/>
          <w:sz w:val="32"/>
          <w:szCs w:val="32"/>
          <w:lang w:val="en-US" w:eastAsia="zh-CN" w:bidi="ar"/>
        </w:rPr>
        <w:t>突出抓好《安全生产法》贯彻实施，指导推动安全生产地方性法规建设。（</w:t>
      </w:r>
      <w:r>
        <w:rPr>
          <w:rFonts w:hint="eastAsia" w:ascii="楷体_GB2312" w:hAnsi="楷体_GB2312" w:eastAsia="楷体_GB2312" w:cs="楷体_GB2312"/>
          <w:color w:val="000000"/>
          <w:kern w:val="0"/>
          <w:sz w:val="32"/>
          <w:szCs w:val="32"/>
          <w:lang w:val="en-US" w:eastAsia="zh-CN" w:bidi="ar"/>
        </w:rPr>
        <w:t>牵头责任单位：区应急局、区司法局，协同责任单位：区安委会各有关成员单位）</w:t>
      </w:r>
      <w:r>
        <w:rPr>
          <w:rFonts w:hint="eastAsia" w:ascii="仿宋_GB2312" w:hAnsi="仿宋_GB2312" w:eastAsia="仿宋_GB2312" w:cs="仿宋_GB2312"/>
          <w:color w:val="000000"/>
          <w:kern w:val="0"/>
          <w:sz w:val="32"/>
          <w:szCs w:val="32"/>
          <w:lang w:val="en-US" w:eastAsia="zh-CN" w:bidi="ar"/>
        </w:rPr>
        <w:t>。严格执行刑法修正案（十一），加强事故前严重违法行为刑事责任追究。落实事故前追刑责的典型案件报告制度，并适时通报（</w:t>
      </w:r>
      <w:r>
        <w:rPr>
          <w:rFonts w:hint="eastAsia" w:ascii="楷体_GB2312" w:hAnsi="楷体_GB2312" w:eastAsia="楷体_GB2312" w:cs="楷体_GB2312"/>
          <w:color w:val="000000"/>
          <w:kern w:val="0"/>
          <w:sz w:val="32"/>
          <w:szCs w:val="32"/>
          <w:lang w:val="en-US" w:eastAsia="zh-CN" w:bidi="ar"/>
        </w:rPr>
        <w:t>牵头责任单位：区应急局、区司法局、烈山区人民法院、区检察院，协同责任单位：区安委会各有关成员单位）。</w:t>
      </w:r>
      <w:r>
        <w:rPr>
          <w:rFonts w:hint="eastAsia" w:ascii="仿宋_GB2312" w:hAnsi="仿宋_GB2312" w:eastAsia="仿宋_GB2312" w:cs="仿宋_GB2312"/>
          <w:color w:val="000000"/>
          <w:kern w:val="0"/>
          <w:sz w:val="32"/>
          <w:szCs w:val="32"/>
          <w:lang w:val="en-US" w:eastAsia="zh-CN" w:bidi="ar"/>
        </w:rPr>
        <w:t>进一步落实危险化学品、非煤矿山、道路交通、水上交通、特种设备、农村房屋等行业领域安全管理、应急救援的规章制度和标准规范，落实重点行业领域重大隐患判定标准，筑牢安全底线，织密风险防控网</w:t>
      </w:r>
      <w:r>
        <w:rPr>
          <w:rFonts w:hint="eastAsia" w:ascii="楷体_GB2312" w:hAnsi="楷体_GB2312" w:eastAsia="楷体_GB2312" w:cs="楷体_GB2312"/>
          <w:color w:val="000000"/>
          <w:kern w:val="0"/>
          <w:sz w:val="32"/>
          <w:szCs w:val="32"/>
          <w:lang w:val="en-US" w:eastAsia="zh-CN" w:bidi="ar"/>
        </w:rPr>
        <w:t xml:space="preserve">（责任单位：区经济科技信息化局、区住房和城乡建设局、烈山区道路运政服务中心、区应急局、区市场监督管理局）。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28. </w:t>
      </w:r>
      <w:r>
        <w:rPr>
          <w:rFonts w:hint="eastAsia" w:ascii="楷体_GB2312" w:hAnsi="楷体_GB2312" w:eastAsia="楷体_GB2312" w:cs="楷体_GB2312"/>
          <w:b/>
          <w:bCs/>
          <w:color w:val="000000"/>
          <w:kern w:val="0"/>
          <w:sz w:val="32"/>
          <w:szCs w:val="32"/>
          <w:lang w:val="en-US" w:eastAsia="zh-CN" w:bidi="ar"/>
        </w:rPr>
        <w:t>提升安全监管执法能力水平。</w:t>
      </w:r>
      <w:r>
        <w:rPr>
          <w:rFonts w:hint="eastAsia" w:ascii="仿宋_GB2312" w:hAnsi="仿宋_GB2312" w:eastAsia="仿宋_GB2312" w:cs="仿宋_GB2312"/>
          <w:color w:val="000000"/>
          <w:kern w:val="0"/>
          <w:sz w:val="32"/>
          <w:szCs w:val="32"/>
          <w:lang w:val="en-US" w:eastAsia="zh-CN" w:bidi="ar"/>
        </w:rPr>
        <w:t xml:space="preserve">深入推进 </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互联网</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执法</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，切实提高执法精准化、规范化、智能化水平。健全完善分类分级差异化执法机制，突出重点行业领域和重点地区，对重点单位开展</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全覆盖</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执法检查，严防执法简单化、</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一刀切</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加强负有安全生产监管职责的部门安全监管执法人员常态化教育培训和实践锻炼，加大执法车辆和执法装备配备力度，不断提升执法人员专业化水平。推广完善安全生产执法检查专家指导服务机制。结合实际提升自然灾害预警处置能力，严防因自然灾害引发生产安全事故。（</w:t>
      </w:r>
      <w:r>
        <w:rPr>
          <w:rFonts w:hint="eastAsia" w:ascii="楷体_GB2312" w:hAnsi="楷体_GB2312" w:eastAsia="楷体_GB2312" w:cs="楷体_GB2312"/>
          <w:color w:val="000000"/>
          <w:kern w:val="0"/>
          <w:sz w:val="32"/>
          <w:szCs w:val="32"/>
          <w:lang w:val="en-US" w:eastAsia="zh-CN" w:bidi="ar"/>
        </w:rPr>
        <w:t xml:space="preserve">责任单位：各有关部门）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29. </w:t>
      </w:r>
      <w:r>
        <w:rPr>
          <w:rFonts w:hint="eastAsia" w:ascii="楷体_GB2312" w:hAnsi="楷体_GB2312" w:eastAsia="楷体_GB2312" w:cs="楷体_GB2312"/>
          <w:b/>
          <w:bCs/>
          <w:color w:val="000000"/>
          <w:kern w:val="0"/>
          <w:sz w:val="32"/>
          <w:szCs w:val="32"/>
          <w:lang w:val="en-US" w:eastAsia="zh-CN" w:bidi="ar"/>
        </w:rPr>
        <w:t>推动形成社会化风险防控格局。</w:t>
      </w:r>
      <w:r>
        <w:rPr>
          <w:rFonts w:hint="eastAsia" w:ascii="仿宋_GB2312" w:hAnsi="仿宋_GB2312" w:eastAsia="仿宋_GB2312" w:cs="仿宋_GB2312"/>
          <w:color w:val="000000"/>
          <w:kern w:val="0"/>
          <w:sz w:val="32"/>
          <w:szCs w:val="32"/>
          <w:lang w:val="en-US" w:eastAsia="zh-CN" w:bidi="ar"/>
        </w:rPr>
        <w:t>宣传落实好《安徽省安全生产举报奖励办法》《淮北市安全生产举报奖励办法》《烈山区安全生产举报奖励办法》，鼓励企业职工和家属检举重大风险隐患和企业违法行为，激励全民参与、监督、支持安全生产工作。支持新闻媒体对安全生产领域进行舆论监督。建立明查暗访工作常态化新闻报道机制，加大安全风险隐患和典型生产安全事故的曝光力度。鼓励企业建立内部风险隐患排查治理激励奖励机制办法，加大安全考核激励奖励力度</w:t>
      </w:r>
      <w:r>
        <w:rPr>
          <w:rFonts w:hint="eastAsia" w:ascii="楷体_GB2312" w:hAnsi="楷体_GB2312" w:eastAsia="楷体_GB2312" w:cs="楷体_GB2312"/>
          <w:color w:val="000000"/>
          <w:kern w:val="0"/>
          <w:sz w:val="32"/>
          <w:szCs w:val="32"/>
          <w:lang w:val="en-US" w:eastAsia="zh-CN" w:bidi="ar"/>
        </w:rPr>
        <w:t>（牵头责任单位：区应急局、区委宣传部，协同责任单位：区安委会各有关成员单位）。</w:t>
      </w:r>
      <w:r>
        <w:rPr>
          <w:rFonts w:hint="eastAsia" w:ascii="仿宋_GB2312" w:hAnsi="仿宋_GB2312" w:eastAsia="仿宋_GB2312" w:cs="仿宋_GB2312"/>
          <w:color w:val="000000"/>
          <w:kern w:val="0"/>
          <w:sz w:val="32"/>
          <w:szCs w:val="32"/>
          <w:lang w:val="en-US" w:eastAsia="zh-CN" w:bidi="ar"/>
        </w:rPr>
        <w:t>推行安全生产责任保险制度及其事故预防技术服务规范，落实《企业安全生产费用提取和使用管理办法》（</w:t>
      </w:r>
      <w:r>
        <w:rPr>
          <w:rFonts w:hint="eastAsia" w:ascii="楷体_GB2312" w:hAnsi="楷体_GB2312" w:eastAsia="楷体_GB2312" w:cs="楷体_GB2312"/>
          <w:color w:val="000000"/>
          <w:kern w:val="0"/>
          <w:sz w:val="32"/>
          <w:szCs w:val="32"/>
          <w:lang w:val="en-US" w:eastAsia="zh-CN" w:bidi="ar"/>
        </w:rPr>
        <w:t>责任单位：区财政局、区应急局）。</w:t>
      </w:r>
      <w:r>
        <w:rPr>
          <w:rFonts w:hint="eastAsia" w:ascii="仿宋_GB2312" w:hAnsi="仿宋_GB2312" w:eastAsia="仿宋_GB2312" w:cs="仿宋_GB2312"/>
          <w:color w:val="000000"/>
          <w:kern w:val="0"/>
          <w:sz w:val="32"/>
          <w:szCs w:val="32"/>
          <w:lang w:val="en-US" w:eastAsia="zh-CN" w:bidi="ar"/>
        </w:rPr>
        <w:t>加大安全生产领域失信联合惩戒力度，强化违法失信行为信息公开，杜绝违法失信企业</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屡禁不止、屡罚不改</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现象（</w:t>
      </w:r>
      <w:r>
        <w:rPr>
          <w:rFonts w:hint="eastAsia" w:ascii="楷体_GB2312" w:hAnsi="楷体_GB2312" w:eastAsia="楷体_GB2312" w:cs="楷体_GB2312"/>
          <w:color w:val="000000"/>
          <w:kern w:val="0"/>
          <w:sz w:val="32"/>
          <w:szCs w:val="32"/>
          <w:lang w:val="en-US" w:eastAsia="zh-CN" w:bidi="ar"/>
        </w:rPr>
        <w:t>牵头责任单位：区发改委、区应急局，协同责任单位：区安委会各有关成员单位）。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30. </w:t>
      </w:r>
      <w:r>
        <w:rPr>
          <w:rFonts w:hint="eastAsia" w:ascii="楷体_GB2312" w:hAnsi="楷体_GB2312" w:eastAsia="楷体_GB2312" w:cs="楷体_GB2312"/>
          <w:b/>
          <w:bCs/>
          <w:color w:val="000000"/>
          <w:kern w:val="0"/>
          <w:sz w:val="32"/>
          <w:szCs w:val="32"/>
          <w:lang w:val="en-US" w:eastAsia="zh-CN" w:bidi="ar"/>
        </w:rPr>
        <w:t>提升生产安全事故应急救援能力。</w:t>
      </w:r>
      <w:r>
        <w:rPr>
          <w:rFonts w:hint="eastAsia" w:ascii="仿宋_GB2312" w:hAnsi="仿宋_GB2312" w:eastAsia="仿宋_GB2312" w:cs="仿宋_GB2312"/>
          <w:color w:val="000000"/>
          <w:kern w:val="0"/>
          <w:sz w:val="32"/>
          <w:szCs w:val="32"/>
          <w:lang w:val="en-US" w:eastAsia="zh-CN" w:bidi="ar"/>
        </w:rPr>
        <w:t>加强综合性消防救援队伍建设，优化先进适用装备配备力度</w:t>
      </w:r>
      <w:r>
        <w:rPr>
          <w:rFonts w:hint="eastAsia" w:ascii="楷体_GB2312" w:hAnsi="楷体_GB2312" w:eastAsia="楷体_GB2312" w:cs="楷体_GB2312"/>
          <w:color w:val="000000"/>
          <w:kern w:val="0"/>
          <w:sz w:val="32"/>
          <w:szCs w:val="32"/>
          <w:lang w:val="en-US" w:eastAsia="zh-CN" w:bidi="ar"/>
        </w:rPr>
        <w:t>（责任单位：区消防救援大队、区财政局）</w:t>
      </w:r>
      <w:r>
        <w:rPr>
          <w:rFonts w:hint="eastAsia" w:ascii="仿宋_GB2312" w:hAnsi="仿宋_GB2312" w:eastAsia="仿宋_GB2312" w:cs="仿宋_GB2312"/>
          <w:color w:val="000000"/>
          <w:kern w:val="0"/>
          <w:sz w:val="32"/>
          <w:szCs w:val="32"/>
          <w:lang w:val="en-US" w:eastAsia="zh-CN" w:bidi="ar"/>
        </w:rPr>
        <w:t>。推动非煤矿山、危险化学品、油气管道、交通运输等行业领域专业应急救援队伍建设（</w:t>
      </w:r>
      <w:r>
        <w:rPr>
          <w:rFonts w:hint="eastAsia" w:ascii="楷体_GB2312" w:hAnsi="楷体_GB2312" w:eastAsia="楷体_GB2312" w:cs="楷体_GB2312"/>
          <w:color w:val="000000"/>
          <w:kern w:val="0"/>
          <w:sz w:val="32"/>
          <w:szCs w:val="32"/>
          <w:lang w:val="en-US" w:eastAsia="zh-CN" w:bidi="ar"/>
        </w:rPr>
        <w:t>牵头责任单位：烈山区道路运政服务中心、区应急局、区发改委，协同责任单位：区安委会各有关成员单位）。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b/>
          <w:bCs/>
          <w:color w:val="000000"/>
          <w:kern w:val="0"/>
          <w:sz w:val="32"/>
          <w:szCs w:val="32"/>
          <w:lang w:val="en-US" w:eastAsia="zh-CN" w:bidi="ar"/>
        </w:rPr>
        <w:t xml:space="preserve">31. </w:t>
      </w:r>
      <w:r>
        <w:rPr>
          <w:rFonts w:hint="eastAsia" w:ascii="楷体_GB2312" w:hAnsi="楷体_GB2312" w:eastAsia="楷体_GB2312" w:cs="楷体_GB2312"/>
          <w:b/>
          <w:bCs/>
          <w:color w:val="000000"/>
          <w:kern w:val="0"/>
          <w:sz w:val="32"/>
          <w:szCs w:val="32"/>
          <w:lang w:val="en-US" w:eastAsia="zh-CN" w:bidi="ar"/>
        </w:rPr>
        <w:t>推进安全生产宣传教育培训工作。</w:t>
      </w:r>
      <w:r>
        <w:rPr>
          <w:rFonts w:hint="eastAsia" w:ascii="仿宋_GB2312" w:hAnsi="仿宋_GB2312" w:eastAsia="仿宋_GB2312" w:cs="仿宋_GB2312"/>
          <w:color w:val="000000"/>
          <w:kern w:val="0"/>
          <w:sz w:val="32"/>
          <w:szCs w:val="32"/>
          <w:lang w:val="en-US" w:eastAsia="zh-CN" w:bidi="ar"/>
        </w:rPr>
        <w:t>进一步加强安全生产法治宣传教育，强化落实普法责任制，开展法治文化建设，努力营造浓厚的安全生产法治氛围。拍摄制作典型事故系列警示片并在主流媒体上公开播放，创新“安全生产月”“安全生产烈山行”“安康杯”竞赛、“青年安全生产示范岗”创建、“安全生产法宣传周”“消防安全日”“交通安全日”等活动组织形式。开展安全生产和防灾减灾进校园等“五进”活动，健全完善公民安全教育体系，将安全元素融入社区公园、广场、乡村服务场所等公共设施。利用政府网站、微博微信、社区宣传栏、“村村响、户户通”等线上线下资源，推进应急广播体系建设。加大应急管理、防灾减灾救灾社会化宣传教育，提升公众安全素质，增强全民应急意识和技能。实施高危行业领域安全技能提升行动计划，全面落实从业人员的各项培训考试制度。（</w:t>
      </w:r>
      <w:r>
        <w:rPr>
          <w:rFonts w:hint="eastAsia" w:ascii="楷体_GB2312" w:hAnsi="楷体_GB2312" w:eastAsia="楷体_GB2312" w:cs="楷体_GB2312"/>
          <w:color w:val="000000"/>
          <w:kern w:val="0"/>
          <w:sz w:val="32"/>
          <w:szCs w:val="32"/>
          <w:lang w:val="en-US" w:eastAsia="zh-CN" w:bidi="ar"/>
        </w:rPr>
        <w:t xml:space="preserve">责任单位：区委宣传部、区应急局、区团委、区发改委、区总工会、区教育局、市公安局烈山分局、区司法局、区财务局、区人力资源和社会保障局、区市场监督管理局、区财政局等）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附件：区安委会 2021 年重点工作任务清单 </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pStyle w:val="2"/>
      </w:pPr>
    </w:p>
    <w:p/>
    <w:p>
      <w:pPr>
        <w:pStyle w:val="2"/>
      </w:pPr>
    </w:p>
    <w:p/>
    <w:p>
      <w:pPr>
        <w:pStyle w:val="2"/>
      </w:pPr>
    </w:p>
    <w:p/>
    <w:p>
      <w:pPr>
        <w:pStyle w:val="2"/>
      </w:pPr>
    </w:p>
    <w:p/>
    <w:p>
      <w:pPr>
        <w:pStyle w:val="2"/>
      </w:pPr>
    </w:p>
    <w:p/>
    <w:p/>
    <w:p>
      <w:pPr>
        <w:pStyle w:val="3"/>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3"/>
        <w:rPr>
          <w:rFonts w:ascii="Times New Roman"/>
          <w:sz w:val="20"/>
        </w:rPr>
      </w:pPr>
    </w:p>
    <w:p>
      <w:pP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烈山区</w:t>
      </w:r>
      <w:r>
        <w:rPr>
          <w:rFonts w:hint="eastAsia" w:ascii="方正小标宋_GBK" w:hAnsi="方正小标宋_GBK" w:eastAsia="方正小标宋_GBK" w:cs="方正小标宋_GBK"/>
          <w:b w:val="0"/>
          <w:bCs w:val="0"/>
          <w:sz w:val="44"/>
          <w:szCs w:val="44"/>
        </w:rPr>
        <w:t>安委会 2021 年重点工作任务清单</w:t>
      </w:r>
    </w:p>
    <w:p>
      <w:pPr>
        <w:pStyle w:val="3"/>
        <w:spacing w:after="1"/>
        <w:rPr>
          <w:sz w:val="26"/>
        </w:rPr>
      </w:pPr>
    </w:p>
    <w:tbl>
      <w:tblPr>
        <w:tblStyle w:val="6"/>
        <w:tblW w:w="97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4972"/>
        <w:gridCol w:w="1127"/>
        <w:gridCol w:w="1713"/>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jc w:val="center"/>
        </w:trPr>
        <w:tc>
          <w:tcPr>
            <w:tcW w:w="676" w:type="dxa"/>
            <w:tcBorders>
              <w:right w:val="single" w:color="000000" w:sz="8" w:space="0"/>
            </w:tcBorders>
          </w:tcPr>
          <w:p>
            <w:pPr>
              <w:pStyle w:val="8"/>
              <w:spacing w:before="12"/>
              <w:jc w:val="center"/>
              <w:rPr>
                <w:rFonts w:ascii="方正小标宋简体"/>
                <w:sz w:val="20"/>
              </w:rPr>
            </w:pPr>
          </w:p>
          <w:p>
            <w:pPr>
              <w:pStyle w:val="8"/>
              <w:ind w:left="66" w:right="19"/>
              <w:jc w:val="center"/>
              <w:rPr>
                <w:rFonts w:hint="eastAsia" w:ascii="黑体" w:eastAsia="黑体"/>
                <w:sz w:val="28"/>
              </w:rPr>
            </w:pPr>
            <w:r>
              <w:rPr>
                <w:rFonts w:hint="eastAsia" w:ascii="黑体" w:eastAsia="黑体"/>
                <w:w w:val="95"/>
                <w:sz w:val="28"/>
              </w:rPr>
              <w:t>序号</w:t>
            </w:r>
          </w:p>
        </w:tc>
        <w:tc>
          <w:tcPr>
            <w:tcW w:w="4972" w:type="dxa"/>
            <w:tcBorders>
              <w:left w:val="single" w:color="000000" w:sz="8" w:space="0"/>
            </w:tcBorders>
          </w:tcPr>
          <w:p>
            <w:pPr>
              <w:pStyle w:val="8"/>
              <w:spacing w:before="12"/>
              <w:jc w:val="center"/>
              <w:rPr>
                <w:rFonts w:ascii="方正小标宋简体"/>
                <w:sz w:val="20"/>
              </w:rPr>
            </w:pPr>
          </w:p>
          <w:p>
            <w:pPr>
              <w:pStyle w:val="8"/>
              <w:tabs>
                <w:tab w:val="left" w:pos="600"/>
              </w:tabs>
              <w:ind w:right="2"/>
              <w:jc w:val="center"/>
              <w:rPr>
                <w:rFonts w:hint="eastAsia" w:ascii="黑体" w:eastAsia="黑体"/>
                <w:sz w:val="28"/>
              </w:rPr>
            </w:pPr>
            <w:r>
              <w:rPr>
                <w:rFonts w:hint="eastAsia" w:ascii="黑体" w:eastAsia="黑体"/>
                <w:sz w:val="28"/>
              </w:rPr>
              <w:t>任</w:t>
            </w:r>
            <w:r>
              <w:rPr>
                <w:rFonts w:hint="eastAsia" w:ascii="黑体" w:eastAsia="黑体"/>
                <w:sz w:val="28"/>
              </w:rPr>
              <w:tab/>
            </w:r>
            <w:r>
              <w:rPr>
                <w:rFonts w:hint="eastAsia" w:ascii="黑体" w:eastAsia="黑体"/>
                <w:sz w:val="28"/>
              </w:rPr>
              <w:t>务</w:t>
            </w:r>
          </w:p>
        </w:tc>
        <w:tc>
          <w:tcPr>
            <w:tcW w:w="1127" w:type="dxa"/>
          </w:tcPr>
          <w:p>
            <w:pPr>
              <w:pStyle w:val="8"/>
              <w:spacing w:line="349" w:lineRule="exact"/>
              <w:ind w:left="111"/>
              <w:jc w:val="center"/>
              <w:rPr>
                <w:rFonts w:hint="eastAsia" w:ascii="黑体" w:eastAsia="黑体"/>
                <w:sz w:val="28"/>
                <w:lang w:eastAsia="zh-CN"/>
              </w:rPr>
            </w:pPr>
            <w:r>
              <w:rPr>
                <w:rFonts w:hint="eastAsia" w:ascii="黑体" w:eastAsia="黑体"/>
                <w:sz w:val="28"/>
              </w:rPr>
              <w:t>牵头</w:t>
            </w:r>
            <w:r>
              <w:rPr>
                <w:rFonts w:hint="eastAsia" w:ascii="黑体" w:eastAsia="黑体"/>
                <w:sz w:val="28"/>
                <w:lang w:eastAsia="zh-CN"/>
              </w:rPr>
              <w:t>区</w:t>
            </w:r>
          </w:p>
          <w:p>
            <w:pPr>
              <w:pStyle w:val="8"/>
              <w:spacing w:line="360" w:lineRule="atLeast"/>
              <w:ind w:left="261" w:right="97" w:hanging="150"/>
              <w:jc w:val="center"/>
              <w:rPr>
                <w:rFonts w:hint="eastAsia" w:ascii="黑体" w:eastAsia="黑体"/>
                <w:sz w:val="28"/>
              </w:rPr>
            </w:pPr>
            <w:r>
              <w:rPr>
                <w:rFonts w:hint="eastAsia" w:ascii="黑体" w:eastAsia="黑体"/>
                <w:sz w:val="28"/>
              </w:rPr>
              <w:t>安委会领导</w:t>
            </w:r>
          </w:p>
        </w:tc>
        <w:tc>
          <w:tcPr>
            <w:tcW w:w="1713" w:type="dxa"/>
          </w:tcPr>
          <w:p>
            <w:pPr>
              <w:pStyle w:val="8"/>
              <w:spacing w:before="170"/>
              <w:ind w:left="696" w:right="99" w:hanging="586"/>
              <w:jc w:val="center"/>
              <w:rPr>
                <w:rFonts w:hint="eastAsia" w:ascii="黑体" w:eastAsia="黑体"/>
                <w:sz w:val="28"/>
              </w:rPr>
            </w:pPr>
            <w:r>
              <w:rPr>
                <w:rFonts w:hint="eastAsia" w:ascii="黑体" w:eastAsia="黑体"/>
                <w:sz w:val="28"/>
              </w:rPr>
              <w:t>牵头责任</w:t>
            </w:r>
          </w:p>
          <w:p>
            <w:pPr>
              <w:pStyle w:val="8"/>
              <w:spacing w:before="170"/>
              <w:ind w:left="696" w:right="99" w:hanging="586"/>
              <w:jc w:val="center"/>
              <w:rPr>
                <w:rFonts w:hint="eastAsia" w:ascii="黑体" w:eastAsia="黑体"/>
                <w:sz w:val="28"/>
              </w:rPr>
            </w:pPr>
            <w:r>
              <w:rPr>
                <w:rFonts w:hint="eastAsia" w:ascii="黑体" w:eastAsia="黑体"/>
                <w:sz w:val="28"/>
              </w:rPr>
              <w:t>单位</w:t>
            </w:r>
          </w:p>
        </w:tc>
        <w:tc>
          <w:tcPr>
            <w:tcW w:w="1247" w:type="dxa"/>
          </w:tcPr>
          <w:p>
            <w:pPr>
              <w:pStyle w:val="8"/>
              <w:spacing w:before="170"/>
              <w:ind w:left="170" w:right="158"/>
              <w:jc w:val="center"/>
              <w:rPr>
                <w:rFonts w:hint="eastAsia" w:ascii="黑体" w:eastAsia="黑体"/>
                <w:sz w:val="28"/>
              </w:rPr>
            </w:pPr>
            <w:r>
              <w:rPr>
                <w:rFonts w:hint="eastAsia" w:ascii="黑体" w:eastAsia="黑体"/>
                <w:sz w:val="28"/>
              </w:rPr>
              <w:t>协同责任单位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676" w:type="dxa"/>
            <w:tcBorders>
              <w:right w:val="single" w:color="000000" w:sz="8" w:space="0"/>
            </w:tcBorders>
            <w:vAlign w:val="center"/>
          </w:tcPr>
          <w:p>
            <w:pPr>
              <w:jc w:val="center"/>
              <w:rPr>
                <w:sz w:val="24"/>
                <w:szCs w:val="24"/>
              </w:rPr>
            </w:pPr>
          </w:p>
          <w:p>
            <w:pPr>
              <w:jc w:val="center"/>
              <w:rPr>
                <w:sz w:val="24"/>
                <w:szCs w:val="24"/>
              </w:rPr>
            </w:pPr>
            <w:r>
              <w:rPr>
                <w:sz w:val="24"/>
                <w:szCs w:val="24"/>
              </w:rPr>
              <w:t>1</w:t>
            </w:r>
          </w:p>
        </w:tc>
        <w:tc>
          <w:tcPr>
            <w:tcW w:w="4972" w:type="dxa"/>
            <w:tcBorders>
              <w:left w:val="single" w:color="000000" w:sz="8" w:space="0"/>
            </w:tcBorders>
          </w:tcPr>
          <w:p>
            <w:pPr>
              <w:pStyle w:val="8"/>
              <w:ind w:left="110"/>
              <w:jc w:val="left"/>
              <w:rPr>
                <w:sz w:val="24"/>
              </w:rPr>
            </w:pPr>
            <w:r>
              <w:rPr>
                <w:sz w:val="24"/>
              </w:rPr>
              <w:t>推动各地、各有关部门和单位党委（党组）专</w:t>
            </w:r>
          </w:p>
          <w:p>
            <w:pPr>
              <w:pStyle w:val="8"/>
              <w:spacing w:before="8" w:line="300" w:lineRule="exact"/>
              <w:ind w:left="110" w:right="32"/>
              <w:jc w:val="left"/>
              <w:rPr>
                <w:sz w:val="24"/>
              </w:rPr>
            </w:pPr>
            <w:r>
              <w:rPr>
                <w:sz w:val="24"/>
              </w:rPr>
              <w:t>题学习习近平总书记关于安全生产重要论述， 推进学习教育全覆盖。</w:t>
            </w:r>
          </w:p>
        </w:tc>
        <w:tc>
          <w:tcPr>
            <w:tcW w:w="1127" w:type="dxa"/>
          </w:tcPr>
          <w:p>
            <w:pPr>
              <w:pStyle w:val="8"/>
              <w:spacing w:before="11"/>
              <w:jc w:val="left"/>
              <w:rPr>
                <w:rFonts w:ascii="方正小标宋简体"/>
                <w:sz w:val="18"/>
              </w:rPr>
            </w:pPr>
          </w:p>
          <w:p>
            <w:pPr>
              <w:pStyle w:val="8"/>
              <w:ind w:left="201"/>
              <w:jc w:val="left"/>
              <w:rPr>
                <w:rFonts w:hint="eastAsia" w:eastAsia="仿宋_GB2312"/>
                <w:sz w:val="24"/>
                <w:lang w:eastAsia="zh-CN"/>
              </w:rPr>
            </w:pPr>
            <w:r>
              <w:rPr>
                <w:rFonts w:hint="eastAsia"/>
                <w:sz w:val="24"/>
                <w:lang w:eastAsia="zh-CN"/>
              </w:rPr>
              <w:t>刘明</w:t>
            </w:r>
          </w:p>
        </w:tc>
        <w:tc>
          <w:tcPr>
            <w:tcW w:w="1713" w:type="dxa"/>
          </w:tcPr>
          <w:p>
            <w:pPr>
              <w:pStyle w:val="8"/>
              <w:spacing w:before="150" w:line="247" w:lineRule="auto"/>
              <w:ind w:left="366" w:right="247" w:hanging="121"/>
              <w:jc w:val="left"/>
              <w:rPr>
                <w:sz w:val="24"/>
              </w:rPr>
            </w:pPr>
            <w:r>
              <w:rPr>
                <w:rFonts w:hint="eastAsia"/>
                <w:sz w:val="24"/>
                <w:lang w:eastAsia="zh-CN"/>
              </w:rPr>
              <w:t>区</w:t>
            </w:r>
            <w:r>
              <w:rPr>
                <w:sz w:val="24"/>
              </w:rPr>
              <w:t>委宣传</w:t>
            </w:r>
          </w:p>
          <w:p>
            <w:pPr>
              <w:pStyle w:val="8"/>
              <w:spacing w:before="150" w:line="247" w:lineRule="auto"/>
              <w:ind w:left="366" w:right="247" w:hanging="121"/>
              <w:jc w:val="left"/>
              <w:rPr>
                <w:rFonts w:hint="eastAsia" w:eastAsia="仿宋_GB2312"/>
                <w:sz w:val="24"/>
                <w:lang w:eastAsia="zh-CN"/>
              </w:rPr>
            </w:pPr>
            <w:r>
              <w:rPr>
                <w:rFonts w:hint="eastAsia"/>
                <w:sz w:val="24"/>
                <w:lang w:eastAsia="zh-CN"/>
              </w:rPr>
              <w:t>区应急局</w:t>
            </w:r>
          </w:p>
        </w:tc>
        <w:tc>
          <w:tcPr>
            <w:tcW w:w="1247" w:type="dxa"/>
          </w:tcPr>
          <w:p>
            <w:pPr>
              <w:pStyle w:val="8"/>
              <w:ind w:left="140"/>
              <w:jc w:val="left"/>
              <w:rPr>
                <w:sz w:val="24"/>
              </w:rPr>
            </w:pPr>
            <w:r>
              <w:rPr>
                <w:rFonts w:hint="eastAsia"/>
                <w:sz w:val="24"/>
                <w:lang w:eastAsia="zh-CN"/>
              </w:rPr>
              <w:t>区</w:t>
            </w:r>
            <w:r>
              <w:rPr>
                <w:sz w:val="24"/>
              </w:rPr>
              <w:t>安委会</w:t>
            </w:r>
          </w:p>
          <w:p>
            <w:pPr>
              <w:pStyle w:val="8"/>
              <w:spacing w:before="8" w:line="300" w:lineRule="exact"/>
              <w:ind w:left="500" w:right="129" w:hanging="361"/>
              <w:jc w:val="left"/>
              <w:rPr>
                <w:sz w:val="24"/>
              </w:rPr>
            </w:pPr>
            <w:r>
              <w:rPr>
                <w:sz w:val="24"/>
              </w:rPr>
              <w:t>各成员单位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6" w:hRule="atLeast"/>
          <w:jc w:val="center"/>
        </w:trPr>
        <w:tc>
          <w:tcPr>
            <w:tcW w:w="676" w:type="dxa"/>
            <w:tcBorders>
              <w:right w:val="single" w:color="000000" w:sz="8" w:space="0"/>
            </w:tcBorders>
            <w:vAlign w:val="center"/>
          </w:tcPr>
          <w:p>
            <w:pPr>
              <w:jc w:val="center"/>
              <w:rPr>
                <w:sz w:val="24"/>
                <w:szCs w:val="24"/>
              </w:rPr>
            </w:pPr>
          </w:p>
          <w:p>
            <w:pPr>
              <w:jc w:val="center"/>
              <w:rPr>
                <w:sz w:val="24"/>
                <w:szCs w:val="24"/>
              </w:rPr>
            </w:pPr>
          </w:p>
          <w:p>
            <w:pPr>
              <w:jc w:val="center"/>
              <w:rPr>
                <w:sz w:val="24"/>
                <w:szCs w:val="24"/>
              </w:rPr>
            </w:pPr>
            <w:r>
              <w:rPr>
                <w:sz w:val="24"/>
                <w:szCs w:val="24"/>
              </w:rPr>
              <w:t>2</w:t>
            </w:r>
          </w:p>
        </w:tc>
        <w:tc>
          <w:tcPr>
            <w:tcW w:w="4972" w:type="dxa"/>
            <w:tcBorders>
              <w:left w:val="single" w:color="000000" w:sz="8" w:space="0"/>
            </w:tcBorders>
          </w:tcPr>
          <w:p>
            <w:pPr>
              <w:pStyle w:val="8"/>
              <w:spacing w:line="242" w:lineRule="auto"/>
              <w:ind w:left="110" w:right="65"/>
              <w:jc w:val="left"/>
              <w:rPr>
                <w:sz w:val="24"/>
              </w:rPr>
            </w:pPr>
            <w:r>
              <w:rPr>
                <w:sz w:val="24"/>
              </w:rPr>
              <w:t>制定</w:t>
            </w:r>
            <w:r>
              <w:rPr>
                <w:rFonts w:hint="eastAsia"/>
                <w:sz w:val="24"/>
                <w:lang w:eastAsia="zh-CN"/>
              </w:rPr>
              <w:t>区、镇</w:t>
            </w:r>
            <w:r>
              <w:rPr>
                <w:sz w:val="24"/>
              </w:rPr>
              <w:t>党政领导干部安全生产</w:t>
            </w:r>
            <w:r>
              <w:rPr>
                <w:rFonts w:ascii="Times New Roman" w:hAnsi="Times New Roman" w:eastAsia="Times New Roman"/>
                <w:sz w:val="24"/>
              </w:rPr>
              <w:t>“</w:t>
            </w:r>
            <w:r>
              <w:rPr>
                <w:sz w:val="24"/>
              </w:rPr>
              <w:t>职</w:t>
            </w:r>
            <w:r>
              <w:rPr>
                <w:spacing w:val="5"/>
                <w:sz w:val="24"/>
              </w:rPr>
              <w:t>责清单</w:t>
            </w:r>
            <w:r>
              <w:rPr>
                <w:rFonts w:ascii="Times New Roman" w:hAnsi="Times New Roman" w:eastAsia="Times New Roman"/>
                <w:sz w:val="24"/>
              </w:rPr>
              <w:t>”</w:t>
            </w:r>
            <w:r>
              <w:rPr>
                <w:spacing w:val="9"/>
                <w:sz w:val="24"/>
              </w:rPr>
              <w:t>和年度</w:t>
            </w:r>
            <w:r>
              <w:rPr>
                <w:rFonts w:ascii="Times New Roman" w:hAnsi="Times New Roman" w:eastAsia="Times New Roman"/>
                <w:spacing w:val="-17"/>
                <w:sz w:val="24"/>
              </w:rPr>
              <w:t>“</w:t>
            </w:r>
            <w:r>
              <w:rPr>
                <w:spacing w:val="10"/>
                <w:sz w:val="24"/>
              </w:rPr>
              <w:t>工作清单</w:t>
            </w:r>
            <w:r>
              <w:rPr>
                <w:rFonts w:ascii="Times New Roman" w:hAnsi="Times New Roman" w:eastAsia="Times New Roman"/>
                <w:sz w:val="24"/>
              </w:rPr>
              <w:t>”</w:t>
            </w:r>
            <w:r>
              <w:rPr>
                <w:spacing w:val="2"/>
                <w:sz w:val="24"/>
              </w:rPr>
              <w:t>，把履责情况纳入</w:t>
            </w:r>
            <w:r>
              <w:rPr>
                <w:spacing w:val="-7"/>
                <w:sz w:val="24"/>
              </w:rPr>
              <w:t>述职考核、安全生产巡查内容，把安全生产相</w:t>
            </w:r>
            <w:r>
              <w:rPr>
                <w:spacing w:val="6"/>
                <w:sz w:val="24"/>
              </w:rPr>
              <w:t>关要求纳入高质量发展综合绩效评价指标体</w:t>
            </w:r>
          </w:p>
          <w:p>
            <w:pPr>
              <w:pStyle w:val="8"/>
              <w:spacing w:before="4" w:line="280" w:lineRule="exact"/>
              <w:ind w:left="110"/>
              <w:jc w:val="left"/>
              <w:rPr>
                <w:sz w:val="24"/>
              </w:rPr>
            </w:pPr>
            <w:r>
              <w:rPr>
                <w:sz w:val="24"/>
              </w:rPr>
              <w:t>系。</w:t>
            </w:r>
          </w:p>
        </w:tc>
        <w:tc>
          <w:tcPr>
            <w:tcW w:w="1127" w:type="dxa"/>
          </w:tcPr>
          <w:p>
            <w:pPr>
              <w:pStyle w:val="8"/>
              <w:jc w:val="left"/>
              <w:rPr>
                <w:rFonts w:ascii="方正小标宋简体"/>
                <w:sz w:val="24"/>
              </w:rPr>
            </w:pPr>
          </w:p>
          <w:p>
            <w:pPr>
              <w:pStyle w:val="8"/>
              <w:spacing w:before="210"/>
              <w:ind w:left="201"/>
              <w:jc w:val="left"/>
              <w:rPr>
                <w:rFonts w:hint="eastAsia" w:eastAsia="仿宋_GB2312"/>
                <w:sz w:val="24"/>
                <w:lang w:eastAsia="zh-CN"/>
              </w:rPr>
            </w:pPr>
            <w:r>
              <w:rPr>
                <w:rFonts w:hint="eastAsia"/>
                <w:sz w:val="24"/>
                <w:lang w:eastAsia="zh-CN"/>
              </w:rPr>
              <w:t>刘明</w:t>
            </w:r>
          </w:p>
        </w:tc>
        <w:tc>
          <w:tcPr>
            <w:tcW w:w="1713" w:type="dxa"/>
          </w:tcPr>
          <w:p>
            <w:pPr>
              <w:pStyle w:val="8"/>
              <w:spacing w:before="13"/>
              <w:jc w:val="left"/>
              <w:rPr>
                <w:rFonts w:ascii="方正小标宋简体"/>
                <w:sz w:val="17"/>
              </w:rPr>
            </w:pPr>
          </w:p>
          <w:p>
            <w:pPr>
              <w:pStyle w:val="8"/>
              <w:spacing w:line="247" w:lineRule="auto"/>
              <w:ind w:left="125" w:right="128" w:hanging="1"/>
              <w:jc w:val="center"/>
              <w:rPr>
                <w:spacing w:val="-3"/>
                <w:sz w:val="24"/>
              </w:rPr>
            </w:pPr>
            <w:r>
              <w:rPr>
                <w:rFonts w:hint="eastAsia"/>
                <w:sz w:val="24"/>
                <w:lang w:eastAsia="zh-CN"/>
              </w:rPr>
              <w:t>区</w:t>
            </w:r>
            <w:r>
              <w:rPr>
                <w:sz w:val="24"/>
              </w:rPr>
              <w:t xml:space="preserve">委组织部 </w:t>
            </w:r>
            <w:r>
              <w:rPr>
                <w:rFonts w:hint="eastAsia"/>
                <w:spacing w:val="-3"/>
                <w:sz w:val="24"/>
                <w:lang w:eastAsia="zh-CN"/>
              </w:rPr>
              <w:t>区</w:t>
            </w:r>
            <w:r>
              <w:rPr>
                <w:spacing w:val="-3"/>
                <w:sz w:val="24"/>
              </w:rPr>
              <w:t>发改委</w:t>
            </w:r>
          </w:p>
          <w:p>
            <w:pPr>
              <w:pStyle w:val="8"/>
              <w:spacing w:line="247" w:lineRule="auto"/>
              <w:ind w:left="125" w:right="128" w:hanging="1"/>
              <w:jc w:val="center"/>
              <w:rPr>
                <w:rFonts w:hint="eastAsia" w:eastAsia="仿宋_GB2312"/>
                <w:sz w:val="24"/>
                <w:lang w:eastAsia="zh-CN"/>
              </w:rPr>
            </w:pPr>
            <w:r>
              <w:rPr>
                <w:rFonts w:hint="eastAsia"/>
                <w:sz w:val="24"/>
                <w:lang w:eastAsia="zh-CN"/>
              </w:rPr>
              <w:t>区应急局</w:t>
            </w:r>
          </w:p>
        </w:tc>
        <w:tc>
          <w:tcPr>
            <w:tcW w:w="1247" w:type="dxa"/>
          </w:tcPr>
          <w:p>
            <w:pPr>
              <w:pStyle w:val="8"/>
              <w:spacing w:before="13"/>
              <w:jc w:val="left"/>
              <w:rPr>
                <w:rFonts w:ascii="方正小标宋简体"/>
                <w:sz w:val="17"/>
              </w:rPr>
            </w:pPr>
          </w:p>
          <w:p>
            <w:pPr>
              <w:pStyle w:val="8"/>
              <w:spacing w:line="247" w:lineRule="auto"/>
              <w:ind w:left="140" w:right="129"/>
              <w:jc w:val="left"/>
              <w:rPr>
                <w:sz w:val="24"/>
              </w:rPr>
            </w:pPr>
            <w:r>
              <w:rPr>
                <w:rFonts w:hint="eastAsia"/>
                <w:sz w:val="24"/>
                <w:lang w:eastAsia="zh-CN"/>
              </w:rPr>
              <w:t>区</w:t>
            </w:r>
            <w:r>
              <w:rPr>
                <w:sz w:val="24"/>
              </w:rPr>
              <w:t>安委会有关成员单位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3" w:hRule="atLeast"/>
          <w:jc w:val="center"/>
        </w:trPr>
        <w:tc>
          <w:tcPr>
            <w:tcW w:w="676" w:type="dxa"/>
            <w:tcBorders>
              <w:right w:val="single" w:color="000000" w:sz="8" w:space="0"/>
            </w:tcBorders>
            <w:vAlign w:val="center"/>
          </w:tcPr>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sz w:val="24"/>
                <w:szCs w:val="24"/>
              </w:rPr>
              <w:t>3</w:t>
            </w:r>
          </w:p>
        </w:tc>
        <w:tc>
          <w:tcPr>
            <w:tcW w:w="4972" w:type="dxa"/>
            <w:tcBorders>
              <w:left w:val="single" w:color="000000" w:sz="8" w:space="0"/>
            </w:tcBorders>
          </w:tcPr>
          <w:p>
            <w:pPr>
              <w:pStyle w:val="8"/>
              <w:spacing w:before="4"/>
              <w:jc w:val="left"/>
              <w:rPr>
                <w:rFonts w:ascii="方正小标宋简体"/>
                <w:sz w:val="13"/>
              </w:rPr>
            </w:pPr>
          </w:p>
          <w:p>
            <w:pPr>
              <w:pStyle w:val="8"/>
              <w:spacing w:line="242" w:lineRule="auto"/>
              <w:ind w:left="110" w:right="-29"/>
              <w:jc w:val="left"/>
              <w:rPr>
                <w:sz w:val="24"/>
              </w:rPr>
            </w:pPr>
            <w:r>
              <w:rPr>
                <w:sz w:val="24"/>
              </w:rPr>
              <w:t>统筹推进、指导推动财政、应急管理、</w:t>
            </w:r>
            <w:r>
              <w:rPr>
                <w:rFonts w:hint="eastAsia"/>
                <w:sz w:val="24"/>
                <w:lang w:eastAsia="zh-CN"/>
              </w:rPr>
              <w:t>非</w:t>
            </w:r>
            <w:r>
              <w:rPr>
                <w:sz w:val="24"/>
              </w:rPr>
              <w:t>煤矿安全监察、地震、</w:t>
            </w:r>
            <w:r>
              <w:rPr>
                <w:spacing w:val="-8"/>
                <w:sz w:val="24"/>
              </w:rPr>
              <w:t>消防、物资储备、电力、人行等系统领域加强安全生产监管和加大支持配合力度。</w:t>
            </w:r>
            <w:r>
              <w:rPr>
                <w:spacing w:val="-17"/>
                <w:sz w:val="24"/>
              </w:rPr>
              <w:t>扎实推进危险化学品、非煤矿山、消防、</w:t>
            </w:r>
            <w:r>
              <w:rPr>
                <w:spacing w:val="-19"/>
                <w:sz w:val="24"/>
              </w:rPr>
              <w:t>开发区及物流仓储园区港口园区等功能区、油</w:t>
            </w:r>
            <w:r>
              <w:rPr>
                <w:spacing w:val="-13"/>
                <w:sz w:val="24"/>
              </w:rPr>
              <w:t>气输送管道、烟花爆竹、工贸行业等安全生产专项整治三年行动。</w:t>
            </w:r>
          </w:p>
        </w:tc>
        <w:tc>
          <w:tcPr>
            <w:tcW w:w="1127" w:type="dxa"/>
          </w:tcPr>
          <w:p>
            <w:pPr>
              <w:pStyle w:val="8"/>
              <w:jc w:val="left"/>
              <w:rPr>
                <w:rFonts w:ascii="方正小标宋简体"/>
                <w:sz w:val="24"/>
              </w:rPr>
            </w:pPr>
          </w:p>
          <w:p>
            <w:pPr>
              <w:pStyle w:val="8"/>
              <w:jc w:val="left"/>
              <w:rPr>
                <w:rFonts w:ascii="方正小标宋简体"/>
                <w:sz w:val="24"/>
              </w:rPr>
            </w:pPr>
          </w:p>
          <w:p>
            <w:pPr>
              <w:pStyle w:val="8"/>
              <w:jc w:val="left"/>
              <w:rPr>
                <w:rFonts w:ascii="方正小标宋简体"/>
                <w:sz w:val="24"/>
              </w:rPr>
            </w:pPr>
          </w:p>
          <w:p>
            <w:pPr>
              <w:pStyle w:val="8"/>
              <w:spacing w:before="3"/>
              <w:jc w:val="left"/>
              <w:rPr>
                <w:rFonts w:ascii="方正小标宋简体"/>
                <w:sz w:val="29"/>
              </w:rPr>
            </w:pPr>
          </w:p>
          <w:p>
            <w:pPr>
              <w:pStyle w:val="8"/>
              <w:ind w:left="201"/>
              <w:jc w:val="left"/>
              <w:rPr>
                <w:rFonts w:hint="eastAsia" w:eastAsia="仿宋_GB2312"/>
                <w:sz w:val="24"/>
                <w:lang w:eastAsia="zh-CN"/>
              </w:rPr>
            </w:pPr>
            <w:r>
              <w:rPr>
                <w:rFonts w:hint="eastAsia"/>
                <w:sz w:val="24"/>
                <w:lang w:eastAsia="zh-CN"/>
              </w:rPr>
              <w:t>李响</w:t>
            </w:r>
          </w:p>
        </w:tc>
        <w:tc>
          <w:tcPr>
            <w:tcW w:w="2960" w:type="dxa"/>
            <w:gridSpan w:val="2"/>
          </w:tcPr>
          <w:p>
            <w:pPr>
              <w:pStyle w:val="8"/>
              <w:spacing w:before="3" w:line="300" w:lineRule="exact"/>
              <w:ind w:right="623"/>
              <w:jc w:val="left"/>
              <w:rPr>
                <w:rFonts w:hint="eastAsia"/>
                <w:sz w:val="24"/>
              </w:rPr>
            </w:pPr>
            <w:r>
              <w:rPr>
                <w:rFonts w:hint="eastAsia"/>
                <w:sz w:val="24"/>
              </w:rPr>
              <w:t>区财政局</w:t>
            </w:r>
          </w:p>
          <w:p>
            <w:pPr>
              <w:pStyle w:val="8"/>
              <w:spacing w:before="3" w:line="300" w:lineRule="exact"/>
              <w:ind w:right="623"/>
              <w:jc w:val="left"/>
              <w:rPr>
                <w:rFonts w:hint="eastAsia"/>
                <w:sz w:val="24"/>
              </w:rPr>
            </w:pPr>
            <w:r>
              <w:rPr>
                <w:rFonts w:hint="eastAsia"/>
                <w:sz w:val="24"/>
              </w:rPr>
              <w:t>区应急局</w:t>
            </w:r>
          </w:p>
          <w:p>
            <w:pPr>
              <w:pStyle w:val="8"/>
              <w:spacing w:before="3" w:line="300" w:lineRule="exact"/>
              <w:ind w:right="623"/>
              <w:jc w:val="left"/>
              <w:rPr>
                <w:rFonts w:hint="eastAsia"/>
                <w:sz w:val="24"/>
              </w:rPr>
            </w:pPr>
            <w:r>
              <w:rPr>
                <w:rFonts w:hint="eastAsia"/>
                <w:sz w:val="24"/>
              </w:rPr>
              <w:t>区科技经济信息化局</w:t>
            </w:r>
          </w:p>
          <w:p>
            <w:pPr>
              <w:pStyle w:val="8"/>
              <w:spacing w:before="3" w:line="300" w:lineRule="exact"/>
              <w:ind w:right="623"/>
              <w:jc w:val="left"/>
              <w:rPr>
                <w:rFonts w:hint="eastAsia"/>
                <w:sz w:val="24"/>
              </w:rPr>
            </w:pPr>
            <w:r>
              <w:rPr>
                <w:rFonts w:hint="eastAsia"/>
                <w:sz w:val="24"/>
              </w:rPr>
              <w:t>区住房和城乡建设局</w:t>
            </w:r>
          </w:p>
          <w:p>
            <w:pPr>
              <w:pStyle w:val="8"/>
              <w:spacing w:before="3" w:line="300" w:lineRule="exact"/>
              <w:ind w:right="623"/>
              <w:jc w:val="left"/>
              <w:rPr>
                <w:sz w:val="24"/>
              </w:rPr>
            </w:pPr>
            <w:r>
              <w:rPr>
                <w:rFonts w:hint="eastAsia"/>
                <w:sz w:val="24"/>
              </w:rPr>
              <w:t xml:space="preserve">区消防救援大队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676" w:type="dxa"/>
            <w:tcBorders>
              <w:right w:val="single" w:color="000000" w:sz="8" w:space="0"/>
            </w:tcBorders>
            <w:vAlign w:val="center"/>
          </w:tcPr>
          <w:p>
            <w:pPr>
              <w:jc w:val="center"/>
              <w:rPr>
                <w:sz w:val="24"/>
                <w:szCs w:val="24"/>
              </w:rPr>
            </w:pPr>
          </w:p>
          <w:p>
            <w:pPr>
              <w:jc w:val="center"/>
              <w:rPr>
                <w:sz w:val="24"/>
                <w:szCs w:val="24"/>
              </w:rPr>
            </w:pPr>
            <w:r>
              <w:rPr>
                <w:sz w:val="24"/>
                <w:szCs w:val="24"/>
              </w:rPr>
              <w:t>4</w:t>
            </w:r>
          </w:p>
        </w:tc>
        <w:tc>
          <w:tcPr>
            <w:tcW w:w="4972" w:type="dxa"/>
            <w:tcBorders>
              <w:left w:val="single" w:color="000000" w:sz="8" w:space="0"/>
            </w:tcBorders>
          </w:tcPr>
          <w:p>
            <w:pPr>
              <w:pStyle w:val="8"/>
              <w:spacing w:before="11"/>
              <w:jc w:val="left"/>
              <w:rPr>
                <w:rFonts w:ascii="方正小标宋简体"/>
                <w:sz w:val="18"/>
              </w:rPr>
            </w:pPr>
          </w:p>
          <w:p>
            <w:pPr>
              <w:pStyle w:val="8"/>
              <w:ind w:left="110"/>
              <w:jc w:val="left"/>
              <w:rPr>
                <w:sz w:val="24"/>
              </w:rPr>
            </w:pPr>
            <w:r>
              <w:rPr>
                <w:sz w:val="24"/>
              </w:rPr>
              <w:t>制定实施安全生产</w:t>
            </w:r>
            <w:r>
              <w:rPr>
                <w:rFonts w:ascii="Times New Roman" w:hAnsi="Times New Roman" w:eastAsia="Times New Roman"/>
                <w:sz w:val="24"/>
              </w:rPr>
              <w:t>“</w:t>
            </w:r>
            <w:r>
              <w:rPr>
                <w:sz w:val="24"/>
              </w:rPr>
              <w:t>十四五</w:t>
            </w:r>
            <w:r>
              <w:rPr>
                <w:rFonts w:ascii="Times New Roman" w:hAnsi="Times New Roman" w:eastAsia="Times New Roman"/>
                <w:sz w:val="24"/>
              </w:rPr>
              <w:t>”</w:t>
            </w:r>
            <w:r>
              <w:rPr>
                <w:sz w:val="24"/>
              </w:rPr>
              <w:t>规划。</w:t>
            </w:r>
          </w:p>
        </w:tc>
        <w:tc>
          <w:tcPr>
            <w:tcW w:w="1127" w:type="dxa"/>
          </w:tcPr>
          <w:p>
            <w:pPr>
              <w:pStyle w:val="8"/>
              <w:spacing w:before="11"/>
              <w:jc w:val="left"/>
              <w:rPr>
                <w:rFonts w:ascii="方正小标宋简体"/>
                <w:sz w:val="18"/>
              </w:rPr>
            </w:pPr>
          </w:p>
          <w:p>
            <w:pPr>
              <w:pStyle w:val="8"/>
              <w:ind w:left="201"/>
              <w:jc w:val="left"/>
              <w:rPr>
                <w:rFonts w:hint="eastAsia" w:eastAsia="仿宋_GB2312"/>
                <w:sz w:val="24"/>
                <w:lang w:eastAsia="zh-CN"/>
              </w:rPr>
            </w:pPr>
            <w:r>
              <w:rPr>
                <w:rFonts w:hint="eastAsia"/>
                <w:sz w:val="24"/>
                <w:lang w:eastAsia="zh-CN"/>
              </w:rPr>
              <w:t>李响</w:t>
            </w:r>
          </w:p>
        </w:tc>
        <w:tc>
          <w:tcPr>
            <w:tcW w:w="1713" w:type="dxa"/>
          </w:tcPr>
          <w:p>
            <w:pPr>
              <w:pStyle w:val="8"/>
              <w:spacing w:before="11"/>
              <w:jc w:val="center"/>
              <w:rPr>
                <w:rFonts w:ascii="方正小标宋简体"/>
                <w:sz w:val="18"/>
              </w:rPr>
            </w:pPr>
          </w:p>
          <w:p>
            <w:pPr>
              <w:pStyle w:val="8"/>
              <w:ind w:right="367"/>
              <w:jc w:val="center"/>
              <w:rPr>
                <w:rFonts w:hint="eastAsia" w:eastAsia="仿宋_GB2312"/>
                <w:sz w:val="24"/>
                <w:lang w:eastAsia="zh-CN"/>
              </w:rPr>
            </w:pPr>
            <w:r>
              <w:rPr>
                <w:rFonts w:hint="eastAsia"/>
                <w:sz w:val="24"/>
                <w:lang w:eastAsia="zh-CN"/>
              </w:rPr>
              <w:t>区应急局</w:t>
            </w:r>
          </w:p>
        </w:tc>
        <w:tc>
          <w:tcPr>
            <w:tcW w:w="1247" w:type="dxa"/>
          </w:tcPr>
          <w:p>
            <w:pPr>
              <w:pStyle w:val="8"/>
              <w:ind w:left="140"/>
              <w:jc w:val="left"/>
              <w:rPr>
                <w:sz w:val="24"/>
              </w:rPr>
            </w:pPr>
            <w:r>
              <w:rPr>
                <w:rFonts w:hint="eastAsia"/>
                <w:sz w:val="24"/>
                <w:lang w:eastAsia="zh-CN"/>
              </w:rPr>
              <w:t>区</w:t>
            </w:r>
            <w:r>
              <w:rPr>
                <w:sz w:val="24"/>
              </w:rPr>
              <w:t>安委会</w:t>
            </w:r>
          </w:p>
          <w:p>
            <w:pPr>
              <w:pStyle w:val="8"/>
              <w:spacing w:before="8" w:line="300" w:lineRule="exact"/>
              <w:ind w:left="380" w:right="129" w:hanging="241"/>
              <w:jc w:val="left"/>
              <w:rPr>
                <w:sz w:val="24"/>
              </w:rPr>
            </w:pPr>
            <w:r>
              <w:rPr>
                <w:sz w:val="24"/>
              </w:rPr>
              <w:t>有关成员单位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676" w:type="dxa"/>
            <w:tcBorders>
              <w:right w:val="single" w:color="000000" w:sz="8" w:space="0"/>
            </w:tcBorders>
            <w:vAlign w:val="center"/>
          </w:tcPr>
          <w:p>
            <w:pPr>
              <w:jc w:val="center"/>
              <w:rPr>
                <w:sz w:val="24"/>
                <w:szCs w:val="24"/>
              </w:rPr>
            </w:pPr>
          </w:p>
          <w:p>
            <w:pPr>
              <w:jc w:val="center"/>
              <w:rPr>
                <w:sz w:val="24"/>
                <w:szCs w:val="24"/>
              </w:rPr>
            </w:pPr>
            <w:r>
              <w:rPr>
                <w:sz w:val="24"/>
                <w:szCs w:val="24"/>
              </w:rPr>
              <w:t>5</w:t>
            </w:r>
          </w:p>
        </w:tc>
        <w:tc>
          <w:tcPr>
            <w:tcW w:w="4972" w:type="dxa"/>
            <w:tcBorders>
              <w:left w:val="single" w:color="000000" w:sz="8" w:space="0"/>
            </w:tcBorders>
          </w:tcPr>
          <w:p>
            <w:pPr>
              <w:pStyle w:val="8"/>
              <w:spacing w:before="5" w:line="235" w:lineRule="auto"/>
              <w:ind w:left="110" w:right="29"/>
              <w:jc w:val="left"/>
              <w:rPr>
                <w:sz w:val="24"/>
              </w:rPr>
            </w:pPr>
            <w:r>
              <w:rPr>
                <w:sz w:val="24"/>
              </w:rPr>
              <w:t>推进《关于全面加强危险化学品安全生产工作的意见》和我省实施意见落实落地，深入开展</w:t>
            </w:r>
          </w:p>
          <w:p>
            <w:pPr>
              <w:pStyle w:val="8"/>
              <w:spacing w:before="8" w:line="295" w:lineRule="exact"/>
              <w:ind w:left="110"/>
              <w:jc w:val="left"/>
              <w:rPr>
                <w:sz w:val="24"/>
              </w:rPr>
            </w:pPr>
            <w:r>
              <w:rPr>
                <w:rFonts w:hint="eastAsia"/>
                <w:sz w:val="24"/>
                <w:lang w:eastAsia="zh-CN"/>
              </w:rPr>
              <w:t>我区</w:t>
            </w:r>
            <w:r>
              <w:rPr>
                <w:sz w:val="24"/>
              </w:rPr>
              <w:t>非法违法“小化工”专项整治。</w:t>
            </w:r>
          </w:p>
        </w:tc>
        <w:tc>
          <w:tcPr>
            <w:tcW w:w="1127" w:type="dxa"/>
          </w:tcPr>
          <w:p>
            <w:pPr>
              <w:pStyle w:val="8"/>
              <w:spacing w:before="12"/>
              <w:jc w:val="left"/>
              <w:rPr>
                <w:rFonts w:ascii="方正小标宋简体"/>
                <w:sz w:val="17"/>
              </w:rPr>
            </w:pPr>
          </w:p>
          <w:p>
            <w:pPr>
              <w:pStyle w:val="8"/>
              <w:spacing w:before="1"/>
              <w:ind w:left="201"/>
              <w:jc w:val="left"/>
              <w:rPr>
                <w:sz w:val="24"/>
              </w:rPr>
            </w:pPr>
            <w:r>
              <w:rPr>
                <w:rFonts w:hint="eastAsia"/>
                <w:sz w:val="24"/>
                <w:lang w:eastAsia="zh-CN"/>
              </w:rPr>
              <w:t>李响</w:t>
            </w:r>
          </w:p>
        </w:tc>
        <w:tc>
          <w:tcPr>
            <w:tcW w:w="1713" w:type="dxa"/>
          </w:tcPr>
          <w:p>
            <w:pPr>
              <w:pStyle w:val="8"/>
              <w:spacing w:before="12"/>
              <w:jc w:val="center"/>
              <w:rPr>
                <w:rFonts w:ascii="方正小标宋简体"/>
                <w:sz w:val="17"/>
              </w:rPr>
            </w:pPr>
          </w:p>
          <w:p>
            <w:pPr>
              <w:pStyle w:val="8"/>
              <w:spacing w:before="1"/>
              <w:ind w:right="367"/>
              <w:jc w:val="center"/>
              <w:rPr>
                <w:sz w:val="24"/>
              </w:rPr>
            </w:pPr>
            <w:r>
              <w:rPr>
                <w:rFonts w:hint="eastAsia"/>
                <w:sz w:val="24"/>
                <w:lang w:eastAsia="zh-CN"/>
              </w:rPr>
              <w:t>区应急局</w:t>
            </w:r>
          </w:p>
        </w:tc>
        <w:tc>
          <w:tcPr>
            <w:tcW w:w="1247" w:type="dxa"/>
          </w:tcPr>
          <w:p>
            <w:pPr>
              <w:pStyle w:val="8"/>
              <w:spacing w:before="5" w:line="235" w:lineRule="auto"/>
              <w:ind w:left="140" w:right="129"/>
              <w:jc w:val="left"/>
              <w:rPr>
                <w:sz w:val="24"/>
              </w:rPr>
            </w:pPr>
            <w:r>
              <w:rPr>
                <w:rFonts w:hint="eastAsia"/>
                <w:sz w:val="24"/>
                <w:lang w:eastAsia="zh-CN"/>
              </w:rPr>
              <w:t>区</w:t>
            </w:r>
            <w:r>
              <w:rPr>
                <w:sz w:val="24"/>
              </w:rPr>
              <w:t>安委会有关成员</w:t>
            </w:r>
          </w:p>
          <w:p>
            <w:pPr>
              <w:pStyle w:val="8"/>
              <w:spacing w:before="8" w:line="295" w:lineRule="exact"/>
              <w:ind w:left="139" w:right="129"/>
              <w:jc w:val="left"/>
              <w:rPr>
                <w:sz w:val="24"/>
              </w:rPr>
            </w:pPr>
            <w:r>
              <w:rPr>
                <w:sz w:val="24"/>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676" w:type="dxa"/>
            <w:tcBorders>
              <w:bottom w:val="single" w:color="000000" w:sz="8" w:space="0"/>
              <w:right w:val="single" w:color="000000" w:sz="8" w:space="0"/>
            </w:tcBorders>
            <w:vAlign w:val="center"/>
          </w:tcPr>
          <w:p>
            <w:pPr>
              <w:jc w:val="center"/>
              <w:rPr>
                <w:sz w:val="24"/>
                <w:szCs w:val="24"/>
              </w:rPr>
            </w:pPr>
          </w:p>
          <w:p>
            <w:pPr>
              <w:jc w:val="center"/>
              <w:rPr>
                <w:sz w:val="24"/>
                <w:szCs w:val="24"/>
              </w:rPr>
            </w:pPr>
            <w:r>
              <w:rPr>
                <w:sz w:val="24"/>
                <w:szCs w:val="24"/>
              </w:rPr>
              <w:t>6</w:t>
            </w:r>
          </w:p>
        </w:tc>
        <w:tc>
          <w:tcPr>
            <w:tcW w:w="4972" w:type="dxa"/>
            <w:tcBorders>
              <w:left w:val="single" w:color="000000" w:sz="8" w:space="0"/>
              <w:bottom w:val="single" w:color="000000" w:sz="8" w:space="0"/>
            </w:tcBorders>
          </w:tcPr>
          <w:p>
            <w:pPr>
              <w:pStyle w:val="8"/>
              <w:spacing w:before="12"/>
              <w:jc w:val="left"/>
              <w:rPr>
                <w:rFonts w:ascii="方正小标宋简体"/>
                <w:sz w:val="17"/>
              </w:rPr>
            </w:pPr>
          </w:p>
          <w:p>
            <w:pPr>
              <w:pStyle w:val="8"/>
              <w:spacing w:before="1"/>
              <w:ind w:left="110"/>
              <w:jc w:val="left"/>
              <w:rPr>
                <w:sz w:val="24"/>
              </w:rPr>
            </w:pPr>
            <w:r>
              <w:rPr>
                <w:sz w:val="24"/>
              </w:rPr>
              <w:t>推进应急管理综合行政执法改革</w:t>
            </w:r>
          </w:p>
        </w:tc>
        <w:tc>
          <w:tcPr>
            <w:tcW w:w="1127" w:type="dxa"/>
            <w:tcBorders>
              <w:bottom w:val="single" w:color="000000" w:sz="8" w:space="0"/>
            </w:tcBorders>
          </w:tcPr>
          <w:p>
            <w:pPr>
              <w:pStyle w:val="8"/>
              <w:spacing w:before="12"/>
              <w:jc w:val="left"/>
              <w:rPr>
                <w:rFonts w:ascii="方正小标宋简体"/>
                <w:sz w:val="17"/>
              </w:rPr>
            </w:pPr>
          </w:p>
          <w:p>
            <w:pPr>
              <w:pStyle w:val="8"/>
              <w:spacing w:before="1"/>
              <w:ind w:left="201"/>
              <w:jc w:val="left"/>
              <w:rPr>
                <w:sz w:val="24"/>
              </w:rPr>
            </w:pPr>
            <w:r>
              <w:rPr>
                <w:rFonts w:hint="eastAsia"/>
                <w:sz w:val="24"/>
                <w:lang w:eastAsia="zh-CN"/>
              </w:rPr>
              <w:t>李响</w:t>
            </w:r>
          </w:p>
        </w:tc>
        <w:tc>
          <w:tcPr>
            <w:tcW w:w="1713" w:type="dxa"/>
            <w:tcBorders>
              <w:bottom w:val="single" w:color="000000" w:sz="8" w:space="0"/>
            </w:tcBorders>
          </w:tcPr>
          <w:p>
            <w:pPr>
              <w:pStyle w:val="8"/>
              <w:spacing w:before="12"/>
              <w:jc w:val="center"/>
              <w:rPr>
                <w:rFonts w:ascii="方正小标宋简体"/>
                <w:sz w:val="17"/>
              </w:rPr>
            </w:pPr>
          </w:p>
          <w:p>
            <w:pPr>
              <w:pStyle w:val="8"/>
              <w:spacing w:before="1"/>
              <w:ind w:right="367"/>
              <w:jc w:val="center"/>
              <w:rPr>
                <w:sz w:val="24"/>
              </w:rPr>
            </w:pPr>
            <w:r>
              <w:rPr>
                <w:rFonts w:hint="eastAsia"/>
                <w:sz w:val="24"/>
                <w:lang w:eastAsia="zh-CN"/>
              </w:rPr>
              <w:t>区应急局</w:t>
            </w:r>
          </w:p>
        </w:tc>
        <w:tc>
          <w:tcPr>
            <w:tcW w:w="1247" w:type="dxa"/>
            <w:tcBorders>
              <w:bottom w:val="single" w:color="000000" w:sz="8" w:space="0"/>
            </w:tcBorders>
          </w:tcPr>
          <w:p>
            <w:pPr>
              <w:pStyle w:val="8"/>
              <w:spacing w:before="5" w:line="235" w:lineRule="auto"/>
              <w:ind w:left="140" w:right="129"/>
              <w:jc w:val="left"/>
              <w:rPr>
                <w:sz w:val="24"/>
              </w:rPr>
            </w:pPr>
            <w:r>
              <w:rPr>
                <w:rFonts w:hint="eastAsia"/>
                <w:sz w:val="24"/>
                <w:lang w:eastAsia="zh-CN"/>
              </w:rPr>
              <w:t>区</w:t>
            </w:r>
            <w:r>
              <w:rPr>
                <w:sz w:val="24"/>
              </w:rPr>
              <w:t>安委会有关成员</w:t>
            </w:r>
          </w:p>
          <w:p>
            <w:pPr>
              <w:pStyle w:val="8"/>
              <w:spacing w:before="7" w:line="293" w:lineRule="exact"/>
              <w:ind w:left="139" w:right="129"/>
              <w:jc w:val="left"/>
              <w:rPr>
                <w:sz w:val="24"/>
              </w:rPr>
            </w:pPr>
            <w:r>
              <w:rPr>
                <w:sz w:val="24"/>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676" w:type="dxa"/>
            <w:tcBorders>
              <w:top w:val="single" w:color="000000" w:sz="8" w:space="0"/>
              <w:right w:val="single" w:color="000000" w:sz="8" w:space="0"/>
            </w:tcBorders>
            <w:vAlign w:val="center"/>
          </w:tcPr>
          <w:p>
            <w:pPr>
              <w:jc w:val="center"/>
              <w:rPr>
                <w:sz w:val="24"/>
                <w:szCs w:val="24"/>
              </w:rPr>
            </w:pPr>
          </w:p>
          <w:p>
            <w:pPr>
              <w:jc w:val="center"/>
              <w:rPr>
                <w:sz w:val="24"/>
                <w:szCs w:val="24"/>
              </w:rPr>
            </w:pPr>
            <w:r>
              <w:rPr>
                <w:sz w:val="24"/>
                <w:szCs w:val="24"/>
              </w:rPr>
              <w:t>7</w:t>
            </w:r>
          </w:p>
        </w:tc>
        <w:tc>
          <w:tcPr>
            <w:tcW w:w="4972" w:type="dxa"/>
            <w:tcBorders>
              <w:top w:val="single" w:color="000000" w:sz="8" w:space="0"/>
              <w:left w:val="single" w:color="000000" w:sz="8" w:space="0"/>
            </w:tcBorders>
          </w:tcPr>
          <w:p>
            <w:pPr>
              <w:pStyle w:val="8"/>
              <w:spacing w:before="148" w:line="247" w:lineRule="auto"/>
              <w:ind w:left="110" w:right="-29"/>
              <w:jc w:val="left"/>
              <w:rPr>
                <w:sz w:val="24"/>
              </w:rPr>
            </w:pPr>
            <w:r>
              <w:rPr>
                <w:sz w:val="24"/>
              </w:rPr>
              <w:t>大力推进</w:t>
            </w:r>
            <w:r>
              <w:rPr>
                <w:rFonts w:ascii="Times New Roman" w:hAnsi="Times New Roman" w:eastAsia="Times New Roman"/>
                <w:spacing w:val="-3"/>
                <w:sz w:val="24"/>
              </w:rPr>
              <w:t>“6+N”</w:t>
            </w:r>
            <w:r>
              <w:rPr>
                <w:spacing w:val="-9"/>
                <w:sz w:val="24"/>
              </w:rPr>
              <w:t>重点领域监测预警、指挥调度、抢险救援</w:t>
            </w:r>
            <w:r>
              <w:rPr>
                <w:rFonts w:ascii="Times New Roman" w:hAnsi="Times New Roman" w:eastAsia="Times New Roman"/>
                <w:spacing w:val="-17"/>
                <w:sz w:val="24"/>
              </w:rPr>
              <w:t>“</w:t>
            </w:r>
            <w:r>
              <w:rPr>
                <w:sz w:val="24"/>
              </w:rPr>
              <w:t>三大系统</w:t>
            </w:r>
            <w:r>
              <w:rPr>
                <w:rFonts w:ascii="Times New Roman" w:hAnsi="Times New Roman" w:eastAsia="Times New Roman"/>
                <w:spacing w:val="-17"/>
                <w:sz w:val="24"/>
              </w:rPr>
              <w:t>”</w:t>
            </w:r>
            <w:r>
              <w:rPr>
                <w:sz w:val="24"/>
              </w:rPr>
              <w:t>建设。</w:t>
            </w:r>
          </w:p>
        </w:tc>
        <w:tc>
          <w:tcPr>
            <w:tcW w:w="1127" w:type="dxa"/>
            <w:tcBorders>
              <w:top w:val="single" w:color="000000" w:sz="8" w:space="0"/>
            </w:tcBorders>
          </w:tcPr>
          <w:p>
            <w:pPr>
              <w:pStyle w:val="8"/>
              <w:spacing w:before="10"/>
              <w:jc w:val="left"/>
              <w:rPr>
                <w:rFonts w:ascii="方正小标宋简体"/>
                <w:sz w:val="17"/>
              </w:rPr>
            </w:pPr>
          </w:p>
          <w:p>
            <w:pPr>
              <w:pStyle w:val="8"/>
              <w:ind w:left="201"/>
              <w:jc w:val="left"/>
              <w:rPr>
                <w:sz w:val="24"/>
              </w:rPr>
            </w:pPr>
            <w:r>
              <w:rPr>
                <w:rFonts w:hint="eastAsia"/>
                <w:sz w:val="24"/>
                <w:lang w:eastAsia="zh-CN"/>
              </w:rPr>
              <w:t>李响</w:t>
            </w:r>
          </w:p>
        </w:tc>
        <w:tc>
          <w:tcPr>
            <w:tcW w:w="1713" w:type="dxa"/>
            <w:tcBorders>
              <w:top w:val="single" w:color="000000" w:sz="8" w:space="0"/>
            </w:tcBorders>
          </w:tcPr>
          <w:p>
            <w:pPr>
              <w:pStyle w:val="8"/>
              <w:spacing w:before="10"/>
              <w:jc w:val="center"/>
              <w:rPr>
                <w:rFonts w:ascii="方正小标宋简体"/>
                <w:sz w:val="17"/>
              </w:rPr>
            </w:pPr>
          </w:p>
          <w:p>
            <w:pPr>
              <w:pStyle w:val="8"/>
              <w:ind w:right="367"/>
              <w:jc w:val="center"/>
              <w:rPr>
                <w:sz w:val="24"/>
              </w:rPr>
            </w:pPr>
            <w:r>
              <w:rPr>
                <w:rFonts w:hint="eastAsia"/>
                <w:sz w:val="24"/>
                <w:lang w:eastAsia="zh-CN"/>
              </w:rPr>
              <w:t>区应急局</w:t>
            </w:r>
          </w:p>
        </w:tc>
        <w:tc>
          <w:tcPr>
            <w:tcW w:w="1247" w:type="dxa"/>
            <w:tcBorders>
              <w:top w:val="single" w:color="000000" w:sz="8" w:space="0"/>
            </w:tcBorders>
          </w:tcPr>
          <w:p>
            <w:pPr>
              <w:pStyle w:val="8"/>
              <w:spacing w:before="2" w:line="235" w:lineRule="auto"/>
              <w:ind w:left="140" w:right="129"/>
              <w:jc w:val="left"/>
              <w:rPr>
                <w:sz w:val="24"/>
              </w:rPr>
            </w:pPr>
            <w:r>
              <w:rPr>
                <w:rFonts w:hint="eastAsia"/>
                <w:sz w:val="24"/>
                <w:lang w:eastAsia="zh-CN"/>
              </w:rPr>
              <w:t>区</w:t>
            </w:r>
            <w:r>
              <w:rPr>
                <w:sz w:val="24"/>
              </w:rPr>
              <w:t>安委会有关成员</w:t>
            </w:r>
          </w:p>
          <w:p>
            <w:pPr>
              <w:pStyle w:val="8"/>
              <w:spacing w:before="8" w:line="280" w:lineRule="exact"/>
              <w:ind w:left="139" w:right="129"/>
              <w:jc w:val="left"/>
              <w:rPr>
                <w:sz w:val="24"/>
              </w:rPr>
            </w:pPr>
            <w:r>
              <w:rPr>
                <w:sz w:val="24"/>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676" w:type="dxa"/>
            <w:tcBorders>
              <w:top w:val="single" w:color="000000" w:sz="8" w:space="0"/>
              <w:right w:val="single" w:color="000000" w:sz="8" w:space="0"/>
            </w:tcBorders>
            <w:vAlign w:val="center"/>
          </w:tcPr>
          <w:p>
            <w:pPr>
              <w:jc w:val="center"/>
              <w:rPr>
                <w:rFonts w:hint="eastAsia"/>
                <w:sz w:val="24"/>
                <w:szCs w:val="24"/>
                <w:lang w:val="zh-CN" w:eastAsia="zh-CN"/>
              </w:rPr>
            </w:pPr>
            <w:r>
              <w:rPr>
                <w:rFonts w:hint="eastAsia"/>
                <w:sz w:val="24"/>
                <w:szCs w:val="24"/>
                <w:lang w:val="en-US" w:eastAsia="zh-CN"/>
              </w:rPr>
              <w:t>8</w:t>
            </w:r>
          </w:p>
        </w:tc>
        <w:tc>
          <w:tcPr>
            <w:tcW w:w="4972" w:type="dxa"/>
            <w:tcBorders>
              <w:top w:val="single" w:color="000000" w:sz="8" w:space="0"/>
              <w:left w:val="single" w:color="000000" w:sz="8" w:space="0"/>
            </w:tcBorders>
            <w:vAlign w:val="top"/>
          </w:tcPr>
          <w:p>
            <w:pPr>
              <w:pStyle w:val="8"/>
              <w:spacing w:line="293" w:lineRule="exact"/>
              <w:ind w:left="110"/>
              <w:jc w:val="left"/>
              <w:rPr>
                <w:rFonts w:ascii="仿宋_GB2312" w:hAnsi="仿宋_GB2312" w:eastAsia="仿宋_GB2312" w:cs="仿宋_GB2312"/>
                <w:color w:val="auto"/>
                <w:sz w:val="24"/>
                <w:szCs w:val="22"/>
                <w:lang w:val="zh-CN" w:eastAsia="zh-CN" w:bidi="zh-CN"/>
              </w:rPr>
            </w:pPr>
            <w:r>
              <w:rPr>
                <w:rFonts w:hint="eastAsia"/>
                <w:color w:val="auto"/>
                <w:spacing w:val="-5"/>
                <w:sz w:val="24"/>
                <w:lang w:eastAsia="zh-CN"/>
              </w:rPr>
              <w:t>结合省有关文件，制定</w:t>
            </w:r>
            <w:r>
              <w:rPr>
                <w:color w:val="auto"/>
                <w:spacing w:val="-5"/>
                <w:sz w:val="24"/>
              </w:rPr>
              <w:t>交通运输领域的安全发展专项规划，加强</w:t>
            </w:r>
            <w:r>
              <w:rPr>
                <w:color w:val="auto"/>
                <w:spacing w:val="-4"/>
                <w:sz w:val="24"/>
              </w:rPr>
              <w:t>危险化学品</w:t>
            </w:r>
            <w:r>
              <w:rPr>
                <w:color w:val="auto"/>
                <w:sz w:val="24"/>
              </w:rPr>
              <w:t>（易燃易爆品</w:t>
            </w:r>
            <w:r>
              <w:rPr>
                <w:color w:val="auto"/>
                <w:spacing w:val="-15"/>
                <w:sz w:val="24"/>
              </w:rPr>
              <w:t>）</w:t>
            </w:r>
            <w:r>
              <w:rPr>
                <w:color w:val="auto"/>
                <w:spacing w:val="-3"/>
                <w:sz w:val="24"/>
              </w:rPr>
              <w:t>运输管理</w:t>
            </w:r>
            <w:r>
              <w:rPr>
                <w:color w:val="auto"/>
                <w:sz w:val="24"/>
              </w:rPr>
              <w:t>。</w:t>
            </w:r>
          </w:p>
        </w:tc>
        <w:tc>
          <w:tcPr>
            <w:tcW w:w="1127" w:type="dxa"/>
            <w:tcBorders>
              <w:top w:val="single" w:color="000000" w:sz="8" w:space="0"/>
            </w:tcBorders>
            <w:vAlign w:val="top"/>
          </w:tcPr>
          <w:p>
            <w:pPr>
              <w:pStyle w:val="8"/>
              <w:spacing w:before="5"/>
              <w:jc w:val="left"/>
              <w:rPr>
                <w:rFonts w:ascii="宋体"/>
                <w:color w:val="auto"/>
                <w:sz w:val="23"/>
              </w:rPr>
            </w:pPr>
          </w:p>
          <w:p>
            <w:pPr>
              <w:pStyle w:val="8"/>
              <w:ind w:left="201" w:leftChars="0" w:right="0"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李祥礼</w:t>
            </w:r>
          </w:p>
        </w:tc>
        <w:tc>
          <w:tcPr>
            <w:tcW w:w="1713" w:type="dxa"/>
            <w:tcBorders>
              <w:top w:val="single" w:color="000000" w:sz="8" w:space="0"/>
            </w:tcBorders>
            <w:vAlign w:val="top"/>
          </w:tcPr>
          <w:p>
            <w:pPr>
              <w:pStyle w:val="8"/>
              <w:spacing w:before="5"/>
              <w:jc w:val="left"/>
              <w:rPr>
                <w:rFonts w:ascii="宋体"/>
                <w:color w:val="auto"/>
                <w:sz w:val="23"/>
              </w:rPr>
            </w:pPr>
          </w:p>
          <w:p>
            <w:pPr>
              <w:pStyle w:val="8"/>
              <w:ind w:left="108" w:leftChars="0" w:right="110"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烈山区道路运政服务中心</w:t>
            </w:r>
          </w:p>
        </w:tc>
        <w:tc>
          <w:tcPr>
            <w:tcW w:w="1247" w:type="dxa"/>
            <w:tcBorders>
              <w:top w:val="single" w:color="000000" w:sz="8" w:space="0"/>
            </w:tcBorders>
            <w:vAlign w:val="top"/>
          </w:tcPr>
          <w:p>
            <w:pPr>
              <w:pStyle w:val="8"/>
              <w:spacing w:before="150" w:line="247" w:lineRule="auto"/>
              <w:ind w:left="110" w:leftChars="0" w:right="69" w:rightChars="0"/>
              <w:jc w:val="left"/>
              <w:rPr>
                <w:rFonts w:ascii="仿宋_GB2312" w:hAnsi="仿宋_GB2312" w:eastAsia="仿宋_GB2312" w:cs="仿宋_GB2312"/>
                <w:color w:val="auto"/>
                <w:sz w:val="24"/>
                <w:szCs w:val="22"/>
                <w:lang w:val="zh-CN" w:eastAsia="zh-CN" w:bidi="zh-CN"/>
              </w:rPr>
            </w:pPr>
            <w:r>
              <w:rPr>
                <w:rFonts w:hint="eastAsia"/>
                <w:color w:val="auto"/>
                <w:spacing w:val="-34"/>
                <w:sz w:val="24"/>
                <w:lang w:eastAsia="zh-CN"/>
              </w:rPr>
              <w:t>区</w:t>
            </w:r>
            <w:r>
              <w:rPr>
                <w:color w:val="auto"/>
                <w:spacing w:val="-34"/>
                <w:sz w:val="24"/>
              </w:rPr>
              <w:t>安委会有关成员单位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5" w:hRule="atLeast"/>
          <w:jc w:val="center"/>
        </w:trPr>
        <w:tc>
          <w:tcPr>
            <w:tcW w:w="676" w:type="dxa"/>
            <w:tcBorders>
              <w:right w:val="single" w:color="000000" w:sz="8" w:space="0"/>
            </w:tcBorders>
            <w:vAlign w:val="center"/>
          </w:tcPr>
          <w:p>
            <w:pPr>
              <w:jc w:val="center"/>
              <w:rPr>
                <w:rFonts w:hint="eastAsia"/>
                <w:sz w:val="24"/>
                <w:szCs w:val="24"/>
                <w:lang w:eastAsia="zh-CN"/>
              </w:rPr>
            </w:pPr>
            <w:r>
              <w:rPr>
                <w:rFonts w:hint="eastAsia"/>
                <w:sz w:val="24"/>
                <w:szCs w:val="24"/>
                <w:lang w:val="en-US" w:eastAsia="zh-CN"/>
              </w:rPr>
              <w:t>9</w:t>
            </w:r>
          </w:p>
        </w:tc>
        <w:tc>
          <w:tcPr>
            <w:tcW w:w="4972" w:type="dxa"/>
            <w:tcBorders>
              <w:left w:val="single" w:color="000000" w:sz="8" w:space="0"/>
            </w:tcBorders>
          </w:tcPr>
          <w:p>
            <w:pPr>
              <w:pStyle w:val="8"/>
              <w:spacing w:before="150"/>
              <w:ind w:left="110" w:right="-29"/>
              <w:jc w:val="left"/>
              <w:rPr>
                <w:color w:val="auto"/>
                <w:sz w:val="24"/>
              </w:rPr>
            </w:pPr>
            <w:r>
              <w:rPr>
                <w:color w:val="auto"/>
                <w:spacing w:val="-15"/>
                <w:sz w:val="24"/>
              </w:rPr>
              <w:t>统筹推进、指导推动</w:t>
            </w:r>
            <w:r>
              <w:rPr>
                <w:rFonts w:hint="eastAsia"/>
                <w:color w:val="auto"/>
                <w:spacing w:val="-15"/>
                <w:sz w:val="24"/>
                <w:lang w:eastAsia="zh-CN"/>
              </w:rPr>
              <w:t>自然资源和规划、市场监管、文化旅游、民政</w:t>
            </w:r>
            <w:r>
              <w:rPr>
                <w:color w:val="auto"/>
                <w:spacing w:val="-12"/>
                <w:sz w:val="24"/>
              </w:rPr>
              <w:t>等系统领域加强安全生产监管和加大支持配合力度。</w:t>
            </w:r>
            <w:r>
              <w:rPr>
                <w:color w:val="auto"/>
                <w:sz w:val="24"/>
              </w:rPr>
              <w:t>扎实推进</w:t>
            </w:r>
            <w:r>
              <w:rPr>
                <w:rFonts w:hint="eastAsia"/>
                <w:color w:val="auto"/>
                <w:sz w:val="24"/>
                <w:lang w:eastAsia="zh-CN"/>
              </w:rPr>
              <w:t>城市建设、农村危房改造、水利、特种设备等</w:t>
            </w:r>
            <w:r>
              <w:rPr>
                <w:color w:val="auto"/>
                <w:spacing w:val="3"/>
                <w:sz w:val="24"/>
              </w:rPr>
              <w:t>专项整治三年行动。</w:t>
            </w:r>
          </w:p>
        </w:tc>
        <w:tc>
          <w:tcPr>
            <w:tcW w:w="1127" w:type="dxa"/>
          </w:tcPr>
          <w:p>
            <w:pPr>
              <w:pStyle w:val="8"/>
              <w:jc w:val="left"/>
              <w:rPr>
                <w:rFonts w:ascii="宋体"/>
                <w:color w:val="auto"/>
                <w:sz w:val="24"/>
              </w:rPr>
            </w:pPr>
          </w:p>
          <w:p>
            <w:pPr>
              <w:pStyle w:val="8"/>
              <w:jc w:val="left"/>
              <w:rPr>
                <w:rFonts w:ascii="宋体"/>
                <w:color w:val="auto"/>
                <w:sz w:val="24"/>
              </w:rPr>
            </w:pPr>
          </w:p>
          <w:p>
            <w:pPr>
              <w:pStyle w:val="8"/>
              <w:spacing w:before="8"/>
              <w:jc w:val="left"/>
              <w:rPr>
                <w:rFonts w:ascii="宋体"/>
                <w:color w:val="auto"/>
                <w:sz w:val="24"/>
              </w:rPr>
            </w:pPr>
          </w:p>
          <w:p>
            <w:pPr>
              <w:pStyle w:val="8"/>
              <w:ind w:left="201"/>
              <w:jc w:val="left"/>
              <w:rPr>
                <w:rFonts w:hint="eastAsia" w:eastAsia="仿宋_GB2312"/>
                <w:color w:val="auto"/>
                <w:sz w:val="24"/>
                <w:lang w:eastAsia="zh-CN"/>
              </w:rPr>
            </w:pPr>
            <w:r>
              <w:rPr>
                <w:rFonts w:hint="eastAsia"/>
                <w:color w:val="auto"/>
                <w:sz w:val="24"/>
                <w:lang w:eastAsia="zh-CN"/>
              </w:rPr>
              <w:t>李祥礼</w:t>
            </w:r>
          </w:p>
        </w:tc>
        <w:tc>
          <w:tcPr>
            <w:tcW w:w="2960" w:type="dxa"/>
            <w:gridSpan w:val="2"/>
          </w:tcPr>
          <w:p>
            <w:pPr>
              <w:pStyle w:val="8"/>
              <w:ind w:right="306" w:rightChars="0"/>
              <w:jc w:val="left"/>
              <w:rPr>
                <w:rFonts w:hint="eastAsia"/>
                <w:color w:val="auto"/>
                <w:spacing w:val="-2"/>
                <w:sz w:val="24"/>
                <w:lang w:eastAsia="zh-CN"/>
              </w:rPr>
            </w:pPr>
            <w:r>
              <w:rPr>
                <w:rFonts w:hint="eastAsia"/>
                <w:color w:val="auto"/>
                <w:spacing w:val="-2"/>
                <w:sz w:val="24"/>
                <w:lang w:eastAsia="zh-CN"/>
              </w:rPr>
              <w:t>烈山自然资源与规划分局</w:t>
            </w:r>
          </w:p>
          <w:p>
            <w:pPr>
              <w:pStyle w:val="8"/>
              <w:ind w:right="502"/>
              <w:jc w:val="left"/>
              <w:rPr>
                <w:rFonts w:hint="eastAsia"/>
                <w:color w:val="auto"/>
                <w:sz w:val="24"/>
                <w:lang w:eastAsia="zh-CN"/>
              </w:rPr>
            </w:pPr>
            <w:r>
              <w:rPr>
                <w:rFonts w:hint="eastAsia"/>
                <w:color w:val="auto"/>
                <w:sz w:val="24"/>
                <w:lang w:eastAsia="zh-CN"/>
              </w:rPr>
              <w:t>区市场监督管理局</w:t>
            </w:r>
          </w:p>
          <w:p>
            <w:pPr>
              <w:pStyle w:val="8"/>
              <w:ind w:right="502"/>
              <w:jc w:val="left"/>
              <w:rPr>
                <w:rFonts w:hint="eastAsia"/>
                <w:color w:val="auto"/>
                <w:sz w:val="24"/>
                <w:lang w:eastAsia="zh-CN"/>
              </w:rPr>
            </w:pPr>
            <w:r>
              <w:rPr>
                <w:rFonts w:hint="eastAsia"/>
                <w:color w:val="auto"/>
                <w:sz w:val="24"/>
                <w:lang w:eastAsia="zh-CN"/>
              </w:rPr>
              <w:t>区文化旅游体育局</w:t>
            </w:r>
          </w:p>
          <w:p>
            <w:pPr>
              <w:pStyle w:val="8"/>
              <w:spacing w:before="8" w:line="296" w:lineRule="exact"/>
              <w:ind w:right="502"/>
              <w:jc w:val="left"/>
              <w:rPr>
                <w:rFonts w:hint="eastAsia"/>
                <w:color w:val="auto"/>
                <w:sz w:val="24"/>
                <w:lang w:eastAsia="zh-CN"/>
              </w:rPr>
            </w:pPr>
            <w:r>
              <w:rPr>
                <w:rFonts w:hint="eastAsia"/>
                <w:color w:val="auto"/>
                <w:sz w:val="24"/>
                <w:lang w:eastAsia="zh-CN"/>
              </w:rPr>
              <w:t>区民政局</w:t>
            </w:r>
          </w:p>
          <w:p>
            <w:pPr>
              <w:pStyle w:val="8"/>
              <w:spacing w:before="8" w:line="296" w:lineRule="exact"/>
              <w:ind w:left="513" w:right="502"/>
              <w:jc w:val="left"/>
              <w:rPr>
                <w:rFonts w:hint="eastAsia"/>
                <w:color w:val="auto"/>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676" w:type="dxa"/>
            <w:tcBorders>
              <w:right w:val="single" w:color="000000" w:sz="8" w:space="0"/>
            </w:tcBorders>
            <w:vAlign w:val="center"/>
          </w:tcPr>
          <w:p>
            <w:pPr>
              <w:jc w:val="center"/>
              <w:rPr>
                <w:rFonts w:hint="default"/>
                <w:sz w:val="24"/>
                <w:szCs w:val="24"/>
                <w:lang w:val="en-US" w:eastAsia="zh-CN"/>
              </w:rPr>
            </w:pPr>
            <w:r>
              <w:rPr>
                <w:rFonts w:hint="eastAsia"/>
                <w:sz w:val="24"/>
                <w:szCs w:val="24"/>
                <w:lang w:val="en-US" w:eastAsia="zh-CN"/>
              </w:rPr>
              <w:t>10</w:t>
            </w:r>
          </w:p>
        </w:tc>
        <w:tc>
          <w:tcPr>
            <w:tcW w:w="4972" w:type="dxa"/>
            <w:tcBorders>
              <w:left w:val="single" w:color="000000" w:sz="8" w:space="0"/>
            </w:tcBorders>
            <w:vAlign w:val="top"/>
          </w:tcPr>
          <w:p>
            <w:pPr>
              <w:pStyle w:val="8"/>
              <w:spacing w:before="150" w:line="247" w:lineRule="auto"/>
              <w:ind w:left="110" w:leftChars="0" w:right="65" w:rightChars="0"/>
              <w:jc w:val="left"/>
              <w:rPr>
                <w:rFonts w:hint="eastAsia" w:ascii="仿宋_GB2312" w:hAnsi="仿宋_GB2312" w:eastAsia="仿宋_GB2312" w:cs="仿宋_GB2312"/>
                <w:color w:val="auto"/>
                <w:kern w:val="2"/>
                <w:sz w:val="24"/>
                <w:szCs w:val="22"/>
                <w:lang w:val="zh-CN" w:eastAsia="zh-CN" w:bidi="zh-CN"/>
              </w:rPr>
            </w:pPr>
            <w:r>
              <w:rPr>
                <w:color w:val="auto"/>
                <w:sz w:val="24"/>
              </w:rPr>
              <w:t>持续推进农机、渔业领域专项整治和平安创建。强化乡镇自用船舶管理。</w:t>
            </w:r>
            <w:r>
              <w:rPr>
                <w:rFonts w:hint="eastAsia"/>
                <w:color w:val="auto"/>
                <w:sz w:val="24"/>
                <w:lang w:eastAsia="zh-CN"/>
              </w:rPr>
              <w:t>协同市农业农村执法队强化对乡镇渔业船舶管理。</w:t>
            </w:r>
          </w:p>
        </w:tc>
        <w:tc>
          <w:tcPr>
            <w:tcW w:w="1127" w:type="dxa"/>
            <w:vAlign w:val="top"/>
          </w:tcPr>
          <w:p>
            <w:pPr>
              <w:pStyle w:val="8"/>
              <w:spacing w:before="7"/>
              <w:jc w:val="left"/>
              <w:rPr>
                <w:rFonts w:ascii="宋体"/>
                <w:color w:val="auto"/>
                <w:sz w:val="24"/>
              </w:rPr>
            </w:pPr>
          </w:p>
          <w:p>
            <w:pPr>
              <w:pStyle w:val="8"/>
              <w:spacing w:before="1"/>
              <w:ind w:left="201" w:leftChars="0" w:right="0" w:rightChars="0"/>
              <w:jc w:val="left"/>
              <w:rPr>
                <w:rFonts w:ascii="仿宋_GB2312" w:hAnsi="仿宋_GB2312" w:eastAsia="仿宋_GB2312" w:cs="仿宋_GB2312"/>
                <w:color w:val="auto"/>
                <w:kern w:val="2"/>
                <w:sz w:val="24"/>
                <w:szCs w:val="22"/>
                <w:lang w:val="zh-CN" w:eastAsia="zh-CN" w:bidi="zh-CN"/>
              </w:rPr>
            </w:pPr>
            <w:r>
              <w:rPr>
                <w:rFonts w:hint="eastAsia" w:cs="仿宋_GB2312"/>
                <w:color w:val="auto"/>
                <w:sz w:val="24"/>
                <w:szCs w:val="22"/>
                <w:lang w:val="zh-CN" w:eastAsia="zh-CN" w:bidi="zh-CN"/>
              </w:rPr>
              <w:t>张永恒</w:t>
            </w:r>
          </w:p>
        </w:tc>
        <w:tc>
          <w:tcPr>
            <w:tcW w:w="1713" w:type="dxa"/>
            <w:vAlign w:val="top"/>
          </w:tcPr>
          <w:p>
            <w:pPr>
              <w:pStyle w:val="8"/>
              <w:spacing w:before="7"/>
              <w:jc w:val="left"/>
              <w:rPr>
                <w:rFonts w:ascii="宋体"/>
                <w:color w:val="auto"/>
                <w:sz w:val="24"/>
              </w:rPr>
            </w:pPr>
          </w:p>
          <w:p>
            <w:pPr>
              <w:pStyle w:val="8"/>
              <w:spacing w:before="1"/>
              <w:ind w:left="108" w:leftChars="0" w:right="110" w:rightChars="0"/>
              <w:jc w:val="left"/>
              <w:rPr>
                <w:rFonts w:hint="eastAsia" w:ascii="仿宋_GB2312" w:hAnsi="仿宋_GB2312" w:eastAsia="仿宋_GB2312" w:cs="仿宋_GB2312"/>
                <w:color w:val="auto"/>
                <w:kern w:val="2"/>
                <w:sz w:val="24"/>
                <w:szCs w:val="22"/>
                <w:lang w:val="zh-CN" w:eastAsia="zh-CN" w:bidi="zh-CN"/>
              </w:rPr>
            </w:pPr>
            <w:r>
              <w:rPr>
                <w:rFonts w:hint="eastAsia"/>
                <w:color w:val="auto"/>
                <w:sz w:val="24"/>
                <w:lang w:eastAsia="zh-CN"/>
              </w:rPr>
              <w:t>区</w:t>
            </w:r>
            <w:r>
              <w:rPr>
                <w:color w:val="auto"/>
                <w:sz w:val="24"/>
              </w:rPr>
              <w:t>农业农村</w:t>
            </w:r>
            <w:r>
              <w:rPr>
                <w:rFonts w:hint="eastAsia"/>
                <w:color w:val="auto"/>
                <w:sz w:val="24"/>
                <w:lang w:eastAsia="zh-CN"/>
              </w:rPr>
              <w:t>水利局</w:t>
            </w:r>
          </w:p>
        </w:tc>
        <w:tc>
          <w:tcPr>
            <w:tcW w:w="1247" w:type="dxa"/>
            <w:vAlign w:val="top"/>
          </w:tcPr>
          <w:p>
            <w:pPr>
              <w:pStyle w:val="8"/>
              <w:spacing w:before="7"/>
              <w:jc w:val="left"/>
              <w:rPr>
                <w:rFonts w:ascii="宋体"/>
                <w:color w:val="auto"/>
                <w:sz w:val="24"/>
              </w:rPr>
            </w:pPr>
          </w:p>
          <w:p>
            <w:pPr>
              <w:pStyle w:val="8"/>
              <w:spacing w:before="1"/>
              <w:ind w:left="120" w:leftChars="0" w:right="110" w:rightChars="0"/>
              <w:jc w:val="left"/>
              <w:rPr>
                <w:rFonts w:hint="eastAsia" w:ascii="仿宋_GB2312" w:hAnsi="仿宋_GB2312" w:eastAsia="仿宋_GB2312" w:cs="仿宋_GB2312"/>
                <w:color w:val="auto"/>
                <w:kern w:val="2"/>
                <w:sz w:val="24"/>
                <w:szCs w:val="22"/>
                <w:lang w:val="zh-CN" w:eastAsia="zh-CN" w:bidi="zh-CN"/>
              </w:rPr>
            </w:pPr>
            <w:r>
              <w:rPr>
                <w:rFonts w:hint="eastAsia"/>
                <w:color w:val="auto"/>
                <w:sz w:val="24"/>
                <w:lang w:eastAsia="zh-CN"/>
              </w:rPr>
              <w:t>烈山区道路运政服务中心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676" w:type="dxa"/>
            <w:tcBorders>
              <w:right w:val="single" w:color="000000" w:sz="8" w:space="0"/>
            </w:tcBorders>
            <w:vAlign w:val="center"/>
          </w:tcPr>
          <w:p>
            <w:pPr>
              <w:jc w:val="center"/>
              <w:rPr>
                <w:rFonts w:hint="default"/>
                <w:sz w:val="24"/>
                <w:szCs w:val="24"/>
                <w:lang w:val="en-US" w:eastAsia="zh-CN"/>
              </w:rPr>
            </w:pPr>
            <w:r>
              <w:rPr>
                <w:rFonts w:hint="eastAsia"/>
                <w:sz w:val="24"/>
                <w:szCs w:val="24"/>
                <w:lang w:val="en-US" w:eastAsia="zh-CN"/>
              </w:rPr>
              <w:t>11</w:t>
            </w:r>
          </w:p>
        </w:tc>
        <w:tc>
          <w:tcPr>
            <w:tcW w:w="4972" w:type="dxa"/>
            <w:tcBorders>
              <w:left w:val="single" w:color="000000" w:sz="8" w:space="0"/>
            </w:tcBorders>
            <w:vAlign w:val="top"/>
          </w:tcPr>
          <w:p>
            <w:pPr>
              <w:pStyle w:val="8"/>
              <w:ind w:left="110"/>
              <w:jc w:val="left"/>
              <w:rPr>
                <w:color w:val="auto"/>
                <w:sz w:val="24"/>
              </w:rPr>
            </w:pPr>
            <w:r>
              <w:rPr>
                <w:color w:val="auto"/>
                <w:sz w:val="24"/>
              </w:rPr>
              <w:t>充分发挥道路交通安全生产专项领导小组（省</w:t>
            </w:r>
          </w:p>
          <w:p>
            <w:pPr>
              <w:pStyle w:val="8"/>
              <w:spacing w:before="8" w:line="300" w:lineRule="exact"/>
              <w:ind w:left="110" w:leftChars="0" w:right="30" w:rightChars="0"/>
              <w:jc w:val="left"/>
              <w:rPr>
                <w:rFonts w:ascii="仿宋_GB2312" w:hAnsi="仿宋_GB2312" w:eastAsia="仿宋_GB2312" w:cs="仿宋_GB2312"/>
                <w:color w:val="auto"/>
                <w:sz w:val="24"/>
                <w:szCs w:val="22"/>
                <w:lang w:val="zh-CN" w:eastAsia="zh-CN" w:bidi="zh-CN"/>
              </w:rPr>
            </w:pPr>
            <w:r>
              <w:rPr>
                <w:color w:val="auto"/>
                <w:sz w:val="24"/>
              </w:rPr>
              <w:t>政府道路交通安全工作联席会议）作用，扎实推进道路交通领域安全生产。</w:t>
            </w:r>
          </w:p>
        </w:tc>
        <w:tc>
          <w:tcPr>
            <w:tcW w:w="1127" w:type="dxa"/>
            <w:vAlign w:val="top"/>
          </w:tcPr>
          <w:p>
            <w:pPr>
              <w:pStyle w:val="8"/>
              <w:spacing w:before="7"/>
              <w:jc w:val="left"/>
              <w:rPr>
                <w:rFonts w:ascii="宋体"/>
                <w:color w:val="auto"/>
                <w:sz w:val="24"/>
              </w:rPr>
            </w:pPr>
          </w:p>
          <w:p>
            <w:pPr>
              <w:pStyle w:val="8"/>
              <w:spacing w:before="1"/>
              <w:ind w:left="201" w:leftChars="0" w:right="0"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陈涛</w:t>
            </w:r>
          </w:p>
        </w:tc>
        <w:tc>
          <w:tcPr>
            <w:tcW w:w="1713" w:type="dxa"/>
            <w:vAlign w:val="top"/>
          </w:tcPr>
          <w:p>
            <w:pPr>
              <w:pStyle w:val="8"/>
              <w:spacing w:before="7"/>
              <w:jc w:val="left"/>
              <w:rPr>
                <w:rFonts w:ascii="宋体"/>
                <w:color w:val="auto"/>
                <w:sz w:val="24"/>
              </w:rPr>
            </w:pPr>
          </w:p>
          <w:p>
            <w:pPr>
              <w:pStyle w:val="8"/>
              <w:spacing w:before="1"/>
              <w:ind w:left="108" w:leftChars="0" w:right="109"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市</w:t>
            </w:r>
            <w:r>
              <w:rPr>
                <w:color w:val="auto"/>
                <w:sz w:val="24"/>
              </w:rPr>
              <w:t>公安</w:t>
            </w:r>
            <w:r>
              <w:rPr>
                <w:rFonts w:hint="eastAsia"/>
                <w:color w:val="auto"/>
                <w:sz w:val="24"/>
                <w:lang w:eastAsia="zh-CN"/>
              </w:rPr>
              <w:t>局烈山分局，交警四大队</w:t>
            </w:r>
          </w:p>
        </w:tc>
        <w:tc>
          <w:tcPr>
            <w:tcW w:w="1247" w:type="dxa"/>
            <w:vAlign w:val="top"/>
          </w:tcPr>
          <w:p>
            <w:pPr>
              <w:pStyle w:val="8"/>
              <w:spacing w:before="7"/>
              <w:jc w:val="left"/>
              <w:rPr>
                <w:rFonts w:ascii="宋体"/>
                <w:color w:val="auto"/>
                <w:sz w:val="24"/>
              </w:rPr>
            </w:pPr>
          </w:p>
          <w:p>
            <w:pPr>
              <w:pStyle w:val="8"/>
              <w:spacing w:before="1"/>
              <w:ind w:left="120" w:leftChars="0" w:right="110"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烈山区道路运政服务中心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676" w:type="dxa"/>
            <w:tcBorders>
              <w:right w:val="single" w:color="000000" w:sz="8" w:space="0"/>
            </w:tcBorders>
            <w:vAlign w:val="center"/>
          </w:tcPr>
          <w:p>
            <w:pPr>
              <w:jc w:val="center"/>
              <w:rPr>
                <w:rFonts w:hint="default"/>
                <w:sz w:val="24"/>
                <w:szCs w:val="24"/>
                <w:lang w:val="en-US" w:eastAsia="zh-CN"/>
              </w:rPr>
            </w:pPr>
            <w:r>
              <w:rPr>
                <w:rFonts w:hint="eastAsia"/>
                <w:sz w:val="24"/>
                <w:szCs w:val="24"/>
                <w:lang w:val="en-US" w:eastAsia="zh-CN"/>
              </w:rPr>
              <w:t>12</w:t>
            </w:r>
          </w:p>
        </w:tc>
        <w:tc>
          <w:tcPr>
            <w:tcW w:w="4972" w:type="dxa"/>
            <w:tcBorders>
              <w:left w:val="single" w:color="000000" w:sz="8" w:space="0"/>
            </w:tcBorders>
            <w:vAlign w:val="top"/>
          </w:tcPr>
          <w:p>
            <w:pPr>
              <w:pStyle w:val="8"/>
              <w:ind w:left="110" w:right="65"/>
              <w:jc w:val="left"/>
              <w:rPr>
                <w:rFonts w:ascii="仿宋_GB2312" w:hAnsi="仿宋_GB2312" w:eastAsia="仿宋_GB2312" w:cs="仿宋_GB2312"/>
                <w:color w:val="auto"/>
                <w:sz w:val="24"/>
                <w:szCs w:val="22"/>
                <w:lang w:val="zh-CN" w:eastAsia="zh-CN" w:bidi="zh-CN"/>
              </w:rPr>
            </w:pPr>
            <w:r>
              <w:rPr>
                <w:color w:val="auto"/>
                <w:spacing w:val="-15"/>
                <w:sz w:val="24"/>
              </w:rPr>
              <w:t>统筹推进、指导推动教育、文化和旅游、</w:t>
            </w:r>
            <w:r>
              <w:rPr>
                <w:color w:val="auto"/>
                <w:spacing w:val="-12"/>
                <w:sz w:val="24"/>
              </w:rPr>
              <w:t>广播电视、体育、妇联等系统领域加强安全生产监管和加大支持配合力度。</w:t>
            </w:r>
            <w:r>
              <w:rPr>
                <w:color w:val="auto"/>
                <w:spacing w:val="-4"/>
                <w:sz w:val="24"/>
              </w:rPr>
              <w:t>加大</w:t>
            </w:r>
            <w:r>
              <w:rPr>
                <w:color w:val="auto"/>
                <w:spacing w:val="6"/>
                <w:sz w:val="24"/>
              </w:rPr>
              <w:t>安全风险隐患和典型生产安全事故的曝光力</w:t>
            </w:r>
            <w:r>
              <w:rPr>
                <w:color w:val="auto"/>
                <w:spacing w:val="-8"/>
                <w:sz w:val="24"/>
              </w:rPr>
              <w:t>度。进一步加强安全生产法治宣传教育，强化</w:t>
            </w:r>
            <w:r>
              <w:rPr>
                <w:color w:val="auto"/>
                <w:sz w:val="24"/>
              </w:rPr>
              <w:t>落实普法责任制。</w:t>
            </w:r>
          </w:p>
        </w:tc>
        <w:tc>
          <w:tcPr>
            <w:tcW w:w="1127" w:type="dxa"/>
            <w:vAlign w:val="top"/>
          </w:tcPr>
          <w:p>
            <w:pPr>
              <w:pStyle w:val="8"/>
              <w:jc w:val="left"/>
              <w:rPr>
                <w:rFonts w:ascii="宋体"/>
                <w:color w:val="auto"/>
                <w:sz w:val="24"/>
              </w:rPr>
            </w:pPr>
          </w:p>
          <w:p>
            <w:pPr>
              <w:pStyle w:val="8"/>
              <w:spacing w:before="10"/>
              <w:jc w:val="left"/>
              <w:rPr>
                <w:rFonts w:ascii="宋体"/>
                <w:color w:val="auto"/>
                <w:sz w:val="35"/>
              </w:rPr>
            </w:pPr>
          </w:p>
          <w:p>
            <w:pPr>
              <w:pStyle w:val="8"/>
              <w:ind w:left="201" w:leftChars="0" w:right="0"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丁晓莉</w:t>
            </w:r>
          </w:p>
        </w:tc>
        <w:tc>
          <w:tcPr>
            <w:tcW w:w="1713" w:type="dxa"/>
            <w:vAlign w:val="center"/>
          </w:tcPr>
          <w:p>
            <w:pPr>
              <w:jc w:val="center"/>
              <w:rPr>
                <w:rFonts w:hint="eastAsia" w:ascii="仿宋_GB2312" w:hAnsi="仿宋_GB2312" w:eastAsia="仿宋_GB2312" w:cs="仿宋_GB2312"/>
                <w:color w:val="auto"/>
                <w:sz w:val="24"/>
                <w:szCs w:val="22"/>
                <w:lang w:val="zh-CN" w:eastAsia="zh-CN" w:bidi="zh-CN"/>
              </w:rPr>
            </w:pPr>
            <w:r>
              <w:rPr>
                <w:rFonts w:hint="eastAsia" w:ascii="仿宋_GB2312" w:hAnsi="仿宋_GB2312" w:eastAsia="仿宋_GB2312" w:cs="仿宋_GB2312"/>
                <w:color w:val="auto"/>
                <w:sz w:val="24"/>
                <w:szCs w:val="22"/>
                <w:lang w:val="zh-CN" w:eastAsia="zh-CN" w:bidi="zh-CN"/>
              </w:rPr>
              <w:t>区教育局</w:t>
            </w:r>
          </w:p>
          <w:p>
            <w:pPr>
              <w:jc w:val="center"/>
              <w:rPr>
                <w:rFonts w:ascii="仿宋_GB2312" w:hAnsi="仿宋_GB2312" w:eastAsia="仿宋_GB2312" w:cs="仿宋_GB2312"/>
                <w:color w:val="auto"/>
                <w:sz w:val="24"/>
                <w:szCs w:val="22"/>
                <w:lang w:val="zh-CN" w:eastAsia="zh-CN" w:bidi="zh-CN"/>
              </w:rPr>
            </w:pPr>
            <w:r>
              <w:rPr>
                <w:rFonts w:hint="eastAsia" w:ascii="仿宋_GB2312" w:hAnsi="仿宋_GB2312" w:eastAsia="仿宋_GB2312" w:cs="仿宋_GB2312"/>
                <w:color w:val="auto"/>
                <w:sz w:val="24"/>
                <w:szCs w:val="22"/>
                <w:lang w:val="zh-CN" w:eastAsia="zh-CN" w:bidi="zh-CN"/>
              </w:rPr>
              <w:t>区</w:t>
            </w:r>
            <w:r>
              <w:rPr>
                <w:rFonts w:ascii="仿宋_GB2312" w:hAnsi="仿宋_GB2312" w:eastAsia="仿宋_GB2312" w:cs="仿宋_GB2312"/>
                <w:color w:val="auto"/>
                <w:sz w:val="24"/>
                <w:szCs w:val="22"/>
                <w:lang w:val="zh-CN" w:eastAsia="zh-CN" w:bidi="zh-CN"/>
              </w:rPr>
              <w:t>妇联</w:t>
            </w:r>
          </w:p>
        </w:tc>
        <w:tc>
          <w:tcPr>
            <w:tcW w:w="1247" w:type="dxa"/>
            <w:vAlign w:val="top"/>
          </w:tcPr>
          <w:p>
            <w:pPr>
              <w:pStyle w:val="8"/>
              <w:spacing w:before="1"/>
              <w:ind w:left="120" w:leftChars="0" w:right="110" w:rightChars="0"/>
              <w:jc w:val="left"/>
              <w:rPr>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jc w:val="center"/>
        </w:trPr>
        <w:tc>
          <w:tcPr>
            <w:tcW w:w="676" w:type="dxa"/>
            <w:tcBorders>
              <w:right w:val="single" w:color="000000" w:sz="8" w:space="0"/>
            </w:tcBorders>
            <w:vAlign w:val="center"/>
          </w:tcPr>
          <w:p>
            <w:pPr>
              <w:ind w:left="0" w:leftChars="0" w:right="0" w:rightChars="0"/>
              <w:jc w:val="center"/>
              <w:rPr>
                <w:rFonts w:hint="default" w:ascii="仿宋_GB2312" w:hAnsi="仿宋_GB2312" w:eastAsia="仿宋_GB2312" w:cs="仿宋_GB2312"/>
                <w:sz w:val="24"/>
                <w:szCs w:val="24"/>
                <w:lang w:val="en-US" w:eastAsia="zh-CN" w:bidi="zh-CN"/>
              </w:rPr>
            </w:pPr>
            <w:r>
              <w:rPr>
                <w:rFonts w:hint="eastAsia"/>
                <w:sz w:val="24"/>
                <w:szCs w:val="24"/>
                <w:lang w:val="en-US" w:eastAsia="zh-CN"/>
              </w:rPr>
              <w:t>13</w:t>
            </w:r>
          </w:p>
        </w:tc>
        <w:tc>
          <w:tcPr>
            <w:tcW w:w="4972" w:type="dxa"/>
            <w:tcBorders>
              <w:left w:val="single" w:color="000000" w:sz="8" w:space="0"/>
            </w:tcBorders>
            <w:vAlign w:val="top"/>
          </w:tcPr>
          <w:p>
            <w:pPr>
              <w:pStyle w:val="8"/>
              <w:spacing w:before="158" w:line="247" w:lineRule="auto"/>
              <w:ind w:left="110" w:leftChars="0" w:right="30" w:rightChars="0"/>
              <w:jc w:val="left"/>
              <w:rPr>
                <w:rFonts w:ascii="仿宋_GB2312" w:hAnsi="仿宋_GB2312" w:eastAsia="仿宋_GB2312" w:cs="仿宋_GB2312"/>
                <w:color w:val="auto"/>
                <w:sz w:val="24"/>
                <w:szCs w:val="22"/>
                <w:lang w:val="zh-CN" w:eastAsia="zh-CN" w:bidi="zh-CN"/>
              </w:rPr>
            </w:pPr>
            <w:r>
              <w:rPr>
                <w:color w:val="auto"/>
                <w:sz w:val="24"/>
              </w:rPr>
              <w:t>扎实开展矿山等行业粉尘危害治理，推进健康企业建设。</w:t>
            </w:r>
          </w:p>
        </w:tc>
        <w:tc>
          <w:tcPr>
            <w:tcW w:w="1127" w:type="dxa"/>
            <w:vAlign w:val="top"/>
          </w:tcPr>
          <w:p>
            <w:pPr>
              <w:pStyle w:val="8"/>
              <w:jc w:val="left"/>
              <w:rPr>
                <w:rFonts w:ascii="宋体"/>
                <w:color w:val="auto"/>
                <w:sz w:val="24"/>
              </w:rPr>
            </w:pPr>
          </w:p>
          <w:p>
            <w:pPr>
              <w:pStyle w:val="8"/>
              <w:ind w:left="182" w:leftChars="0" w:right="169"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丁晓莉</w:t>
            </w:r>
          </w:p>
        </w:tc>
        <w:tc>
          <w:tcPr>
            <w:tcW w:w="1713" w:type="dxa"/>
            <w:vAlign w:val="top"/>
          </w:tcPr>
          <w:p>
            <w:pPr>
              <w:pStyle w:val="8"/>
              <w:jc w:val="center"/>
              <w:rPr>
                <w:rFonts w:ascii="宋体"/>
                <w:color w:val="auto"/>
                <w:sz w:val="24"/>
              </w:rPr>
            </w:pPr>
          </w:p>
          <w:p>
            <w:pPr>
              <w:pStyle w:val="8"/>
              <w:ind w:left="0" w:leftChars="0" w:right="128" w:rightChars="0"/>
              <w:jc w:val="center"/>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区卫健委</w:t>
            </w:r>
          </w:p>
        </w:tc>
        <w:tc>
          <w:tcPr>
            <w:tcW w:w="1247" w:type="dxa"/>
            <w:vAlign w:val="top"/>
          </w:tcPr>
          <w:p>
            <w:pPr>
              <w:pStyle w:val="8"/>
              <w:ind w:left="140" w:right="129"/>
              <w:jc w:val="left"/>
              <w:rPr>
                <w:color w:val="auto"/>
                <w:sz w:val="24"/>
              </w:rPr>
            </w:pPr>
            <w:r>
              <w:rPr>
                <w:rFonts w:hint="eastAsia"/>
                <w:color w:val="auto"/>
                <w:spacing w:val="-5"/>
                <w:sz w:val="24"/>
                <w:lang w:eastAsia="zh-CN"/>
              </w:rPr>
              <w:t>区应急局</w:t>
            </w:r>
          </w:p>
          <w:p>
            <w:pPr>
              <w:pStyle w:val="8"/>
              <w:spacing w:before="6" w:line="310" w:lineRule="atLeast"/>
              <w:ind w:left="140" w:leftChars="0" w:right="129" w:rightChars="0"/>
              <w:jc w:val="left"/>
              <w:rPr>
                <w:rFonts w:hint="eastAsia" w:ascii="仿宋_GB2312" w:hAnsi="仿宋_GB2312" w:eastAsia="仿宋_GB2312" w:cs="仿宋_GB2312"/>
                <w:color w:val="auto"/>
                <w:sz w:val="24"/>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676" w:type="dxa"/>
            <w:tcBorders>
              <w:right w:val="single" w:color="000000" w:sz="8" w:space="0"/>
            </w:tcBorders>
            <w:vAlign w:val="center"/>
          </w:tcPr>
          <w:p>
            <w:pPr>
              <w:ind w:left="0" w:leftChars="0" w:right="0" w:rightChars="0"/>
              <w:jc w:val="center"/>
              <w:rPr>
                <w:rFonts w:hint="default" w:ascii="仿宋_GB2312" w:hAnsi="仿宋_GB2312" w:eastAsia="仿宋_GB2312" w:cs="仿宋_GB2312"/>
                <w:sz w:val="24"/>
                <w:szCs w:val="24"/>
                <w:lang w:val="en-US" w:eastAsia="zh-CN" w:bidi="zh-CN"/>
              </w:rPr>
            </w:pPr>
            <w:r>
              <w:rPr>
                <w:rFonts w:hint="eastAsia"/>
                <w:sz w:val="24"/>
                <w:szCs w:val="24"/>
                <w:lang w:val="en-US" w:eastAsia="zh-CN"/>
              </w:rPr>
              <w:t>14</w:t>
            </w:r>
          </w:p>
        </w:tc>
        <w:tc>
          <w:tcPr>
            <w:tcW w:w="4972" w:type="dxa"/>
            <w:tcBorders>
              <w:left w:val="single" w:color="000000" w:sz="8" w:space="0"/>
            </w:tcBorders>
            <w:vAlign w:val="top"/>
          </w:tcPr>
          <w:p>
            <w:pPr>
              <w:pStyle w:val="8"/>
              <w:spacing w:line="293" w:lineRule="exact"/>
              <w:ind w:left="110"/>
              <w:jc w:val="left"/>
              <w:rPr>
                <w:color w:val="auto"/>
                <w:sz w:val="24"/>
              </w:rPr>
            </w:pPr>
            <w:r>
              <w:rPr>
                <w:color w:val="auto"/>
                <w:sz w:val="24"/>
              </w:rPr>
              <w:t>推进城镇人口密集区危险化学品生产企业搬</w:t>
            </w:r>
          </w:p>
          <w:p>
            <w:pPr>
              <w:pStyle w:val="8"/>
              <w:spacing w:before="7" w:line="295" w:lineRule="exact"/>
              <w:ind w:left="110" w:leftChars="0" w:right="0" w:rightChars="0"/>
              <w:jc w:val="left"/>
              <w:rPr>
                <w:rFonts w:ascii="仿宋_GB2312" w:hAnsi="仿宋_GB2312" w:eastAsia="仿宋_GB2312" w:cs="仿宋_GB2312"/>
                <w:color w:val="auto"/>
                <w:sz w:val="24"/>
                <w:szCs w:val="22"/>
                <w:lang w:val="zh-CN" w:eastAsia="zh-CN" w:bidi="zh-CN"/>
              </w:rPr>
            </w:pPr>
            <w:r>
              <w:rPr>
                <w:color w:val="auto"/>
                <w:sz w:val="24"/>
              </w:rPr>
              <w:t>迁改造。</w:t>
            </w:r>
          </w:p>
        </w:tc>
        <w:tc>
          <w:tcPr>
            <w:tcW w:w="1127" w:type="dxa"/>
            <w:vAlign w:val="top"/>
          </w:tcPr>
          <w:p>
            <w:pPr>
              <w:pStyle w:val="8"/>
              <w:spacing w:before="150"/>
              <w:ind w:left="201" w:leftChars="0" w:right="0"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方旭东</w:t>
            </w:r>
          </w:p>
        </w:tc>
        <w:tc>
          <w:tcPr>
            <w:tcW w:w="1713" w:type="dxa"/>
            <w:vAlign w:val="top"/>
          </w:tcPr>
          <w:p>
            <w:pPr>
              <w:pStyle w:val="8"/>
              <w:spacing w:line="293" w:lineRule="exact"/>
              <w:ind w:left="108" w:right="110"/>
              <w:jc w:val="center"/>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区</w:t>
            </w:r>
            <w:r>
              <w:rPr>
                <w:color w:val="auto"/>
                <w:sz w:val="24"/>
              </w:rPr>
              <w:t>经济</w:t>
            </w:r>
            <w:r>
              <w:rPr>
                <w:rFonts w:hint="eastAsia"/>
                <w:color w:val="auto"/>
                <w:sz w:val="24"/>
                <w:lang w:eastAsia="zh-CN"/>
              </w:rPr>
              <w:t>科技</w:t>
            </w:r>
            <w:r>
              <w:rPr>
                <w:color w:val="auto"/>
                <w:sz w:val="24"/>
              </w:rPr>
              <w:t>信息化</w:t>
            </w:r>
            <w:r>
              <w:rPr>
                <w:rFonts w:hint="eastAsia"/>
                <w:color w:val="auto"/>
                <w:sz w:val="24"/>
                <w:lang w:eastAsia="zh-CN"/>
              </w:rPr>
              <w:t>局</w:t>
            </w:r>
          </w:p>
        </w:tc>
        <w:tc>
          <w:tcPr>
            <w:tcW w:w="1247" w:type="dxa"/>
            <w:vAlign w:val="top"/>
          </w:tcPr>
          <w:p>
            <w:pPr>
              <w:pStyle w:val="8"/>
              <w:spacing w:before="150"/>
              <w:ind w:left="120" w:leftChars="0" w:right="111"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区应急局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676" w:type="dxa"/>
            <w:tcBorders>
              <w:right w:val="single" w:color="000000" w:sz="8" w:space="0"/>
            </w:tcBorders>
            <w:vAlign w:val="center"/>
          </w:tcPr>
          <w:p>
            <w:pPr>
              <w:ind w:left="0" w:leftChars="0" w:right="0" w:rightChars="0"/>
              <w:jc w:val="center"/>
              <w:rPr>
                <w:rFonts w:hint="default" w:ascii="仿宋_GB2312" w:hAnsi="仿宋_GB2312" w:eastAsia="仿宋_GB2312" w:cs="仿宋_GB2312"/>
                <w:sz w:val="24"/>
                <w:szCs w:val="24"/>
                <w:lang w:val="en-US" w:eastAsia="zh-CN" w:bidi="zh-CN"/>
              </w:rPr>
            </w:pPr>
            <w:r>
              <w:rPr>
                <w:rFonts w:hint="eastAsia"/>
                <w:sz w:val="24"/>
                <w:szCs w:val="24"/>
                <w:lang w:val="en-US" w:eastAsia="zh-CN"/>
              </w:rPr>
              <w:t>15</w:t>
            </w:r>
          </w:p>
        </w:tc>
        <w:tc>
          <w:tcPr>
            <w:tcW w:w="4972" w:type="dxa"/>
            <w:tcBorders>
              <w:left w:val="single" w:color="000000" w:sz="8" w:space="0"/>
            </w:tcBorders>
            <w:vAlign w:val="top"/>
          </w:tcPr>
          <w:p>
            <w:pPr>
              <w:pStyle w:val="8"/>
              <w:spacing w:before="90" w:line="242" w:lineRule="auto"/>
              <w:ind w:left="110" w:leftChars="0" w:right="92" w:rightChars="0"/>
              <w:jc w:val="left"/>
              <w:rPr>
                <w:color w:val="auto"/>
                <w:spacing w:val="-8"/>
                <w:sz w:val="24"/>
              </w:rPr>
            </w:pPr>
            <w:r>
              <w:rPr>
                <w:color w:val="auto"/>
                <w:spacing w:val="-4"/>
                <w:sz w:val="24"/>
              </w:rPr>
              <w:t>实施高危行业领域安全技能提升行动计划，全</w:t>
            </w:r>
            <w:r>
              <w:rPr>
                <w:color w:val="auto"/>
                <w:spacing w:val="-8"/>
                <w:sz w:val="24"/>
              </w:rPr>
              <w:t>面落实从业人员的各项培训考试制度。</w:t>
            </w:r>
          </w:p>
          <w:p>
            <w:pPr>
              <w:pStyle w:val="8"/>
              <w:spacing w:before="90" w:line="242" w:lineRule="auto"/>
              <w:ind w:right="92" w:rightChars="0"/>
              <w:jc w:val="left"/>
              <w:rPr>
                <w:color w:val="auto"/>
                <w:spacing w:val="-8"/>
                <w:sz w:val="24"/>
                <w:lang w:val="zh-CN" w:eastAsia="zh-CN"/>
              </w:rPr>
            </w:pPr>
          </w:p>
        </w:tc>
        <w:tc>
          <w:tcPr>
            <w:tcW w:w="1127" w:type="dxa"/>
            <w:vAlign w:val="top"/>
          </w:tcPr>
          <w:p>
            <w:pPr>
              <w:pStyle w:val="8"/>
              <w:jc w:val="left"/>
              <w:rPr>
                <w:rFonts w:ascii="宋体"/>
                <w:color w:val="auto"/>
                <w:sz w:val="24"/>
              </w:rPr>
            </w:pPr>
          </w:p>
          <w:p>
            <w:pPr>
              <w:pStyle w:val="8"/>
              <w:spacing w:before="4"/>
              <w:jc w:val="left"/>
              <w:rPr>
                <w:rFonts w:ascii="宋体"/>
                <w:color w:val="auto"/>
                <w:sz w:val="19"/>
              </w:rPr>
            </w:pPr>
          </w:p>
          <w:p>
            <w:pPr>
              <w:pStyle w:val="8"/>
              <w:ind w:left="182" w:leftChars="0" w:right="170" w:rightChars="0"/>
              <w:jc w:val="left"/>
              <w:rPr>
                <w:rFonts w:hint="eastAsia" w:ascii="仿宋_GB2312" w:hAnsi="仿宋_GB2312" w:eastAsia="仿宋_GB2312" w:cs="仿宋_GB2312"/>
                <w:color w:val="auto"/>
                <w:sz w:val="24"/>
                <w:szCs w:val="22"/>
                <w:lang w:val="zh-CN" w:eastAsia="zh-CN" w:bidi="zh-CN"/>
              </w:rPr>
            </w:pPr>
            <w:r>
              <w:rPr>
                <w:rFonts w:hint="eastAsia"/>
                <w:color w:val="auto"/>
                <w:sz w:val="24"/>
                <w:lang w:eastAsia="zh-CN"/>
              </w:rPr>
              <w:t>李祥礼</w:t>
            </w:r>
          </w:p>
        </w:tc>
        <w:tc>
          <w:tcPr>
            <w:tcW w:w="1713" w:type="dxa"/>
            <w:vAlign w:val="top"/>
          </w:tcPr>
          <w:p>
            <w:pPr>
              <w:pStyle w:val="8"/>
              <w:spacing w:before="9"/>
              <w:jc w:val="center"/>
              <w:rPr>
                <w:rFonts w:ascii="宋体"/>
                <w:color w:val="auto"/>
                <w:sz w:val="18"/>
              </w:rPr>
            </w:pPr>
          </w:p>
          <w:p>
            <w:pPr>
              <w:pStyle w:val="8"/>
              <w:spacing w:before="1"/>
              <w:ind w:left="366" w:leftChars="0" w:right="128" w:rightChars="0" w:hanging="241" w:firstLineChars="0"/>
              <w:jc w:val="center"/>
              <w:rPr>
                <w:rFonts w:hint="eastAsia"/>
                <w:color w:val="auto"/>
                <w:spacing w:val="-3"/>
                <w:sz w:val="24"/>
                <w:lang w:eastAsia="zh-CN"/>
              </w:rPr>
            </w:pPr>
            <w:r>
              <w:rPr>
                <w:rFonts w:hint="eastAsia"/>
                <w:color w:val="auto"/>
                <w:spacing w:val="-3"/>
                <w:sz w:val="24"/>
                <w:lang w:eastAsia="zh-CN"/>
              </w:rPr>
              <w:t>区</w:t>
            </w:r>
            <w:r>
              <w:rPr>
                <w:color w:val="auto"/>
                <w:spacing w:val="-3"/>
                <w:sz w:val="24"/>
              </w:rPr>
              <w:t>人力资源</w:t>
            </w:r>
            <w:r>
              <w:rPr>
                <w:rFonts w:hint="eastAsia"/>
                <w:color w:val="auto"/>
                <w:spacing w:val="-3"/>
                <w:sz w:val="24"/>
                <w:lang w:eastAsia="zh-CN"/>
              </w:rPr>
              <w:t>和</w:t>
            </w:r>
          </w:p>
          <w:p>
            <w:pPr>
              <w:pStyle w:val="8"/>
              <w:spacing w:before="1"/>
              <w:ind w:left="366" w:leftChars="0" w:right="128" w:rightChars="0" w:hanging="241" w:firstLineChars="0"/>
              <w:jc w:val="center"/>
              <w:rPr>
                <w:rFonts w:hint="eastAsia" w:ascii="仿宋_GB2312" w:hAnsi="仿宋_GB2312" w:eastAsia="仿宋_GB2312" w:cs="仿宋_GB2312"/>
                <w:color w:val="auto"/>
                <w:sz w:val="24"/>
                <w:szCs w:val="22"/>
                <w:lang w:val="zh-CN" w:eastAsia="zh-CN" w:bidi="zh-CN"/>
              </w:rPr>
            </w:pPr>
            <w:r>
              <w:rPr>
                <w:color w:val="auto"/>
                <w:spacing w:val="-3"/>
                <w:sz w:val="24"/>
              </w:rPr>
              <w:t>社</w:t>
            </w:r>
            <w:r>
              <w:rPr>
                <w:color w:val="auto"/>
                <w:sz w:val="24"/>
              </w:rPr>
              <w:t>会保障</w:t>
            </w:r>
            <w:r>
              <w:rPr>
                <w:rFonts w:hint="eastAsia"/>
                <w:color w:val="auto"/>
                <w:sz w:val="24"/>
                <w:lang w:eastAsia="zh-CN"/>
              </w:rPr>
              <w:t>局</w:t>
            </w:r>
            <w:r>
              <w:rPr>
                <w:color w:val="auto"/>
                <w:sz w:val="24"/>
              </w:rPr>
              <w:t xml:space="preserve"> </w:t>
            </w:r>
            <w:r>
              <w:rPr>
                <w:rFonts w:hint="eastAsia"/>
                <w:color w:val="auto"/>
                <w:sz w:val="24"/>
                <w:lang w:eastAsia="zh-CN"/>
              </w:rPr>
              <w:t>区应急局</w:t>
            </w:r>
          </w:p>
        </w:tc>
        <w:tc>
          <w:tcPr>
            <w:tcW w:w="1247" w:type="dxa"/>
            <w:vAlign w:val="top"/>
          </w:tcPr>
          <w:p>
            <w:pPr>
              <w:pStyle w:val="8"/>
              <w:spacing w:before="6"/>
              <w:jc w:val="left"/>
              <w:rPr>
                <w:rFonts w:ascii="宋体"/>
                <w:color w:val="auto"/>
                <w:sz w:val="30"/>
              </w:rPr>
            </w:pPr>
          </w:p>
          <w:p>
            <w:pPr>
              <w:pStyle w:val="8"/>
              <w:spacing w:line="244" w:lineRule="auto"/>
              <w:ind w:left="110" w:leftChars="0" w:right="69" w:rightChars="0"/>
              <w:jc w:val="center"/>
              <w:rPr>
                <w:rFonts w:hint="eastAsia" w:ascii="仿宋_GB2312" w:hAnsi="仿宋_GB2312" w:eastAsia="仿宋_GB2312" w:cs="仿宋_GB2312"/>
                <w:color w:val="auto"/>
                <w:sz w:val="24"/>
                <w:szCs w:val="22"/>
                <w:lang w:val="zh-CN" w:eastAsia="zh-CN" w:bidi="zh-CN"/>
              </w:rPr>
            </w:pPr>
            <w:r>
              <w:rPr>
                <w:rFonts w:hint="eastAsia"/>
                <w:color w:val="auto"/>
                <w:spacing w:val="-34"/>
                <w:sz w:val="24"/>
                <w:lang w:eastAsia="zh-CN"/>
              </w:rPr>
              <w:t>区</w:t>
            </w:r>
            <w:r>
              <w:rPr>
                <w:color w:val="auto"/>
                <w:spacing w:val="-34"/>
                <w:sz w:val="24"/>
              </w:rPr>
              <w:t>安委会有关成员单位</w:t>
            </w:r>
          </w:p>
        </w:tc>
      </w:tr>
    </w:tbl>
    <w:p/>
    <w:p/>
    <w:p/>
    <w:p/>
    <w:p>
      <w:pPr>
        <w:pStyle w:val="2"/>
      </w:pPr>
    </w:p>
    <w:p/>
    <w:p>
      <w:pPr>
        <w:pStyle w:val="2"/>
      </w:pPr>
    </w:p>
    <w:p>
      <w:pPr>
        <w:pStyle w:val="3"/>
        <w:rPr>
          <w:rFonts w:hint="eastAsia" w:ascii="宋体" w:hAnsi="方正小标宋简体" w:cs="方正小标宋简体"/>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left="1050" w:leftChars="100" w:right="210" w:rightChars="100" w:hanging="840" w:hangingChars="300"/>
        <w:textAlignment w:val="auto"/>
        <w:rPr>
          <w:rFonts w:hint="eastAsia" w:ascii="仿宋_GB2312" w:hAnsi="仿宋_GB2312" w:eastAsia="仿宋_GB2312" w:cs="仿宋_GB2312"/>
          <w:w w:val="9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566i0AAAAAIBAAAPAAAAAAAAAAEAIAAAACIAAABkcnMvZG93bnJldi54bWxQSwECFAAU&#10;AAAACACHTuJAoNj5TPkBAADyAwAADgAAAAAAAAABACAAAAAf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w w:val="92"/>
          <w:sz w:val="28"/>
          <w:szCs w:val="28"/>
          <w:lang w:eastAsia="zh-CN"/>
        </w:rPr>
        <w:t>市</w:t>
      </w:r>
      <w:r>
        <w:rPr>
          <w:rFonts w:hint="eastAsia" w:ascii="仿宋_GB2312" w:hAnsi="仿宋_GB2312" w:eastAsia="仿宋_GB2312" w:cs="仿宋_GB2312"/>
          <w:w w:val="92"/>
          <w:sz w:val="28"/>
          <w:szCs w:val="28"/>
        </w:rPr>
        <w:t>安委办，</w:t>
      </w:r>
      <w:r>
        <w:rPr>
          <w:rFonts w:hint="eastAsia" w:ascii="仿宋_GB2312" w:hAnsi="仿宋_GB2312" w:eastAsia="仿宋_GB2312" w:cs="仿宋_GB2312"/>
          <w:w w:val="92"/>
          <w:sz w:val="28"/>
          <w:szCs w:val="28"/>
          <w:lang w:eastAsia="zh-CN"/>
        </w:rPr>
        <w:t>区</w:t>
      </w:r>
      <w:r>
        <w:rPr>
          <w:rFonts w:hint="eastAsia" w:ascii="仿宋_GB2312" w:hAnsi="仿宋_GB2312" w:eastAsia="仿宋_GB2312" w:cs="仿宋_GB2312"/>
          <w:w w:val="92"/>
          <w:sz w:val="28"/>
          <w:szCs w:val="28"/>
        </w:rPr>
        <w:t>委办公室、</w:t>
      </w:r>
      <w:r>
        <w:rPr>
          <w:rFonts w:hint="eastAsia" w:ascii="仿宋_GB2312" w:hAnsi="仿宋_GB2312" w:eastAsia="仿宋_GB2312" w:cs="仿宋_GB2312"/>
          <w:w w:val="92"/>
          <w:sz w:val="28"/>
          <w:szCs w:val="28"/>
          <w:lang w:eastAsia="zh-CN"/>
        </w:rPr>
        <w:t>区</w:t>
      </w:r>
      <w:r>
        <w:rPr>
          <w:rFonts w:hint="eastAsia" w:ascii="仿宋_GB2312" w:hAnsi="仿宋_GB2312" w:eastAsia="仿宋_GB2312" w:cs="仿宋_GB2312"/>
          <w:w w:val="92"/>
          <w:sz w:val="28"/>
          <w:szCs w:val="28"/>
        </w:rPr>
        <w:t>人大常委会办公室、</w:t>
      </w:r>
      <w:r>
        <w:rPr>
          <w:rFonts w:hint="eastAsia" w:ascii="仿宋_GB2312" w:hAnsi="仿宋_GB2312" w:eastAsia="仿宋_GB2312" w:cs="仿宋_GB2312"/>
          <w:w w:val="92"/>
          <w:sz w:val="28"/>
          <w:szCs w:val="28"/>
          <w:lang w:eastAsia="zh-CN"/>
        </w:rPr>
        <w:t>区</w:t>
      </w:r>
      <w:r>
        <w:rPr>
          <w:rFonts w:hint="eastAsia" w:ascii="仿宋_GB2312" w:hAnsi="仿宋_GB2312" w:eastAsia="仿宋_GB2312" w:cs="仿宋_GB2312"/>
          <w:w w:val="92"/>
          <w:sz w:val="28"/>
          <w:szCs w:val="28"/>
        </w:rPr>
        <w:t>政府办公室、</w:t>
      </w:r>
      <w:r>
        <w:rPr>
          <w:rFonts w:hint="eastAsia" w:ascii="仿宋_GB2312" w:hAnsi="仿宋_GB2312" w:eastAsia="仿宋_GB2312" w:cs="仿宋_GB2312"/>
          <w:w w:val="92"/>
          <w:sz w:val="28"/>
          <w:szCs w:val="28"/>
          <w:lang w:eastAsia="zh-CN"/>
        </w:rPr>
        <w:t>区</w:t>
      </w:r>
      <w:r>
        <w:rPr>
          <w:rFonts w:hint="eastAsia" w:ascii="仿宋_GB2312" w:hAnsi="仿宋_GB2312" w:eastAsia="仿宋_GB2312" w:cs="仿宋_GB2312"/>
          <w:w w:val="92"/>
          <w:sz w:val="28"/>
          <w:szCs w:val="28"/>
        </w:rPr>
        <w:t>政协办公室</w:t>
      </w:r>
      <w:r>
        <w:rPr>
          <w:rFonts w:hint="eastAsia" w:ascii="仿宋_GB2312" w:hAnsi="仿宋_GB2312" w:eastAsia="仿宋_GB2312" w:cs="仿宋_GB2312"/>
          <w:w w:val="9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textAlignment w:val="auto"/>
        <w:rPr>
          <w:rFonts w:hint="eastAsia" w:ascii="仿宋_GB2312" w:hAnsi="仿宋_GB2312" w:eastAsia="仿宋_GB2312" w:cs="仿宋_GB2312"/>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391795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0.85pt;height:0pt;width:441pt;z-index:251660288;mso-width-relative:page;mso-height-relative:page;" filled="f" stroked="t" coordsize="21600,21600" o:gfxdata="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Vxvn9QAAAAHAQAADwAAAAAAAAABACAAAAAiAAAAZHJzL2Rvd25yZXYueG1sUEsB&#10;AhQAFAAAAAgAh07iQA/sau75AQAA8gMAAA4AAAAAAAAAAQAgAAAAIw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37465</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95pt;height:0pt;width:441pt;z-index:251661312;mso-width-relative:page;mso-height-relative:page;" filled="f" stroked="t" coordsize="21600,21600" o:gfxdata="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rQQXRAAAABQEAAA8AAAAAAAAAAQAgAAAAIgAAAGRycy9kb3ducmV2LnhtbFBLAQIU&#10;ABQAAAAIAIdO4kDkzl60+gEAAPQDAAAOAAAAAAAAAAEAIAAAACA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烈山区</w:t>
      </w:r>
      <w:r>
        <w:rPr>
          <w:rFonts w:hint="eastAsia" w:ascii="仿宋_GB2312" w:hAnsi="仿宋_GB2312" w:eastAsia="仿宋_GB2312" w:cs="仿宋_GB2312"/>
          <w:sz w:val="28"/>
          <w:szCs w:val="28"/>
        </w:rPr>
        <w:t>安全生产委员会办公室           2021年6月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JEE0Bb7Vga+w+9w1LknVkVsP/rY=" w:salt="ZhopgQr3kbj99f2cK/4Ty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E622E"/>
    <w:rsid w:val="00050896"/>
    <w:rsid w:val="0036552B"/>
    <w:rsid w:val="00BB7610"/>
    <w:rsid w:val="00BC3D78"/>
    <w:rsid w:val="00D24639"/>
    <w:rsid w:val="012D48E4"/>
    <w:rsid w:val="014E3337"/>
    <w:rsid w:val="016D1ADF"/>
    <w:rsid w:val="01A54833"/>
    <w:rsid w:val="01E65DDD"/>
    <w:rsid w:val="033763F8"/>
    <w:rsid w:val="03CB7161"/>
    <w:rsid w:val="03CD4372"/>
    <w:rsid w:val="03DB246F"/>
    <w:rsid w:val="04C26178"/>
    <w:rsid w:val="050A7710"/>
    <w:rsid w:val="064F227A"/>
    <w:rsid w:val="06980876"/>
    <w:rsid w:val="06B80B59"/>
    <w:rsid w:val="08A55666"/>
    <w:rsid w:val="0A546A76"/>
    <w:rsid w:val="0ABC4B33"/>
    <w:rsid w:val="0AC92A0A"/>
    <w:rsid w:val="0B7A65CA"/>
    <w:rsid w:val="0BD35A34"/>
    <w:rsid w:val="0C533690"/>
    <w:rsid w:val="0D9131B8"/>
    <w:rsid w:val="0DF26E56"/>
    <w:rsid w:val="116F3DEE"/>
    <w:rsid w:val="121C78A4"/>
    <w:rsid w:val="18645CC2"/>
    <w:rsid w:val="187D7AB5"/>
    <w:rsid w:val="18CC1D7C"/>
    <w:rsid w:val="197E0E40"/>
    <w:rsid w:val="1AAB37DD"/>
    <w:rsid w:val="1BEA636B"/>
    <w:rsid w:val="1C1A7C75"/>
    <w:rsid w:val="1C296392"/>
    <w:rsid w:val="1C810711"/>
    <w:rsid w:val="1E634B68"/>
    <w:rsid w:val="1EA24736"/>
    <w:rsid w:val="1EE72D27"/>
    <w:rsid w:val="1F987147"/>
    <w:rsid w:val="20195E4F"/>
    <w:rsid w:val="202F4177"/>
    <w:rsid w:val="20414854"/>
    <w:rsid w:val="206B526D"/>
    <w:rsid w:val="207A041F"/>
    <w:rsid w:val="21A750E6"/>
    <w:rsid w:val="21D343AC"/>
    <w:rsid w:val="22243B32"/>
    <w:rsid w:val="24107251"/>
    <w:rsid w:val="25191504"/>
    <w:rsid w:val="252A7C0E"/>
    <w:rsid w:val="26643EA3"/>
    <w:rsid w:val="26C30E4A"/>
    <w:rsid w:val="2819725F"/>
    <w:rsid w:val="299B47A7"/>
    <w:rsid w:val="2AC87686"/>
    <w:rsid w:val="2CE36F3E"/>
    <w:rsid w:val="2CFE510D"/>
    <w:rsid w:val="2E3E35D7"/>
    <w:rsid w:val="2E8A0DE4"/>
    <w:rsid w:val="2EC37FE7"/>
    <w:rsid w:val="2EF66E4D"/>
    <w:rsid w:val="2FD448AF"/>
    <w:rsid w:val="2FEB0396"/>
    <w:rsid w:val="31CD26A0"/>
    <w:rsid w:val="320829B6"/>
    <w:rsid w:val="33367981"/>
    <w:rsid w:val="341D76D3"/>
    <w:rsid w:val="343B0338"/>
    <w:rsid w:val="34BC45ED"/>
    <w:rsid w:val="34DC7825"/>
    <w:rsid w:val="35860534"/>
    <w:rsid w:val="368D53F3"/>
    <w:rsid w:val="3708466A"/>
    <w:rsid w:val="370B2944"/>
    <w:rsid w:val="37EB0C5E"/>
    <w:rsid w:val="385E06E3"/>
    <w:rsid w:val="38653CD2"/>
    <w:rsid w:val="393F5504"/>
    <w:rsid w:val="3A31409F"/>
    <w:rsid w:val="3A721825"/>
    <w:rsid w:val="3AAD2104"/>
    <w:rsid w:val="3AC202D0"/>
    <w:rsid w:val="3BCA7A05"/>
    <w:rsid w:val="3D121A6B"/>
    <w:rsid w:val="3EAD0587"/>
    <w:rsid w:val="3F411862"/>
    <w:rsid w:val="3FC3363C"/>
    <w:rsid w:val="40353C06"/>
    <w:rsid w:val="40BA0A07"/>
    <w:rsid w:val="40D76F65"/>
    <w:rsid w:val="40EB1F1A"/>
    <w:rsid w:val="411412A0"/>
    <w:rsid w:val="412C35D2"/>
    <w:rsid w:val="41590202"/>
    <w:rsid w:val="41D54681"/>
    <w:rsid w:val="41F855CB"/>
    <w:rsid w:val="422C15BC"/>
    <w:rsid w:val="427A1B78"/>
    <w:rsid w:val="42FA594A"/>
    <w:rsid w:val="45654373"/>
    <w:rsid w:val="45687396"/>
    <w:rsid w:val="46ED468C"/>
    <w:rsid w:val="47D411E2"/>
    <w:rsid w:val="48066E9E"/>
    <w:rsid w:val="491D4B03"/>
    <w:rsid w:val="49FD0B53"/>
    <w:rsid w:val="4AC44574"/>
    <w:rsid w:val="4B1049A3"/>
    <w:rsid w:val="4C306B35"/>
    <w:rsid w:val="4C597F6A"/>
    <w:rsid w:val="4CD56F05"/>
    <w:rsid w:val="4E3604C1"/>
    <w:rsid w:val="4E9F59EF"/>
    <w:rsid w:val="50826CF6"/>
    <w:rsid w:val="509F3E73"/>
    <w:rsid w:val="50F54313"/>
    <w:rsid w:val="511A4151"/>
    <w:rsid w:val="51F20EA4"/>
    <w:rsid w:val="51F972CD"/>
    <w:rsid w:val="522457CC"/>
    <w:rsid w:val="526933DD"/>
    <w:rsid w:val="52A6045F"/>
    <w:rsid w:val="52AC4998"/>
    <w:rsid w:val="52E848C0"/>
    <w:rsid w:val="52EC2549"/>
    <w:rsid w:val="542812E2"/>
    <w:rsid w:val="54402072"/>
    <w:rsid w:val="56033499"/>
    <w:rsid w:val="56CD4E27"/>
    <w:rsid w:val="574B71D3"/>
    <w:rsid w:val="579440E0"/>
    <w:rsid w:val="579473FB"/>
    <w:rsid w:val="586B3187"/>
    <w:rsid w:val="5888398E"/>
    <w:rsid w:val="59D425AE"/>
    <w:rsid w:val="59EC3CC4"/>
    <w:rsid w:val="5AC86033"/>
    <w:rsid w:val="5CFD1C47"/>
    <w:rsid w:val="5D277AEB"/>
    <w:rsid w:val="5D8A17D0"/>
    <w:rsid w:val="5DD3085E"/>
    <w:rsid w:val="5F516DA0"/>
    <w:rsid w:val="5F9A766B"/>
    <w:rsid w:val="5FE17D01"/>
    <w:rsid w:val="5FEB72A5"/>
    <w:rsid w:val="602A26D5"/>
    <w:rsid w:val="614D07B6"/>
    <w:rsid w:val="61806664"/>
    <w:rsid w:val="6227599A"/>
    <w:rsid w:val="62D71CC0"/>
    <w:rsid w:val="63374234"/>
    <w:rsid w:val="642A0FDA"/>
    <w:rsid w:val="64C46222"/>
    <w:rsid w:val="64D15105"/>
    <w:rsid w:val="65384BAC"/>
    <w:rsid w:val="65656531"/>
    <w:rsid w:val="6586206A"/>
    <w:rsid w:val="65A34084"/>
    <w:rsid w:val="65C74F7D"/>
    <w:rsid w:val="66415501"/>
    <w:rsid w:val="676E2EBA"/>
    <w:rsid w:val="6A303644"/>
    <w:rsid w:val="6ABF341E"/>
    <w:rsid w:val="6BBC1B0A"/>
    <w:rsid w:val="6BBE595A"/>
    <w:rsid w:val="6D5531A3"/>
    <w:rsid w:val="6E8C7865"/>
    <w:rsid w:val="714B372A"/>
    <w:rsid w:val="71C21AB6"/>
    <w:rsid w:val="71E535F1"/>
    <w:rsid w:val="73287D58"/>
    <w:rsid w:val="736817D0"/>
    <w:rsid w:val="73C624C7"/>
    <w:rsid w:val="73E643AA"/>
    <w:rsid w:val="744A4C7F"/>
    <w:rsid w:val="74785818"/>
    <w:rsid w:val="74A0012C"/>
    <w:rsid w:val="7932781B"/>
    <w:rsid w:val="799A43A2"/>
    <w:rsid w:val="79AC0C50"/>
    <w:rsid w:val="79F107BB"/>
    <w:rsid w:val="7A042963"/>
    <w:rsid w:val="7B5D20CA"/>
    <w:rsid w:val="7B8803F4"/>
    <w:rsid w:val="7BAE622E"/>
    <w:rsid w:val="7CCA0075"/>
    <w:rsid w:val="7F363054"/>
    <w:rsid w:val="7F592D37"/>
    <w:rsid w:val="7FC1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ody Text"/>
    <w:basedOn w:val="1"/>
    <w:qFormat/>
    <w:uiPriority w:val="1"/>
    <w:rPr>
      <w:rFonts w:ascii="方正小标宋简体" w:hAnsi="方正小标宋简体" w:eastAsia="方正小标宋简体" w:cs="方正小标宋简体"/>
      <w:sz w:val="43"/>
      <w:szCs w:val="43"/>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2021-06-02T00:54:00Z</dcterms:created>
  <dc:creator>兜&amp;图粑粑</dc:creator>
  <cp:lastModifiedBy>-   宁</cp:lastModifiedBy>
  <cp:lastPrinted>2021-11-11T08:31:00Z</cp:lastPrinted>
  <dcterms:modified xsi:type="dcterms:W3CDTF">2021-12-06T01:11:51Z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949CF3AB12544A36BF3A49450A3D1C5C</vt:lpwstr>
  </property>
  <property fmtid="{D5CDD505-2E9C-101B-9397-08002B2CF9AE}" pid="4" name="KSOSaveFontToCloudKey">
    <vt:lpwstr>270531601_btnclosed</vt:lpwstr>
  </property>
</Properties>
</file>