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widowControl/>
        <w:spacing w:line="600" w:lineRule="exact"/>
        <w:jc w:val="center"/>
        <w:rPr>
          <w:rFonts w:hint="eastAsia" w:eastAsia="方正小标宋简体"/>
          <w:color w:val="000000"/>
          <w:sz w:val="44"/>
          <w:szCs w:val="44"/>
        </w:rPr>
      </w:pPr>
      <w:r>
        <w:rPr>
          <w:rFonts w:hint="eastAsia" w:eastAsia="方正小标宋简体"/>
          <w:color w:val="000000"/>
          <w:sz w:val="44"/>
          <w:szCs w:val="44"/>
        </w:rPr>
        <w:t>关于</w:t>
      </w:r>
      <w:r>
        <w:rPr>
          <w:rFonts w:eastAsia="方正小标宋简体"/>
          <w:color w:val="000000"/>
          <w:sz w:val="44"/>
          <w:szCs w:val="44"/>
        </w:rPr>
        <w:t>2023</w:t>
      </w:r>
      <w:r>
        <w:rPr>
          <w:rFonts w:hint="eastAsia" w:eastAsia="方正小标宋简体"/>
          <w:color w:val="000000"/>
          <w:sz w:val="44"/>
          <w:szCs w:val="44"/>
        </w:rPr>
        <w:t>年区级财政决算（草案）的</w:t>
      </w:r>
    </w:p>
    <w:p>
      <w:pPr>
        <w:widowControl/>
        <w:spacing w:line="600" w:lineRule="exact"/>
        <w:jc w:val="center"/>
        <w:rPr>
          <w:rFonts w:hint="eastAsia" w:eastAsia="方正小标宋简体"/>
          <w:color w:val="000000"/>
          <w:sz w:val="44"/>
          <w:szCs w:val="44"/>
        </w:rPr>
      </w:pPr>
      <w:r>
        <w:rPr>
          <w:rFonts w:hint="eastAsia" w:eastAsia="方正小标宋简体"/>
          <w:color w:val="000000"/>
          <w:sz w:val="44"/>
          <w:szCs w:val="44"/>
        </w:rPr>
        <w:t>报</w:t>
      </w:r>
      <w:r>
        <w:rPr>
          <w:rFonts w:hint="eastAsia" w:eastAsia="方正小标宋简体"/>
          <w:color w:val="000000"/>
          <w:sz w:val="44"/>
          <w:szCs w:val="44"/>
          <w:lang w:val="en-US" w:eastAsia="zh-CN"/>
        </w:rPr>
        <w:t xml:space="preserve">    </w:t>
      </w:r>
      <w:r>
        <w:rPr>
          <w:rFonts w:hint="eastAsia" w:eastAsia="方正小标宋简体"/>
          <w:color w:val="000000"/>
          <w:sz w:val="44"/>
          <w:szCs w:val="44"/>
        </w:rPr>
        <w:t>告</w:t>
      </w:r>
    </w:p>
    <w:p>
      <w:pPr>
        <w:widowControl/>
        <w:shd w:val="clear" w:color="auto" w:fill="FFFFFF"/>
        <w:spacing w:line="600" w:lineRule="exact"/>
        <w:jc w:val="center"/>
        <w:rPr>
          <w:rFonts w:hint="default" w:ascii="Times New Roman" w:hAnsi="Times New Roman" w:eastAsia="楷体_GB2312" w:cs="Times New Roman"/>
          <w:b/>
          <w:color w:val="auto"/>
          <w:kern w:val="0"/>
          <w:sz w:val="32"/>
          <w:szCs w:val="32"/>
        </w:rPr>
      </w:pPr>
      <w:r>
        <w:rPr>
          <w:rFonts w:hint="default" w:ascii="Times New Roman" w:hAnsi="Times New Roman" w:eastAsia="楷体_GB2312" w:cs="Times New Roman"/>
          <w:b/>
          <w:color w:val="auto"/>
          <w:spacing w:val="-6"/>
          <w:kern w:val="0"/>
          <w:sz w:val="32"/>
          <w:szCs w:val="32"/>
        </w:rPr>
        <w:t>--202</w:t>
      </w:r>
      <w:r>
        <w:rPr>
          <w:rFonts w:hint="default" w:ascii="Times New Roman" w:hAnsi="Times New Roman" w:eastAsia="楷体_GB2312" w:cs="Times New Roman"/>
          <w:b/>
          <w:color w:val="auto"/>
          <w:spacing w:val="-6"/>
          <w:kern w:val="0"/>
          <w:sz w:val="32"/>
          <w:szCs w:val="32"/>
          <w:lang w:val="en-US" w:eastAsia="zh-CN"/>
        </w:rPr>
        <w:t>4</w:t>
      </w:r>
      <w:r>
        <w:rPr>
          <w:rFonts w:hint="default" w:ascii="Times New Roman" w:hAnsi="Times New Roman" w:eastAsia="楷体_GB2312" w:cs="Times New Roman"/>
          <w:b/>
          <w:color w:val="auto"/>
          <w:spacing w:val="-6"/>
          <w:kern w:val="0"/>
          <w:sz w:val="32"/>
          <w:szCs w:val="32"/>
        </w:rPr>
        <w:t>年</w:t>
      </w:r>
      <w:r>
        <w:rPr>
          <w:rFonts w:hint="eastAsia" w:ascii="Times New Roman" w:hAnsi="Times New Roman" w:eastAsia="楷体_GB2312" w:cs="Times New Roman"/>
          <w:b/>
          <w:color w:val="auto"/>
          <w:spacing w:val="-6"/>
          <w:kern w:val="0"/>
          <w:sz w:val="32"/>
          <w:szCs w:val="32"/>
          <w:lang w:val="en-US" w:eastAsia="zh-CN"/>
        </w:rPr>
        <w:t>6</w:t>
      </w:r>
      <w:r>
        <w:rPr>
          <w:rFonts w:hint="default" w:ascii="Times New Roman" w:hAnsi="Times New Roman" w:eastAsia="楷体_GB2312" w:cs="Times New Roman"/>
          <w:b/>
          <w:color w:val="auto"/>
          <w:spacing w:val="-6"/>
          <w:kern w:val="0"/>
          <w:sz w:val="32"/>
          <w:szCs w:val="32"/>
        </w:rPr>
        <w:t>月</w:t>
      </w:r>
      <w:r>
        <w:rPr>
          <w:rFonts w:hint="default" w:ascii="Times New Roman" w:hAnsi="Times New Roman" w:eastAsia="楷体_GB2312" w:cs="Times New Roman"/>
          <w:b/>
          <w:color w:val="auto"/>
          <w:spacing w:val="-6"/>
          <w:kern w:val="0"/>
          <w:sz w:val="32"/>
          <w:szCs w:val="32"/>
          <w:lang w:val="en-US" w:eastAsia="zh-CN"/>
        </w:rPr>
        <w:t>2</w:t>
      </w:r>
      <w:r>
        <w:rPr>
          <w:rFonts w:hint="eastAsia" w:ascii="Times New Roman" w:hAnsi="Times New Roman" w:eastAsia="楷体_GB2312" w:cs="Times New Roman"/>
          <w:b/>
          <w:color w:val="auto"/>
          <w:spacing w:val="-6"/>
          <w:kern w:val="0"/>
          <w:sz w:val="32"/>
          <w:szCs w:val="32"/>
          <w:lang w:val="en-US" w:eastAsia="zh-CN"/>
        </w:rPr>
        <w:t>7</w:t>
      </w:r>
      <w:r>
        <w:rPr>
          <w:rFonts w:hint="default" w:ascii="Times New Roman" w:hAnsi="Times New Roman" w:eastAsia="楷体_GB2312" w:cs="Times New Roman"/>
          <w:b/>
          <w:color w:val="auto"/>
          <w:spacing w:val="-6"/>
          <w:kern w:val="0"/>
          <w:sz w:val="32"/>
          <w:szCs w:val="32"/>
        </w:rPr>
        <w:t>日在区十一届人大常委会第</w:t>
      </w:r>
      <w:r>
        <w:rPr>
          <w:rFonts w:hint="default" w:ascii="Times New Roman" w:hAnsi="Times New Roman" w:eastAsia="楷体_GB2312" w:cs="Times New Roman"/>
          <w:b/>
          <w:color w:val="auto"/>
          <w:spacing w:val="-6"/>
          <w:kern w:val="0"/>
          <w:sz w:val="32"/>
          <w:szCs w:val="32"/>
          <w:lang w:eastAsia="zh-CN"/>
        </w:rPr>
        <w:t>二十</w:t>
      </w:r>
      <w:r>
        <w:rPr>
          <w:rFonts w:hint="eastAsia" w:ascii="Times New Roman" w:hAnsi="Times New Roman" w:eastAsia="楷体_GB2312" w:cs="Times New Roman"/>
          <w:b/>
          <w:color w:val="auto"/>
          <w:spacing w:val="-6"/>
          <w:kern w:val="0"/>
          <w:sz w:val="32"/>
          <w:szCs w:val="32"/>
          <w:lang w:val="en-US" w:eastAsia="zh-CN"/>
        </w:rPr>
        <w:t>二</w:t>
      </w:r>
      <w:r>
        <w:rPr>
          <w:rFonts w:hint="default" w:ascii="Times New Roman" w:hAnsi="Times New Roman" w:eastAsia="楷体_GB2312" w:cs="Times New Roman"/>
          <w:b/>
          <w:color w:val="auto"/>
          <w:spacing w:val="-6"/>
          <w:kern w:val="0"/>
          <w:sz w:val="32"/>
          <w:szCs w:val="32"/>
        </w:rPr>
        <w:t>次会议上</w:t>
      </w:r>
    </w:p>
    <w:p>
      <w:pPr>
        <w:pStyle w:val="4"/>
        <w:spacing w:after="0" w:line="600" w:lineRule="exact"/>
        <w:jc w:val="center"/>
        <w:rPr>
          <w:rFonts w:hint="default" w:ascii="楷体_GB2312" w:eastAsia="楷体_GB2312"/>
          <w:b/>
          <w:color w:val="000000"/>
          <w:sz w:val="32"/>
          <w:szCs w:val="32"/>
          <w:lang w:val="en-US" w:eastAsia="zh-CN"/>
        </w:rPr>
      </w:pPr>
      <w:r>
        <w:rPr>
          <w:rFonts w:hint="eastAsia" w:ascii="楷体_GB2312" w:eastAsia="楷体_GB2312"/>
          <w:b/>
          <w:color w:val="000000"/>
          <w:sz w:val="32"/>
          <w:szCs w:val="32"/>
        </w:rPr>
        <w:t>区财政局</w:t>
      </w:r>
      <w:r>
        <w:rPr>
          <w:rFonts w:hint="eastAsia" w:ascii="楷体_GB2312" w:eastAsia="楷体_GB2312"/>
          <w:b/>
          <w:color w:val="000000"/>
          <w:sz w:val="32"/>
          <w:szCs w:val="32"/>
          <w:lang w:val="en-US" w:eastAsia="zh-CN"/>
        </w:rPr>
        <w:t>局长  张传军</w:t>
      </w:r>
    </w:p>
    <w:p>
      <w:pPr>
        <w:spacing w:line="580" w:lineRule="exact"/>
        <w:ind w:firstLine="632" w:firstLineChars="200"/>
        <w:rPr>
          <w:rFonts w:hint="eastAsia" w:eastAsia="黑体"/>
          <w:bCs/>
          <w:color w:val="000000"/>
          <w:sz w:val="32"/>
          <w:szCs w:val="32"/>
        </w:rPr>
      </w:pPr>
    </w:p>
    <w:p>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区人大常委会：  </w:t>
      </w:r>
    </w:p>
    <w:p>
      <w:pPr>
        <w:spacing w:line="580" w:lineRule="exact"/>
        <w:ind w:firstLine="632" w:firstLineChars="20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受区人民政府委托，向区十</w:t>
      </w:r>
      <w:r>
        <w:rPr>
          <w:rFonts w:hint="eastAsia" w:ascii="仿宋_GB2312" w:hAnsi="仿宋_GB2312" w:eastAsia="仿宋_GB2312" w:cs="仿宋_GB2312"/>
          <w:bCs/>
          <w:color w:val="000000"/>
          <w:sz w:val="32"/>
          <w:szCs w:val="32"/>
          <w:lang w:eastAsia="zh-CN"/>
        </w:rPr>
        <w:t>一</w:t>
      </w:r>
      <w:r>
        <w:rPr>
          <w:rFonts w:hint="eastAsia" w:ascii="仿宋_GB2312" w:hAnsi="仿宋_GB2312" w:eastAsia="仿宋_GB2312" w:cs="仿宋_GB2312"/>
          <w:bCs/>
          <w:color w:val="000000"/>
          <w:sz w:val="32"/>
          <w:szCs w:val="32"/>
        </w:rPr>
        <w:t>届人大常委会报告202</w:t>
      </w:r>
      <w:r>
        <w:rPr>
          <w:rFonts w:hint="eastAsia" w:ascii="仿宋_GB2312" w:hAnsi="仿宋_GB2312" w:eastAsia="仿宋_GB2312" w:cs="仿宋_GB2312"/>
          <w:bCs/>
          <w:color w:val="000000"/>
          <w:sz w:val="32"/>
          <w:szCs w:val="32"/>
          <w:lang w:val="en-US" w:eastAsia="zh-CN"/>
        </w:rPr>
        <w:t>3</w:t>
      </w:r>
      <w:r>
        <w:rPr>
          <w:rFonts w:hint="eastAsia" w:ascii="仿宋_GB2312" w:hAnsi="仿宋_GB2312" w:eastAsia="仿宋_GB2312" w:cs="仿宋_GB2312"/>
          <w:bCs/>
          <w:color w:val="000000"/>
          <w:sz w:val="32"/>
          <w:szCs w:val="32"/>
        </w:rPr>
        <w:t>年区级财政决算（草案）情况，请予审议。</w:t>
      </w:r>
    </w:p>
    <w:p>
      <w:pPr>
        <w:spacing w:line="580" w:lineRule="exact"/>
        <w:ind w:firstLine="632" w:firstLineChars="200"/>
        <w:rPr>
          <w:rFonts w:eastAsia="黑体"/>
          <w:bCs/>
          <w:color w:val="000000"/>
          <w:sz w:val="32"/>
          <w:szCs w:val="32"/>
        </w:rPr>
      </w:pPr>
      <w:r>
        <w:rPr>
          <w:rFonts w:hint="eastAsia" w:eastAsia="黑体"/>
          <w:bCs/>
          <w:color w:val="000000"/>
          <w:sz w:val="32"/>
          <w:szCs w:val="32"/>
        </w:rPr>
        <w:t>一、</w:t>
      </w:r>
      <w:r>
        <w:rPr>
          <w:rFonts w:eastAsia="黑体"/>
          <w:bCs/>
          <w:color w:val="000000"/>
          <w:sz w:val="32"/>
          <w:szCs w:val="32"/>
        </w:rPr>
        <w:t>2023</w:t>
      </w:r>
      <w:r>
        <w:rPr>
          <w:rFonts w:hint="eastAsia" w:eastAsia="黑体"/>
          <w:bCs/>
          <w:color w:val="000000"/>
          <w:sz w:val="32"/>
          <w:szCs w:val="32"/>
        </w:rPr>
        <w:t>年全区财政决算情况</w:t>
      </w:r>
    </w:p>
    <w:p>
      <w:pPr>
        <w:spacing w:line="580" w:lineRule="exact"/>
        <w:ind w:firstLine="632" w:firstLineChars="200"/>
        <w:rPr>
          <w:rFonts w:eastAsia="仿宋_GB2312"/>
          <w:bCs/>
          <w:color w:val="000000"/>
          <w:sz w:val="32"/>
          <w:szCs w:val="32"/>
        </w:rPr>
      </w:pPr>
      <w:r>
        <w:rPr>
          <w:rFonts w:eastAsia="仿宋_GB2312"/>
          <w:bCs/>
          <w:color w:val="000000"/>
          <w:sz w:val="32"/>
          <w:szCs w:val="32"/>
        </w:rPr>
        <w:t>2023</w:t>
      </w:r>
      <w:r>
        <w:rPr>
          <w:rFonts w:hint="eastAsia" w:eastAsia="仿宋_GB2312"/>
          <w:bCs/>
          <w:color w:val="000000"/>
          <w:sz w:val="32"/>
          <w:szCs w:val="32"/>
        </w:rPr>
        <w:t>年，区政府在区委的坚强领导下，在区人大及</w:t>
      </w:r>
      <w:bookmarkStart w:id="0" w:name="_GoBack"/>
      <w:bookmarkEnd w:id="0"/>
      <w:r>
        <w:rPr>
          <w:rFonts w:hint="eastAsia" w:eastAsia="仿宋_GB2312"/>
          <w:bCs/>
          <w:color w:val="000000"/>
          <w:sz w:val="32"/>
          <w:szCs w:val="32"/>
        </w:rPr>
        <w:t>其常委会的监督支持下，坚持以习近平新时代中国特色社会主义思想为指导，全面贯彻党的二十大精神，坚决落实区委各项决策和部署，推动全区经济社会高质量发展，较好完成了区十一届人大二次会议及其</w:t>
      </w:r>
      <w:r>
        <w:rPr>
          <w:rFonts w:eastAsia="仿宋_GB2312"/>
          <w:bCs/>
          <w:color w:val="000000"/>
          <w:sz w:val="32"/>
          <w:szCs w:val="32"/>
        </w:rPr>
        <w:t>17</w:t>
      </w:r>
      <w:r>
        <w:rPr>
          <w:rFonts w:hint="eastAsia" w:eastAsia="仿宋_GB2312"/>
          <w:bCs/>
          <w:color w:val="000000"/>
          <w:sz w:val="32"/>
          <w:szCs w:val="32"/>
        </w:rPr>
        <w:t>次常委会确定的目标任务，财政决算情况总体较好。</w:t>
      </w:r>
    </w:p>
    <w:p>
      <w:pPr>
        <w:spacing w:line="580" w:lineRule="exact"/>
        <w:ind w:firstLine="632" w:firstLineChars="200"/>
        <w:rPr>
          <w:rFonts w:eastAsia="仿宋_GB2312"/>
          <w:bCs/>
          <w:color w:val="000000"/>
          <w:sz w:val="32"/>
          <w:szCs w:val="32"/>
        </w:rPr>
      </w:pPr>
      <w:r>
        <w:rPr>
          <w:rFonts w:hint="eastAsia" w:eastAsia="仿宋_GB2312"/>
          <w:bCs/>
          <w:color w:val="000000"/>
          <w:sz w:val="32"/>
          <w:szCs w:val="32"/>
        </w:rPr>
        <w:t>根据预算法有关规定，重点报告以下情况：</w:t>
      </w:r>
    </w:p>
    <w:p>
      <w:pPr>
        <w:spacing w:line="580" w:lineRule="exact"/>
        <w:ind w:firstLine="632" w:firstLineChars="200"/>
        <w:rPr>
          <w:rFonts w:eastAsia="楷体_GB2312"/>
          <w:b/>
          <w:color w:val="000000"/>
          <w:sz w:val="32"/>
          <w:szCs w:val="32"/>
        </w:rPr>
      </w:pPr>
      <w:r>
        <w:rPr>
          <w:rFonts w:hint="eastAsia" w:eastAsia="楷体_GB2312"/>
          <w:b/>
          <w:color w:val="000000"/>
          <w:sz w:val="32"/>
          <w:szCs w:val="32"/>
        </w:rPr>
        <w:t>（一）一般公共预算收支决算情况</w:t>
      </w:r>
    </w:p>
    <w:p>
      <w:pPr>
        <w:spacing w:line="580" w:lineRule="exact"/>
        <w:ind w:firstLine="632" w:firstLineChars="200"/>
        <w:rPr>
          <w:rFonts w:hint="default" w:ascii="Times New Roman" w:hAnsi="Times New Roman" w:eastAsia="仿宋_GB2312" w:cs="Times New Roman"/>
          <w:color w:val="000000"/>
          <w:sz w:val="32"/>
          <w:szCs w:val="32"/>
        </w:rPr>
      </w:pPr>
      <w:r>
        <w:rPr>
          <w:rFonts w:eastAsia="仿宋_GB2312"/>
          <w:b/>
          <w:color w:val="000000"/>
          <w:sz w:val="32"/>
          <w:szCs w:val="32"/>
        </w:rPr>
        <w:t>1</w:t>
      </w:r>
      <w:r>
        <w:rPr>
          <w:rFonts w:hint="eastAsia" w:eastAsia="仿宋_GB2312"/>
          <w:b/>
          <w:color w:val="000000"/>
          <w:sz w:val="32"/>
          <w:szCs w:val="32"/>
        </w:rPr>
        <w:t>、全区收支情况：</w:t>
      </w:r>
      <w:r>
        <w:rPr>
          <w:rFonts w:hint="default" w:ascii="Times New Roman" w:hAnsi="Times New Roman" w:eastAsia="仿宋_GB2312" w:cs="Times New Roman"/>
          <w:color w:val="000000"/>
          <w:sz w:val="32"/>
          <w:szCs w:val="32"/>
        </w:rPr>
        <w:t>2023年，一般公共预算收入完成51277万元，为预算（调整后）的100.5%，增长13.4%，增收6055万元。一般公共预算支出完成198231万元，为预算（调整后）的94.7%，增长14.2%，增支24688万元。</w:t>
      </w:r>
    </w:p>
    <w:p>
      <w:pPr>
        <w:spacing w:line="580" w:lineRule="exact"/>
        <w:ind w:firstLine="600" w:firstLineChars="200"/>
        <w:rPr>
          <w:rFonts w:hint="default" w:ascii="Times New Roman" w:hAnsi="Times New Roman" w:eastAsia="仿宋_GB2312" w:cs="Times New Roman"/>
          <w:color w:val="000000"/>
          <w:spacing w:val="-8"/>
          <w:sz w:val="32"/>
          <w:szCs w:val="32"/>
          <w:highlight w:val="yellow"/>
        </w:rPr>
      </w:pPr>
      <w:r>
        <w:rPr>
          <w:rFonts w:hint="default" w:ascii="Times New Roman" w:hAnsi="Times New Roman" w:eastAsia="仿宋_GB2312" w:cs="Times New Roman"/>
          <w:color w:val="000000"/>
          <w:spacing w:val="-8"/>
          <w:sz w:val="32"/>
          <w:szCs w:val="32"/>
        </w:rPr>
        <w:t>按现行财政体制，全区收入总计222672万元，其中：一般公共预算收入51277万元，上级补助收入115658万元，上年结余3508万元，调入资金40206万元，新增一般债券转贷收入10523万元，调入预算稳定调节基金1500万元。全区支出总计211516万元，其中：一般公共预算支出198231万元，上解上级支出3724万元，债务还本支出8061万元，安排预算稳定调节基金1500万元。收支相抵结余11156万元，</w:t>
      </w:r>
      <w:r>
        <w:rPr>
          <w:rFonts w:hint="default" w:ascii="Times New Roman" w:hAnsi="Times New Roman" w:eastAsia="仿宋_GB2312" w:cs="Times New Roman"/>
          <w:color w:val="000000"/>
          <w:sz w:val="32"/>
          <w:szCs w:val="32"/>
        </w:rPr>
        <w:t>均为结转下年使用的专项资金</w:t>
      </w:r>
      <w:r>
        <w:rPr>
          <w:rFonts w:hint="default" w:ascii="Times New Roman" w:hAnsi="Times New Roman" w:eastAsia="仿宋_GB2312" w:cs="Times New Roman"/>
          <w:color w:val="000000"/>
          <w:spacing w:val="-8"/>
          <w:sz w:val="32"/>
          <w:szCs w:val="32"/>
        </w:rPr>
        <w:t>，减结转下年的支出11156万元，净结余为零</w:t>
      </w:r>
      <w:r>
        <w:rPr>
          <w:rFonts w:hint="default" w:ascii="Times New Roman" w:hAnsi="Times New Roman" w:eastAsia="仿宋_GB2312" w:cs="Times New Roman"/>
          <w:color w:val="000000"/>
          <w:sz w:val="32"/>
          <w:szCs w:val="32"/>
        </w:rPr>
        <w:t>。</w:t>
      </w:r>
    </w:p>
    <w:p>
      <w:pPr>
        <w:spacing w:line="580" w:lineRule="exact"/>
        <w:ind w:firstLine="600" w:firstLineChars="200"/>
        <w:rPr>
          <w:rFonts w:hint="default" w:ascii="Times New Roman" w:hAnsi="Times New Roman" w:eastAsia="仿宋_GB2312" w:cs="Times New Roman"/>
          <w:color w:val="000000"/>
          <w:spacing w:val="-8"/>
          <w:sz w:val="32"/>
          <w:szCs w:val="32"/>
        </w:rPr>
      </w:pPr>
      <w:r>
        <w:rPr>
          <w:rFonts w:eastAsia="仿宋_GB2312"/>
          <w:b/>
          <w:bCs/>
          <w:color w:val="000000"/>
          <w:spacing w:val="-8"/>
          <w:sz w:val="32"/>
          <w:szCs w:val="32"/>
        </w:rPr>
        <w:t>2</w:t>
      </w:r>
      <w:r>
        <w:rPr>
          <w:rFonts w:hint="eastAsia" w:eastAsia="仿宋_GB2312"/>
          <w:b/>
          <w:bCs/>
          <w:color w:val="000000"/>
          <w:spacing w:val="-8"/>
          <w:sz w:val="32"/>
          <w:szCs w:val="32"/>
        </w:rPr>
        <w:t>、区本级收支情况：</w:t>
      </w:r>
      <w:r>
        <w:rPr>
          <w:rFonts w:hint="default" w:ascii="Times New Roman" w:hAnsi="Times New Roman" w:eastAsia="仿宋_GB2312" w:cs="Times New Roman"/>
          <w:color w:val="000000"/>
          <w:spacing w:val="-8"/>
          <w:sz w:val="32"/>
          <w:szCs w:val="32"/>
        </w:rPr>
        <w:t>2023年，区本级一般公共预算收入37951万元，增长14.1%，增收4690万元。区本级一般公共预算支出170724万元，增长16.7%，增支24493万元。</w:t>
      </w:r>
    </w:p>
    <w:p>
      <w:pPr>
        <w:spacing w:line="580" w:lineRule="exact"/>
        <w:ind w:firstLine="600" w:firstLineChars="200"/>
        <w:rPr>
          <w:rFonts w:hint="default" w:ascii="Times New Roman" w:hAnsi="Times New Roman" w:eastAsia="仿宋_GB2312" w:cs="Times New Roman"/>
          <w:color w:val="000000"/>
          <w:spacing w:val="-8"/>
          <w:sz w:val="32"/>
          <w:szCs w:val="32"/>
          <w:highlight w:val="yellow"/>
        </w:rPr>
      </w:pPr>
      <w:r>
        <w:rPr>
          <w:rFonts w:hint="default" w:ascii="Times New Roman" w:hAnsi="Times New Roman" w:eastAsia="仿宋_GB2312" w:cs="Times New Roman"/>
          <w:color w:val="000000"/>
          <w:spacing w:val="-8"/>
          <w:sz w:val="32"/>
          <w:szCs w:val="32"/>
        </w:rPr>
        <w:t>按现行财政体制，区本级收入总计221797万元，其中：一般公共预算收入37951万元，镇办上解收入13326万元，上级补助收入115658万元，上年结余3433万元，调入资金40206万元，新增一般债券转贷收入10523万元，调入预算稳定调节基金700万元。区本级支出总计210716万元，其中：一般公共预算支出170724万元，上解上级支出3724万元，债务还本支出8061万元，安排预算稳定调节基金700万元,补助镇办27507万元。收支相抵结余11081万元，</w:t>
      </w:r>
      <w:r>
        <w:rPr>
          <w:rFonts w:hint="default" w:ascii="Times New Roman" w:hAnsi="Times New Roman" w:eastAsia="仿宋_GB2312" w:cs="Times New Roman"/>
          <w:color w:val="000000"/>
          <w:sz w:val="32"/>
          <w:szCs w:val="32"/>
        </w:rPr>
        <w:t>均为结转下年使用的专项资金</w:t>
      </w:r>
      <w:r>
        <w:rPr>
          <w:rFonts w:hint="default" w:ascii="Times New Roman" w:hAnsi="Times New Roman" w:eastAsia="仿宋_GB2312" w:cs="Times New Roman"/>
          <w:color w:val="000000"/>
          <w:spacing w:val="-8"/>
          <w:sz w:val="32"/>
          <w:szCs w:val="32"/>
        </w:rPr>
        <w:t>，减结转下年的支出11081万元，净结余为零</w:t>
      </w:r>
      <w:r>
        <w:rPr>
          <w:rFonts w:hint="default" w:ascii="Times New Roman" w:hAnsi="Times New Roman" w:eastAsia="仿宋_GB2312" w:cs="Times New Roman"/>
          <w:color w:val="000000"/>
          <w:sz w:val="32"/>
          <w:szCs w:val="32"/>
        </w:rPr>
        <w:t>。</w:t>
      </w:r>
    </w:p>
    <w:p>
      <w:pPr>
        <w:spacing w:line="580" w:lineRule="exact"/>
        <w:ind w:firstLine="632" w:firstLineChars="200"/>
        <w:rPr>
          <w:rFonts w:eastAsia="仿宋_GB2312"/>
          <w:color w:val="000000"/>
          <w:kern w:val="0"/>
          <w:sz w:val="32"/>
          <w:szCs w:val="32"/>
        </w:rPr>
      </w:pPr>
      <w:r>
        <w:rPr>
          <w:rFonts w:eastAsia="仿宋_GB2312"/>
          <w:b/>
          <w:color w:val="000000"/>
          <w:sz w:val="32"/>
          <w:szCs w:val="32"/>
        </w:rPr>
        <w:t>3</w:t>
      </w:r>
      <w:r>
        <w:rPr>
          <w:rFonts w:hint="eastAsia" w:eastAsia="仿宋_GB2312"/>
          <w:b/>
          <w:color w:val="000000"/>
          <w:sz w:val="32"/>
          <w:szCs w:val="32"/>
        </w:rPr>
        <w:t>、其他有关情况：</w:t>
      </w:r>
      <w:r>
        <w:rPr>
          <w:rFonts w:hint="eastAsia" w:eastAsia="仿宋_GB2312"/>
          <w:color w:val="000000"/>
          <w:kern w:val="0"/>
          <w:sz w:val="32"/>
          <w:szCs w:val="32"/>
        </w:rPr>
        <w:t>一是上级财政转移支付情况。收到上级下达一般公共预算税收返还和转移支付决算数为上级补助收入</w:t>
      </w:r>
      <w:r>
        <w:rPr>
          <w:rFonts w:eastAsia="仿宋_GB2312"/>
          <w:color w:val="000000"/>
          <w:kern w:val="0"/>
          <w:sz w:val="32"/>
          <w:szCs w:val="32"/>
        </w:rPr>
        <w:t>115658</w:t>
      </w:r>
      <w:r>
        <w:rPr>
          <w:rFonts w:hint="eastAsia" w:eastAsia="仿宋_GB2312"/>
          <w:color w:val="000000"/>
          <w:kern w:val="0"/>
          <w:sz w:val="32"/>
          <w:szCs w:val="32"/>
        </w:rPr>
        <w:t>万元，其中一般性转移支付收入</w:t>
      </w:r>
      <w:r>
        <w:rPr>
          <w:rFonts w:eastAsia="仿宋_GB2312"/>
          <w:color w:val="000000"/>
          <w:kern w:val="0"/>
          <w:sz w:val="32"/>
          <w:szCs w:val="32"/>
        </w:rPr>
        <w:t>98259</w:t>
      </w:r>
      <w:r>
        <w:rPr>
          <w:rFonts w:hint="eastAsia" w:eastAsia="仿宋_GB2312"/>
          <w:color w:val="000000"/>
          <w:kern w:val="0"/>
          <w:sz w:val="32"/>
          <w:szCs w:val="32"/>
        </w:rPr>
        <w:t>万元，专项转移支付收入</w:t>
      </w:r>
      <w:r>
        <w:rPr>
          <w:rFonts w:eastAsia="仿宋_GB2312"/>
          <w:color w:val="000000"/>
          <w:kern w:val="0"/>
          <w:sz w:val="32"/>
          <w:szCs w:val="32"/>
        </w:rPr>
        <w:t>17399</w:t>
      </w:r>
      <w:r>
        <w:rPr>
          <w:rFonts w:hint="eastAsia" w:eastAsia="仿宋_GB2312"/>
          <w:color w:val="000000"/>
          <w:kern w:val="0"/>
          <w:sz w:val="32"/>
          <w:szCs w:val="32"/>
        </w:rPr>
        <w:t>万元。以上资金均按有关规定下达部门使用。二是一般公共预算结余情况。一般公共预算结转结余</w:t>
      </w:r>
      <w:r>
        <w:rPr>
          <w:rFonts w:eastAsia="仿宋_GB2312"/>
          <w:color w:val="000000"/>
          <w:kern w:val="0"/>
          <w:sz w:val="32"/>
          <w:szCs w:val="32"/>
        </w:rPr>
        <w:t>11081</w:t>
      </w:r>
      <w:r>
        <w:rPr>
          <w:rFonts w:hint="eastAsia" w:eastAsia="仿宋_GB2312"/>
          <w:color w:val="000000"/>
          <w:kern w:val="0"/>
          <w:sz w:val="32"/>
          <w:szCs w:val="32"/>
        </w:rPr>
        <w:t>万元。主要构成为：市级一般公共服务支出转移支付资金</w:t>
      </w:r>
      <w:r>
        <w:rPr>
          <w:rFonts w:eastAsia="仿宋_GB2312"/>
          <w:color w:val="000000"/>
          <w:kern w:val="0"/>
          <w:sz w:val="32"/>
          <w:szCs w:val="32"/>
        </w:rPr>
        <w:t>237</w:t>
      </w:r>
      <w:r>
        <w:rPr>
          <w:rFonts w:hint="eastAsia" w:eastAsia="仿宋_GB2312"/>
          <w:color w:val="000000"/>
          <w:kern w:val="0"/>
          <w:sz w:val="32"/>
          <w:szCs w:val="32"/>
        </w:rPr>
        <w:t>万元、市级教育支出转移支付资金</w:t>
      </w:r>
      <w:r>
        <w:rPr>
          <w:rFonts w:eastAsia="仿宋_GB2312"/>
          <w:color w:val="000000"/>
          <w:kern w:val="0"/>
          <w:sz w:val="32"/>
          <w:szCs w:val="32"/>
        </w:rPr>
        <w:t>6</w:t>
      </w:r>
      <w:r>
        <w:rPr>
          <w:rFonts w:hint="eastAsia" w:eastAsia="仿宋_GB2312"/>
          <w:color w:val="000000"/>
          <w:kern w:val="0"/>
          <w:sz w:val="32"/>
          <w:szCs w:val="32"/>
        </w:rPr>
        <w:t>万元、市级文化旅游体育支出转移支付资金</w:t>
      </w:r>
      <w:r>
        <w:rPr>
          <w:rFonts w:eastAsia="仿宋_GB2312"/>
          <w:color w:val="000000"/>
          <w:kern w:val="0"/>
          <w:sz w:val="32"/>
          <w:szCs w:val="32"/>
        </w:rPr>
        <w:t>20</w:t>
      </w:r>
      <w:r>
        <w:rPr>
          <w:rFonts w:hint="eastAsia" w:eastAsia="仿宋_GB2312"/>
          <w:color w:val="000000"/>
          <w:kern w:val="0"/>
          <w:sz w:val="32"/>
          <w:szCs w:val="32"/>
        </w:rPr>
        <w:t>万元、市级社保支出转移支付资金</w:t>
      </w:r>
      <w:r>
        <w:rPr>
          <w:rFonts w:eastAsia="仿宋_GB2312"/>
          <w:color w:val="000000"/>
          <w:kern w:val="0"/>
          <w:sz w:val="32"/>
          <w:szCs w:val="32"/>
        </w:rPr>
        <w:t>501</w:t>
      </w:r>
      <w:r>
        <w:rPr>
          <w:rFonts w:hint="eastAsia" w:eastAsia="仿宋_GB2312"/>
          <w:color w:val="000000"/>
          <w:kern w:val="0"/>
          <w:sz w:val="32"/>
          <w:szCs w:val="32"/>
        </w:rPr>
        <w:t>万元、市级卫生健康转移支付资金</w:t>
      </w:r>
      <w:r>
        <w:rPr>
          <w:rFonts w:eastAsia="仿宋_GB2312"/>
          <w:color w:val="000000"/>
          <w:kern w:val="0"/>
          <w:sz w:val="32"/>
          <w:szCs w:val="32"/>
        </w:rPr>
        <w:t>1</w:t>
      </w:r>
      <w:r>
        <w:rPr>
          <w:rFonts w:hint="eastAsia" w:eastAsia="仿宋_GB2312"/>
          <w:color w:val="000000"/>
          <w:kern w:val="0"/>
          <w:sz w:val="32"/>
          <w:szCs w:val="32"/>
        </w:rPr>
        <w:t>万元、市级环保支出转移支付资金</w:t>
      </w:r>
      <w:r>
        <w:rPr>
          <w:rFonts w:eastAsia="仿宋_GB2312"/>
          <w:color w:val="000000"/>
          <w:kern w:val="0"/>
          <w:sz w:val="32"/>
          <w:szCs w:val="32"/>
        </w:rPr>
        <w:t>40</w:t>
      </w:r>
      <w:r>
        <w:rPr>
          <w:rFonts w:hint="eastAsia" w:eastAsia="仿宋_GB2312"/>
          <w:color w:val="000000"/>
          <w:kern w:val="0"/>
          <w:sz w:val="32"/>
          <w:szCs w:val="32"/>
        </w:rPr>
        <w:t>万元、市级城乡社区支出转移支付资金</w:t>
      </w:r>
      <w:r>
        <w:rPr>
          <w:rFonts w:eastAsia="仿宋_GB2312"/>
          <w:color w:val="000000"/>
          <w:kern w:val="0"/>
          <w:sz w:val="32"/>
          <w:szCs w:val="32"/>
        </w:rPr>
        <w:t>7174</w:t>
      </w:r>
      <w:r>
        <w:rPr>
          <w:rFonts w:hint="eastAsia" w:eastAsia="仿宋_GB2312"/>
          <w:color w:val="000000"/>
          <w:kern w:val="0"/>
          <w:sz w:val="32"/>
          <w:szCs w:val="32"/>
        </w:rPr>
        <w:t>万元、市级农林水支出转移支付资金</w:t>
      </w:r>
      <w:r>
        <w:rPr>
          <w:rFonts w:eastAsia="仿宋_GB2312"/>
          <w:color w:val="000000"/>
          <w:kern w:val="0"/>
          <w:sz w:val="32"/>
          <w:szCs w:val="32"/>
        </w:rPr>
        <w:t>3001</w:t>
      </w:r>
      <w:r>
        <w:rPr>
          <w:rFonts w:hint="eastAsia" w:eastAsia="仿宋_GB2312"/>
          <w:color w:val="000000"/>
          <w:kern w:val="0"/>
          <w:sz w:val="32"/>
          <w:szCs w:val="32"/>
        </w:rPr>
        <w:t>万元、市级交通运输支出转移支付资金</w:t>
      </w:r>
      <w:r>
        <w:rPr>
          <w:rFonts w:eastAsia="仿宋_GB2312"/>
          <w:color w:val="000000"/>
          <w:kern w:val="0"/>
          <w:sz w:val="32"/>
          <w:szCs w:val="32"/>
        </w:rPr>
        <w:t>1</w:t>
      </w:r>
      <w:r>
        <w:rPr>
          <w:rFonts w:hint="eastAsia" w:eastAsia="仿宋_GB2312"/>
          <w:color w:val="000000"/>
          <w:kern w:val="0"/>
          <w:sz w:val="32"/>
          <w:szCs w:val="32"/>
        </w:rPr>
        <w:t>万元、市级其他自然资源海洋气象等支出转移支付资金</w:t>
      </w:r>
      <w:r>
        <w:rPr>
          <w:rFonts w:eastAsia="仿宋_GB2312"/>
          <w:color w:val="000000"/>
          <w:kern w:val="0"/>
          <w:sz w:val="32"/>
          <w:szCs w:val="32"/>
        </w:rPr>
        <w:t>100</w:t>
      </w:r>
      <w:r>
        <w:rPr>
          <w:rFonts w:hint="eastAsia" w:eastAsia="仿宋_GB2312"/>
          <w:color w:val="000000"/>
          <w:kern w:val="0"/>
          <w:sz w:val="32"/>
          <w:szCs w:val="32"/>
        </w:rPr>
        <w:t>万元，均为结转下年继续使用的专项资金。三是预备费使用情况。年初安排预备费</w:t>
      </w:r>
      <w:r>
        <w:rPr>
          <w:rFonts w:eastAsia="仿宋_GB2312"/>
          <w:color w:val="000000"/>
          <w:kern w:val="0"/>
          <w:sz w:val="32"/>
          <w:szCs w:val="32"/>
        </w:rPr>
        <w:t>1360</w:t>
      </w:r>
      <w:r>
        <w:rPr>
          <w:rFonts w:hint="eastAsia" w:eastAsia="仿宋_GB2312"/>
          <w:color w:val="000000"/>
          <w:kern w:val="0"/>
          <w:sz w:val="32"/>
          <w:szCs w:val="32"/>
        </w:rPr>
        <w:t>万元，本年动用</w:t>
      </w:r>
      <w:r>
        <w:rPr>
          <w:rFonts w:eastAsia="仿宋_GB2312"/>
          <w:color w:val="000000"/>
          <w:kern w:val="0"/>
          <w:sz w:val="32"/>
          <w:szCs w:val="32"/>
        </w:rPr>
        <w:t>1360</w:t>
      </w:r>
      <w:r>
        <w:rPr>
          <w:rFonts w:hint="eastAsia" w:eastAsia="仿宋_GB2312"/>
          <w:color w:val="000000"/>
          <w:kern w:val="0"/>
          <w:sz w:val="32"/>
          <w:szCs w:val="32"/>
        </w:rPr>
        <w:t>万元，主要用于农业农村水利等支出。四是预算稳定调节基金情况。预算稳定调节基金年初余额</w:t>
      </w:r>
      <w:r>
        <w:rPr>
          <w:rFonts w:eastAsia="仿宋_GB2312"/>
          <w:color w:val="000000"/>
          <w:kern w:val="0"/>
          <w:sz w:val="32"/>
          <w:szCs w:val="32"/>
        </w:rPr>
        <w:t>1590</w:t>
      </w:r>
      <w:r>
        <w:rPr>
          <w:rFonts w:hint="eastAsia" w:eastAsia="仿宋_GB2312"/>
          <w:color w:val="000000"/>
          <w:kern w:val="0"/>
          <w:sz w:val="32"/>
          <w:szCs w:val="32"/>
        </w:rPr>
        <w:t>万元，当年动用</w:t>
      </w:r>
      <w:r>
        <w:rPr>
          <w:rFonts w:eastAsia="仿宋_GB2312"/>
          <w:color w:val="000000"/>
          <w:kern w:val="0"/>
          <w:sz w:val="32"/>
          <w:szCs w:val="32"/>
        </w:rPr>
        <w:t>700</w:t>
      </w:r>
      <w:r>
        <w:rPr>
          <w:rFonts w:hint="eastAsia" w:eastAsia="仿宋_GB2312"/>
          <w:color w:val="000000"/>
          <w:kern w:val="0"/>
          <w:sz w:val="32"/>
          <w:szCs w:val="32"/>
        </w:rPr>
        <w:t>万元，统筹用于“三保”支出。利用当年预算超收及盘活存量资金</w:t>
      </w:r>
      <w:r>
        <w:rPr>
          <w:rFonts w:eastAsia="仿宋_GB2312"/>
          <w:color w:val="000000"/>
          <w:kern w:val="0"/>
          <w:sz w:val="32"/>
          <w:szCs w:val="32"/>
        </w:rPr>
        <w:t>700</w:t>
      </w:r>
      <w:r>
        <w:rPr>
          <w:rFonts w:hint="eastAsia" w:eastAsia="仿宋_GB2312"/>
          <w:color w:val="000000"/>
          <w:kern w:val="0"/>
          <w:sz w:val="32"/>
          <w:szCs w:val="32"/>
        </w:rPr>
        <w:t>万元，补充预算稳定调节基金</w:t>
      </w:r>
      <w:r>
        <w:rPr>
          <w:rFonts w:eastAsia="仿宋_GB2312"/>
          <w:color w:val="000000"/>
          <w:kern w:val="0"/>
          <w:sz w:val="32"/>
          <w:szCs w:val="32"/>
        </w:rPr>
        <w:t>700</w:t>
      </w:r>
      <w:r>
        <w:rPr>
          <w:rFonts w:hint="eastAsia" w:eastAsia="仿宋_GB2312"/>
          <w:color w:val="000000"/>
          <w:kern w:val="0"/>
          <w:sz w:val="32"/>
          <w:szCs w:val="32"/>
        </w:rPr>
        <w:t>万元，存量</w:t>
      </w:r>
      <w:r>
        <w:rPr>
          <w:rFonts w:eastAsia="仿宋_GB2312"/>
          <w:color w:val="000000"/>
          <w:kern w:val="0"/>
          <w:sz w:val="32"/>
          <w:szCs w:val="32"/>
        </w:rPr>
        <w:t>1590</w:t>
      </w:r>
      <w:r>
        <w:rPr>
          <w:rFonts w:hint="eastAsia" w:eastAsia="仿宋_GB2312"/>
          <w:color w:val="000000"/>
          <w:kern w:val="0"/>
          <w:sz w:val="32"/>
          <w:szCs w:val="32"/>
        </w:rPr>
        <w:t>万元。四是安排对下转移支付资金</w:t>
      </w:r>
      <w:r>
        <w:rPr>
          <w:rFonts w:eastAsia="仿宋_GB2312"/>
          <w:color w:val="000000"/>
          <w:kern w:val="0"/>
          <w:sz w:val="32"/>
          <w:szCs w:val="32"/>
        </w:rPr>
        <w:t>27507</w:t>
      </w:r>
      <w:r>
        <w:rPr>
          <w:rFonts w:hint="eastAsia" w:eastAsia="仿宋_GB2312"/>
          <w:color w:val="000000"/>
          <w:kern w:val="0"/>
          <w:sz w:val="32"/>
          <w:szCs w:val="32"/>
        </w:rPr>
        <w:t>万元。安排镇办支出</w:t>
      </w:r>
      <w:r>
        <w:rPr>
          <w:rFonts w:eastAsia="仿宋_GB2312"/>
          <w:color w:val="000000"/>
          <w:kern w:val="0"/>
          <w:sz w:val="32"/>
          <w:szCs w:val="32"/>
        </w:rPr>
        <w:t>27507</w:t>
      </w:r>
      <w:r>
        <w:rPr>
          <w:rFonts w:hint="eastAsia" w:eastAsia="仿宋_GB2312"/>
          <w:color w:val="000000"/>
          <w:kern w:val="0"/>
          <w:sz w:val="32"/>
          <w:szCs w:val="32"/>
        </w:rPr>
        <w:t>万元，主要用于镇办三保和重点项目支出，其中基本支出</w:t>
      </w:r>
      <w:r>
        <w:rPr>
          <w:rFonts w:eastAsia="仿宋_GB2312"/>
          <w:color w:val="000000"/>
          <w:kern w:val="0"/>
          <w:sz w:val="32"/>
          <w:szCs w:val="32"/>
        </w:rPr>
        <w:t>8561</w:t>
      </w:r>
      <w:r>
        <w:rPr>
          <w:rFonts w:hint="eastAsia" w:eastAsia="仿宋_GB2312"/>
          <w:color w:val="000000"/>
          <w:kern w:val="0"/>
          <w:sz w:val="32"/>
          <w:szCs w:val="32"/>
        </w:rPr>
        <w:t>万元，项目支出</w:t>
      </w:r>
      <w:r>
        <w:rPr>
          <w:rFonts w:eastAsia="仿宋_GB2312"/>
          <w:color w:val="000000"/>
          <w:kern w:val="0"/>
          <w:sz w:val="32"/>
          <w:szCs w:val="32"/>
        </w:rPr>
        <w:t>18946</w:t>
      </w:r>
      <w:r>
        <w:rPr>
          <w:rFonts w:hint="eastAsia" w:eastAsia="仿宋_GB2312"/>
          <w:color w:val="000000"/>
          <w:kern w:val="0"/>
          <w:sz w:val="32"/>
          <w:szCs w:val="32"/>
        </w:rPr>
        <w:t>万元。</w:t>
      </w:r>
    </w:p>
    <w:p>
      <w:pPr>
        <w:pStyle w:val="4"/>
        <w:spacing w:after="0" w:line="580" w:lineRule="exact"/>
        <w:ind w:firstLine="600" w:firstLineChars="200"/>
        <w:rPr>
          <w:rFonts w:eastAsia="仿宋_GB2312"/>
          <w:color w:val="000000"/>
          <w:spacing w:val="-8"/>
          <w:kern w:val="0"/>
          <w:sz w:val="32"/>
          <w:szCs w:val="32"/>
        </w:rPr>
      </w:pPr>
      <w:r>
        <w:rPr>
          <w:rFonts w:hint="eastAsia" w:eastAsia="仿宋_GB2312"/>
          <w:color w:val="000000"/>
          <w:spacing w:val="-8"/>
          <w:kern w:val="0"/>
          <w:sz w:val="32"/>
          <w:szCs w:val="32"/>
        </w:rPr>
        <w:t>一般公共预算区本级收入和支出决算分类情况详见附表一。</w:t>
      </w:r>
    </w:p>
    <w:p>
      <w:pPr>
        <w:spacing w:line="580" w:lineRule="exact"/>
        <w:ind w:firstLine="632" w:firstLineChars="200"/>
        <w:rPr>
          <w:rFonts w:ascii="楷体_GB2312" w:hAnsi="楷体_GB2312" w:eastAsia="楷体_GB2312" w:cs="楷体_GB2312"/>
          <w:b/>
          <w:color w:val="000000"/>
          <w:sz w:val="32"/>
          <w:szCs w:val="32"/>
        </w:rPr>
      </w:pPr>
      <w:r>
        <w:rPr>
          <w:rFonts w:hint="eastAsia" w:ascii="楷体_GB2312" w:hAnsi="楷体_GB2312" w:eastAsia="楷体_GB2312" w:cs="楷体_GB2312"/>
          <w:b/>
          <w:color w:val="000000"/>
          <w:sz w:val="32"/>
          <w:szCs w:val="32"/>
        </w:rPr>
        <w:t>（二）政府性基金收支决算情况</w:t>
      </w:r>
    </w:p>
    <w:p>
      <w:pPr>
        <w:spacing w:line="580" w:lineRule="exact"/>
        <w:ind w:firstLine="632" w:firstLineChars="200"/>
        <w:rPr>
          <w:rFonts w:eastAsia="仿宋_GB2312"/>
          <w:color w:val="000000"/>
          <w:sz w:val="32"/>
          <w:szCs w:val="32"/>
        </w:rPr>
      </w:pPr>
      <w:r>
        <w:rPr>
          <w:rFonts w:hint="eastAsia" w:eastAsia="仿宋_GB2312"/>
          <w:color w:val="000000"/>
          <w:sz w:val="32"/>
          <w:szCs w:val="32"/>
        </w:rPr>
        <w:t>按现行财政体制，区本级政府性基金收入总计</w:t>
      </w:r>
      <w:r>
        <w:rPr>
          <w:rFonts w:eastAsia="仿宋_GB2312"/>
          <w:color w:val="000000"/>
          <w:sz w:val="32"/>
          <w:szCs w:val="32"/>
        </w:rPr>
        <w:t>185955</w:t>
      </w:r>
      <w:r>
        <w:rPr>
          <w:rFonts w:hint="eastAsia" w:eastAsia="仿宋_GB2312"/>
          <w:color w:val="000000"/>
          <w:sz w:val="32"/>
          <w:szCs w:val="32"/>
        </w:rPr>
        <w:t>万元，其中：上级补助收入</w:t>
      </w:r>
      <w:r>
        <w:rPr>
          <w:rFonts w:eastAsia="仿宋_GB2312"/>
          <w:color w:val="000000"/>
          <w:sz w:val="32"/>
          <w:szCs w:val="32"/>
        </w:rPr>
        <w:t>8332</w:t>
      </w:r>
      <w:r>
        <w:rPr>
          <w:rFonts w:hint="eastAsia" w:eastAsia="仿宋_GB2312"/>
          <w:color w:val="000000"/>
          <w:sz w:val="32"/>
          <w:szCs w:val="32"/>
        </w:rPr>
        <w:t>万元，上年结余</w:t>
      </w:r>
      <w:r>
        <w:rPr>
          <w:rFonts w:eastAsia="仿宋_GB2312"/>
          <w:color w:val="000000"/>
          <w:sz w:val="32"/>
          <w:szCs w:val="32"/>
        </w:rPr>
        <w:t>2242</w:t>
      </w:r>
      <w:r>
        <w:rPr>
          <w:rFonts w:hint="eastAsia" w:eastAsia="仿宋_GB2312"/>
          <w:color w:val="000000"/>
          <w:sz w:val="32"/>
          <w:szCs w:val="32"/>
        </w:rPr>
        <w:t>万元，调入资金</w:t>
      </w:r>
      <w:r>
        <w:rPr>
          <w:rFonts w:eastAsia="仿宋_GB2312"/>
          <w:color w:val="000000"/>
          <w:sz w:val="32"/>
          <w:szCs w:val="32"/>
        </w:rPr>
        <w:t>17281</w:t>
      </w:r>
      <w:r>
        <w:rPr>
          <w:rFonts w:hint="eastAsia" w:eastAsia="仿宋_GB2312"/>
          <w:color w:val="000000"/>
          <w:sz w:val="32"/>
          <w:szCs w:val="32"/>
        </w:rPr>
        <w:t>万元，新增专项债券转贷</w:t>
      </w:r>
      <w:r>
        <w:rPr>
          <w:rFonts w:hint="eastAsia" w:eastAsia="仿宋_GB2312"/>
          <w:color w:val="000000"/>
          <w:spacing w:val="-8"/>
          <w:sz w:val="32"/>
          <w:szCs w:val="32"/>
        </w:rPr>
        <w:t>收入</w:t>
      </w:r>
      <w:r>
        <w:rPr>
          <w:rFonts w:eastAsia="仿宋_GB2312"/>
          <w:color w:val="000000"/>
          <w:spacing w:val="-8"/>
          <w:sz w:val="32"/>
          <w:szCs w:val="32"/>
        </w:rPr>
        <w:t>158100</w:t>
      </w:r>
      <w:r>
        <w:rPr>
          <w:rFonts w:hint="eastAsia" w:eastAsia="仿宋_GB2312"/>
          <w:color w:val="000000"/>
          <w:spacing w:val="-8"/>
          <w:sz w:val="32"/>
          <w:szCs w:val="32"/>
        </w:rPr>
        <w:t>万元。区本级</w:t>
      </w:r>
      <w:r>
        <w:rPr>
          <w:rFonts w:hint="eastAsia" w:eastAsia="仿宋_GB2312"/>
          <w:color w:val="000000"/>
          <w:sz w:val="32"/>
          <w:szCs w:val="32"/>
        </w:rPr>
        <w:t>政府性基金支出总计</w:t>
      </w:r>
      <w:r>
        <w:rPr>
          <w:rFonts w:eastAsia="仿宋_GB2312"/>
          <w:color w:val="000000"/>
          <w:sz w:val="32"/>
          <w:szCs w:val="32"/>
        </w:rPr>
        <w:t>18</w:t>
      </w:r>
      <w:r>
        <w:rPr>
          <w:rFonts w:hint="eastAsia" w:eastAsia="仿宋_GB2312"/>
          <w:color w:val="000000"/>
          <w:sz w:val="32"/>
          <w:szCs w:val="32"/>
          <w:lang w:val="en-US" w:eastAsia="zh-CN"/>
        </w:rPr>
        <w:t>4077</w:t>
      </w:r>
      <w:r>
        <w:rPr>
          <w:rFonts w:hint="eastAsia" w:eastAsia="仿宋_GB2312"/>
          <w:color w:val="000000"/>
          <w:sz w:val="32"/>
          <w:szCs w:val="32"/>
        </w:rPr>
        <w:t>万元，其中：政府性基金支出</w:t>
      </w:r>
      <w:r>
        <w:rPr>
          <w:rFonts w:eastAsia="仿宋_GB2312"/>
          <w:color w:val="000000"/>
          <w:sz w:val="32"/>
          <w:szCs w:val="32"/>
        </w:rPr>
        <w:t>180128</w:t>
      </w:r>
      <w:r>
        <w:rPr>
          <w:rFonts w:hint="eastAsia" w:eastAsia="仿宋_GB2312"/>
          <w:color w:val="000000"/>
          <w:sz w:val="32"/>
          <w:szCs w:val="32"/>
        </w:rPr>
        <w:t>万元，补助镇办支出</w:t>
      </w:r>
      <w:r>
        <w:rPr>
          <w:rFonts w:eastAsia="仿宋_GB2312"/>
          <w:color w:val="000000"/>
          <w:sz w:val="32"/>
          <w:szCs w:val="32"/>
        </w:rPr>
        <w:t>1449</w:t>
      </w:r>
      <w:r>
        <w:rPr>
          <w:rFonts w:hint="eastAsia" w:eastAsia="仿宋_GB2312"/>
          <w:color w:val="000000"/>
          <w:sz w:val="32"/>
          <w:szCs w:val="32"/>
        </w:rPr>
        <w:t>万元，债务还本支出</w:t>
      </w:r>
      <w:r>
        <w:rPr>
          <w:rFonts w:eastAsia="仿宋_GB2312"/>
          <w:color w:val="000000"/>
          <w:sz w:val="32"/>
          <w:szCs w:val="32"/>
        </w:rPr>
        <w:t>2500</w:t>
      </w:r>
      <w:r>
        <w:rPr>
          <w:rFonts w:hint="eastAsia" w:eastAsia="仿宋_GB2312"/>
          <w:color w:val="000000"/>
          <w:sz w:val="32"/>
          <w:szCs w:val="32"/>
        </w:rPr>
        <w:t>万元</w:t>
      </w:r>
      <w:r>
        <w:rPr>
          <w:rFonts w:hint="eastAsia" w:eastAsia="仿宋_GB2312"/>
          <w:color w:val="000000"/>
          <w:spacing w:val="-8"/>
          <w:sz w:val="32"/>
          <w:szCs w:val="32"/>
        </w:rPr>
        <w:t>。收支相抵结余</w:t>
      </w:r>
      <w:r>
        <w:rPr>
          <w:rFonts w:eastAsia="仿宋_GB2312"/>
          <w:color w:val="000000"/>
          <w:spacing w:val="-8"/>
          <w:sz w:val="32"/>
          <w:szCs w:val="32"/>
        </w:rPr>
        <w:t>1878</w:t>
      </w:r>
      <w:r>
        <w:rPr>
          <w:rFonts w:hint="eastAsia" w:eastAsia="仿宋_GB2312"/>
          <w:color w:val="000000"/>
          <w:spacing w:val="-8"/>
          <w:sz w:val="32"/>
          <w:szCs w:val="32"/>
        </w:rPr>
        <w:t>万元，</w:t>
      </w:r>
      <w:r>
        <w:rPr>
          <w:rFonts w:hint="eastAsia" w:eastAsia="仿宋_GB2312"/>
          <w:color w:val="000000"/>
          <w:sz w:val="32"/>
          <w:szCs w:val="32"/>
        </w:rPr>
        <w:t>均为结转下年使用的专项资金</w:t>
      </w:r>
      <w:r>
        <w:rPr>
          <w:rFonts w:hint="eastAsia" w:eastAsia="仿宋_GB2312"/>
          <w:color w:val="000000"/>
          <w:spacing w:val="-8"/>
          <w:sz w:val="32"/>
          <w:szCs w:val="32"/>
        </w:rPr>
        <w:t>，减结转下年的支出</w:t>
      </w:r>
      <w:r>
        <w:rPr>
          <w:rFonts w:eastAsia="仿宋_GB2312"/>
          <w:color w:val="000000"/>
          <w:spacing w:val="-8"/>
          <w:sz w:val="32"/>
          <w:szCs w:val="32"/>
        </w:rPr>
        <w:t>1878</w:t>
      </w:r>
      <w:r>
        <w:rPr>
          <w:rFonts w:hint="eastAsia" w:eastAsia="仿宋_GB2312"/>
          <w:color w:val="000000"/>
          <w:spacing w:val="-8"/>
          <w:sz w:val="32"/>
          <w:szCs w:val="32"/>
        </w:rPr>
        <w:t>万元，净结余为零</w:t>
      </w:r>
      <w:r>
        <w:rPr>
          <w:rFonts w:hint="eastAsia" w:eastAsia="仿宋_GB2312"/>
          <w:color w:val="000000"/>
          <w:sz w:val="32"/>
          <w:szCs w:val="32"/>
        </w:rPr>
        <w:t>。</w:t>
      </w:r>
    </w:p>
    <w:p>
      <w:pPr>
        <w:spacing w:line="580" w:lineRule="exact"/>
        <w:ind w:firstLine="632" w:firstLineChars="200"/>
        <w:rPr>
          <w:rFonts w:eastAsia="仿宋_GB2312"/>
          <w:color w:val="000000"/>
          <w:sz w:val="32"/>
          <w:szCs w:val="32"/>
        </w:rPr>
      </w:pPr>
      <w:r>
        <w:rPr>
          <w:rFonts w:hint="eastAsia" w:eastAsia="仿宋_GB2312"/>
          <w:color w:val="000000"/>
          <w:sz w:val="32"/>
          <w:szCs w:val="32"/>
        </w:rPr>
        <w:t>政府性基金预算区本级收入和支出决算分类情况详见附表二。</w:t>
      </w:r>
    </w:p>
    <w:p>
      <w:pPr>
        <w:spacing w:line="580" w:lineRule="exact"/>
        <w:ind w:firstLine="632" w:firstLineChars="200"/>
        <w:rPr>
          <w:rFonts w:eastAsia="仿宋"/>
          <w:color w:val="000000"/>
          <w:spacing w:val="-8"/>
          <w:sz w:val="32"/>
          <w:szCs w:val="32"/>
        </w:rPr>
      </w:pPr>
      <w:r>
        <w:rPr>
          <w:rFonts w:hint="eastAsia" w:eastAsia="楷体_GB2312"/>
          <w:b/>
          <w:bCs/>
          <w:color w:val="000000"/>
          <w:sz w:val="32"/>
          <w:szCs w:val="32"/>
          <w:lang w:eastAsia="zh-CN"/>
        </w:rPr>
        <w:t>（</w:t>
      </w:r>
      <w:r>
        <w:rPr>
          <w:rFonts w:hint="eastAsia" w:eastAsia="楷体_GB2312"/>
          <w:b/>
          <w:bCs/>
          <w:color w:val="000000"/>
          <w:sz w:val="32"/>
          <w:szCs w:val="32"/>
          <w:lang w:val="en-US" w:eastAsia="zh-CN"/>
        </w:rPr>
        <w:t>三</w:t>
      </w:r>
      <w:r>
        <w:rPr>
          <w:rFonts w:hint="eastAsia" w:eastAsia="楷体_GB2312"/>
          <w:b/>
          <w:bCs/>
          <w:color w:val="000000"/>
          <w:sz w:val="32"/>
          <w:szCs w:val="32"/>
          <w:lang w:eastAsia="zh-CN"/>
        </w:rPr>
        <w:t>）</w:t>
      </w:r>
      <w:r>
        <w:rPr>
          <w:rFonts w:hint="eastAsia" w:eastAsia="楷体_GB2312"/>
          <w:b/>
          <w:color w:val="000000"/>
          <w:sz w:val="32"/>
          <w:szCs w:val="32"/>
        </w:rPr>
        <w:t>国有资本经营预算收支决算情况</w:t>
      </w:r>
    </w:p>
    <w:p>
      <w:pPr>
        <w:spacing w:line="580" w:lineRule="exact"/>
        <w:ind w:firstLine="600" w:firstLineChars="200"/>
        <w:rPr>
          <w:rFonts w:eastAsia="仿宋"/>
          <w:color w:val="000000"/>
          <w:spacing w:val="-8"/>
          <w:sz w:val="32"/>
          <w:szCs w:val="32"/>
        </w:rPr>
      </w:pPr>
      <w:r>
        <w:rPr>
          <w:rFonts w:hint="eastAsia" w:eastAsia="仿宋"/>
          <w:color w:val="000000"/>
          <w:spacing w:val="-8"/>
          <w:sz w:val="32"/>
          <w:szCs w:val="32"/>
        </w:rPr>
        <w:t>按现行财政体制，区本级国资预算收入总计</w:t>
      </w:r>
      <w:r>
        <w:rPr>
          <w:rFonts w:eastAsia="仿宋"/>
          <w:color w:val="000000"/>
          <w:spacing w:val="-8"/>
          <w:sz w:val="32"/>
          <w:szCs w:val="32"/>
        </w:rPr>
        <w:t>2503</w:t>
      </w:r>
      <w:r>
        <w:rPr>
          <w:rFonts w:hint="eastAsia" w:eastAsia="仿宋"/>
          <w:color w:val="000000"/>
          <w:spacing w:val="-8"/>
          <w:sz w:val="32"/>
          <w:szCs w:val="32"/>
        </w:rPr>
        <w:t>万元，其中：国资预算收入</w:t>
      </w:r>
      <w:r>
        <w:rPr>
          <w:rFonts w:eastAsia="仿宋"/>
          <w:color w:val="000000"/>
          <w:spacing w:val="-8"/>
          <w:sz w:val="32"/>
          <w:szCs w:val="32"/>
        </w:rPr>
        <w:t>1660</w:t>
      </w:r>
      <w:r>
        <w:rPr>
          <w:rFonts w:hint="eastAsia" w:eastAsia="仿宋"/>
          <w:color w:val="000000"/>
          <w:spacing w:val="-8"/>
          <w:sz w:val="32"/>
          <w:szCs w:val="32"/>
        </w:rPr>
        <w:t>万元，上级补助收入</w:t>
      </w:r>
      <w:r>
        <w:rPr>
          <w:rFonts w:eastAsia="仿宋"/>
          <w:color w:val="000000"/>
          <w:spacing w:val="-8"/>
          <w:sz w:val="32"/>
          <w:szCs w:val="32"/>
        </w:rPr>
        <w:t>359</w:t>
      </w:r>
      <w:r>
        <w:rPr>
          <w:rFonts w:hint="eastAsia" w:eastAsia="仿宋"/>
          <w:color w:val="000000"/>
          <w:spacing w:val="-8"/>
          <w:sz w:val="32"/>
          <w:szCs w:val="32"/>
        </w:rPr>
        <w:t>万元，上年结余</w:t>
      </w:r>
      <w:r>
        <w:rPr>
          <w:rFonts w:eastAsia="仿宋"/>
          <w:color w:val="000000"/>
          <w:spacing w:val="-8"/>
          <w:sz w:val="32"/>
          <w:szCs w:val="32"/>
        </w:rPr>
        <w:t>484</w:t>
      </w:r>
      <w:r>
        <w:rPr>
          <w:rFonts w:hint="eastAsia" w:eastAsia="仿宋"/>
          <w:color w:val="000000"/>
          <w:spacing w:val="-8"/>
          <w:sz w:val="32"/>
          <w:szCs w:val="32"/>
        </w:rPr>
        <w:t>万元。区本级国资预算支出</w:t>
      </w:r>
      <w:r>
        <w:rPr>
          <w:rFonts w:eastAsia="仿宋"/>
          <w:color w:val="000000"/>
          <w:spacing w:val="-8"/>
          <w:sz w:val="32"/>
          <w:szCs w:val="32"/>
        </w:rPr>
        <w:t>2347</w:t>
      </w:r>
      <w:r>
        <w:rPr>
          <w:rFonts w:hint="eastAsia" w:eastAsia="仿宋"/>
          <w:color w:val="000000"/>
          <w:spacing w:val="-8"/>
          <w:sz w:val="32"/>
          <w:szCs w:val="32"/>
        </w:rPr>
        <w:t>万元</w:t>
      </w:r>
      <w:r>
        <w:rPr>
          <w:rFonts w:eastAsia="仿宋"/>
          <w:color w:val="000000"/>
          <w:spacing w:val="-8"/>
          <w:sz w:val="32"/>
          <w:szCs w:val="32"/>
        </w:rPr>
        <w:t>,</w:t>
      </w:r>
      <w:r>
        <w:rPr>
          <w:rFonts w:hint="eastAsia" w:eastAsia="仿宋"/>
          <w:color w:val="000000"/>
          <w:spacing w:val="-8"/>
          <w:sz w:val="32"/>
          <w:szCs w:val="32"/>
        </w:rPr>
        <w:t>其中：国资预算支出</w:t>
      </w:r>
      <w:r>
        <w:rPr>
          <w:rFonts w:eastAsia="仿宋"/>
          <w:color w:val="000000"/>
          <w:spacing w:val="-8"/>
          <w:sz w:val="32"/>
          <w:szCs w:val="32"/>
        </w:rPr>
        <w:t>687</w:t>
      </w:r>
      <w:r>
        <w:rPr>
          <w:rFonts w:hint="eastAsia" w:eastAsia="仿宋"/>
          <w:color w:val="000000"/>
          <w:spacing w:val="-8"/>
          <w:sz w:val="32"/>
          <w:szCs w:val="32"/>
        </w:rPr>
        <w:t>万元，调出资金</w:t>
      </w:r>
      <w:r>
        <w:rPr>
          <w:rFonts w:eastAsia="仿宋"/>
          <w:color w:val="000000"/>
          <w:spacing w:val="-8"/>
          <w:sz w:val="32"/>
          <w:szCs w:val="32"/>
        </w:rPr>
        <w:t>1660</w:t>
      </w:r>
      <w:r>
        <w:rPr>
          <w:rFonts w:hint="eastAsia" w:eastAsia="仿宋"/>
          <w:color w:val="000000"/>
          <w:spacing w:val="-8"/>
          <w:sz w:val="32"/>
          <w:szCs w:val="32"/>
        </w:rPr>
        <w:t>万元。收支相抵结余</w:t>
      </w:r>
      <w:r>
        <w:rPr>
          <w:rFonts w:eastAsia="仿宋"/>
          <w:color w:val="000000"/>
          <w:spacing w:val="-8"/>
          <w:sz w:val="32"/>
          <w:szCs w:val="32"/>
        </w:rPr>
        <w:t>156</w:t>
      </w:r>
      <w:r>
        <w:rPr>
          <w:rFonts w:hint="eastAsia" w:eastAsia="仿宋"/>
          <w:color w:val="000000"/>
          <w:spacing w:val="-8"/>
          <w:sz w:val="32"/>
          <w:szCs w:val="32"/>
        </w:rPr>
        <w:t>万元，</w:t>
      </w:r>
      <w:r>
        <w:rPr>
          <w:rFonts w:hint="eastAsia" w:eastAsia="仿宋_GB2312"/>
          <w:color w:val="000000"/>
          <w:sz w:val="32"/>
          <w:szCs w:val="32"/>
        </w:rPr>
        <w:t>均为结转下年使用的专项资金</w:t>
      </w:r>
      <w:r>
        <w:rPr>
          <w:rFonts w:hint="eastAsia" w:eastAsia="仿宋"/>
          <w:color w:val="000000"/>
          <w:spacing w:val="-8"/>
          <w:sz w:val="32"/>
          <w:szCs w:val="32"/>
        </w:rPr>
        <w:t>，减结转下年支出</w:t>
      </w:r>
      <w:r>
        <w:rPr>
          <w:rFonts w:eastAsia="仿宋"/>
          <w:color w:val="000000"/>
          <w:spacing w:val="-8"/>
          <w:sz w:val="32"/>
          <w:szCs w:val="32"/>
        </w:rPr>
        <w:t>156</w:t>
      </w:r>
      <w:r>
        <w:rPr>
          <w:rFonts w:hint="eastAsia" w:eastAsia="仿宋"/>
          <w:color w:val="000000"/>
          <w:spacing w:val="-8"/>
          <w:sz w:val="32"/>
          <w:szCs w:val="32"/>
        </w:rPr>
        <w:t>万元，净结余为零</w:t>
      </w:r>
      <w:r>
        <w:rPr>
          <w:rFonts w:hint="eastAsia" w:eastAsia="仿宋_GB2312"/>
          <w:color w:val="000000"/>
          <w:sz w:val="32"/>
          <w:szCs w:val="32"/>
        </w:rPr>
        <w:t>。</w:t>
      </w:r>
    </w:p>
    <w:p>
      <w:pPr>
        <w:spacing w:line="580" w:lineRule="exact"/>
        <w:ind w:firstLine="600" w:firstLineChars="200"/>
        <w:rPr>
          <w:rFonts w:eastAsia="仿宋_GB2312"/>
          <w:color w:val="000000"/>
          <w:spacing w:val="-8"/>
          <w:sz w:val="32"/>
          <w:szCs w:val="32"/>
        </w:rPr>
      </w:pPr>
      <w:r>
        <w:rPr>
          <w:rFonts w:hint="eastAsia" w:eastAsia="仿宋_GB2312"/>
          <w:color w:val="000000"/>
          <w:spacing w:val="-8"/>
          <w:sz w:val="32"/>
          <w:szCs w:val="32"/>
        </w:rPr>
        <w:t>国有资本经营预算区本级收入和支出决算分类情况详见附表三。</w:t>
      </w:r>
    </w:p>
    <w:p>
      <w:pPr>
        <w:spacing w:line="580" w:lineRule="exact"/>
        <w:ind w:firstLine="632" w:firstLineChars="200"/>
        <w:rPr>
          <w:rFonts w:eastAsia="楷体_GB2312"/>
          <w:b/>
          <w:bCs/>
          <w:color w:val="000000"/>
          <w:sz w:val="32"/>
          <w:szCs w:val="32"/>
        </w:rPr>
      </w:pPr>
      <w:r>
        <w:rPr>
          <w:rFonts w:hint="eastAsia" w:eastAsia="楷体_GB2312"/>
          <w:b/>
          <w:bCs/>
          <w:color w:val="000000"/>
          <w:sz w:val="32"/>
          <w:szCs w:val="32"/>
        </w:rPr>
        <w:t>（四）全区政府性债务情况</w:t>
      </w:r>
    </w:p>
    <w:p>
      <w:pPr>
        <w:spacing w:line="580" w:lineRule="exact"/>
        <w:ind w:firstLine="632" w:firstLineChars="200"/>
        <w:rPr>
          <w:rFonts w:eastAsia="仿宋_GB2312"/>
          <w:color w:val="000000"/>
          <w:sz w:val="32"/>
          <w:szCs w:val="32"/>
        </w:rPr>
      </w:pPr>
      <w:r>
        <w:rPr>
          <w:rFonts w:eastAsia="仿宋_GB2312"/>
          <w:color w:val="000000"/>
          <w:sz w:val="32"/>
          <w:szCs w:val="32"/>
        </w:rPr>
        <w:t>2023</w:t>
      </w:r>
      <w:r>
        <w:rPr>
          <w:rFonts w:hint="eastAsia" w:eastAsia="仿宋_GB2312"/>
          <w:color w:val="000000"/>
          <w:sz w:val="32"/>
          <w:szCs w:val="32"/>
        </w:rPr>
        <w:t>年底，全区政府性债务余额为</w:t>
      </w:r>
      <w:r>
        <w:rPr>
          <w:rFonts w:eastAsia="仿宋_GB2312"/>
          <w:color w:val="000000"/>
          <w:sz w:val="32"/>
          <w:szCs w:val="32"/>
        </w:rPr>
        <w:t>341155</w:t>
      </w:r>
      <w:r>
        <w:rPr>
          <w:rFonts w:hint="eastAsia" w:eastAsia="仿宋_GB2312"/>
          <w:color w:val="000000"/>
          <w:sz w:val="32"/>
          <w:szCs w:val="32"/>
        </w:rPr>
        <w:t>万元（纳入债务系统内债务，一般债务</w:t>
      </w:r>
      <w:r>
        <w:rPr>
          <w:rFonts w:eastAsia="仿宋_GB2312"/>
          <w:color w:val="000000"/>
          <w:sz w:val="32"/>
          <w:szCs w:val="32"/>
        </w:rPr>
        <w:t>42355</w:t>
      </w:r>
      <w:r>
        <w:rPr>
          <w:rFonts w:hint="eastAsia" w:eastAsia="仿宋_GB2312"/>
          <w:color w:val="000000"/>
          <w:sz w:val="32"/>
          <w:szCs w:val="32"/>
        </w:rPr>
        <w:t>万元，专项债务</w:t>
      </w:r>
      <w:r>
        <w:rPr>
          <w:rFonts w:eastAsia="仿宋_GB2312"/>
          <w:color w:val="000000"/>
          <w:sz w:val="32"/>
          <w:szCs w:val="32"/>
        </w:rPr>
        <w:t>298800</w:t>
      </w:r>
      <w:r>
        <w:rPr>
          <w:rFonts w:hint="eastAsia" w:eastAsia="仿宋_GB2312"/>
          <w:color w:val="000000"/>
          <w:sz w:val="32"/>
          <w:szCs w:val="32"/>
        </w:rPr>
        <w:t>万元），债务余额控制在省市下达的债务限额</w:t>
      </w:r>
      <w:r>
        <w:rPr>
          <w:rFonts w:eastAsia="仿宋_GB2312"/>
          <w:color w:val="000000"/>
          <w:sz w:val="32"/>
          <w:szCs w:val="32"/>
        </w:rPr>
        <w:t>342020</w:t>
      </w:r>
      <w:r>
        <w:rPr>
          <w:rFonts w:hint="eastAsia" w:eastAsia="仿宋_GB2312"/>
          <w:color w:val="000000"/>
          <w:sz w:val="32"/>
          <w:szCs w:val="32"/>
        </w:rPr>
        <w:t>万元以内。</w:t>
      </w:r>
    </w:p>
    <w:p>
      <w:pPr>
        <w:spacing w:line="580" w:lineRule="exact"/>
        <w:ind w:firstLine="632" w:firstLineChars="200"/>
        <w:rPr>
          <w:rFonts w:eastAsia="仿宋_GB2312"/>
          <w:color w:val="000000"/>
          <w:sz w:val="32"/>
          <w:szCs w:val="32"/>
        </w:rPr>
      </w:pPr>
      <w:r>
        <w:rPr>
          <w:rFonts w:eastAsia="仿宋_GB2312"/>
          <w:color w:val="000000"/>
          <w:sz w:val="32"/>
          <w:szCs w:val="32"/>
        </w:rPr>
        <w:t>2023</w:t>
      </w:r>
      <w:r>
        <w:rPr>
          <w:rFonts w:hint="eastAsia" w:eastAsia="仿宋_GB2312"/>
          <w:color w:val="000000"/>
          <w:sz w:val="32"/>
          <w:szCs w:val="32"/>
        </w:rPr>
        <w:t>年应偿还到期债务</w:t>
      </w:r>
      <w:r>
        <w:rPr>
          <w:rFonts w:eastAsia="仿宋_GB2312"/>
          <w:color w:val="000000"/>
          <w:sz w:val="32"/>
          <w:szCs w:val="32"/>
        </w:rPr>
        <w:t>17980</w:t>
      </w:r>
      <w:r>
        <w:rPr>
          <w:rFonts w:hint="eastAsia" w:eastAsia="仿宋_GB2312"/>
          <w:color w:val="000000"/>
          <w:sz w:val="32"/>
          <w:szCs w:val="32"/>
        </w:rPr>
        <w:t>万元（其中本金</w:t>
      </w:r>
      <w:r>
        <w:rPr>
          <w:rFonts w:eastAsia="仿宋_GB2312"/>
          <w:color w:val="000000"/>
          <w:sz w:val="32"/>
          <w:szCs w:val="32"/>
        </w:rPr>
        <w:t>10561</w:t>
      </w:r>
      <w:r>
        <w:rPr>
          <w:rFonts w:hint="eastAsia" w:eastAsia="仿宋_GB2312"/>
          <w:color w:val="000000"/>
          <w:sz w:val="32"/>
          <w:szCs w:val="32"/>
        </w:rPr>
        <w:t>万元、利息</w:t>
      </w:r>
      <w:r>
        <w:rPr>
          <w:rFonts w:eastAsia="仿宋_GB2312"/>
          <w:color w:val="000000"/>
          <w:sz w:val="32"/>
          <w:szCs w:val="32"/>
        </w:rPr>
        <w:t>7419</w:t>
      </w:r>
      <w:r>
        <w:rPr>
          <w:rFonts w:hint="eastAsia" w:eastAsia="仿宋_GB2312"/>
          <w:color w:val="000000"/>
          <w:sz w:val="32"/>
          <w:szCs w:val="32"/>
        </w:rPr>
        <w:t>万元），通过预算安排偿还本息</w:t>
      </w:r>
      <w:r>
        <w:rPr>
          <w:rFonts w:eastAsia="仿宋_GB2312"/>
          <w:color w:val="000000"/>
          <w:sz w:val="32"/>
          <w:szCs w:val="32"/>
        </w:rPr>
        <w:t>7957</w:t>
      </w:r>
      <w:r>
        <w:rPr>
          <w:rFonts w:hint="eastAsia" w:eastAsia="仿宋_GB2312"/>
          <w:color w:val="000000"/>
          <w:sz w:val="32"/>
          <w:szCs w:val="32"/>
        </w:rPr>
        <w:t>万元，申请省政府发行再融资债券</w:t>
      </w:r>
      <w:r>
        <w:rPr>
          <w:rFonts w:eastAsia="仿宋_GB2312"/>
          <w:color w:val="000000"/>
          <w:sz w:val="32"/>
          <w:szCs w:val="32"/>
        </w:rPr>
        <w:t>10023</w:t>
      </w:r>
      <w:r>
        <w:rPr>
          <w:rFonts w:hint="eastAsia" w:eastAsia="仿宋_GB2312"/>
          <w:color w:val="000000"/>
          <w:sz w:val="32"/>
          <w:szCs w:val="32"/>
        </w:rPr>
        <w:t>万元，全年共偿还债务</w:t>
      </w:r>
      <w:r>
        <w:rPr>
          <w:rFonts w:eastAsia="仿宋_GB2312"/>
          <w:color w:val="000000"/>
          <w:sz w:val="32"/>
          <w:szCs w:val="32"/>
        </w:rPr>
        <w:t>17980</w:t>
      </w:r>
      <w:r>
        <w:rPr>
          <w:rFonts w:hint="eastAsia" w:eastAsia="仿宋_GB2312"/>
          <w:color w:val="000000"/>
          <w:sz w:val="32"/>
          <w:szCs w:val="32"/>
        </w:rPr>
        <w:t>万元，实现了应偿尽偿。</w:t>
      </w:r>
    </w:p>
    <w:p>
      <w:pPr>
        <w:pStyle w:val="10"/>
        <w:widowControl w:val="0"/>
        <w:shd w:val="clear" w:color="auto" w:fill="FFFFFF"/>
        <w:spacing w:before="0" w:beforeAutospacing="0" w:after="0" w:afterAutospacing="0" w:line="580" w:lineRule="exact"/>
        <w:ind w:firstLine="632" w:firstLineChars="200"/>
        <w:jc w:val="both"/>
        <w:rPr>
          <w:rFonts w:ascii="Times New Roman" w:hAnsi="Times New Roman" w:eastAsia="黑体" w:cs="Times New Roman"/>
          <w:color w:val="000000"/>
          <w:sz w:val="32"/>
          <w:szCs w:val="32"/>
          <w:highlight w:val="yellow"/>
        </w:rPr>
      </w:pPr>
      <w:r>
        <w:rPr>
          <w:rFonts w:hint="eastAsia" w:ascii="Times New Roman" w:hAnsi="Times New Roman" w:eastAsia="黑体" w:cs="Times New Roman"/>
          <w:color w:val="000000"/>
          <w:sz w:val="32"/>
          <w:szCs w:val="32"/>
        </w:rPr>
        <w:t>二、</w:t>
      </w:r>
      <w:r>
        <w:rPr>
          <w:rFonts w:ascii="Times New Roman" w:hAnsi="Times New Roman" w:eastAsia="黑体" w:cs="Times New Roman"/>
          <w:color w:val="000000"/>
          <w:sz w:val="32"/>
          <w:szCs w:val="32"/>
        </w:rPr>
        <w:t>2023</w:t>
      </w:r>
      <w:r>
        <w:rPr>
          <w:rFonts w:hint="eastAsia" w:ascii="Times New Roman" w:hAnsi="Times New Roman" w:eastAsia="黑体" w:cs="Times New Roman"/>
          <w:color w:val="000000"/>
          <w:sz w:val="32"/>
          <w:szCs w:val="32"/>
        </w:rPr>
        <w:t>年预算执行效果</w:t>
      </w:r>
    </w:p>
    <w:p>
      <w:pPr>
        <w:shd w:val="clear" w:color="auto" w:fill="FFFFFF"/>
        <w:spacing w:line="580" w:lineRule="exact"/>
        <w:ind w:firstLine="632" w:firstLineChars="200"/>
        <w:rPr>
          <w:rFonts w:eastAsia="仿宋_GB2312"/>
          <w:color w:val="000000"/>
          <w:kern w:val="0"/>
          <w:sz w:val="32"/>
          <w:szCs w:val="32"/>
        </w:rPr>
      </w:pPr>
      <w:r>
        <w:rPr>
          <w:rFonts w:eastAsia="仿宋_GB2312"/>
          <w:color w:val="000000"/>
          <w:kern w:val="0"/>
          <w:sz w:val="32"/>
          <w:szCs w:val="32"/>
        </w:rPr>
        <w:t>2023</w:t>
      </w:r>
      <w:r>
        <w:rPr>
          <w:rFonts w:hint="eastAsia" w:eastAsia="仿宋_GB2312"/>
          <w:color w:val="000000"/>
          <w:kern w:val="0"/>
          <w:sz w:val="32"/>
          <w:szCs w:val="32"/>
        </w:rPr>
        <w:t>年，区财政部门认真落实区人大预算审查决议，坚持实施更加积极有为的财政政策，全面贯彻落实《预算法》及实施条例，主动接受人大审查监督，加强财政管理，充分发挥财政职能作用，大力组织财政收入，不断强化资金保障，预算执行成效较好。</w:t>
      </w:r>
    </w:p>
    <w:p>
      <w:pPr>
        <w:numPr>
          <w:ilvl w:val="0"/>
          <w:numId w:val="0"/>
        </w:numPr>
        <w:shd w:val="clear" w:color="auto" w:fill="FFFFFF"/>
        <w:spacing w:line="580" w:lineRule="exact"/>
        <w:ind w:left="0" w:leftChars="0" w:firstLine="632" w:firstLineChars="200"/>
        <w:rPr>
          <w:rFonts w:eastAsia="仿宋_GB2312"/>
          <w:color w:val="000000"/>
          <w:sz w:val="32"/>
          <w:szCs w:val="32"/>
        </w:rPr>
      </w:pPr>
      <w:r>
        <w:rPr>
          <w:rFonts w:ascii="Times New Roman" w:hAnsi="Times New Roman" w:eastAsia="仿宋_GB2312" w:cs="Times New Roman"/>
          <w:color w:val="000000"/>
          <w:kern w:val="2"/>
          <w:sz w:val="32"/>
          <w:szCs w:val="32"/>
          <w:lang w:val="en-US" w:eastAsia="zh-CN" w:bidi="ar-SA"/>
        </w:rPr>
        <w:t>1、</w:t>
      </w:r>
      <w:r>
        <w:rPr>
          <w:rFonts w:hint="eastAsia" w:ascii="楷体_GB2312" w:hAnsi="楷体_GB2312" w:eastAsia="楷体_GB2312" w:cs="楷体_GB2312"/>
          <w:b/>
          <w:bCs/>
          <w:color w:val="000000"/>
          <w:kern w:val="0"/>
          <w:sz w:val="32"/>
          <w:szCs w:val="32"/>
        </w:rPr>
        <w:t>壮大财政资金池，提高财政综合活力。</w:t>
      </w:r>
      <w:r>
        <w:rPr>
          <w:rFonts w:hint="eastAsia" w:ascii="仿宋_GB2312" w:hAnsi="仿宋_GB2312" w:eastAsia="仿宋_GB2312" w:cs="仿宋_GB2312"/>
          <w:sz w:val="32"/>
          <w:szCs w:val="32"/>
          <w:shd w:val="clear" w:color="auto" w:fill="FFFFFF"/>
        </w:rPr>
        <w:t>汇聚税收收入、上级补助、政府债券、存量资金等“资金池”，发挥财政“四两拨千斤”作用，积极为经济社会高质量发展提供财力保障。</w:t>
      </w:r>
      <w:r>
        <w:rPr>
          <w:rFonts w:hint="eastAsia" w:eastAsia="仿宋_GB2312"/>
          <w:color w:val="000000"/>
          <w:sz w:val="32"/>
          <w:szCs w:val="32"/>
        </w:rPr>
        <w:t>一般公共预算收入完成</w:t>
      </w:r>
      <w:r>
        <w:rPr>
          <w:rFonts w:eastAsia="仿宋_GB2312"/>
          <w:color w:val="000000"/>
          <w:kern w:val="0"/>
          <w:sz w:val="32"/>
          <w:szCs w:val="32"/>
        </w:rPr>
        <w:t>51277</w:t>
      </w:r>
      <w:r>
        <w:rPr>
          <w:rFonts w:hint="eastAsia" w:eastAsia="仿宋_GB2312"/>
          <w:color w:val="000000"/>
          <w:kern w:val="0"/>
          <w:sz w:val="32"/>
          <w:szCs w:val="32"/>
        </w:rPr>
        <w:t>万元，同比增长</w:t>
      </w:r>
      <w:r>
        <w:rPr>
          <w:rFonts w:eastAsia="仿宋_GB2312"/>
          <w:color w:val="000000"/>
          <w:kern w:val="0"/>
          <w:sz w:val="32"/>
          <w:szCs w:val="32"/>
        </w:rPr>
        <w:t>13.4%</w:t>
      </w:r>
      <w:r>
        <w:rPr>
          <w:rFonts w:hint="eastAsia" w:eastAsia="仿宋_GB2312"/>
          <w:color w:val="000000"/>
          <w:sz w:val="32"/>
          <w:szCs w:val="32"/>
        </w:rPr>
        <w:t>，比上年增速提高</w:t>
      </w:r>
      <w:r>
        <w:rPr>
          <w:rFonts w:eastAsia="仿宋_GB2312"/>
          <w:color w:val="000000"/>
          <w:sz w:val="32"/>
          <w:szCs w:val="32"/>
        </w:rPr>
        <w:t>1.4</w:t>
      </w:r>
      <w:r>
        <w:rPr>
          <w:rFonts w:hint="eastAsia" w:eastAsia="仿宋_GB2312"/>
          <w:color w:val="000000"/>
          <w:sz w:val="32"/>
          <w:szCs w:val="32"/>
        </w:rPr>
        <w:t>个百分点。积极发挥财政职能作用，全力配合有关部门争取上级资金</w:t>
      </w:r>
      <w:r>
        <w:rPr>
          <w:rFonts w:eastAsia="仿宋_GB2312"/>
          <w:color w:val="000000"/>
          <w:sz w:val="32"/>
          <w:szCs w:val="32"/>
        </w:rPr>
        <w:t>105874</w:t>
      </w:r>
      <w:r>
        <w:rPr>
          <w:rFonts w:hint="eastAsia" w:eastAsia="仿宋_GB2312"/>
          <w:color w:val="000000"/>
          <w:sz w:val="32"/>
          <w:szCs w:val="32"/>
        </w:rPr>
        <w:t>万元、政府专项债券资金</w:t>
      </w:r>
      <w:r>
        <w:rPr>
          <w:rFonts w:eastAsia="仿宋_GB2312"/>
          <w:color w:val="000000"/>
          <w:sz w:val="32"/>
          <w:szCs w:val="32"/>
        </w:rPr>
        <w:t>158600</w:t>
      </w:r>
      <w:r>
        <w:rPr>
          <w:rFonts w:hint="eastAsia" w:eastAsia="仿宋_GB2312"/>
          <w:color w:val="000000"/>
          <w:sz w:val="32"/>
          <w:szCs w:val="32"/>
        </w:rPr>
        <w:t>万元、统筹各类财政存量资金</w:t>
      </w:r>
      <w:r>
        <w:rPr>
          <w:rFonts w:eastAsia="仿宋_GB2312"/>
          <w:color w:val="000000"/>
          <w:sz w:val="32"/>
          <w:szCs w:val="32"/>
        </w:rPr>
        <w:t>8300</w:t>
      </w:r>
      <w:r>
        <w:rPr>
          <w:rFonts w:hint="eastAsia" w:eastAsia="仿宋_GB2312"/>
          <w:color w:val="000000"/>
          <w:sz w:val="32"/>
          <w:szCs w:val="32"/>
        </w:rPr>
        <w:t>万元。</w:t>
      </w:r>
    </w:p>
    <w:p>
      <w:pPr>
        <w:widowControl/>
        <w:snapToGrid w:val="0"/>
        <w:spacing w:line="580" w:lineRule="exact"/>
        <w:ind w:firstLine="632" w:firstLineChars="200"/>
        <w:jc w:val="left"/>
        <w:rPr>
          <w:rFonts w:eastAsia="仿宋_GB2312"/>
          <w:color w:val="000000"/>
          <w:sz w:val="32"/>
          <w:szCs w:val="32"/>
        </w:rPr>
      </w:pPr>
      <w:r>
        <w:rPr>
          <w:rFonts w:ascii="楷体_GB2312" w:hAnsi="楷体_GB2312" w:eastAsia="楷体_GB2312" w:cs="楷体_GB2312"/>
          <w:b/>
          <w:bCs/>
          <w:color w:val="000000"/>
          <w:kern w:val="0"/>
          <w:sz w:val="32"/>
          <w:szCs w:val="32"/>
        </w:rPr>
        <w:t>2</w:t>
      </w:r>
      <w:r>
        <w:rPr>
          <w:rFonts w:hint="eastAsia" w:ascii="楷体_GB2312" w:hAnsi="楷体_GB2312" w:eastAsia="楷体_GB2312" w:cs="楷体_GB2312"/>
          <w:b/>
          <w:bCs/>
          <w:color w:val="000000"/>
          <w:kern w:val="0"/>
          <w:sz w:val="32"/>
          <w:szCs w:val="32"/>
        </w:rPr>
        <w:t>、</w:t>
      </w:r>
      <w:r>
        <w:rPr>
          <w:rFonts w:hint="eastAsia" w:ascii="仿宋_GB2312" w:hAnsi="仿宋_GB2312" w:eastAsia="仿宋_GB2312" w:cs="仿宋_GB2312"/>
          <w:b/>
          <w:bCs/>
          <w:kern w:val="0"/>
          <w:sz w:val="32"/>
          <w:szCs w:val="32"/>
          <w:shd w:val="clear" w:color="auto" w:fill="FFFFFF"/>
        </w:rPr>
        <w:t>优化财政支出结构，持续保障</w:t>
      </w:r>
      <w:r>
        <w:rPr>
          <w:rFonts w:hint="eastAsia" w:ascii="楷体_GB2312" w:hAnsi="楷体_GB2312" w:eastAsia="楷体_GB2312" w:cs="楷体_GB2312"/>
          <w:b/>
          <w:bCs/>
          <w:color w:val="000000"/>
          <w:kern w:val="0"/>
          <w:sz w:val="32"/>
          <w:szCs w:val="32"/>
        </w:rPr>
        <w:t>重点支出。</w:t>
      </w:r>
      <w:r>
        <w:rPr>
          <w:rFonts w:hint="eastAsia" w:ascii="仿宋_GB2312" w:hAnsi="仿宋_GB2312" w:eastAsia="仿宋_GB2312" w:cs="仿宋_GB2312"/>
          <w:kern w:val="0"/>
          <w:sz w:val="32"/>
          <w:szCs w:val="32"/>
          <w:shd w:val="clear" w:color="auto" w:fill="FFFFFF"/>
        </w:rPr>
        <w:t>树牢公共财政理念，积极克服财政收支矛盾，持续推进社会事业发展，增强民生福祉。</w:t>
      </w:r>
      <w:r>
        <w:rPr>
          <w:rFonts w:ascii="仿宋_GB2312" w:hAnsi="仿宋_GB2312" w:eastAsia="仿宋_GB2312" w:cs="仿宋_GB2312"/>
          <w:kern w:val="0"/>
          <w:sz w:val="32"/>
          <w:szCs w:val="32"/>
          <w:shd w:val="clear" w:color="auto" w:fill="FFFFFF"/>
        </w:rPr>
        <w:t>2023</w:t>
      </w:r>
      <w:r>
        <w:rPr>
          <w:rFonts w:hint="eastAsia" w:ascii="仿宋_GB2312" w:hAnsi="仿宋_GB2312" w:eastAsia="仿宋_GB2312" w:cs="仿宋_GB2312"/>
          <w:kern w:val="0"/>
          <w:sz w:val="32"/>
          <w:szCs w:val="32"/>
          <w:shd w:val="clear" w:color="auto" w:fill="FFFFFF"/>
        </w:rPr>
        <w:t>年</w:t>
      </w:r>
      <w:r>
        <w:rPr>
          <w:rFonts w:hint="eastAsia" w:eastAsia="仿宋_GB2312"/>
          <w:color w:val="000000"/>
          <w:sz w:val="32"/>
          <w:szCs w:val="32"/>
        </w:rPr>
        <w:t>民生支出</w:t>
      </w:r>
      <w:r>
        <w:rPr>
          <w:rFonts w:eastAsia="仿宋_GB2312"/>
          <w:color w:val="000000"/>
          <w:sz w:val="32"/>
          <w:szCs w:val="32"/>
        </w:rPr>
        <w:t>179036</w:t>
      </w:r>
      <w:r>
        <w:rPr>
          <w:rFonts w:hint="eastAsia" w:eastAsia="仿宋_GB2312"/>
          <w:color w:val="000000"/>
          <w:sz w:val="32"/>
          <w:szCs w:val="32"/>
        </w:rPr>
        <w:t>万元，占一般公共预算支出的</w:t>
      </w:r>
      <w:r>
        <w:rPr>
          <w:rFonts w:eastAsia="仿宋_GB2312"/>
          <w:color w:val="000000"/>
          <w:sz w:val="32"/>
          <w:szCs w:val="32"/>
        </w:rPr>
        <w:t>90.3%</w:t>
      </w:r>
      <w:r>
        <w:rPr>
          <w:rFonts w:hint="eastAsia" w:eastAsia="仿宋_GB2312"/>
          <w:color w:val="000000"/>
          <w:sz w:val="32"/>
          <w:szCs w:val="32"/>
        </w:rPr>
        <w:t>。围绕人居环境改善、水生态修复等，农林水支出</w:t>
      </w:r>
      <w:r>
        <w:rPr>
          <w:rFonts w:eastAsia="仿宋_GB2312"/>
          <w:color w:val="000000"/>
          <w:sz w:val="32"/>
          <w:szCs w:val="32"/>
        </w:rPr>
        <w:t>21115</w:t>
      </w:r>
      <w:r>
        <w:rPr>
          <w:rFonts w:hint="eastAsia" w:eastAsia="仿宋_GB2312"/>
          <w:color w:val="000000"/>
          <w:sz w:val="32"/>
          <w:szCs w:val="32"/>
        </w:rPr>
        <w:t>万元；围绕夯实基层公共卫生基础、落实城乡居民医疗救助政策等，卫生健康支出</w:t>
      </w:r>
      <w:r>
        <w:rPr>
          <w:rFonts w:eastAsia="仿宋_GB2312"/>
          <w:color w:val="000000"/>
          <w:sz w:val="32"/>
          <w:szCs w:val="32"/>
        </w:rPr>
        <w:t>12947</w:t>
      </w:r>
      <w:r>
        <w:rPr>
          <w:rFonts w:hint="eastAsia" w:eastAsia="仿宋_GB2312"/>
          <w:color w:val="000000"/>
          <w:sz w:val="32"/>
          <w:szCs w:val="32"/>
        </w:rPr>
        <w:t>万元；围绕老旧小区改造、农村危房改造等，住房保障支出</w:t>
      </w:r>
      <w:r>
        <w:rPr>
          <w:rFonts w:eastAsia="仿宋_GB2312"/>
          <w:color w:val="000000"/>
          <w:sz w:val="32"/>
          <w:szCs w:val="32"/>
        </w:rPr>
        <w:t>17369</w:t>
      </w:r>
      <w:r>
        <w:rPr>
          <w:rFonts w:hint="eastAsia" w:eastAsia="仿宋_GB2312"/>
          <w:color w:val="000000"/>
          <w:sz w:val="32"/>
          <w:szCs w:val="32"/>
        </w:rPr>
        <w:t>万元；围绕义务教育保障、教育教学条件改造提升，教育支出</w:t>
      </w:r>
      <w:r>
        <w:rPr>
          <w:rFonts w:eastAsia="仿宋_GB2312"/>
          <w:color w:val="000000"/>
          <w:sz w:val="32"/>
          <w:szCs w:val="32"/>
        </w:rPr>
        <w:t>44619</w:t>
      </w:r>
      <w:r>
        <w:rPr>
          <w:rFonts w:hint="eastAsia" w:eastAsia="仿宋_GB2312"/>
          <w:color w:val="000000"/>
          <w:sz w:val="32"/>
          <w:szCs w:val="32"/>
        </w:rPr>
        <w:t>万元；统筹推进乡村振兴发展，</w:t>
      </w:r>
      <w:r>
        <w:rPr>
          <w:rFonts w:hint="eastAsia" w:ascii="仿宋_GB2312" w:hAnsi="仿宋_GB2312" w:eastAsia="仿宋_GB2312" w:cs="仿宋_GB2312"/>
          <w:kern w:val="0"/>
          <w:sz w:val="32"/>
          <w:szCs w:val="32"/>
          <w:shd w:val="clear" w:color="auto" w:fill="FFFFFF"/>
        </w:rPr>
        <w:t>全年发放种粮补贴资金</w:t>
      </w:r>
      <w:r>
        <w:rPr>
          <w:rFonts w:eastAsia="仿宋_GB2312"/>
          <w:kern w:val="0"/>
          <w:sz w:val="32"/>
          <w:szCs w:val="32"/>
        </w:rPr>
        <w:t>230.5</w:t>
      </w:r>
      <w:r>
        <w:rPr>
          <w:rFonts w:hint="eastAsia" w:ascii="仿宋_GB2312" w:hAnsi="仿宋_GB2312" w:eastAsia="仿宋_GB2312" w:cs="仿宋_GB2312"/>
          <w:kern w:val="0"/>
          <w:sz w:val="32"/>
          <w:szCs w:val="32"/>
          <w:shd w:val="clear" w:color="auto" w:fill="FFFFFF"/>
        </w:rPr>
        <w:t>万元、耕地地力保护补贴资金</w:t>
      </w:r>
      <w:r>
        <w:rPr>
          <w:rFonts w:eastAsia="仿宋_GB2312"/>
          <w:kern w:val="0"/>
          <w:sz w:val="32"/>
          <w:szCs w:val="32"/>
        </w:rPr>
        <w:t>2219.7</w:t>
      </w:r>
      <w:r>
        <w:rPr>
          <w:rFonts w:hint="eastAsia" w:ascii="仿宋_GB2312" w:hAnsi="仿宋_GB2312" w:eastAsia="仿宋_GB2312" w:cs="仿宋_GB2312"/>
          <w:kern w:val="0"/>
          <w:sz w:val="32"/>
          <w:szCs w:val="32"/>
          <w:shd w:val="clear" w:color="auto" w:fill="FFFFFF"/>
        </w:rPr>
        <w:t>万元、巩固脱贫攻坚成果衔接乡村振兴支出</w:t>
      </w:r>
      <w:r>
        <w:rPr>
          <w:rFonts w:eastAsia="仿宋_GB2312"/>
          <w:kern w:val="0"/>
          <w:sz w:val="32"/>
          <w:szCs w:val="32"/>
        </w:rPr>
        <w:t>1559</w:t>
      </w:r>
      <w:r>
        <w:rPr>
          <w:rFonts w:hint="eastAsia" w:ascii="仿宋_GB2312" w:hAnsi="仿宋_GB2312" w:eastAsia="仿宋_GB2312" w:cs="仿宋_GB2312"/>
          <w:kern w:val="0"/>
          <w:sz w:val="32"/>
          <w:szCs w:val="32"/>
          <w:shd w:val="clear" w:color="auto" w:fill="FFFFFF"/>
        </w:rPr>
        <w:t>万元、高标准农田建设支出</w:t>
      </w:r>
      <w:r>
        <w:rPr>
          <w:rFonts w:eastAsia="仿宋_GB2312"/>
          <w:kern w:val="0"/>
          <w:sz w:val="32"/>
          <w:szCs w:val="32"/>
        </w:rPr>
        <w:t>2421</w:t>
      </w:r>
      <w:r>
        <w:rPr>
          <w:rFonts w:hint="eastAsia" w:ascii="仿宋_GB2312" w:hAnsi="仿宋_GB2312" w:eastAsia="仿宋_GB2312" w:cs="仿宋_GB2312"/>
          <w:kern w:val="0"/>
          <w:sz w:val="32"/>
          <w:szCs w:val="32"/>
          <w:shd w:val="clear" w:color="auto" w:fill="FFFFFF"/>
        </w:rPr>
        <w:t>万元。</w:t>
      </w:r>
    </w:p>
    <w:p>
      <w:pPr>
        <w:pStyle w:val="10"/>
        <w:shd w:val="clear" w:color="auto" w:fill="FFFFFF"/>
        <w:spacing w:before="0" w:beforeAutospacing="0" w:after="0" w:afterAutospacing="0" w:line="580" w:lineRule="exact"/>
        <w:ind w:firstLine="632" w:firstLineChars="200"/>
        <w:jc w:val="both"/>
        <w:rPr>
          <w:rFonts w:eastAsia="仿宋_GB2312"/>
          <w:color w:val="000000"/>
          <w:sz w:val="32"/>
          <w:szCs w:val="32"/>
          <w:shd w:val="clear" w:color="auto" w:fill="FFFFFF"/>
        </w:rPr>
      </w:pPr>
      <w:r>
        <w:rPr>
          <w:rFonts w:ascii="楷体_GB2312" w:hAnsi="楷体_GB2312" w:eastAsia="楷体_GB2312" w:cs="楷体_GB2312"/>
          <w:b/>
          <w:bCs/>
          <w:color w:val="000000"/>
          <w:sz w:val="32"/>
          <w:szCs w:val="32"/>
        </w:rPr>
        <w:t>3</w:t>
      </w:r>
      <w:r>
        <w:rPr>
          <w:rFonts w:hint="eastAsia" w:ascii="楷体_GB2312" w:hAnsi="楷体_GB2312" w:eastAsia="楷体_GB2312" w:cs="楷体_GB2312"/>
          <w:b/>
          <w:bCs/>
          <w:color w:val="000000"/>
          <w:sz w:val="32"/>
          <w:szCs w:val="32"/>
        </w:rPr>
        <w:t>、深化改革，坚决落实过紧日子要求。</w:t>
      </w:r>
      <w:r>
        <w:rPr>
          <w:rFonts w:hint="eastAsia" w:ascii="仿宋" w:hAnsi="仿宋" w:eastAsia="仿宋" w:cs="仿宋"/>
          <w:sz w:val="32"/>
          <w:szCs w:val="32"/>
        </w:rPr>
        <w:t>深化零基预算改革，进一步健</w:t>
      </w:r>
      <w:r>
        <w:rPr>
          <w:rFonts w:hint="eastAsia" w:ascii="仿宋_GB2312" w:hAnsi="仿宋_GB2312" w:eastAsia="仿宋_GB2312" w:cs="仿宋_GB2312"/>
          <w:sz w:val="32"/>
          <w:szCs w:val="32"/>
        </w:rPr>
        <w:t>全支出预算排序机制，根据年度重点工作变化、资金使用绩效等动态调整和完善政府年度重点保障事项清单，继续压减非刚性、非重点支出，加强“三公”经费预算管理，促进基层财政运行平稳。</w:t>
      </w:r>
      <w:r>
        <w:rPr>
          <w:rFonts w:hint="eastAsia" w:ascii="仿宋_GB2312" w:hAnsi="仿宋_GB2312" w:eastAsia="仿宋_GB2312" w:cs="仿宋_GB2312"/>
          <w:sz w:val="32"/>
          <w:szCs w:val="32"/>
          <w:shd w:val="clear" w:color="auto" w:fill="FFFFFF"/>
        </w:rPr>
        <w:t>在保障必需的基础上，“三公”经费较上年决算数下降</w:t>
      </w:r>
      <w:r>
        <w:rPr>
          <w:rFonts w:ascii="Times New Roman" w:hAnsi="Times New Roman" w:eastAsia="仿宋_GB2312" w:cs="Times New Roman"/>
          <w:sz w:val="32"/>
          <w:szCs w:val="32"/>
        </w:rPr>
        <w:t>10.4%</w:t>
      </w:r>
      <w:r>
        <w:rPr>
          <w:rFonts w:hint="eastAsia" w:ascii="仿宋_GB2312" w:hAnsi="仿宋_GB2312" w:eastAsia="仿宋_GB2312" w:cs="仿宋_GB2312"/>
          <w:sz w:val="32"/>
          <w:szCs w:val="32"/>
          <w:shd w:val="clear" w:color="auto" w:fill="FFFFFF"/>
        </w:rPr>
        <w:t>。依托预算一体化管理平台和政府采购平台，严格执行对单位财务支付的审核标准，全年受理退回</w:t>
      </w:r>
      <w:r>
        <w:rPr>
          <w:rFonts w:ascii="Times New Roman" w:hAnsi="Times New Roman" w:eastAsia="仿宋_GB2312" w:cs="Times New Roman"/>
          <w:sz w:val="32"/>
          <w:szCs w:val="32"/>
        </w:rPr>
        <w:t>742</w:t>
      </w:r>
      <w:r>
        <w:rPr>
          <w:rFonts w:hint="eastAsia" w:ascii="仿宋_GB2312" w:hAnsi="仿宋_GB2312" w:eastAsia="仿宋_GB2312" w:cs="仿宋_GB2312"/>
          <w:sz w:val="32"/>
          <w:szCs w:val="32"/>
          <w:shd w:val="clear" w:color="auto" w:fill="FFFFFF"/>
        </w:rPr>
        <w:t>笔、金额</w:t>
      </w:r>
      <w:r>
        <w:rPr>
          <w:rFonts w:ascii="Times New Roman" w:hAnsi="Times New Roman" w:eastAsia="仿宋_GB2312" w:cs="Times New Roman"/>
          <w:sz w:val="32"/>
          <w:szCs w:val="32"/>
        </w:rPr>
        <w:t>7811</w:t>
      </w:r>
      <w:r>
        <w:rPr>
          <w:rFonts w:hint="eastAsia" w:ascii="仿宋_GB2312" w:hAnsi="仿宋_GB2312" w:eastAsia="仿宋_GB2312" w:cs="仿宋_GB2312"/>
          <w:sz w:val="32"/>
          <w:szCs w:val="32"/>
          <w:shd w:val="clear" w:color="auto" w:fill="FFFFFF"/>
        </w:rPr>
        <w:t>万元，支付政府采购资金</w:t>
      </w:r>
      <w:r>
        <w:rPr>
          <w:rFonts w:ascii="Times New Roman" w:hAnsi="Times New Roman" w:eastAsia="仿宋_GB2312" w:cs="Times New Roman"/>
          <w:sz w:val="32"/>
          <w:szCs w:val="32"/>
        </w:rPr>
        <w:t>6374</w:t>
      </w:r>
      <w:r>
        <w:rPr>
          <w:rFonts w:hint="eastAsia" w:ascii="仿宋_GB2312" w:hAnsi="仿宋_GB2312" w:eastAsia="仿宋_GB2312" w:cs="仿宋_GB2312"/>
          <w:sz w:val="32"/>
          <w:szCs w:val="32"/>
          <w:shd w:val="clear" w:color="auto" w:fill="FFFFFF"/>
        </w:rPr>
        <w:t>万元，同比减少</w:t>
      </w:r>
      <w:r>
        <w:rPr>
          <w:rFonts w:ascii="Times New Roman" w:hAnsi="Times New Roman" w:eastAsia="仿宋_GB2312" w:cs="Times New Roman"/>
          <w:sz w:val="32"/>
          <w:szCs w:val="32"/>
        </w:rPr>
        <w:t>21.8%</w:t>
      </w:r>
      <w:r>
        <w:rPr>
          <w:rFonts w:hint="eastAsia" w:ascii="仿宋_GB2312" w:hAnsi="仿宋_GB2312" w:eastAsia="仿宋_GB2312" w:cs="仿宋_GB2312"/>
          <w:sz w:val="32"/>
          <w:szCs w:val="32"/>
          <w:shd w:val="clear" w:color="auto" w:fill="FFFFFF"/>
        </w:rPr>
        <w:t>。</w:t>
      </w:r>
    </w:p>
    <w:p>
      <w:pPr>
        <w:spacing w:line="580" w:lineRule="exact"/>
        <w:ind w:firstLine="632" w:firstLineChars="200"/>
        <w:rPr>
          <w:rFonts w:hint="eastAsia" w:ascii="仿宋_GB2312" w:hAnsi="仿宋_GB2312" w:eastAsia="仿宋_GB2312" w:cs="仿宋_GB2312"/>
          <w:kern w:val="0"/>
          <w:sz w:val="32"/>
          <w:szCs w:val="32"/>
          <w:shd w:val="clear" w:color="auto" w:fill="FFFFFF"/>
          <w:lang w:val="en-US" w:eastAsia="zh-CN" w:bidi="ar-SA"/>
        </w:rPr>
      </w:pPr>
      <w:r>
        <w:rPr>
          <w:rFonts w:ascii="楷体_GB2312" w:hAnsi="楷体_GB2312" w:eastAsia="楷体_GB2312" w:cs="楷体_GB2312"/>
          <w:b/>
          <w:bCs/>
          <w:color w:val="000000"/>
          <w:kern w:val="0"/>
          <w:sz w:val="32"/>
          <w:szCs w:val="32"/>
        </w:rPr>
        <w:t>4</w:t>
      </w:r>
      <w:r>
        <w:rPr>
          <w:rFonts w:hint="eastAsia" w:ascii="楷体_GB2312" w:hAnsi="楷体_GB2312" w:eastAsia="楷体_GB2312" w:cs="楷体_GB2312"/>
          <w:b/>
          <w:bCs/>
          <w:color w:val="000000"/>
          <w:kern w:val="0"/>
          <w:sz w:val="32"/>
          <w:szCs w:val="32"/>
        </w:rPr>
        <w:t>、压实责任，持续加强预算绩效管理。</w:t>
      </w:r>
      <w:r>
        <w:rPr>
          <w:rFonts w:hint="eastAsia" w:eastAsia="仿宋_GB2312"/>
          <w:color w:val="000000"/>
          <w:sz w:val="32"/>
          <w:szCs w:val="32"/>
        </w:rPr>
        <w:t>落</w:t>
      </w:r>
      <w:r>
        <w:rPr>
          <w:rFonts w:hint="eastAsia" w:ascii="仿宋_GB2312" w:hAnsi="仿宋_GB2312" w:eastAsia="仿宋_GB2312" w:cs="仿宋_GB2312"/>
          <w:kern w:val="0"/>
          <w:sz w:val="32"/>
          <w:szCs w:val="32"/>
          <w:shd w:val="clear" w:color="auto" w:fill="FFFFFF"/>
          <w:lang w:val="en-US" w:eastAsia="zh-CN" w:bidi="ar-SA"/>
        </w:rPr>
        <w:t>实全面实施预算绩效管理要求，强化督促指导，压实部门主体责任，基本建立了全方位、全过程、全覆盖的预算绩效管理体系，推动了预算和绩效管理一体化。严格执行《烈山区项目支出绩效评价暂行办法》工作要求，对全区55个预算部门2022年预算批复的项目、上级转移支付安排的项目以及当年已完工的政府性投资项目全面开展自评，做到绩效自评全覆盖，并对区教育局、农业农村水利局等十家单位重点项目预算绩效执行情况进行抽查，及时将抽查结果向社会公开，接受社会监督。</w:t>
      </w:r>
    </w:p>
    <w:p>
      <w:pPr>
        <w:spacing w:line="580" w:lineRule="exact"/>
        <w:ind w:firstLine="632" w:firstLineChars="200"/>
        <w:rPr>
          <w:rFonts w:eastAsia="黑体"/>
          <w:color w:val="000000"/>
          <w:kern w:val="0"/>
          <w:sz w:val="32"/>
          <w:szCs w:val="32"/>
        </w:rPr>
      </w:pPr>
      <w:r>
        <w:rPr>
          <w:rFonts w:hint="eastAsia" w:eastAsia="黑体"/>
          <w:color w:val="000000"/>
          <w:kern w:val="0"/>
          <w:sz w:val="32"/>
          <w:szCs w:val="32"/>
        </w:rPr>
        <w:t>三、进一步提高财政预算管理水平</w:t>
      </w:r>
    </w:p>
    <w:p>
      <w:pPr>
        <w:spacing w:line="580" w:lineRule="exact"/>
        <w:ind w:firstLine="632" w:firstLineChars="200"/>
        <w:rPr>
          <w:rFonts w:eastAsia="仿宋_GB2312"/>
          <w:color w:val="000000"/>
          <w:sz w:val="32"/>
          <w:szCs w:val="32"/>
        </w:rPr>
      </w:pPr>
      <w:r>
        <w:rPr>
          <w:rFonts w:eastAsia="仿宋_GB2312"/>
          <w:color w:val="000000"/>
          <w:sz w:val="32"/>
          <w:szCs w:val="32"/>
        </w:rPr>
        <w:t>2023</w:t>
      </w:r>
      <w:r>
        <w:rPr>
          <w:rFonts w:hint="eastAsia" w:eastAsia="仿宋_GB2312"/>
          <w:color w:val="000000"/>
          <w:sz w:val="32"/>
          <w:szCs w:val="32"/>
        </w:rPr>
        <w:t>年财政决算情况总体较好，但在财政管理中也存在一些需要解决的问题，</w:t>
      </w:r>
      <w:r>
        <w:rPr>
          <w:rFonts w:hint="eastAsia" w:ascii="仿宋_GB2312" w:hAnsi="宋体" w:eastAsia="仿宋_GB2312" w:cs="仿宋_GB2312"/>
          <w:sz w:val="32"/>
          <w:szCs w:val="32"/>
          <w:shd w:val="clear" w:color="auto" w:fill="FFFFFF"/>
        </w:rPr>
        <w:t>主要表现在：</w:t>
      </w:r>
      <w:r>
        <w:rPr>
          <w:rFonts w:hint="eastAsia" w:eastAsia="仿宋_GB2312"/>
          <w:sz w:val="32"/>
          <w:szCs w:val="32"/>
        </w:rPr>
        <w:t>一般公共预算收入中非税占比超过</w:t>
      </w:r>
      <w:r>
        <w:rPr>
          <w:rFonts w:eastAsia="仿宋_GB2312"/>
          <w:sz w:val="32"/>
          <w:szCs w:val="32"/>
        </w:rPr>
        <w:t>40%</w:t>
      </w:r>
      <w:r>
        <w:rPr>
          <w:rFonts w:hint="eastAsia" w:eastAsia="仿宋_GB2312"/>
          <w:sz w:val="32"/>
          <w:szCs w:val="32"/>
        </w:rPr>
        <w:t>，占比较高，收入质量不优</w:t>
      </w:r>
      <w:r>
        <w:rPr>
          <w:rFonts w:hint="eastAsia" w:ascii="仿宋_GB2312" w:hAnsi="宋体" w:eastAsia="仿宋_GB2312" w:cs="仿宋_GB2312"/>
          <w:sz w:val="32"/>
          <w:szCs w:val="32"/>
          <w:shd w:val="clear" w:color="auto" w:fill="FFFFFF"/>
        </w:rPr>
        <w:t>；刚性支出增长较快，</w:t>
      </w:r>
      <w:r>
        <w:rPr>
          <w:rFonts w:hint="eastAsia" w:ascii="仿宋_GB2312" w:hAnsi="宋体" w:eastAsia="仿宋_GB2312" w:cs="仿宋_GB2312"/>
          <w:spacing w:val="-2"/>
          <w:sz w:val="32"/>
          <w:szCs w:val="32"/>
          <w:shd w:val="clear" w:color="auto" w:fill="FFFFFF"/>
        </w:rPr>
        <w:t>“三保”支出压力较大，</w:t>
      </w:r>
      <w:r>
        <w:rPr>
          <w:rFonts w:hint="eastAsia" w:ascii="仿宋_GB2312" w:hAnsi="宋体" w:eastAsia="仿宋_GB2312" w:cs="仿宋_GB2312"/>
          <w:sz w:val="32"/>
          <w:szCs w:val="32"/>
          <w:shd w:val="clear" w:color="auto" w:fill="FFFFFF"/>
        </w:rPr>
        <w:t>收支矛盾依然突出；政府性债务还本付息压力较大；财政资金使用绩效还需提升</w:t>
      </w:r>
      <w:r>
        <w:rPr>
          <w:rFonts w:ascii="仿宋_GB2312" w:hAnsi="宋体" w:eastAsia="仿宋_GB2312" w:cs="仿宋_GB2312"/>
          <w:sz w:val="32"/>
          <w:szCs w:val="32"/>
          <w:shd w:val="clear" w:color="auto" w:fill="FFFFFF"/>
        </w:rPr>
        <w:t>;</w:t>
      </w:r>
      <w:r>
        <w:rPr>
          <w:rFonts w:hint="eastAsia" w:ascii="仿宋_GB2312" w:hAnsi="宋体" w:eastAsia="仿宋_GB2312" w:cs="仿宋_GB2312"/>
          <w:sz w:val="32"/>
          <w:szCs w:val="32"/>
          <w:shd w:val="clear" w:color="auto" w:fill="FFFFFF"/>
        </w:rPr>
        <w:t>从严控制一般性支出力度不够、专项项目资金支出进度缓慢等</w:t>
      </w:r>
      <w:r>
        <w:rPr>
          <w:rFonts w:hint="eastAsia" w:eastAsia="仿宋_GB2312"/>
          <w:color w:val="000000"/>
          <w:sz w:val="32"/>
          <w:szCs w:val="32"/>
        </w:rPr>
        <w:t>，我们一定高度重视这些问题，按照区人大和区审计局提出的意见建议，一体推进整改，不断提高财政管理科学化水平。</w:t>
      </w:r>
    </w:p>
    <w:p>
      <w:pPr>
        <w:pStyle w:val="10"/>
        <w:shd w:val="clear" w:color="auto" w:fill="FFFFFF"/>
        <w:snapToGrid w:val="0"/>
        <w:spacing w:before="0" w:beforeAutospacing="0" w:after="0" w:afterAutospacing="0" w:line="580" w:lineRule="exact"/>
        <w:ind w:firstLine="632" w:firstLineChars="200"/>
        <w:rPr>
          <w:rFonts w:ascii="Times New Roman" w:hAnsi="Times New Roman" w:eastAsia="仿宋_GB2312"/>
          <w:kern w:val="2"/>
          <w:sz w:val="32"/>
          <w:szCs w:val="32"/>
        </w:rPr>
      </w:pPr>
      <w:r>
        <w:rPr>
          <w:rFonts w:hint="eastAsia" w:ascii="楷体_GB2312" w:hAnsi="楷体_GB2312" w:eastAsia="楷体_GB2312" w:cs="楷体_GB2312"/>
          <w:b/>
          <w:sz w:val="32"/>
          <w:szCs w:val="32"/>
        </w:rPr>
        <w:t>（一）加大财源建设力度，确保完成收入任务。</w:t>
      </w:r>
      <w:r>
        <w:rPr>
          <w:rFonts w:hint="eastAsia" w:ascii="Times New Roman" w:hAnsi="Times New Roman" w:eastAsia="仿宋_GB2312"/>
          <w:kern w:val="2"/>
          <w:sz w:val="32"/>
          <w:szCs w:val="32"/>
        </w:rPr>
        <w:t>加大与税务部门的协调与配合，积极培植主体税源，夯实财源基础，对税收征管薄弱环节精准发力，做到应收尽收、挖潜增收。充分发挥我区生态环境及交通区位优势，大力招商引资，建立和完善促进企业发展政策，以培育税源为核心，稳步提升财政保障能力为目标，不断提高财源建设管理的效果和水平，努力构建良好发展环境。</w:t>
      </w:r>
    </w:p>
    <w:p>
      <w:pPr>
        <w:pStyle w:val="10"/>
        <w:shd w:val="clear" w:color="auto" w:fill="FFFFFF"/>
        <w:snapToGrid w:val="0"/>
        <w:spacing w:before="0" w:beforeAutospacing="0" w:after="0" w:afterAutospacing="0" w:line="580" w:lineRule="exact"/>
        <w:ind w:firstLine="632" w:firstLineChars="200"/>
        <w:rPr>
          <w:rFonts w:ascii="Times New Roman" w:hAnsi="Times New Roman" w:eastAsia="仿宋_GB2312"/>
          <w:kern w:val="2"/>
          <w:sz w:val="32"/>
          <w:szCs w:val="32"/>
        </w:rPr>
      </w:pPr>
      <w:r>
        <w:rPr>
          <w:rFonts w:hint="eastAsia" w:ascii="楷体_GB2312" w:hAnsi="楷体_GB2312" w:eastAsia="楷体_GB2312" w:cs="楷体_GB2312"/>
          <w:b/>
          <w:sz w:val="32"/>
          <w:szCs w:val="32"/>
        </w:rPr>
        <w:t>（二）围绕重点发展需求，优化财政支出结构。</w:t>
      </w:r>
      <w:r>
        <w:rPr>
          <w:rFonts w:ascii="微软雅黑" w:hAnsi="微软雅黑" w:eastAsia="微软雅黑" w:cs="微软雅黑"/>
          <w:shd w:val="clear" w:color="auto" w:fill="FFFFFF"/>
        </w:rPr>
        <w:t xml:space="preserve"> </w:t>
      </w:r>
      <w:r>
        <w:rPr>
          <w:rFonts w:hint="eastAsia" w:ascii="Times New Roman" w:hAnsi="Times New Roman" w:eastAsia="仿宋_GB2312"/>
          <w:kern w:val="2"/>
          <w:sz w:val="32"/>
          <w:szCs w:val="32"/>
        </w:rPr>
        <w:t>优化财政支出结构，增强大局意识，提高工作站位，牢固树立过“紧日子”思想，继续压减一般性支出，降低政府运行成本。加强与上级部门的密切沟通与联系，积极争取项目和资金，加大民生等重点领域资金投入，增强财政资金的保障能力和可持续性，不断提升群众幸福指数。</w:t>
      </w:r>
      <w:r>
        <w:rPr>
          <w:rFonts w:hint="eastAsia" w:eastAsia="仿宋_GB2312"/>
          <w:kern w:val="2"/>
          <w:sz w:val="32"/>
          <w:szCs w:val="32"/>
        </w:rPr>
        <w:t>建立“先三保，后其他”的库款保障秩序，统筹安排各项财政收支，保持合理的库款规模用于保障“三保”支付，切实保障基本民生、工资发放和机构运转。</w:t>
      </w:r>
    </w:p>
    <w:p>
      <w:pPr>
        <w:pStyle w:val="10"/>
        <w:shd w:val="clear" w:color="auto" w:fill="FFFFFF"/>
        <w:snapToGrid w:val="0"/>
        <w:spacing w:before="0" w:beforeAutospacing="0" w:after="0" w:afterAutospacing="0" w:line="580" w:lineRule="exact"/>
        <w:ind w:firstLine="632" w:firstLineChars="200"/>
        <w:rPr>
          <w:rFonts w:ascii="仿宋_GB2312" w:hAnsi="仿宋_GB2312" w:eastAsia="仿宋_GB2312" w:cs="仿宋_GB2312"/>
          <w:kern w:val="2"/>
          <w:sz w:val="32"/>
          <w:szCs w:val="32"/>
        </w:rPr>
      </w:pPr>
      <w:r>
        <w:rPr>
          <w:rFonts w:hint="eastAsia" w:ascii="楷体_GB2312" w:hAnsi="楷体_GB2312" w:eastAsia="楷体_GB2312" w:cs="楷体_GB2312"/>
          <w:b/>
          <w:sz w:val="32"/>
          <w:szCs w:val="32"/>
        </w:rPr>
        <w:t>（三）强化预算绩效管理，确保取得实效。</w:t>
      </w:r>
      <w:r>
        <w:rPr>
          <w:rFonts w:hint="eastAsia" w:ascii="仿宋_GB2312" w:hAnsi="仿宋_GB2312" w:eastAsia="仿宋_GB2312" w:cs="仿宋_GB2312"/>
          <w:kern w:val="2"/>
          <w:sz w:val="32"/>
          <w:szCs w:val="32"/>
        </w:rPr>
        <w:t>围绕贯彻落实区委重大决策部署，选取部分区级预算部门整体支出、重大政策和项目支出，以及政府专项债券项目资金实施重点绩效评价。强化对单位自评和部门评价结果进行抽查复核，抽查复核结果向部门“点对点”反馈，并采取适当形式予以通报，切实将绩效评价结果与预算安排挂钩，对绩效评价得分较低的项目，予以压减预算，真正把财政资金用在“刀刃”上。</w:t>
      </w:r>
    </w:p>
    <w:p>
      <w:pPr>
        <w:pStyle w:val="10"/>
        <w:shd w:val="clear" w:color="auto" w:fill="FFFFFF"/>
        <w:snapToGrid w:val="0"/>
        <w:spacing w:before="0" w:beforeAutospacing="0" w:after="0" w:afterAutospacing="0" w:line="580" w:lineRule="exact"/>
        <w:ind w:firstLine="632" w:firstLineChars="200"/>
        <w:rPr>
          <w:rFonts w:ascii="Times New Roman" w:hAnsi="Times New Roman" w:eastAsia="仿宋_GB2312"/>
          <w:kern w:val="2"/>
          <w:sz w:val="32"/>
          <w:szCs w:val="32"/>
        </w:rPr>
      </w:pPr>
      <w:r>
        <w:rPr>
          <w:rFonts w:hint="eastAsia" w:ascii="楷体_GB2312" w:hAnsi="楷体_GB2312" w:eastAsia="楷体_GB2312" w:cs="楷体_GB2312"/>
          <w:b/>
          <w:sz w:val="32"/>
          <w:szCs w:val="32"/>
        </w:rPr>
        <w:t>（四）强化内控风险管理，保证财政运行安全。</w:t>
      </w:r>
      <w:r>
        <w:rPr>
          <w:rFonts w:hint="eastAsia" w:ascii="Times New Roman" w:hAnsi="Times New Roman" w:eastAsia="仿宋_GB2312"/>
          <w:kern w:val="2"/>
          <w:sz w:val="32"/>
          <w:szCs w:val="32"/>
        </w:rPr>
        <w:t>进一步强化内部控制建设，坚持开展财政风险评估工作，完善财政监管机制，规范监督程序和手段，夯实预算管理基础，严格预算执行，切实提高资金使用的有效性和预算安排的合理性。全面贯彻落实党风廉政建设责任制，不断强化政治意识和纪律意识，严格财务审批程序，确保财政运行高效安全。</w:t>
      </w:r>
    </w:p>
    <w:p>
      <w:pPr>
        <w:spacing w:line="560" w:lineRule="exact"/>
        <w:ind w:firstLine="632" w:firstLineChars="200"/>
        <w:rPr>
          <w:rFonts w:eastAsia="仿宋_GB2312"/>
          <w:color w:val="000000"/>
          <w:sz w:val="32"/>
          <w:szCs w:val="32"/>
        </w:rPr>
      </w:pPr>
    </w:p>
    <w:p>
      <w:pPr/>
    </w:p>
    <w:sectPr>
      <w:headerReference r:id="rId5" w:type="first"/>
      <w:footerReference r:id="rId8" w:type="first"/>
      <w:headerReference r:id="rId3" w:type="default"/>
      <w:footerReference r:id="rId6" w:type="default"/>
      <w:headerReference r:id="rId4" w:type="even"/>
      <w:footerReference r:id="rId7" w:type="even"/>
      <w:pgSz w:w="11906" w:h="16838"/>
      <w:pgMar w:top="2098" w:right="1531" w:bottom="1985" w:left="1531" w:header="851" w:footer="1559" w:gutter="0"/>
      <w:pgNumType w:fmt="numberInDash"/>
      <w:cols w:space="720"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4002EFF" w:usb1="C000247B" w:usb2="00000009" w:usb3="00000000" w:csb0="200001FF" w:csb1="00000000"/>
  </w:font>
  <w:font w:name="Arial">
    <w:panose1 w:val="020B0604020202020204"/>
    <w:charset w:val="01"/>
    <w:family w:val="decorative"/>
    <w:pitch w:val="default"/>
    <w:sig w:usb0="E0002EFF" w:usb1="C000785B"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仿宋_GB2312">
    <w:panose1 w:val="02010609030101010101"/>
    <w:charset w:val="86"/>
    <w:family w:val="swiss"/>
    <w:pitch w:val="default"/>
    <w:sig w:usb0="00000001" w:usb1="080E0000" w:usb2="00000000" w:usb3="00000000" w:csb0="00040000" w:csb1="00000000"/>
  </w:font>
  <w:font w:name="楷体_GB2312">
    <w:panose1 w:val="02010609030101010101"/>
    <w:charset w:val="86"/>
    <w:family w:val="swiss"/>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swiss"/>
    <w:pitch w:val="default"/>
    <w:sig w:usb0="800002BF" w:usb1="38CF7CFA" w:usb2="00000016" w:usb3="00000000" w:csb0="00040001" w:csb1="00000000"/>
  </w:font>
  <w:font w:name="楷体">
    <w:panose1 w:val="02010609060101010101"/>
    <w:charset w:val="86"/>
    <w:family w:val="swiss"/>
    <w:pitch w:val="default"/>
    <w:sig w:usb0="800002BF" w:usb1="38CF7CFA" w:usb2="00000016" w:usb3="00000000" w:csb0="00040001" w:csb1="00000000"/>
  </w:font>
  <w:font w:name="微软雅黑">
    <w:panose1 w:val="020B0503020204020204"/>
    <w:charset w:val="86"/>
    <w:family w:val="decorative"/>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9010556"/>
    </w:sdtPr>
    <w:sdtContent>
      <w:p>
        <w:pPr>
          <w:pStyle w:val="7"/>
          <w:ind w:firstLine="360"/>
          <w:jc w:val="right"/>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3 -</w:t>
        </w:r>
        <w:r>
          <w:rPr>
            <w:rFonts w:asciiTheme="minorEastAsia" w:hAnsiTheme="minorEastAsia" w:eastAsiaTheme="minorEastAsia"/>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4218835"/>
    </w:sdtPr>
    <w:sdtContent>
      <w:p>
        <w:pPr>
          <w:pStyle w:val="7"/>
          <w:ind w:firstLine="0" w:firstLineChars="0"/>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2 -</w:t>
        </w:r>
        <w:r>
          <w:rPr>
            <w:rFonts w:asciiTheme="minorEastAsia" w:hAnsiTheme="minorEastAsia" w:eastAsiaTheme="minorEastAsia"/>
            <w:sz w:val="28"/>
            <w:szCs w:val="2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7"/>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9"/>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evenAndOddHeaders w:val="1"/>
  <w:drawingGridHorizontalSpacing w:val="158"/>
  <w:drawingGridVerticalSpacing w:val="579"/>
  <w:displayHorizont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DYxYjY5OWI2YzVkMGQ0M2I0NTY3NTIyNDg3NWIyN2IifQ=="/>
  </w:docVars>
  <w:rsids>
    <w:rsidRoot w:val="48E47FF0"/>
    <w:rsid w:val="00004C34"/>
    <w:rsid w:val="001543AC"/>
    <w:rsid w:val="002D6003"/>
    <w:rsid w:val="003E731A"/>
    <w:rsid w:val="004B6695"/>
    <w:rsid w:val="00DC2BE0"/>
    <w:rsid w:val="00EB3687"/>
    <w:rsid w:val="01352CEB"/>
    <w:rsid w:val="01437C9C"/>
    <w:rsid w:val="01E3442D"/>
    <w:rsid w:val="0284231A"/>
    <w:rsid w:val="02CF211B"/>
    <w:rsid w:val="033755DF"/>
    <w:rsid w:val="034E1C04"/>
    <w:rsid w:val="048760F2"/>
    <w:rsid w:val="064222D0"/>
    <w:rsid w:val="067508F8"/>
    <w:rsid w:val="07B40FAC"/>
    <w:rsid w:val="09167A44"/>
    <w:rsid w:val="09294F27"/>
    <w:rsid w:val="094E3335"/>
    <w:rsid w:val="0A8A06EA"/>
    <w:rsid w:val="0C126491"/>
    <w:rsid w:val="0C4169D6"/>
    <w:rsid w:val="0DC108C7"/>
    <w:rsid w:val="0DC62738"/>
    <w:rsid w:val="0DD20229"/>
    <w:rsid w:val="0EAF4BC3"/>
    <w:rsid w:val="0EBC68B5"/>
    <w:rsid w:val="0FBB37E2"/>
    <w:rsid w:val="0FD22917"/>
    <w:rsid w:val="109376DD"/>
    <w:rsid w:val="10970AB7"/>
    <w:rsid w:val="119938DE"/>
    <w:rsid w:val="11BB562D"/>
    <w:rsid w:val="12C66037"/>
    <w:rsid w:val="141E3AF8"/>
    <w:rsid w:val="14B54E72"/>
    <w:rsid w:val="151D2886"/>
    <w:rsid w:val="15DD2016"/>
    <w:rsid w:val="16007AB2"/>
    <w:rsid w:val="170626B7"/>
    <w:rsid w:val="17654071"/>
    <w:rsid w:val="18950986"/>
    <w:rsid w:val="189E2829"/>
    <w:rsid w:val="1934019F"/>
    <w:rsid w:val="19BE3F0C"/>
    <w:rsid w:val="1B3D7186"/>
    <w:rsid w:val="1BA535D6"/>
    <w:rsid w:val="1C715266"/>
    <w:rsid w:val="1CEC29BA"/>
    <w:rsid w:val="1D4777DC"/>
    <w:rsid w:val="1E0345E3"/>
    <w:rsid w:val="1E672DC4"/>
    <w:rsid w:val="1FAD4807"/>
    <w:rsid w:val="1FBB7F3E"/>
    <w:rsid w:val="1FF97126"/>
    <w:rsid w:val="20012DA5"/>
    <w:rsid w:val="21D00C81"/>
    <w:rsid w:val="21E07116"/>
    <w:rsid w:val="226A4C31"/>
    <w:rsid w:val="24FB2EF6"/>
    <w:rsid w:val="25076767"/>
    <w:rsid w:val="25832249"/>
    <w:rsid w:val="26237B4E"/>
    <w:rsid w:val="26F4714B"/>
    <w:rsid w:val="275E288B"/>
    <w:rsid w:val="287710DD"/>
    <w:rsid w:val="28CB7803"/>
    <w:rsid w:val="28EC032F"/>
    <w:rsid w:val="29992E5B"/>
    <w:rsid w:val="29AA0009"/>
    <w:rsid w:val="2B713439"/>
    <w:rsid w:val="2CB71B54"/>
    <w:rsid w:val="2D1F6B19"/>
    <w:rsid w:val="2E3600BD"/>
    <w:rsid w:val="2E9D013C"/>
    <w:rsid w:val="2F1A353B"/>
    <w:rsid w:val="2F3C7955"/>
    <w:rsid w:val="2F617745"/>
    <w:rsid w:val="2FA8323D"/>
    <w:rsid w:val="301D7787"/>
    <w:rsid w:val="308B2942"/>
    <w:rsid w:val="31374878"/>
    <w:rsid w:val="3207424B"/>
    <w:rsid w:val="3225188C"/>
    <w:rsid w:val="32FB06B3"/>
    <w:rsid w:val="336D1960"/>
    <w:rsid w:val="337D202C"/>
    <w:rsid w:val="33863489"/>
    <w:rsid w:val="369D33CF"/>
    <w:rsid w:val="377759CE"/>
    <w:rsid w:val="388A7983"/>
    <w:rsid w:val="38CE5AC2"/>
    <w:rsid w:val="39A405D1"/>
    <w:rsid w:val="3A037AAA"/>
    <w:rsid w:val="3A5C70FE"/>
    <w:rsid w:val="3AA840F1"/>
    <w:rsid w:val="3E891B0E"/>
    <w:rsid w:val="3ED656D0"/>
    <w:rsid w:val="3F0D4E6A"/>
    <w:rsid w:val="415272E5"/>
    <w:rsid w:val="433724B6"/>
    <w:rsid w:val="43A7763B"/>
    <w:rsid w:val="45CC095E"/>
    <w:rsid w:val="46080139"/>
    <w:rsid w:val="463D7DE3"/>
    <w:rsid w:val="470B1C8F"/>
    <w:rsid w:val="47491AA8"/>
    <w:rsid w:val="47950C92"/>
    <w:rsid w:val="47B95B8F"/>
    <w:rsid w:val="482C010F"/>
    <w:rsid w:val="48E47FF0"/>
    <w:rsid w:val="49417BEA"/>
    <w:rsid w:val="4ACC5BD9"/>
    <w:rsid w:val="4AF71D17"/>
    <w:rsid w:val="4C3C4EC3"/>
    <w:rsid w:val="4C537E9D"/>
    <w:rsid w:val="4D6D36A4"/>
    <w:rsid w:val="4DA46CB0"/>
    <w:rsid w:val="4DE43ACF"/>
    <w:rsid w:val="4FC97C94"/>
    <w:rsid w:val="507C1E50"/>
    <w:rsid w:val="508F56DF"/>
    <w:rsid w:val="51962A9D"/>
    <w:rsid w:val="52CA2137"/>
    <w:rsid w:val="53E94733"/>
    <w:rsid w:val="543F73D4"/>
    <w:rsid w:val="547F3CBD"/>
    <w:rsid w:val="54813591"/>
    <w:rsid w:val="57E83927"/>
    <w:rsid w:val="585A2A77"/>
    <w:rsid w:val="58694A68"/>
    <w:rsid w:val="5ADD173D"/>
    <w:rsid w:val="5C7E1BB7"/>
    <w:rsid w:val="5CFF22E8"/>
    <w:rsid w:val="5E8F2D4E"/>
    <w:rsid w:val="5F4E6765"/>
    <w:rsid w:val="608F6BA3"/>
    <w:rsid w:val="609428CC"/>
    <w:rsid w:val="610470E7"/>
    <w:rsid w:val="61C64D42"/>
    <w:rsid w:val="62816D7D"/>
    <w:rsid w:val="62DF1A1E"/>
    <w:rsid w:val="630E2DDB"/>
    <w:rsid w:val="63147CC6"/>
    <w:rsid w:val="643E149E"/>
    <w:rsid w:val="64C50FBD"/>
    <w:rsid w:val="656B5ACE"/>
    <w:rsid w:val="65C9251A"/>
    <w:rsid w:val="660E4EA0"/>
    <w:rsid w:val="672C7CD4"/>
    <w:rsid w:val="67746A5E"/>
    <w:rsid w:val="68914ED2"/>
    <w:rsid w:val="69291974"/>
    <w:rsid w:val="69EB1780"/>
    <w:rsid w:val="6A8120E5"/>
    <w:rsid w:val="6EE802F2"/>
    <w:rsid w:val="6F984CC7"/>
    <w:rsid w:val="70B52AE8"/>
    <w:rsid w:val="71015D2D"/>
    <w:rsid w:val="71E72AF9"/>
    <w:rsid w:val="71F95820"/>
    <w:rsid w:val="73102258"/>
    <w:rsid w:val="743E279B"/>
    <w:rsid w:val="75C70971"/>
    <w:rsid w:val="76171B4F"/>
    <w:rsid w:val="76261D92"/>
    <w:rsid w:val="76607052"/>
    <w:rsid w:val="77280029"/>
    <w:rsid w:val="787119EB"/>
    <w:rsid w:val="78A05E2C"/>
    <w:rsid w:val="791505C8"/>
    <w:rsid w:val="79CD0EA3"/>
    <w:rsid w:val="7AED484F"/>
    <w:rsid w:val="7BE63EBB"/>
    <w:rsid w:val="7DC425BD"/>
    <w:rsid w:val="7F524A36"/>
    <w:rsid w:val="7F5F19C6"/>
    <w:rsid w:val="7F630B5A"/>
    <w:rsid w:val="7FF44611"/>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ind w:firstLine="200" w:firstLineChars="200"/>
      <w:jc w:val="both"/>
    </w:pPr>
    <w:rPr>
      <w:rFonts w:ascii="Calibri" w:hAnsi="Calibri" w:eastAsia="仿宋_GB2312" w:cs="Times New Roman"/>
      <w:kern w:val="2"/>
      <w:sz w:val="32"/>
      <w:szCs w:val="32"/>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Cambria" w:hAnsi="Cambria" w:eastAsia="宋体"/>
      <w:b/>
      <w:bCs/>
    </w:rPr>
  </w:style>
  <w:style w:type="paragraph" w:styleId="3">
    <w:name w:val="heading 3"/>
    <w:basedOn w:val="1"/>
    <w:next w:val="1"/>
    <w:unhideWhenUsed/>
    <w:qFormat/>
    <w:uiPriority w:val="0"/>
    <w:pPr>
      <w:spacing w:beforeAutospacing="1" w:afterAutospacing="1"/>
      <w:jc w:val="left"/>
      <w:outlineLvl w:val="2"/>
    </w:pPr>
    <w:rPr>
      <w:rFonts w:hint="eastAsia" w:ascii="宋体" w:hAnsi="宋体" w:eastAsia="宋体"/>
      <w:b/>
      <w:bCs/>
      <w:kern w:val="0"/>
      <w:sz w:val="27"/>
      <w:szCs w:val="27"/>
    </w:rPr>
  </w:style>
  <w:style w:type="character" w:default="1" w:styleId="11">
    <w:name w:val="Default Paragraph Font"/>
    <w:unhideWhenUsed/>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4">
    <w:name w:val="Body Text"/>
    <w:basedOn w:val="1"/>
    <w:qFormat/>
    <w:uiPriority w:val="99"/>
    <w:pPr>
      <w:spacing w:after="120"/>
    </w:pPr>
  </w:style>
  <w:style w:type="paragraph" w:styleId="5">
    <w:name w:val="Body Text Indent 2"/>
    <w:basedOn w:val="1"/>
    <w:link w:val="16"/>
    <w:uiPriority w:val="0"/>
    <w:pPr>
      <w:spacing w:after="120" w:line="480" w:lineRule="auto"/>
      <w:ind w:left="420" w:leftChars="200"/>
    </w:pPr>
  </w:style>
  <w:style w:type="paragraph" w:styleId="6">
    <w:name w:val="Balloon Text"/>
    <w:basedOn w:val="1"/>
    <w:link w:val="17"/>
    <w:uiPriority w:val="0"/>
    <w:rPr>
      <w:sz w:val="18"/>
      <w:szCs w:val="18"/>
    </w:rPr>
  </w:style>
  <w:style w:type="paragraph" w:styleId="7">
    <w:name w:val="footer"/>
    <w:basedOn w:val="1"/>
    <w:qFormat/>
    <w:uiPriority w:val="99"/>
    <w:pPr>
      <w:tabs>
        <w:tab w:val="center" w:pos="4153"/>
        <w:tab w:val="right" w:pos="8306"/>
      </w:tabs>
      <w:snapToGrid w:val="0"/>
      <w:jc w:val="left"/>
    </w:pPr>
    <w:rPr>
      <w:sz w:val="18"/>
    </w:rPr>
  </w:style>
  <w:style w:type="paragraph" w:styleId="8">
    <w:name w:val="Body Text First Indent 2"/>
    <w:basedOn w:val="1"/>
    <w:unhideWhenUsed/>
    <w:qFormat/>
    <w:uiPriority w:val="99"/>
    <w:pPr>
      <w:ind w:firstLine="420"/>
    </w:pPr>
    <w:rPr>
      <w:szCs w:val="22"/>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Normal (Web)"/>
    <w:basedOn w:val="1"/>
    <w:qFormat/>
    <w:uiPriority w:val="0"/>
    <w:pPr>
      <w:spacing w:before="100" w:beforeAutospacing="1" w:after="100" w:afterAutospacing="1"/>
      <w:jc w:val="left"/>
    </w:pPr>
    <w:rPr>
      <w:rFonts w:ascii="宋体" w:hAnsi="宋体" w:cs="宋体"/>
      <w:kern w:val="0"/>
      <w:sz w:val="24"/>
    </w:rPr>
  </w:style>
  <w:style w:type="character" w:styleId="12">
    <w:name w:val="Strong"/>
    <w:basedOn w:val="11"/>
    <w:qFormat/>
    <w:uiPriority w:val="0"/>
    <w:rPr>
      <w:b/>
    </w:rPr>
  </w:style>
  <w:style w:type="character" w:styleId="13">
    <w:name w:val="Emphasis"/>
    <w:basedOn w:val="11"/>
    <w:qFormat/>
    <w:uiPriority w:val="0"/>
    <w:rPr>
      <w:i/>
    </w:rPr>
  </w:style>
  <w:style w:type="character" w:styleId="14">
    <w:name w:val="Hyperlink"/>
    <w:basedOn w:val="11"/>
    <w:qFormat/>
    <w:uiPriority w:val="0"/>
    <w:rPr>
      <w:color w:val="0000FF"/>
      <w:u w:val="single"/>
    </w:rPr>
  </w:style>
  <w:style w:type="character" w:customStyle="1" w:styleId="16">
    <w:name w:val="正文文本缩进 2 Char"/>
    <w:basedOn w:val="11"/>
    <w:link w:val="5"/>
    <w:uiPriority w:val="0"/>
    <w:rPr>
      <w:rFonts w:ascii="Calibri" w:hAnsi="Calibri" w:eastAsia="仿宋_GB2312"/>
      <w:kern w:val="2"/>
      <w:sz w:val="32"/>
      <w:szCs w:val="32"/>
    </w:rPr>
  </w:style>
  <w:style w:type="character" w:customStyle="1" w:styleId="17">
    <w:name w:val="批注框文本 Char"/>
    <w:basedOn w:val="11"/>
    <w:link w:val="6"/>
    <w:uiPriority w:val="0"/>
    <w:rPr>
      <w:rFonts w:ascii="Calibri" w:hAnsi="Calibri"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4485</Words>
  <Characters>5470</Characters>
  <Lines>41</Lines>
  <Paragraphs>11</Paragraphs>
  <ScaleCrop>false</ScaleCrop>
  <LinksUpToDate>false</LinksUpToDate>
  <CharactersWithSpaces>5630</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2022-05-21T12:28:00Z</dcterms:created>
  <dc:creator>Administrator</dc:creator>
  <cp:lastModifiedBy>LS01</cp:lastModifiedBy>
  <cp:lastPrinted>2022-06-13T01:28:00Z</cp:lastPrinted>
  <dcterms:modified xsi:type="dcterms:W3CDTF">2024-09-29T02:21:36Z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y fmtid="{D5CDD505-2E9C-101B-9397-08002B2CF9AE}" pid="3" name="ICV">
    <vt:lpwstr>939E4F8BF3504281BD0A47EA5E726835</vt:lpwstr>
  </property>
</Properties>
</file>