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8C4ED7">
      <w:pPr>
        <w:shd w:val="clear" w:color="auto" w:fill="FFFFFF"/>
        <w:spacing w:after="225" w:line="480" w:lineRule="auto"/>
        <w:jc w:val="both"/>
        <w:rPr>
          <w:rFonts w:hint="eastAsia" w:ascii="黑体" w:hAnsi="黑体" w:eastAsia="黑体" w:cs="黑体"/>
          <w:sz w:val="44"/>
          <w:szCs w:val="44"/>
          <w:lang w:eastAsia="zh-CN"/>
        </w:rPr>
      </w:pPr>
      <w:r>
        <w:rPr>
          <w:rFonts w:hint="eastAsia" w:ascii="黑体" w:hAnsi="黑体" w:eastAsia="黑体" w:cs="黑体"/>
          <w:sz w:val="44"/>
          <w:szCs w:val="44"/>
        </w:rPr>
        <w:t>烈山区</w:t>
      </w:r>
      <w:r>
        <w:rPr>
          <w:rFonts w:hint="eastAsia" w:ascii="黑体" w:hAnsi="黑体" w:eastAsia="黑体" w:cs="黑体"/>
          <w:sz w:val="44"/>
          <w:szCs w:val="44"/>
          <w:lang w:val="en-US" w:eastAsia="zh-CN"/>
        </w:rPr>
        <w:t>财政局</w:t>
      </w:r>
      <w:r>
        <w:rPr>
          <w:rFonts w:hint="eastAsia" w:ascii="黑体" w:hAnsi="黑体" w:eastAsia="黑体" w:cs="黑体"/>
          <w:sz w:val="44"/>
          <w:szCs w:val="44"/>
        </w:rPr>
        <w:t>202</w:t>
      </w:r>
      <w:r>
        <w:rPr>
          <w:rFonts w:hint="eastAsia" w:ascii="黑体" w:hAnsi="黑体" w:eastAsia="黑体" w:cs="黑体"/>
          <w:sz w:val="44"/>
          <w:szCs w:val="44"/>
          <w:lang w:val="en-US" w:eastAsia="zh-CN"/>
        </w:rPr>
        <w:t>3</w:t>
      </w:r>
      <w:r>
        <w:rPr>
          <w:rFonts w:hint="eastAsia" w:ascii="黑体" w:hAnsi="黑体" w:eastAsia="黑体" w:cs="黑体"/>
          <w:sz w:val="44"/>
          <w:szCs w:val="44"/>
        </w:rPr>
        <w:t>年度财政预算绩效</w:t>
      </w:r>
      <w:r>
        <w:rPr>
          <w:rFonts w:hint="eastAsia" w:ascii="黑体" w:hAnsi="黑体" w:eastAsia="黑体" w:cs="黑体"/>
          <w:sz w:val="44"/>
          <w:szCs w:val="44"/>
          <w:lang w:eastAsia="zh-CN"/>
        </w:rPr>
        <w:t>管理</w:t>
      </w:r>
    </w:p>
    <w:p w14:paraId="4E336F3B">
      <w:pPr>
        <w:shd w:val="clear" w:color="auto" w:fill="FFFFFF"/>
        <w:spacing w:after="225" w:line="480" w:lineRule="auto"/>
        <w:ind w:firstLine="640"/>
        <w:jc w:val="center"/>
        <w:rPr>
          <w:rFonts w:hint="eastAsia" w:ascii="黑体" w:hAnsi="黑体" w:eastAsia="黑体" w:cs="黑体"/>
          <w:sz w:val="44"/>
          <w:szCs w:val="44"/>
          <w:lang w:val="en-US" w:eastAsia="zh-CN"/>
        </w:rPr>
      </w:pPr>
      <w:r>
        <w:rPr>
          <w:rFonts w:hint="eastAsia" w:ascii="黑体" w:hAnsi="黑体" w:eastAsia="黑体" w:cs="黑体"/>
          <w:sz w:val="44"/>
          <w:szCs w:val="44"/>
        </w:rPr>
        <w:t>工作</w:t>
      </w:r>
      <w:r>
        <w:rPr>
          <w:rFonts w:hint="eastAsia" w:ascii="黑体" w:hAnsi="黑体" w:eastAsia="黑体" w:cs="黑体"/>
          <w:sz w:val="44"/>
          <w:szCs w:val="44"/>
          <w:lang w:eastAsia="zh-CN"/>
        </w:rPr>
        <w:t>开展情况的说明</w:t>
      </w:r>
      <w:bookmarkStart w:id="0" w:name="_GoBack"/>
      <w:bookmarkEnd w:id="0"/>
    </w:p>
    <w:p w14:paraId="1BF24AE1">
      <w:pPr>
        <w:shd w:val="clear" w:color="auto" w:fill="FFFFFF"/>
        <w:spacing w:after="225" w:line="480" w:lineRule="auto"/>
        <w:ind w:firstLine="640"/>
        <w:rPr>
          <w:rFonts w:hint="eastAsia" w:ascii="仿宋" w:hAnsi="仿宋" w:eastAsia="仿宋" w:cs="仿宋"/>
          <w:sz w:val="32"/>
          <w:szCs w:val="32"/>
        </w:rPr>
      </w:pPr>
    </w:p>
    <w:p w14:paraId="031F74D6">
      <w:pPr>
        <w:shd w:val="clear" w:color="auto" w:fill="FFFFFF"/>
        <w:spacing w:after="225" w:line="480" w:lineRule="auto"/>
        <w:ind w:firstLine="640"/>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烈山区财政局</w:t>
      </w:r>
      <w:r>
        <w:rPr>
          <w:rFonts w:hint="eastAsia" w:ascii="仿宋" w:hAnsi="仿宋" w:eastAsia="仿宋" w:cs="仿宋"/>
          <w:sz w:val="32"/>
          <w:szCs w:val="32"/>
        </w:rPr>
        <w:t>以提升财政资金绩效为主线，以绩效目标实现为导向.以财政支出绩效评价为手段，以评价结果应用为保障，建立完善预算绩效管理体系.积极推进预算绩效管理工作。有关工作总结如下:</w:t>
      </w:r>
    </w:p>
    <w:p w14:paraId="02D2BCAA">
      <w:pPr>
        <w:shd w:val="clear" w:color="auto" w:fill="FFFFFF"/>
        <w:spacing w:after="225" w:line="480" w:lineRule="auto"/>
        <w:ind w:firstLine="640"/>
        <w:rPr>
          <w:rFonts w:hint="default" w:ascii="仿宋" w:hAnsi="仿宋" w:eastAsia="仿宋" w:cs="仿宋"/>
          <w:b/>
          <w:bCs/>
          <w:sz w:val="32"/>
          <w:szCs w:val="32"/>
          <w:lang w:val="en-US" w:eastAsia="zh-CN"/>
        </w:rPr>
      </w:pPr>
      <w:r>
        <w:rPr>
          <w:rFonts w:hint="eastAsia" w:ascii="仿宋" w:hAnsi="仿宋" w:eastAsia="仿宋" w:cs="仿宋"/>
          <w:b/>
          <w:bCs/>
          <w:sz w:val="32"/>
          <w:szCs w:val="32"/>
        </w:rPr>
        <w:t>一、 20</w:t>
      </w:r>
      <w:r>
        <w:rPr>
          <w:rFonts w:hint="eastAsia" w:ascii="仿宋" w:hAnsi="仿宋" w:eastAsia="仿宋" w:cs="仿宋"/>
          <w:b/>
          <w:bCs/>
          <w:sz w:val="32"/>
          <w:szCs w:val="32"/>
          <w:lang w:val="en-US" w:eastAsia="zh-CN"/>
        </w:rPr>
        <w:t>23</w:t>
      </w:r>
      <w:r>
        <w:rPr>
          <w:rFonts w:hint="eastAsia" w:ascii="仿宋" w:hAnsi="仿宋" w:eastAsia="仿宋" w:cs="仿宋"/>
          <w:b/>
          <w:bCs/>
          <w:sz w:val="32"/>
          <w:szCs w:val="32"/>
        </w:rPr>
        <w:t>年度预算绩效管理工作整体开展情况</w:t>
      </w:r>
      <w:r>
        <w:rPr>
          <w:rFonts w:hint="eastAsia" w:ascii="仿宋" w:hAnsi="仿宋" w:eastAsia="仿宋" w:cs="仿宋"/>
          <w:b/>
          <w:bCs/>
          <w:sz w:val="32"/>
          <w:szCs w:val="32"/>
          <w:lang w:val="en-US" w:eastAsia="zh-CN"/>
        </w:rPr>
        <w:t>及成效</w:t>
      </w:r>
    </w:p>
    <w:p w14:paraId="2DB506C6">
      <w:pPr>
        <w:pStyle w:val="4"/>
        <w:shd w:val="clear" w:color="auto" w:fill="FFFFFF"/>
        <w:spacing w:before="240" w:beforeAutospacing="0" w:after="240" w:afterAutospacing="0" w:line="480" w:lineRule="auto"/>
        <w:ind w:firstLine="480"/>
        <w:rPr>
          <w:rFonts w:hint="eastAsia" w:ascii="仿宋" w:hAnsi="仿宋" w:eastAsia="仿宋" w:cs="仿宋"/>
          <w:color w:val="000000"/>
          <w:sz w:val="32"/>
          <w:szCs w:val="32"/>
          <w:highlight w:val="none"/>
        </w:rPr>
      </w:pPr>
      <w:r>
        <w:rPr>
          <w:rFonts w:hint="eastAsia" w:ascii="仿宋" w:hAnsi="仿宋" w:eastAsia="仿宋" w:cs="仿宋"/>
          <w:sz w:val="32"/>
          <w:szCs w:val="32"/>
        </w:rPr>
        <w:t>进一步加强制度建设， 提升自评质量, 预算绩效管理取得新成效。一是抓好绩效目标编制，及时报送绩效目标</w:t>
      </w:r>
      <w:r>
        <w:rPr>
          <w:rFonts w:hint="eastAsia" w:ascii="仿宋" w:hAnsi="仿宋" w:eastAsia="仿宋" w:cs="仿宋"/>
          <w:sz w:val="32"/>
          <w:szCs w:val="32"/>
          <w:lang w:eastAsia="zh-CN"/>
        </w:rPr>
        <w:t>，</w:t>
      </w:r>
      <w:r>
        <w:rPr>
          <w:rFonts w:hint="eastAsia" w:ascii="仿宋" w:hAnsi="仿宋" w:eastAsia="仿宋" w:cs="仿宋"/>
          <w:b/>
          <w:bCs/>
          <w:color w:val="3D3D3D"/>
          <w:sz w:val="32"/>
          <w:szCs w:val="32"/>
        </w:rPr>
        <w:t>开展事前绩效评估。</w:t>
      </w:r>
      <w:r>
        <w:rPr>
          <w:rFonts w:hint="eastAsia" w:ascii="仿宋" w:hAnsi="仿宋" w:eastAsia="仿宋" w:cs="仿宋"/>
          <w:color w:val="3D3D3D"/>
          <w:sz w:val="32"/>
          <w:szCs w:val="32"/>
        </w:rPr>
        <w:t>将绩效管理关口前移，积极开展拟新增100万元及以上项目事前绩效评估，将绩效评估结果作为申请预算的必备条件,增强决策的科学性和精准性。</w:t>
      </w:r>
      <w:r>
        <w:rPr>
          <w:rFonts w:hint="eastAsia" w:ascii="仿宋" w:hAnsi="仿宋" w:eastAsia="仿宋" w:cs="仿宋"/>
          <w:color w:val="3D3D3D"/>
          <w:sz w:val="32"/>
          <w:szCs w:val="32"/>
          <w:highlight w:val="none"/>
        </w:rPr>
        <w:t>202</w:t>
      </w:r>
      <w:r>
        <w:rPr>
          <w:rFonts w:hint="eastAsia" w:ascii="仿宋" w:hAnsi="仿宋" w:eastAsia="仿宋" w:cs="仿宋"/>
          <w:color w:val="3D3D3D"/>
          <w:sz w:val="32"/>
          <w:szCs w:val="32"/>
          <w:highlight w:val="none"/>
          <w:lang w:val="en-US" w:eastAsia="zh-CN"/>
        </w:rPr>
        <w:t>2</w:t>
      </w:r>
      <w:r>
        <w:rPr>
          <w:rFonts w:hint="eastAsia" w:ascii="仿宋" w:hAnsi="仿宋" w:eastAsia="仿宋" w:cs="仿宋"/>
          <w:color w:val="3D3D3D"/>
          <w:sz w:val="32"/>
          <w:szCs w:val="32"/>
          <w:highlight w:val="none"/>
        </w:rPr>
        <w:t>年</w:t>
      </w:r>
      <w:r>
        <w:rPr>
          <w:rFonts w:hint="eastAsia" w:ascii="仿宋" w:hAnsi="仿宋" w:eastAsia="仿宋" w:cs="仿宋"/>
          <w:color w:val="3D3D3D"/>
          <w:sz w:val="32"/>
          <w:szCs w:val="32"/>
          <w:highlight w:val="none"/>
          <w:lang w:eastAsia="zh-CN"/>
        </w:rPr>
        <w:t>编制</w:t>
      </w:r>
      <w:r>
        <w:rPr>
          <w:rFonts w:hint="eastAsia" w:ascii="仿宋" w:hAnsi="仿宋" w:eastAsia="仿宋" w:cs="仿宋"/>
          <w:color w:val="3D3D3D"/>
          <w:sz w:val="32"/>
          <w:szCs w:val="32"/>
          <w:highlight w:val="none"/>
          <w:lang w:val="en-US" w:eastAsia="zh-CN"/>
        </w:rPr>
        <w:t>2023年预算</w:t>
      </w:r>
      <w:r>
        <w:rPr>
          <w:rFonts w:hint="eastAsia" w:ascii="仿宋" w:hAnsi="仿宋" w:eastAsia="仿宋" w:cs="仿宋"/>
          <w:color w:val="3D3D3D"/>
          <w:sz w:val="32"/>
          <w:szCs w:val="32"/>
          <w:highlight w:val="none"/>
        </w:rPr>
        <w:t>，</w:t>
      </w:r>
      <w:r>
        <w:rPr>
          <w:rFonts w:hint="eastAsia" w:ascii="仿宋" w:hAnsi="仿宋" w:eastAsia="仿宋" w:cs="仿宋"/>
          <w:sz w:val="32"/>
          <w:szCs w:val="32"/>
          <w:highlight w:val="none"/>
        </w:rPr>
        <w:t>对</w:t>
      </w:r>
      <w:r>
        <w:rPr>
          <w:rFonts w:hint="eastAsia" w:ascii="仿宋" w:hAnsi="仿宋" w:eastAsia="仿宋" w:cs="仿宋"/>
          <w:color w:val="auto"/>
          <w:sz w:val="32"/>
          <w:szCs w:val="32"/>
          <w:highlight w:val="none"/>
        </w:rPr>
        <w:t>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3</w:t>
      </w:r>
      <w:r>
        <w:rPr>
          <w:rFonts w:hint="eastAsia" w:ascii="仿宋" w:hAnsi="仿宋" w:eastAsia="仿宋" w:cs="仿宋"/>
          <w:sz w:val="32"/>
          <w:szCs w:val="32"/>
          <w:highlight w:val="none"/>
        </w:rPr>
        <w:t>个100万元及以上项目开展事前评估。</w:t>
      </w:r>
      <w:r>
        <w:rPr>
          <w:rFonts w:hint="eastAsia" w:ascii="仿宋" w:hAnsi="仿宋" w:eastAsia="仿宋" w:cs="仿宋"/>
          <w:color w:val="000000"/>
          <w:sz w:val="32"/>
          <w:szCs w:val="32"/>
          <w:highlight w:val="none"/>
          <w:lang w:eastAsia="zh-CN"/>
        </w:rPr>
        <w:t>涉及</w:t>
      </w:r>
      <w:r>
        <w:rPr>
          <w:rFonts w:hint="eastAsia" w:ascii="仿宋" w:hAnsi="仿宋" w:eastAsia="仿宋" w:cs="仿宋"/>
          <w:color w:val="000000"/>
          <w:sz w:val="32"/>
          <w:szCs w:val="32"/>
          <w:highlight w:val="none"/>
        </w:rPr>
        <w:t>金额 799.55 万元，其中：</w:t>
      </w:r>
      <w:r>
        <w:rPr>
          <w:rFonts w:hint="eastAsia" w:ascii="仿宋" w:hAnsi="仿宋" w:eastAsia="仿宋" w:cs="仿宋"/>
          <w:color w:val="000000"/>
          <w:sz w:val="32"/>
          <w:szCs w:val="32"/>
          <w:highlight w:val="none"/>
          <w:lang w:eastAsia="zh-CN"/>
        </w:rPr>
        <w:t>区</w:t>
      </w:r>
      <w:r>
        <w:rPr>
          <w:rFonts w:hint="eastAsia" w:ascii="仿宋" w:hAnsi="仿宋" w:eastAsia="仿宋" w:cs="仿宋"/>
          <w:color w:val="000000"/>
          <w:sz w:val="32"/>
          <w:szCs w:val="32"/>
          <w:highlight w:val="none"/>
        </w:rPr>
        <w:t>教育局1个项目，涉及金额341万元；</w:t>
      </w:r>
      <w:r>
        <w:rPr>
          <w:rFonts w:hint="eastAsia" w:ascii="仿宋" w:hAnsi="仿宋" w:eastAsia="仿宋" w:cs="仿宋"/>
          <w:color w:val="000000"/>
          <w:sz w:val="32"/>
          <w:szCs w:val="32"/>
          <w:highlight w:val="none"/>
          <w:lang w:eastAsia="zh-CN"/>
        </w:rPr>
        <w:t>区</w:t>
      </w:r>
      <w:r>
        <w:rPr>
          <w:rFonts w:hint="eastAsia" w:ascii="仿宋" w:hAnsi="仿宋" w:eastAsia="仿宋" w:cs="仿宋"/>
          <w:color w:val="000000"/>
          <w:sz w:val="32"/>
          <w:szCs w:val="32"/>
          <w:highlight w:val="none"/>
        </w:rPr>
        <w:t>农水局1个项目，金额258.55万元；</w:t>
      </w:r>
      <w:r>
        <w:rPr>
          <w:rFonts w:hint="eastAsia" w:ascii="仿宋" w:hAnsi="仿宋" w:eastAsia="仿宋" w:cs="仿宋"/>
          <w:color w:val="000000"/>
          <w:sz w:val="32"/>
          <w:szCs w:val="32"/>
          <w:highlight w:val="none"/>
          <w:lang w:eastAsia="zh-CN"/>
        </w:rPr>
        <w:t>区</w:t>
      </w:r>
      <w:r>
        <w:rPr>
          <w:rFonts w:hint="eastAsia" w:ascii="仿宋" w:hAnsi="仿宋" w:eastAsia="仿宋" w:cs="仿宋"/>
          <w:color w:val="000000"/>
          <w:sz w:val="32"/>
          <w:szCs w:val="32"/>
          <w:highlight w:val="none"/>
        </w:rPr>
        <w:t>民政局项目1个，金额200万元。</w:t>
      </w:r>
      <w:r>
        <w:rPr>
          <w:rFonts w:hint="eastAsia" w:ascii="仿宋" w:hAnsi="仿宋" w:eastAsia="仿宋" w:cs="仿宋"/>
          <w:color w:val="000000"/>
          <w:sz w:val="32"/>
          <w:szCs w:val="32"/>
          <w:highlight w:val="none"/>
          <w:lang w:eastAsia="zh-CN"/>
        </w:rPr>
        <w:t>涉及区</w:t>
      </w:r>
      <w:r>
        <w:rPr>
          <w:rFonts w:hint="eastAsia" w:ascii="仿宋" w:hAnsi="仿宋" w:eastAsia="仿宋" w:cs="仿宋"/>
          <w:color w:val="000000"/>
          <w:sz w:val="32"/>
          <w:szCs w:val="32"/>
          <w:highlight w:val="none"/>
        </w:rPr>
        <w:t>财政局整体支出1个，金额788.92万元。</w:t>
      </w:r>
    </w:p>
    <w:p w14:paraId="05EE25CC">
      <w:pPr>
        <w:shd w:val="clear" w:color="auto" w:fill="FFFFFF"/>
        <w:spacing w:after="225" w:line="480" w:lineRule="auto"/>
        <w:ind w:firstLine="643"/>
        <w:rPr>
          <w:rFonts w:hint="eastAsia" w:ascii="仿宋" w:hAnsi="仿宋" w:eastAsia="仿宋" w:cs="仿宋"/>
          <w:sz w:val="32"/>
          <w:szCs w:val="32"/>
        </w:rPr>
      </w:pPr>
      <w:r>
        <w:rPr>
          <w:rFonts w:hint="eastAsia" w:ascii="仿宋" w:hAnsi="仿宋" w:eastAsia="仿宋" w:cs="仿宋"/>
          <w:sz w:val="32"/>
          <w:szCs w:val="32"/>
          <w:lang w:val="en-US" w:eastAsia="zh-CN"/>
        </w:rPr>
        <w:t>二</w:t>
      </w:r>
      <w:r>
        <w:rPr>
          <w:rFonts w:hint="eastAsia" w:ascii="仿宋" w:hAnsi="仿宋" w:eastAsia="仿宋" w:cs="仿宋"/>
          <w:sz w:val="32"/>
          <w:szCs w:val="32"/>
        </w:rPr>
        <w:t>是深入开展财政支出绩效评价，</w:t>
      </w:r>
      <w:r>
        <w:rPr>
          <w:rFonts w:hint="eastAsia" w:ascii="仿宋" w:hAnsi="仿宋" w:eastAsia="仿宋" w:cs="仿宋"/>
          <w:b/>
          <w:bCs/>
          <w:sz w:val="32"/>
          <w:szCs w:val="32"/>
        </w:rPr>
        <w:t>推进预算项目评审。</w:t>
      </w:r>
      <w:r>
        <w:rPr>
          <w:rFonts w:hint="eastAsia" w:ascii="仿宋" w:hAnsi="仿宋" w:eastAsia="仿宋" w:cs="仿宋"/>
          <w:sz w:val="32"/>
          <w:szCs w:val="32"/>
        </w:rPr>
        <w:t>印发</w:t>
      </w:r>
      <w:r>
        <w:rPr>
          <w:rFonts w:hint="eastAsia" w:ascii="仿宋" w:hAnsi="仿宋" w:eastAsia="仿宋" w:cs="仿宋"/>
          <w:sz w:val="32"/>
          <w:szCs w:val="32"/>
          <w:highlight w:val="none"/>
        </w:rPr>
        <w:t>《关于召开202</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年区本级部门预算项目支出公开评审会议的通知》，明确评审内容和程序。组织区相关行业专家，组建专家评审小组。对202</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年区本级部门共</w:t>
      </w:r>
      <w:r>
        <w:rPr>
          <w:rFonts w:hint="eastAsia" w:ascii="仿宋" w:hAnsi="仿宋" w:eastAsia="仿宋" w:cs="仿宋"/>
          <w:color w:val="auto"/>
          <w:sz w:val="32"/>
          <w:szCs w:val="32"/>
          <w:highlight w:val="none"/>
        </w:rPr>
        <w:t>2</w:t>
      </w:r>
      <w:r>
        <w:rPr>
          <w:rFonts w:hint="eastAsia" w:ascii="仿宋" w:hAnsi="仿宋" w:eastAsia="仿宋" w:cs="仿宋"/>
          <w:sz w:val="32"/>
          <w:szCs w:val="32"/>
          <w:highlight w:val="none"/>
        </w:rPr>
        <w:t>个新增项目</w:t>
      </w:r>
      <w:r>
        <w:rPr>
          <w:rFonts w:hint="eastAsia" w:ascii="仿宋" w:hAnsi="仿宋" w:eastAsia="仿宋" w:cs="仿宋"/>
          <w:sz w:val="32"/>
          <w:szCs w:val="32"/>
        </w:rPr>
        <w:t>进行公开评审，有效提升了预算编制科学化、精细化、规范化水平。</w:t>
      </w:r>
    </w:p>
    <w:p w14:paraId="667ECBC4">
      <w:pPr>
        <w:pStyle w:val="4"/>
        <w:shd w:val="clear" w:color="auto" w:fill="FFFFFF"/>
        <w:spacing w:before="240" w:beforeAutospacing="0" w:after="240" w:afterAutospacing="0" w:line="480" w:lineRule="auto"/>
        <w:ind w:firstLine="480"/>
        <w:rPr>
          <w:rFonts w:hint="default" w:ascii="仿宋" w:hAnsi="仿宋" w:eastAsia="仿宋" w:cs="仿宋"/>
          <w:color w:val="000000"/>
          <w:sz w:val="32"/>
          <w:szCs w:val="32"/>
          <w:highlight w:val="none"/>
          <w:lang w:val="en-US" w:eastAsia="zh-CN"/>
        </w:rPr>
      </w:pPr>
      <w:r>
        <w:rPr>
          <w:rFonts w:hint="eastAsia" w:ascii="仿宋" w:hAnsi="仿宋" w:eastAsia="仿宋" w:cs="仿宋"/>
          <w:sz w:val="32"/>
          <w:szCs w:val="32"/>
          <w:lang w:val="en-US" w:eastAsia="zh-CN"/>
        </w:rPr>
        <w:t>三</w:t>
      </w:r>
      <w:r>
        <w:rPr>
          <w:rFonts w:hint="eastAsia" w:ascii="仿宋" w:hAnsi="仿宋" w:eastAsia="仿宋" w:cs="仿宋"/>
          <w:sz w:val="32"/>
          <w:szCs w:val="32"/>
        </w:rPr>
        <w:t>是强化评价结果应用,组织绩效自评和绩效跟踪监控，对发现的问题现场反馈并要求改进加强评价结果与项目资金安排的衔接。</w:t>
      </w:r>
      <w:r>
        <w:rPr>
          <w:rFonts w:hint="eastAsia" w:ascii="仿宋" w:hAnsi="仿宋" w:eastAsia="仿宋" w:cs="仿宋"/>
          <w:b/>
          <w:bCs/>
          <w:sz w:val="32"/>
          <w:szCs w:val="32"/>
        </w:rPr>
        <w:t>不断推进绩效评价。</w:t>
      </w:r>
      <w:r>
        <w:rPr>
          <w:rFonts w:hint="eastAsia" w:ascii="仿宋" w:hAnsi="仿宋" w:eastAsia="仿宋" w:cs="仿宋"/>
          <w:sz w:val="32"/>
          <w:szCs w:val="32"/>
        </w:rPr>
        <w:t>严格执行《烈山区项目支出绩效评价暂行办法》工作要求，通过重点评价和部门自评价相结合的方式开展绩效评价。优先选择区委区政府重点安排项目、以及覆盖面广、影响力大、社会关注度高、实施期长的项目开展重点评价。</w:t>
      </w:r>
      <w:r>
        <w:rPr>
          <w:rFonts w:hint="eastAsia" w:ascii="仿宋" w:hAnsi="仿宋" w:eastAsia="仿宋" w:cs="仿宋"/>
          <w:color w:val="000000"/>
          <w:sz w:val="32"/>
          <w:szCs w:val="32"/>
          <w:highlight w:val="none"/>
        </w:rPr>
        <w:t xml:space="preserve"> 重点绩效评价6家，金额</w:t>
      </w:r>
      <w:r>
        <w:rPr>
          <w:rFonts w:hint="eastAsia" w:ascii="仿宋" w:hAnsi="仿宋" w:eastAsia="仿宋" w:cs="仿宋"/>
          <w:color w:val="000000"/>
          <w:sz w:val="32"/>
          <w:szCs w:val="32"/>
          <w:highlight w:val="none"/>
          <w:lang w:val="en-US" w:eastAsia="zh-CN"/>
        </w:rPr>
        <w:t>2</w:t>
      </w:r>
      <w:r>
        <w:rPr>
          <w:rFonts w:hint="eastAsia" w:ascii="仿宋" w:hAnsi="仿宋" w:eastAsia="仿宋" w:cs="仿宋"/>
          <w:color w:val="000000"/>
          <w:sz w:val="32"/>
          <w:szCs w:val="32"/>
          <w:highlight w:val="none"/>
        </w:rPr>
        <w:t>0660.8万元。</w:t>
      </w:r>
      <w:r>
        <w:rPr>
          <w:rFonts w:hint="eastAsia" w:ascii="仿宋" w:hAnsi="仿宋" w:eastAsia="仿宋" w:cs="仿宋"/>
          <w:color w:val="000000"/>
          <w:sz w:val="32"/>
          <w:szCs w:val="32"/>
          <w:highlight w:val="none"/>
          <w:lang w:eastAsia="zh-CN"/>
        </w:rPr>
        <w:t>涉及一般预算、基金预算、国资预算。区级无社保基金预算。评价项目涉及对下级政府财政运行综合绩效，部门整体支出，政府购买服务，政府债务项目，政府采购项目、惠企政策等</w:t>
      </w:r>
      <w:r>
        <w:rPr>
          <w:rFonts w:hint="eastAsia" w:ascii="仿宋" w:hAnsi="仿宋" w:eastAsia="仿宋" w:cs="仿宋"/>
          <w:color w:val="000000"/>
          <w:sz w:val="32"/>
          <w:szCs w:val="32"/>
          <w:highlight w:val="none"/>
          <w:lang w:val="en-US" w:eastAsia="zh-CN"/>
        </w:rPr>
        <w:t>6类。</w:t>
      </w:r>
    </w:p>
    <w:p w14:paraId="2A75B945">
      <w:pPr>
        <w:shd w:val="clear" w:color="auto" w:fill="FFFFFF"/>
        <w:spacing w:after="225" w:line="480" w:lineRule="auto"/>
        <w:ind w:firstLine="643"/>
        <w:rPr>
          <w:rFonts w:hint="eastAsia" w:ascii="仿宋" w:hAnsi="仿宋" w:eastAsia="仿宋" w:cs="仿宋"/>
          <w:color w:val="FF0000"/>
          <w:sz w:val="32"/>
          <w:szCs w:val="32"/>
          <w:highlight w:val="none"/>
        </w:rPr>
      </w:pPr>
      <w:r>
        <w:rPr>
          <w:rFonts w:hint="eastAsia" w:ascii="仿宋" w:hAnsi="仿宋" w:eastAsia="仿宋" w:cs="仿宋"/>
          <w:b/>
          <w:bCs/>
          <w:sz w:val="32"/>
          <w:szCs w:val="32"/>
        </w:rPr>
        <w:t>强化绩效运行监控。</w:t>
      </w:r>
      <w:r>
        <w:rPr>
          <w:rFonts w:hint="eastAsia" w:ascii="仿宋" w:hAnsi="仿宋" w:eastAsia="仿宋" w:cs="仿宋"/>
          <w:sz w:val="32"/>
          <w:szCs w:val="32"/>
        </w:rPr>
        <w:t>按照“谁支出、谁负责”的原则，对预算执行情况和绩效目标实现程度开展“双监控”，采取部门日常监控和财政重点监控相结合的方式开展，定期对重点项目绩效监控信息进行汇总，分析偏离原因，及时对监控中发现的问题和绩效目标执行偏差等情况进行通报，督促预算部门落实整改、纠偏。</w:t>
      </w:r>
      <w:r>
        <w:rPr>
          <w:rFonts w:hint="eastAsia" w:ascii="仿宋" w:hAnsi="仿宋" w:eastAsia="仿宋" w:cs="仿宋"/>
          <w:color w:val="000000"/>
          <w:sz w:val="32"/>
          <w:szCs w:val="32"/>
          <w:highlight w:val="none"/>
        </w:rPr>
        <w:t>对54家单位进行了绩效监控。其中重点绩效监控4家，金额512.54万元</w:t>
      </w:r>
      <w:r>
        <w:rPr>
          <w:rFonts w:hint="eastAsia" w:ascii="仿宋" w:hAnsi="仿宋" w:eastAsia="仿宋" w:cs="仿宋"/>
          <w:color w:val="000000"/>
          <w:sz w:val="32"/>
          <w:szCs w:val="32"/>
          <w:highlight w:val="none"/>
          <w:lang w:eastAsia="zh-CN"/>
        </w:rPr>
        <w:t>，监控效果较好</w:t>
      </w:r>
      <w:r>
        <w:rPr>
          <w:rFonts w:hint="eastAsia" w:ascii="仿宋" w:hAnsi="仿宋" w:eastAsia="仿宋" w:cs="仿宋"/>
          <w:color w:val="000000"/>
          <w:sz w:val="32"/>
          <w:szCs w:val="32"/>
          <w:highlight w:val="none"/>
        </w:rPr>
        <w:t>。</w:t>
      </w:r>
    </w:p>
    <w:p w14:paraId="0F20AB2F">
      <w:pPr>
        <w:shd w:val="clear" w:color="auto" w:fill="FFFFFF"/>
        <w:spacing w:after="225" w:line="480" w:lineRule="auto"/>
        <w:ind w:firstLine="64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四</w:t>
      </w:r>
      <w:r>
        <w:rPr>
          <w:rFonts w:hint="eastAsia" w:ascii="仿宋" w:hAnsi="仿宋" w:eastAsia="仿宋" w:cs="仿宋"/>
          <w:sz w:val="32"/>
          <w:szCs w:val="32"/>
        </w:rPr>
        <w:t>是健全绩效管理工作机制，明确职责分工 ，组织专题培训，提高部门及镇办绩效管理工作水平。</w:t>
      </w:r>
      <w:r>
        <w:rPr>
          <w:rFonts w:hint="eastAsia" w:ascii="仿宋" w:hAnsi="仿宋" w:eastAsia="仿宋" w:cs="仿宋"/>
          <w:sz w:val="32"/>
          <w:szCs w:val="32"/>
          <w:lang w:eastAsia="zh-CN"/>
        </w:rPr>
        <w:t>落实镇办主体责任。召开</w:t>
      </w:r>
      <w:r>
        <w:rPr>
          <w:rFonts w:hint="eastAsia" w:ascii="仿宋" w:hAnsi="仿宋" w:eastAsia="仿宋" w:cs="仿宋"/>
          <w:sz w:val="32"/>
          <w:szCs w:val="32"/>
          <w:lang w:val="en-US" w:eastAsia="zh-CN"/>
        </w:rPr>
        <w:t>2次</w:t>
      </w:r>
      <w:r>
        <w:rPr>
          <w:rFonts w:hint="eastAsia" w:ascii="仿宋" w:hAnsi="仿宋" w:eastAsia="仿宋" w:cs="仿宋"/>
          <w:sz w:val="32"/>
          <w:szCs w:val="32"/>
        </w:rPr>
        <w:t>绩效管理工作</w:t>
      </w:r>
      <w:r>
        <w:rPr>
          <w:rFonts w:hint="eastAsia" w:ascii="仿宋" w:hAnsi="仿宋" w:eastAsia="仿宋" w:cs="仿宋"/>
          <w:sz w:val="32"/>
          <w:szCs w:val="32"/>
          <w:lang w:eastAsia="zh-CN"/>
        </w:rPr>
        <w:t>推进会。聘请第三方对</w:t>
      </w:r>
      <w:r>
        <w:rPr>
          <w:rFonts w:hint="eastAsia" w:ascii="仿宋" w:hAnsi="仿宋" w:eastAsia="仿宋" w:cs="仿宋"/>
          <w:sz w:val="32"/>
          <w:szCs w:val="32"/>
          <w:lang w:val="en-US" w:eastAsia="zh-CN"/>
        </w:rPr>
        <w:t>2022年重点项目开展绩效评价4个项目，涉及金额万元，其中优秀3个。及时完成免申既享惠企政策资金50万元。</w:t>
      </w:r>
    </w:p>
    <w:p w14:paraId="576D7179">
      <w:pPr>
        <w:pStyle w:val="4"/>
        <w:shd w:val="clear" w:color="auto" w:fill="FFFFFF"/>
        <w:spacing w:before="240" w:beforeAutospacing="0" w:after="240" w:afterAutospacing="0" w:line="480" w:lineRule="auto"/>
        <w:ind w:firstLine="480"/>
        <w:rPr>
          <w:rFonts w:hint="eastAsia" w:ascii="仿宋" w:hAnsi="仿宋" w:eastAsia="仿宋" w:cs="仿宋"/>
          <w:color w:val="000000"/>
          <w:sz w:val="32"/>
          <w:szCs w:val="32"/>
          <w:highlight w:val="none"/>
        </w:rPr>
      </w:pPr>
      <w:r>
        <w:rPr>
          <w:rFonts w:hint="eastAsia" w:ascii="仿宋" w:hAnsi="仿宋" w:eastAsia="仿宋" w:cs="仿宋"/>
          <w:b/>
          <w:bCs/>
          <w:sz w:val="32"/>
          <w:szCs w:val="32"/>
          <w:lang w:val="en-US" w:eastAsia="zh-CN"/>
        </w:rPr>
        <w:t>五是</w:t>
      </w:r>
      <w:r>
        <w:rPr>
          <w:rFonts w:hint="eastAsia" w:ascii="仿宋" w:hAnsi="仿宋" w:eastAsia="仿宋" w:cs="仿宋"/>
          <w:b/>
          <w:bCs/>
          <w:sz w:val="32"/>
          <w:szCs w:val="32"/>
        </w:rPr>
        <w:t>完善绩效目标管理。</w:t>
      </w:r>
      <w:r>
        <w:rPr>
          <w:rFonts w:hint="eastAsia" w:ascii="仿宋" w:hAnsi="仿宋" w:eastAsia="仿宋" w:cs="仿宋"/>
          <w:sz w:val="32"/>
          <w:szCs w:val="32"/>
        </w:rPr>
        <w:t>实施部门整体绩效目标、政策及项目绩效目标编制与审核，实现绩效目标与预算编制同步申报、同步审核、同步批复。加大重点项目绩效目标向社会公开的力度，主动接受社会监督。</w:t>
      </w:r>
      <w:r>
        <w:rPr>
          <w:rFonts w:hint="eastAsia" w:ascii="仿宋" w:hAnsi="仿宋" w:eastAsia="仿宋" w:cs="仿宋"/>
          <w:color w:val="000000"/>
          <w:sz w:val="32"/>
          <w:szCs w:val="32"/>
          <w:highlight w:val="none"/>
        </w:rPr>
        <w:t>2023年度烈山区部门预算编制共511个项目（含年中追加）绩效目标、涉及预算金额11.78亿元，剔除涉密部门后应公开项目绩效目标0个、涉及金额0亿元，实际公开的项目绩效目标511个、涉及金额11.78亿元，绩效目标公开覆盖率100%。</w:t>
      </w:r>
    </w:p>
    <w:p w14:paraId="4AB7FB19">
      <w:pPr>
        <w:shd w:val="clear" w:color="auto" w:fill="FFFFFF"/>
        <w:spacing w:after="225" w:line="480" w:lineRule="auto"/>
        <w:ind w:firstLine="643"/>
        <w:rPr>
          <w:rFonts w:hint="eastAsia" w:ascii="仿宋" w:hAnsi="仿宋" w:eastAsia="仿宋" w:cs="仿宋"/>
          <w:sz w:val="32"/>
          <w:szCs w:val="32"/>
        </w:rPr>
      </w:pPr>
      <w:r>
        <w:rPr>
          <w:rFonts w:hint="eastAsia" w:ascii="仿宋" w:hAnsi="仿宋" w:eastAsia="仿宋" w:cs="仿宋"/>
          <w:b/>
          <w:bCs/>
          <w:sz w:val="32"/>
          <w:szCs w:val="32"/>
        </w:rPr>
        <w:t>强化绩效结果运用。</w:t>
      </w:r>
      <w:r>
        <w:rPr>
          <w:rFonts w:hint="eastAsia" w:ascii="仿宋" w:hAnsi="仿宋" w:eastAsia="仿宋" w:cs="仿宋"/>
          <w:sz w:val="32"/>
          <w:szCs w:val="32"/>
        </w:rPr>
        <w:t>探索建立绩效运行监控、绩效评价结果反馈整改机制，将运行监控、绩效评价结果及时反馈部门，督促部门、单位落实整改纠偏。将审计发现问题、事前绩效评估、绩效评价等结果作为以后年度预算评审和预算安排依据。对财政评价结果“优”、“良”的单位和项目，在以后年度预算安排中给予优先、支持；对评价结果“中”、“差”的单位和项目，在以后年度预算安排中给予调减、暂停实施。在</w:t>
      </w:r>
      <w:r>
        <w:rPr>
          <w:rFonts w:hint="eastAsia" w:ascii="仿宋" w:hAnsi="仿宋" w:eastAsia="仿宋" w:cs="仿宋"/>
          <w:color w:val="auto"/>
          <w:sz w:val="32"/>
          <w:szCs w:val="32"/>
          <w:highlight w:val="none"/>
        </w:rPr>
        <w:t>2023</w:t>
      </w:r>
      <w:r>
        <w:rPr>
          <w:rFonts w:hint="eastAsia" w:ascii="仿宋" w:hAnsi="仿宋" w:eastAsia="仿宋" w:cs="仿宋"/>
          <w:sz w:val="32"/>
          <w:szCs w:val="32"/>
        </w:rPr>
        <w:t>年部门预算编制审核中，我区共核减</w:t>
      </w:r>
      <w:r>
        <w:rPr>
          <w:rFonts w:hint="eastAsia" w:ascii="仿宋" w:hAnsi="仿宋" w:eastAsia="仿宋" w:cs="仿宋"/>
          <w:sz w:val="32"/>
          <w:szCs w:val="32"/>
          <w:lang w:val="en-US" w:eastAsia="zh-CN"/>
        </w:rPr>
        <w:t>6</w:t>
      </w:r>
      <w:r>
        <w:rPr>
          <w:rFonts w:hint="eastAsia" w:ascii="仿宋" w:hAnsi="仿宋" w:eastAsia="仿宋" w:cs="仿宋"/>
          <w:sz w:val="32"/>
          <w:szCs w:val="32"/>
        </w:rPr>
        <w:t>个项目预算</w:t>
      </w:r>
      <w:r>
        <w:rPr>
          <w:rFonts w:hint="eastAsia" w:ascii="仿宋" w:hAnsi="仿宋" w:eastAsia="仿宋" w:cs="仿宋"/>
          <w:sz w:val="32"/>
          <w:szCs w:val="32"/>
          <w:lang w:val="en-US" w:eastAsia="zh-CN"/>
        </w:rPr>
        <w:t>1.</w:t>
      </w:r>
      <w:r>
        <w:rPr>
          <w:rFonts w:hint="eastAsia" w:ascii="仿宋" w:hAnsi="仿宋" w:eastAsia="仿宋" w:cs="仿宋"/>
          <w:sz w:val="32"/>
          <w:szCs w:val="32"/>
        </w:rPr>
        <w:t>3亿元。</w:t>
      </w:r>
    </w:p>
    <w:p w14:paraId="0ED6C32C">
      <w:pPr>
        <w:shd w:val="clear" w:color="auto" w:fill="FFFFFF"/>
        <w:spacing w:after="225" w:line="480" w:lineRule="auto"/>
        <w:ind w:firstLine="640"/>
        <w:rPr>
          <w:rFonts w:hint="eastAsia" w:ascii="仿宋" w:hAnsi="仿宋" w:eastAsia="仿宋" w:cs="仿宋"/>
          <w:b/>
          <w:color w:val="3D3D3D"/>
          <w:sz w:val="32"/>
          <w:szCs w:val="32"/>
        </w:rPr>
      </w:pPr>
      <w:r>
        <w:rPr>
          <w:rFonts w:hint="eastAsia" w:ascii="仿宋" w:hAnsi="仿宋" w:eastAsia="仿宋" w:cs="仿宋"/>
          <w:b/>
          <w:color w:val="3D3D3D"/>
          <w:sz w:val="32"/>
          <w:szCs w:val="32"/>
        </w:rPr>
        <w:t>二、主要做法</w:t>
      </w:r>
    </w:p>
    <w:p w14:paraId="1C3DAFFE">
      <w:pPr>
        <w:shd w:val="clear" w:color="auto" w:fill="FFFFFF"/>
        <w:spacing w:after="225" w:line="480" w:lineRule="auto"/>
        <w:ind w:firstLine="643"/>
        <w:rPr>
          <w:rFonts w:hint="eastAsia" w:ascii="仿宋" w:hAnsi="仿宋" w:eastAsia="仿宋" w:cs="仿宋"/>
          <w:color w:val="3D3D3D"/>
          <w:sz w:val="32"/>
          <w:szCs w:val="32"/>
        </w:rPr>
      </w:pPr>
      <w:r>
        <w:rPr>
          <w:rFonts w:hint="eastAsia" w:ascii="仿宋" w:hAnsi="仿宋" w:eastAsia="仿宋" w:cs="仿宋"/>
          <w:b/>
          <w:bCs/>
          <w:color w:val="3D3D3D"/>
          <w:sz w:val="32"/>
          <w:szCs w:val="32"/>
        </w:rPr>
        <w:t>（一）狠抓制度建设，夯实绩效管理基础。</w:t>
      </w:r>
      <w:r>
        <w:rPr>
          <w:rFonts w:hint="eastAsia" w:ascii="仿宋" w:hAnsi="仿宋" w:eastAsia="仿宋" w:cs="仿宋"/>
          <w:color w:val="3D3D3D"/>
          <w:sz w:val="32"/>
          <w:szCs w:val="32"/>
        </w:rPr>
        <w:t>自2022年以来，我局不断完善制度体系建设。先后出台了《全面实施预算绩效管理的实施办法》、《烈山区区级委托第三方机构参与预算绩效管理工作暂行办法》等一系列规范性制度文件；成立了以常务副区长为组长的烈山区预算绩效管理工作领导小组；同时</w:t>
      </w:r>
      <w:r>
        <w:rPr>
          <w:rFonts w:hint="eastAsia" w:ascii="仿宋" w:hAnsi="仿宋" w:eastAsia="仿宋" w:cs="仿宋"/>
          <w:color w:val="3D3D3D"/>
          <w:sz w:val="32"/>
          <w:szCs w:val="32"/>
          <w:highlight w:val="none"/>
          <w:lang w:eastAsia="zh-CN"/>
        </w:rPr>
        <w:t>依据省市指标库</w:t>
      </w:r>
      <w:r>
        <w:rPr>
          <w:rFonts w:hint="eastAsia" w:ascii="仿宋" w:hAnsi="仿宋" w:eastAsia="仿宋" w:cs="仿宋"/>
          <w:color w:val="3D3D3D"/>
          <w:sz w:val="32"/>
          <w:szCs w:val="32"/>
          <w:highlight w:val="none"/>
        </w:rPr>
        <w:t>建立并完善指标库共33大类，涉及536个资金用途，4396个具体绩效指标；将5</w:t>
      </w:r>
      <w:r>
        <w:rPr>
          <w:rFonts w:hint="eastAsia" w:ascii="仿宋" w:hAnsi="仿宋" w:eastAsia="仿宋" w:cs="仿宋"/>
          <w:color w:val="3D3D3D"/>
          <w:sz w:val="32"/>
          <w:szCs w:val="32"/>
          <w:highlight w:val="none"/>
          <w:lang w:val="en-US" w:eastAsia="zh-CN"/>
        </w:rPr>
        <w:t>4</w:t>
      </w:r>
      <w:r>
        <w:rPr>
          <w:rFonts w:hint="eastAsia" w:ascii="仿宋" w:hAnsi="仿宋" w:eastAsia="仿宋" w:cs="仿宋"/>
          <w:color w:val="3D3D3D"/>
          <w:sz w:val="32"/>
          <w:szCs w:val="32"/>
        </w:rPr>
        <w:t>个预算部门镇预算绩效管理工作纳入全区目标管理考核，为全面推进我区预算绩效管理工作提供了制度保障。</w:t>
      </w:r>
    </w:p>
    <w:p w14:paraId="119C0DAE">
      <w:pPr>
        <w:shd w:val="clear" w:color="auto" w:fill="FFFFFF"/>
        <w:spacing w:after="225" w:line="480" w:lineRule="auto"/>
        <w:ind w:firstLine="643"/>
        <w:rPr>
          <w:rFonts w:hint="eastAsia" w:ascii="仿宋" w:hAnsi="仿宋" w:eastAsia="仿宋" w:cs="仿宋"/>
          <w:color w:val="3D3D3D"/>
          <w:sz w:val="32"/>
          <w:szCs w:val="32"/>
          <w:highlight w:val="none"/>
          <w:lang w:eastAsia="zh-CN"/>
        </w:rPr>
      </w:pPr>
      <w:r>
        <w:rPr>
          <w:rFonts w:hint="eastAsia" w:ascii="仿宋" w:hAnsi="仿宋" w:eastAsia="仿宋" w:cs="仿宋"/>
          <w:b/>
          <w:bCs/>
          <w:color w:val="3D3D3D"/>
          <w:sz w:val="32"/>
          <w:szCs w:val="32"/>
        </w:rPr>
        <w:t>（二）加强宣传培训，强化绩效管理意识。</w:t>
      </w:r>
      <w:r>
        <w:rPr>
          <w:rFonts w:hint="eastAsia" w:ascii="仿宋" w:hAnsi="仿宋" w:eastAsia="仿宋" w:cs="仿宋"/>
          <w:color w:val="3D3D3D"/>
          <w:sz w:val="32"/>
          <w:szCs w:val="32"/>
        </w:rPr>
        <w:t>多次邀请第三方机构专家，结合年初预算编制工作，围绕绩效目标、运行监控、绩效评价等业务内容对区直预算单位、局归口业务人员开展集中培训。同时，局预算绩效</w:t>
      </w:r>
      <w:r>
        <w:rPr>
          <w:rFonts w:hint="eastAsia" w:ascii="仿宋" w:hAnsi="仿宋" w:eastAsia="仿宋" w:cs="仿宋"/>
          <w:color w:val="3D3D3D"/>
          <w:sz w:val="32"/>
          <w:szCs w:val="32"/>
          <w:lang w:eastAsia="zh-CN"/>
        </w:rPr>
        <w:t>办</w:t>
      </w:r>
      <w:r>
        <w:rPr>
          <w:rFonts w:hint="eastAsia" w:ascii="仿宋" w:hAnsi="仿宋" w:eastAsia="仿宋" w:cs="仿宋"/>
          <w:color w:val="3D3D3D"/>
          <w:sz w:val="32"/>
          <w:szCs w:val="32"/>
        </w:rPr>
        <w:t>根据区直各单位需求，多次采取点对点指导、面对面交流等形式，主动对接预算单位开展交流学习和指导，答疑解惑，有效提升各部门、单位预算绩效管理业务水平。</w:t>
      </w:r>
      <w:r>
        <w:rPr>
          <w:rFonts w:hint="eastAsia" w:ascii="仿宋" w:hAnsi="仿宋" w:eastAsia="仿宋" w:cs="仿宋"/>
          <w:color w:val="3D3D3D"/>
          <w:sz w:val="32"/>
          <w:szCs w:val="32"/>
          <w:highlight w:val="none"/>
          <w:lang w:eastAsia="zh-CN"/>
        </w:rPr>
        <w:t>积极参加线上培训，不断提高预算绩效管理水平。</w:t>
      </w:r>
    </w:p>
    <w:p w14:paraId="061264B6">
      <w:pPr>
        <w:ind w:firstLine="803" w:firstLineChars="250"/>
        <w:jc w:val="left"/>
        <w:rPr>
          <w:rFonts w:hint="eastAsia" w:ascii="仿宋" w:hAnsi="仿宋" w:eastAsia="仿宋" w:cs="仿宋"/>
          <w:b/>
          <w:bCs/>
          <w:sz w:val="32"/>
          <w:szCs w:val="32"/>
        </w:rPr>
      </w:pPr>
      <w:r>
        <w:rPr>
          <w:rFonts w:hint="eastAsia" w:ascii="仿宋" w:hAnsi="仿宋" w:eastAsia="仿宋" w:cs="仿宋"/>
          <w:b/>
          <w:bCs/>
          <w:sz w:val="32"/>
          <w:szCs w:val="32"/>
        </w:rPr>
        <w:t>三、存在问题和建议</w:t>
      </w:r>
    </w:p>
    <w:p w14:paraId="59CA13FE">
      <w:pPr>
        <w:pStyle w:val="4"/>
        <w:shd w:val="clear" w:color="auto" w:fill="FFFFFF"/>
        <w:spacing w:before="240" w:beforeAutospacing="0" w:after="240" w:afterAutospacing="0" w:line="480" w:lineRule="auto"/>
        <w:ind w:firstLine="480"/>
        <w:rPr>
          <w:rFonts w:hint="eastAsia" w:ascii="仿宋" w:hAnsi="仿宋" w:eastAsia="仿宋" w:cs="仿宋"/>
          <w:color w:val="000000"/>
          <w:sz w:val="32"/>
          <w:szCs w:val="32"/>
        </w:rPr>
      </w:pPr>
      <w:r>
        <w:rPr>
          <w:rFonts w:hint="eastAsia" w:ascii="仿宋" w:hAnsi="仿宋" w:eastAsia="仿宋" w:cs="仿宋"/>
          <w:color w:val="000000"/>
          <w:sz w:val="32"/>
          <w:szCs w:val="32"/>
        </w:rPr>
        <w:t>（一）部分单位预算编制精细度不够，预算编制的准确性较低。建议加强预算绩效管理，认真分析影响预算执行的因素，结合项目实际情况，做到预算编制的科学性、合理性、可行性等，提高预算编制的准确性。</w:t>
      </w:r>
    </w:p>
    <w:p w14:paraId="4287249A">
      <w:pPr>
        <w:pStyle w:val="4"/>
        <w:shd w:val="clear" w:color="auto" w:fill="FFFFFF"/>
        <w:spacing w:before="240" w:beforeAutospacing="0" w:after="240" w:afterAutospacing="0" w:line="480" w:lineRule="auto"/>
        <w:ind w:firstLine="480"/>
        <w:rPr>
          <w:rFonts w:hint="eastAsia" w:ascii="仿宋" w:hAnsi="仿宋" w:eastAsia="仿宋" w:cs="仿宋"/>
          <w:color w:val="000000"/>
          <w:sz w:val="32"/>
          <w:szCs w:val="32"/>
        </w:rPr>
      </w:pPr>
      <w:r>
        <w:rPr>
          <w:rFonts w:hint="eastAsia" w:ascii="仿宋" w:hAnsi="仿宋" w:eastAsia="仿宋" w:cs="仿宋"/>
          <w:color w:val="000000"/>
          <w:sz w:val="32"/>
          <w:szCs w:val="32"/>
        </w:rPr>
        <w:t>（二）部分单位未对项目绩效目标细化，未分解为具体绩效指标，无具体的绩效指标值，绩效目标编制简单，编制的指标不明确，指标之间的关联性有待进一步加强，影响绩效评价的质量。建议完善绩效目标内容，根据项目性质、内容等，合理设置绩效目标，细化量化绩效指标，强化指标之间的关联性。</w:t>
      </w:r>
    </w:p>
    <w:p w14:paraId="64A7C271">
      <w:pPr>
        <w:spacing w:line="610" w:lineRule="exact"/>
        <w:ind w:firstLine="640" w:firstLineChars="200"/>
        <w:rPr>
          <w:rFonts w:ascii="仿宋_GB2312" w:hAnsi="仿宋_GB2312" w:eastAsia="仿宋_GB2312" w:cs="仿宋_GB2312"/>
          <w:sz w:val="32"/>
          <w:szCs w:val="32"/>
        </w:rPr>
      </w:pPr>
    </w:p>
    <w:p w14:paraId="02BD83BE">
      <w:pPr>
        <w:spacing w:line="610" w:lineRule="exact"/>
        <w:ind w:firstLine="640" w:firstLineChars="200"/>
        <w:rPr>
          <w:rFonts w:ascii="仿宋_GB2312" w:hAnsi="仿宋_GB2312" w:eastAsia="仿宋_GB2312" w:cs="仿宋_GB2312"/>
          <w:sz w:val="32"/>
          <w:szCs w:val="32"/>
        </w:rPr>
      </w:pPr>
    </w:p>
    <w:p w14:paraId="4F683223">
      <w:pPr>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2EFBF08F">
      <w:pPr>
        <w:wordWrap w:val="0"/>
        <w:spacing w:line="610" w:lineRule="exact"/>
        <w:ind w:right="800" w:firstLine="640" w:firstLineChars="200"/>
        <w:jc w:val="right"/>
        <w:rPr>
          <w:rFonts w:ascii="仿宋_GB2312" w:hAnsi="仿宋_GB2312" w:eastAsia="仿宋_GB2312" w:cs="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onsolas">
    <w:panose1 w:val="020B0609020204030204"/>
    <w:charset w:val="00"/>
    <w:family w:val="modern"/>
    <w:pitch w:val="default"/>
    <w:sig w:usb0="E10002FF" w:usb1="4000FCFF" w:usb2="00000009" w:usb3="00000000" w:csb0="6000019F" w:csb1="DFD70000"/>
  </w:font>
  <w:font w:name="方正小标宋简体">
    <w:altName w:val="黑体"/>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63593">
    <w:pPr>
      <w:pStyle w:val="2"/>
    </w:pPr>
    <w:r>
      <w:pict>
        <v:shape id="_x0000_s1026" o:spid="_x0000_s1026" o:spt="202" type="#_x0000_t202" style="position:absolute;left:0pt;margin-top:0pt;height:144pt;width:41pt;mso-position-horizontal:outside;mso-position-horizontal-relative:margin;z-index:251659264;mso-width-relative:page;mso-height-relative:page;" filled="f" stroked="f" coordsize="21600,21600" o:gfxdata="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wq7sC9IAAAAEAQAADwAAAAAAAAABACAAAAAiAAAAZHJzL2Rvd25yZXYueG1s&#10;UEsBAhQAFAAAAAgAh07iQCGUP5A3AgAAYgQAAA4AAAAAAAAAAQAgAAAAIQEAAGRycy9lMm9Eb2Mu&#10;eG1sUEsFBgAAAAAGAAYAWQEAAMoFAAAAAA==&#10;">
          <v:path/>
          <v:fill on="f" focussize="0,0"/>
          <v:stroke on="f" weight="0.5pt" joinstyle="miter"/>
          <v:imagedata o:title=""/>
          <o:lock v:ext="edit"/>
          <v:textbox inset="0mm,0mm,0mm,0mm" style="mso-fit-shape-to-text:t;">
            <w:txbxContent>
              <w:p w14:paraId="74671C60">
                <w:pPr>
                  <w:pStyle w:val="2"/>
                  <w:rPr>
                    <w:sz w:val="24"/>
                  </w:rPr>
                </w:pPr>
                <w:r>
                  <w:rPr>
                    <w:rFonts w:hint="eastAsia"/>
                    <w:sz w:val="24"/>
                  </w:rPr>
                  <w:t>—</w:t>
                </w: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w:t>
                </w:r>
                <w:r>
                  <w:rPr>
                    <w:rFonts w:hint="eastAsia"/>
                    <w:sz w:val="24"/>
                  </w:rPr>
                  <w:fldChar w:fldCharType="end"/>
                </w:r>
                <w:r>
                  <w:rPr>
                    <w:rFonts w:hint="eastAsia"/>
                    <w:sz w:val="24"/>
                  </w:rPr>
                  <w:t>—</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k5MGY5NmI2ZDBmN2Y3MDgyZGQyN2NhYzdlMzMwOWMifQ=="/>
  </w:docVars>
  <w:rsids>
    <w:rsidRoot w:val="1A0F1B15"/>
    <w:rsid w:val="00022DCA"/>
    <w:rsid w:val="00111A6E"/>
    <w:rsid w:val="00152C43"/>
    <w:rsid w:val="001F5453"/>
    <w:rsid w:val="002002E6"/>
    <w:rsid w:val="0028163B"/>
    <w:rsid w:val="0039264E"/>
    <w:rsid w:val="00397ECA"/>
    <w:rsid w:val="003F213F"/>
    <w:rsid w:val="004205D2"/>
    <w:rsid w:val="00510B21"/>
    <w:rsid w:val="005B656F"/>
    <w:rsid w:val="006B33C4"/>
    <w:rsid w:val="007C6A2F"/>
    <w:rsid w:val="00940F11"/>
    <w:rsid w:val="00981F26"/>
    <w:rsid w:val="009E3690"/>
    <w:rsid w:val="00A746B9"/>
    <w:rsid w:val="00A80260"/>
    <w:rsid w:val="00AF71AF"/>
    <w:rsid w:val="00B915D5"/>
    <w:rsid w:val="00BA6BB0"/>
    <w:rsid w:val="00C37094"/>
    <w:rsid w:val="00DA043F"/>
    <w:rsid w:val="00E25F9E"/>
    <w:rsid w:val="00EF3B17"/>
    <w:rsid w:val="04AA4665"/>
    <w:rsid w:val="0A282150"/>
    <w:rsid w:val="0AED4BA6"/>
    <w:rsid w:val="0B714ED7"/>
    <w:rsid w:val="14246D00"/>
    <w:rsid w:val="1A0F1B15"/>
    <w:rsid w:val="1A5B6B40"/>
    <w:rsid w:val="1BA95551"/>
    <w:rsid w:val="1C1F096B"/>
    <w:rsid w:val="22605DEC"/>
    <w:rsid w:val="23D64483"/>
    <w:rsid w:val="26F56E3A"/>
    <w:rsid w:val="2A3445A3"/>
    <w:rsid w:val="2DB754F4"/>
    <w:rsid w:val="309412CA"/>
    <w:rsid w:val="318757DF"/>
    <w:rsid w:val="33E613D4"/>
    <w:rsid w:val="34D345AE"/>
    <w:rsid w:val="407844F6"/>
    <w:rsid w:val="44A43AE1"/>
    <w:rsid w:val="44CE09F0"/>
    <w:rsid w:val="471C0E12"/>
    <w:rsid w:val="481269DC"/>
    <w:rsid w:val="51845A08"/>
    <w:rsid w:val="543213AC"/>
    <w:rsid w:val="60B130C0"/>
    <w:rsid w:val="6FB319A8"/>
    <w:rsid w:val="7AC31F79"/>
    <w:rsid w:val="7EFC568D"/>
    <w:rsid w:val="7FE328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qFormat/>
    <w:uiPriority w:val="99"/>
    <w:pPr>
      <w:widowControl/>
      <w:suppressAutoHyphens w:val="0"/>
      <w:spacing w:before="100" w:beforeAutospacing="1" w:after="100" w:afterAutospacing="1"/>
      <w:jc w:val="left"/>
    </w:pPr>
    <w:rPr>
      <w:rFonts w:ascii="宋体" w:hAnsi="宋体" w:cs="宋体"/>
      <w:kern w:val="0"/>
      <w:sz w:val="24"/>
    </w:rPr>
  </w:style>
  <w:style w:type="character" w:styleId="7">
    <w:name w:val="Strong"/>
    <w:basedOn w:val="6"/>
    <w:qFormat/>
    <w:uiPriority w:val="0"/>
    <w:rPr>
      <w:b/>
    </w:rPr>
  </w:style>
  <w:style w:type="character" w:styleId="8">
    <w:name w:val="FollowedHyperlink"/>
    <w:basedOn w:val="6"/>
    <w:qFormat/>
    <w:uiPriority w:val="0"/>
    <w:rPr>
      <w:rFonts w:hint="eastAsia" w:ascii="微软雅黑" w:hAnsi="微软雅黑" w:eastAsia="微软雅黑" w:cs="微软雅黑"/>
      <w:color w:val="337AB7"/>
      <w:u w:val="none"/>
    </w:rPr>
  </w:style>
  <w:style w:type="character" w:styleId="9">
    <w:name w:val="HTML Definition"/>
    <w:basedOn w:val="6"/>
    <w:qFormat/>
    <w:uiPriority w:val="0"/>
    <w:rPr>
      <w:i/>
    </w:rPr>
  </w:style>
  <w:style w:type="character" w:styleId="10">
    <w:name w:val="Hyperlink"/>
    <w:basedOn w:val="6"/>
    <w:qFormat/>
    <w:uiPriority w:val="0"/>
    <w:rPr>
      <w:rFonts w:ascii="微软雅黑" w:hAnsi="微软雅黑" w:eastAsia="微软雅黑" w:cs="微软雅黑"/>
      <w:color w:val="337AB7"/>
      <w:u w:val="none"/>
    </w:rPr>
  </w:style>
  <w:style w:type="character" w:styleId="11">
    <w:name w:val="HTML Code"/>
    <w:basedOn w:val="6"/>
    <w:qFormat/>
    <w:uiPriority w:val="0"/>
    <w:rPr>
      <w:rFonts w:ascii="Consolas" w:hAnsi="Consolas" w:eastAsia="Consolas" w:cs="Consolas"/>
      <w:color w:val="C7254E"/>
      <w:sz w:val="21"/>
      <w:szCs w:val="21"/>
      <w:shd w:val="clear" w:color="auto" w:fill="F9F2F4"/>
    </w:rPr>
  </w:style>
  <w:style w:type="character" w:styleId="12">
    <w:name w:val="HTML Keyboard"/>
    <w:basedOn w:val="6"/>
    <w:qFormat/>
    <w:uiPriority w:val="0"/>
    <w:rPr>
      <w:rFonts w:hint="default" w:ascii="Consolas" w:hAnsi="Consolas" w:eastAsia="Consolas" w:cs="Consolas"/>
      <w:color w:val="FFFFFF"/>
      <w:sz w:val="21"/>
      <w:szCs w:val="21"/>
      <w:shd w:val="clear" w:color="auto" w:fill="333333"/>
    </w:rPr>
  </w:style>
  <w:style w:type="character" w:styleId="13">
    <w:name w:val="HTML Sample"/>
    <w:basedOn w:val="6"/>
    <w:qFormat/>
    <w:uiPriority w:val="0"/>
    <w:rPr>
      <w:rFonts w:hint="default" w:ascii="Consolas" w:hAnsi="Consolas" w:eastAsia="Consolas" w:cs="Consolas"/>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2991</Words>
  <Characters>3054</Characters>
  <Lines>22</Lines>
  <Paragraphs>6</Paragraphs>
  <TotalTime>0</TotalTime>
  <ScaleCrop>false</ScaleCrop>
  <LinksUpToDate>false</LinksUpToDate>
  <CharactersWithSpaces>3082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2020-12-23T07:12:00Z</dcterms:created>
  <dc:creator>可可</dc:creator>
  <cp:lastModifiedBy>Administrator</cp:lastModifiedBy>
  <cp:lastPrinted>2021-01-13T08:29:00Z</cp:lastPrinted>
  <dcterms:modified xsi:type="dcterms:W3CDTF">2024-08-22T13:45:44Z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9B90BA68BF554D1D98F50E9FD3BD2304</vt:lpwstr>
  </property>
</Properties>
</file>