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231" w:rsidRPr="00892D50" w:rsidRDefault="00277231" w:rsidP="00277231">
      <w:pPr>
        <w:widowControl/>
        <w:snapToGrid w:val="0"/>
        <w:spacing w:line="560" w:lineRule="exact"/>
        <w:jc w:val="center"/>
        <w:rPr>
          <w:rFonts w:ascii="方正小标宋_GBK" w:eastAsia="方正小标宋_GBK" w:hAnsi="宋体" w:cs="宋体"/>
          <w:color w:val="000000"/>
          <w:kern w:val="0"/>
          <w:sz w:val="44"/>
          <w:szCs w:val="44"/>
        </w:rPr>
      </w:pPr>
      <w:r>
        <w:rPr>
          <w:rFonts w:ascii="方正小标宋_GBK" w:eastAsia="方正小标宋_GBK" w:hAnsi="宋体" w:cs="宋体" w:hint="eastAsia"/>
          <w:color w:val="000000"/>
          <w:kern w:val="0"/>
          <w:sz w:val="44"/>
          <w:szCs w:val="44"/>
        </w:rPr>
        <w:t>2023年度</w:t>
      </w:r>
      <w:bookmarkStart w:id="0" w:name="_GoBack"/>
      <w:bookmarkEnd w:id="0"/>
      <w:r w:rsidRPr="00892D50">
        <w:rPr>
          <w:rFonts w:ascii="方正小标宋_GBK" w:eastAsia="方正小标宋_GBK" w:hAnsi="宋体" w:cs="宋体" w:hint="eastAsia"/>
          <w:color w:val="000000"/>
          <w:kern w:val="0"/>
          <w:sz w:val="44"/>
          <w:szCs w:val="44"/>
        </w:rPr>
        <w:t>任楼街道部门绩效自评工作情况总结</w:t>
      </w:r>
    </w:p>
    <w:p w:rsidR="00277231" w:rsidRPr="00892D50" w:rsidRDefault="00277231" w:rsidP="00277231">
      <w:pPr>
        <w:snapToGrid w:val="0"/>
        <w:spacing w:line="560" w:lineRule="exact"/>
        <w:rPr>
          <w:rFonts w:ascii="黑体" w:eastAsia="黑体" w:hAnsi="黑体" w:cs="仿宋_GB2312"/>
          <w:color w:val="000000"/>
          <w:szCs w:val="32"/>
        </w:rPr>
      </w:pPr>
    </w:p>
    <w:p w:rsidR="00277231" w:rsidRPr="00892D50" w:rsidRDefault="00277231" w:rsidP="00277231">
      <w:pPr>
        <w:snapToGrid w:val="0"/>
        <w:spacing w:line="560" w:lineRule="exact"/>
        <w:ind w:firstLineChars="200" w:firstLine="640"/>
        <w:rPr>
          <w:rFonts w:ascii="黑体" w:eastAsia="黑体" w:hAnsi="黑体" w:cs="仿宋_GB2312"/>
          <w:color w:val="000000"/>
          <w:szCs w:val="32"/>
        </w:rPr>
      </w:pPr>
      <w:r w:rsidRPr="00892D50">
        <w:rPr>
          <w:rFonts w:ascii="黑体" w:eastAsia="黑体" w:hAnsi="黑体" w:cs="仿宋_GB2312" w:hint="eastAsia"/>
          <w:color w:val="000000"/>
          <w:szCs w:val="32"/>
        </w:rPr>
        <w:t>一、自评工作开展情况</w:t>
      </w:r>
    </w:p>
    <w:p w:rsidR="00277231" w:rsidRPr="00892D50" w:rsidRDefault="00277231" w:rsidP="00277231">
      <w:pPr>
        <w:snapToGrid w:val="0"/>
        <w:spacing w:line="560" w:lineRule="exact"/>
        <w:ind w:firstLine="660"/>
        <w:rPr>
          <w:rFonts w:ascii="楷体_GB2312" w:eastAsia="楷体_GB2312" w:hAnsi="仿宋_GB2312" w:cs="仿宋_GB2312"/>
          <w:color w:val="000000"/>
          <w:szCs w:val="32"/>
        </w:rPr>
      </w:pPr>
      <w:r w:rsidRPr="00892D50">
        <w:rPr>
          <w:rFonts w:ascii="楷体_GB2312" w:eastAsia="楷体_GB2312" w:hAnsi="仿宋_GB2312" w:cs="仿宋_GB2312" w:hint="eastAsia"/>
          <w:color w:val="000000"/>
          <w:szCs w:val="32"/>
        </w:rPr>
        <w:t>（一）组织实施方面</w:t>
      </w:r>
    </w:p>
    <w:p w:rsidR="00277231" w:rsidRPr="00892D50" w:rsidRDefault="00277231" w:rsidP="00277231">
      <w:pPr>
        <w:snapToGrid w:val="0"/>
        <w:spacing w:line="560" w:lineRule="exact"/>
        <w:ind w:firstLine="660"/>
        <w:rPr>
          <w:rFonts w:ascii="仿宋_GB2312" w:hAnsi="仿宋_GB2312" w:cs="仿宋_GB2312"/>
          <w:color w:val="000000"/>
          <w:szCs w:val="32"/>
        </w:rPr>
      </w:pPr>
      <w:r w:rsidRPr="00892D50">
        <w:rPr>
          <w:rFonts w:ascii="仿宋_GB2312" w:hAnsi="仿宋_GB2312" w:cs="仿宋_GB2312" w:hint="eastAsia"/>
          <w:color w:val="000000"/>
          <w:szCs w:val="32"/>
        </w:rPr>
        <w:t>为做好2023年我单位各项工作，我办及时制定工作方案，组织召开工作会议，安排部署项目工作。以单位人员为成员的绩效评价工作中组，明确岗位职责和分工任务，为开展绩效评价提供了组织保障。</w:t>
      </w:r>
    </w:p>
    <w:p w:rsidR="00277231" w:rsidRPr="00892D50" w:rsidRDefault="00277231" w:rsidP="00277231">
      <w:pPr>
        <w:snapToGrid w:val="0"/>
        <w:spacing w:line="560" w:lineRule="exact"/>
        <w:ind w:firstLine="660"/>
        <w:rPr>
          <w:rFonts w:ascii="楷体_GB2312" w:eastAsia="楷体_GB2312" w:hAnsi="仿宋_GB2312" w:cs="仿宋_GB2312"/>
          <w:color w:val="000000"/>
          <w:szCs w:val="32"/>
        </w:rPr>
      </w:pPr>
      <w:r w:rsidRPr="00892D50">
        <w:rPr>
          <w:rFonts w:ascii="楷体_GB2312" w:eastAsia="楷体_GB2312" w:hAnsi="仿宋_GB2312" w:cs="仿宋_GB2312" w:hint="eastAsia"/>
          <w:color w:val="000000"/>
          <w:szCs w:val="32"/>
        </w:rPr>
        <w:t>（二）组织管理方面</w:t>
      </w:r>
    </w:p>
    <w:p w:rsidR="00277231" w:rsidRPr="00892D50" w:rsidRDefault="00277231" w:rsidP="00277231">
      <w:pPr>
        <w:snapToGrid w:val="0"/>
        <w:spacing w:line="560" w:lineRule="exact"/>
        <w:ind w:firstLine="660"/>
        <w:rPr>
          <w:rFonts w:ascii="仿宋_GB2312" w:hAnsi="仿宋_GB2312" w:cs="仿宋_GB2312"/>
          <w:color w:val="000000"/>
          <w:szCs w:val="32"/>
        </w:rPr>
      </w:pPr>
      <w:r w:rsidRPr="00892D50">
        <w:rPr>
          <w:rFonts w:ascii="仿宋_GB2312" w:hAnsi="仿宋_GB2312" w:cs="仿宋_GB2312" w:hint="eastAsia"/>
          <w:color w:val="000000"/>
          <w:szCs w:val="32"/>
        </w:rPr>
        <w:t>为保障项目顺利实施，我办召开了专题会议，成立领导小组，了解项目实施内容，并将项目的实施纳入总体工作。制定绩效评价指标体系，从目标设定、预算配置、预算执行、预算管理、资产管理、责任履行、履职效益等指标进行评价。</w:t>
      </w:r>
    </w:p>
    <w:p w:rsidR="00277231" w:rsidRPr="00892D50" w:rsidRDefault="00277231" w:rsidP="00277231">
      <w:pPr>
        <w:snapToGrid w:val="0"/>
        <w:spacing w:line="560" w:lineRule="exact"/>
        <w:ind w:firstLine="660"/>
        <w:rPr>
          <w:rFonts w:ascii="仿宋_GB2312" w:hAnsi="仿宋_GB2312" w:cs="仿宋_GB2312"/>
          <w:color w:val="000000"/>
          <w:szCs w:val="32"/>
        </w:rPr>
      </w:pPr>
      <w:r w:rsidRPr="00892D50">
        <w:rPr>
          <w:rFonts w:ascii="仿宋_GB2312" w:hAnsi="仿宋_GB2312" w:cs="仿宋_GB2312" w:hint="eastAsia"/>
          <w:color w:val="000000"/>
          <w:szCs w:val="32"/>
        </w:rPr>
        <w:t>2023年度单位项目建设工作规划和年度工作计划，细化、量化上半年的工作任务和进度。</w:t>
      </w:r>
    </w:p>
    <w:p w:rsidR="00277231" w:rsidRPr="00892D50" w:rsidRDefault="00277231" w:rsidP="00277231">
      <w:pPr>
        <w:snapToGrid w:val="0"/>
        <w:spacing w:line="560" w:lineRule="exact"/>
        <w:ind w:firstLine="660"/>
        <w:rPr>
          <w:rFonts w:ascii="仿宋_GB2312" w:hAnsi="仿宋_GB2312" w:cs="仿宋_GB2312"/>
          <w:color w:val="000000"/>
          <w:szCs w:val="32"/>
        </w:rPr>
      </w:pPr>
      <w:r w:rsidRPr="00892D50">
        <w:rPr>
          <w:rFonts w:ascii="仿宋_GB2312" w:hAnsi="仿宋_GB2312" w:cs="仿宋_GB2312" w:hint="eastAsia"/>
          <w:color w:val="000000"/>
          <w:szCs w:val="32"/>
        </w:rPr>
        <w:t>建立健全各项管理制度，制定资金管理办法，制定绩效评价实施细则、分类项目评价量化指标，建立项目日常监督检查制度，建立健全项目档案资料制度。认真贯彻落实省、市、区相关文件精神，确保转移支付资金专款专用、安全有效使用。</w:t>
      </w:r>
    </w:p>
    <w:p w:rsidR="00277231" w:rsidRPr="00892D50" w:rsidRDefault="00277231" w:rsidP="00277231">
      <w:pPr>
        <w:snapToGrid w:val="0"/>
        <w:spacing w:line="560" w:lineRule="exact"/>
        <w:ind w:firstLine="660"/>
        <w:rPr>
          <w:rFonts w:ascii="楷体_GB2312" w:eastAsia="楷体_GB2312" w:hAnsi="仿宋_GB2312" w:cs="仿宋_GB2312"/>
          <w:color w:val="000000"/>
          <w:szCs w:val="32"/>
        </w:rPr>
      </w:pPr>
      <w:r w:rsidRPr="00892D50">
        <w:rPr>
          <w:rFonts w:ascii="楷体_GB2312" w:eastAsia="楷体_GB2312" w:hAnsi="仿宋_GB2312" w:cs="仿宋_GB2312" w:hint="eastAsia"/>
          <w:color w:val="000000"/>
          <w:szCs w:val="32"/>
        </w:rPr>
        <w:t>（三）项目资金使用管理方面</w:t>
      </w:r>
    </w:p>
    <w:p w:rsidR="00277231" w:rsidRPr="00892D50" w:rsidRDefault="00277231" w:rsidP="00277231">
      <w:pPr>
        <w:snapToGrid w:val="0"/>
        <w:spacing w:line="560" w:lineRule="exact"/>
        <w:ind w:firstLine="660"/>
        <w:rPr>
          <w:rFonts w:ascii="仿宋_GB2312" w:hAnsi="仿宋_GB2312" w:cs="仿宋_GB2312"/>
          <w:color w:val="000000"/>
          <w:szCs w:val="32"/>
        </w:rPr>
      </w:pPr>
      <w:r w:rsidRPr="00892D50">
        <w:rPr>
          <w:rFonts w:ascii="仿宋_GB2312" w:hAnsi="仿宋_GB2312" w:cs="仿宋_GB2312" w:hint="eastAsia"/>
          <w:color w:val="000000"/>
          <w:szCs w:val="32"/>
        </w:rPr>
        <w:t>在项目资金的使用上，严格落实事前、事中和事后监督科学合理安排资金，确保了各项工作顺利开展。对项目资金</w:t>
      </w:r>
      <w:r w:rsidRPr="00892D50">
        <w:rPr>
          <w:rFonts w:ascii="仿宋_GB2312" w:hAnsi="仿宋_GB2312" w:cs="仿宋_GB2312" w:hint="eastAsia"/>
          <w:color w:val="000000"/>
          <w:szCs w:val="32"/>
        </w:rPr>
        <w:lastRenderedPageBreak/>
        <w:t>使用我单位严格执行预算，指标申报及时，正确使用资金且支付率和资金使用率高，严格执行专项资金管理使用规定、资金专款专用效益高。为加强单位资金使用管理，进一步规范工作，细化职责，明确责任主题，根据有关规定并建立“申请、把关、区级报账”的三级审核报账制。认真执行区级财政报账制，按项目进度及时将转移支付资金拨付。资金支付审批手续完整，符合财政纪律。</w:t>
      </w:r>
    </w:p>
    <w:p w:rsidR="00277231" w:rsidRPr="00892D50" w:rsidRDefault="00277231" w:rsidP="00277231">
      <w:pPr>
        <w:snapToGrid w:val="0"/>
        <w:spacing w:line="560" w:lineRule="exact"/>
        <w:ind w:firstLine="660"/>
        <w:rPr>
          <w:rFonts w:ascii="楷体_GB2312" w:eastAsia="楷体_GB2312" w:hAnsi="仿宋_GB2312" w:cs="仿宋_GB2312"/>
          <w:color w:val="000000"/>
          <w:szCs w:val="32"/>
        </w:rPr>
      </w:pPr>
      <w:r w:rsidRPr="00892D50">
        <w:rPr>
          <w:rFonts w:ascii="楷体_GB2312" w:eastAsia="楷体_GB2312" w:hAnsi="仿宋_GB2312" w:cs="仿宋_GB2312" w:hint="eastAsia"/>
          <w:color w:val="000000"/>
          <w:szCs w:val="32"/>
        </w:rPr>
        <w:t>（四）组织保障方面</w:t>
      </w:r>
    </w:p>
    <w:p w:rsidR="00277231" w:rsidRPr="00892D50" w:rsidRDefault="00277231" w:rsidP="00277231">
      <w:pPr>
        <w:snapToGrid w:val="0"/>
        <w:spacing w:line="560" w:lineRule="exact"/>
        <w:ind w:firstLine="660"/>
        <w:rPr>
          <w:rFonts w:ascii="仿宋_GB2312" w:hAnsi="仿宋_GB2312" w:cs="仿宋_GB2312"/>
          <w:color w:val="000000"/>
          <w:szCs w:val="32"/>
        </w:rPr>
      </w:pPr>
      <w:r w:rsidRPr="00892D50">
        <w:rPr>
          <w:rFonts w:ascii="仿宋_GB2312" w:hAnsi="仿宋_GB2312" w:cs="仿宋_GB2312" w:hint="eastAsia"/>
          <w:color w:val="000000"/>
          <w:szCs w:val="32"/>
        </w:rPr>
        <w:t>为确保项目资金的安全有效使用，我办成立议事协调小组，制定日常监督检查制度，对项目实施情况分阶段定期检查，对项目实施、资金使用，实行全程监督。</w:t>
      </w:r>
    </w:p>
    <w:p w:rsidR="00277231" w:rsidRPr="00892D50" w:rsidRDefault="00277231" w:rsidP="00277231">
      <w:pPr>
        <w:snapToGrid w:val="0"/>
        <w:spacing w:line="560" w:lineRule="exact"/>
        <w:ind w:firstLine="660"/>
        <w:rPr>
          <w:rFonts w:ascii="仿宋_GB2312" w:hAnsi="仿宋_GB2312" w:cs="仿宋_GB2312"/>
          <w:color w:val="000000"/>
          <w:szCs w:val="32"/>
        </w:rPr>
      </w:pPr>
      <w:r w:rsidRPr="00892D50">
        <w:rPr>
          <w:rFonts w:ascii="仿宋_GB2312" w:hAnsi="仿宋_GB2312" w:cs="仿宋_GB2312" w:hint="eastAsia"/>
          <w:color w:val="000000"/>
          <w:szCs w:val="32"/>
        </w:rPr>
        <w:t>定期对单位项目成果实施和活动开展情况进行检查，重点检查各项目实施的情况及活动开展情况，各项制度的制定和执行情况，资金使用情况、项目建立情况，各项活动开展和记录资料。并对项目实施情况进行量化打分，对存在问题，及时整改，对尚未完成的内容进行督导，确保项目预期完成。</w:t>
      </w:r>
    </w:p>
    <w:p w:rsidR="00277231" w:rsidRPr="00892D50" w:rsidRDefault="00277231" w:rsidP="00277231">
      <w:pPr>
        <w:snapToGrid w:val="0"/>
        <w:spacing w:line="560" w:lineRule="exact"/>
        <w:ind w:left="660"/>
        <w:rPr>
          <w:rFonts w:ascii="黑体" w:eastAsia="黑体" w:hAnsi="黑体" w:cs="仿宋_GB2312"/>
          <w:color w:val="000000"/>
          <w:szCs w:val="32"/>
        </w:rPr>
      </w:pPr>
      <w:r w:rsidRPr="00892D50">
        <w:rPr>
          <w:rFonts w:ascii="黑体" w:eastAsia="黑体" w:hAnsi="黑体" w:cs="仿宋_GB2312" w:hint="eastAsia"/>
          <w:color w:val="000000"/>
          <w:szCs w:val="32"/>
        </w:rPr>
        <w:t>二、部门预算支出情况</w:t>
      </w:r>
    </w:p>
    <w:p w:rsidR="00277231" w:rsidRPr="00892D50" w:rsidRDefault="00277231" w:rsidP="00277231">
      <w:pPr>
        <w:ind w:firstLineChars="139" w:firstLine="417"/>
        <w:rPr>
          <w:rFonts w:ascii="黑体" w:eastAsia="黑体" w:hAnsi="黑体"/>
          <w:sz w:val="30"/>
          <w:szCs w:val="24"/>
        </w:rPr>
      </w:pPr>
      <w:r w:rsidRPr="00892D50">
        <w:rPr>
          <w:rFonts w:ascii="仿宋_GB2312" w:hint="eastAsia"/>
          <w:sz w:val="30"/>
          <w:szCs w:val="24"/>
        </w:rPr>
        <w:t>（一）</w:t>
      </w:r>
      <w:r w:rsidRPr="00892D50">
        <w:rPr>
          <w:rFonts w:ascii="黑体" w:eastAsia="黑体" w:hAnsi="黑体" w:hint="eastAsia"/>
          <w:sz w:val="30"/>
          <w:szCs w:val="24"/>
        </w:rPr>
        <w:t>自评项目基本情况</w:t>
      </w:r>
    </w:p>
    <w:p w:rsidR="00277231" w:rsidRPr="00892D50" w:rsidRDefault="00277231" w:rsidP="00277231">
      <w:pPr>
        <w:snapToGrid w:val="0"/>
        <w:spacing w:line="560" w:lineRule="exact"/>
        <w:ind w:firstLine="660"/>
        <w:rPr>
          <w:rFonts w:ascii="仿宋_GB2312" w:hAnsi="仿宋_GB2312" w:cs="仿宋_GB2312"/>
          <w:b/>
          <w:color w:val="000000"/>
          <w:szCs w:val="32"/>
        </w:rPr>
      </w:pPr>
      <w:r w:rsidRPr="00892D50">
        <w:rPr>
          <w:rFonts w:ascii="仿宋_GB2312" w:hAnsi="仿宋_GB2312" w:cs="仿宋_GB2312" w:hint="eastAsia"/>
          <w:b/>
          <w:color w:val="000000"/>
          <w:szCs w:val="32"/>
        </w:rPr>
        <w:t>1.专项补助资金</w:t>
      </w:r>
    </w:p>
    <w:p w:rsidR="00277231" w:rsidRPr="00892D50" w:rsidRDefault="00277231" w:rsidP="00277231">
      <w:pPr>
        <w:snapToGrid w:val="0"/>
        <w:spacing w:line="560" w:lineRule="exact"/>
        <w:ind w:firstLine="660"/>
        <w:rPr>
          <w:rFonts w:ascii="仿宋_GB2312" w:hAnsi="仿宋_GB2312" w:cs="仿宋_GB2312"/>
          <w:color w:val="000000"/>
          <w:szCs w:val="32"/>
        </w:rPr>
      </w:pPr>
      <w:r w:rsidRPr="00892D50">
        <w:rPr>
          <w:rFonts w:ascii="仿宋_GB2312" w:hAnsi="仿宋_GB2312" w:cs="仿宋_GB2312" w:hint="eastAsia"/>
          <w:color w:val="000000"/>
          <w:szCs w:val="32"/>
        </w:rPr>
        <w:t>（1）项目概况。</w:t>
      </w:r>
    </w:p>
    <w:p w:rsidR="00277231" w:rsidRPr="00892D50" w:rsidRDefault="00277231" w:rsidP="00277231">
      <w:pPr>
        <w:snapToGrid w:val="0"/>
        <w:spacing w:line="560" w:lineRule="exact"/>
        <w:ind w:firstLine="660"/>
        <w:rPr>
          <w:rFonts w:ascii="仿宋_GB2312" w:hAnsi="仿宋_GB2312" w:cs="仿宋_GB2312"/>
          <w:color w:val="000000"/>
          <w:szCs w:val="32"/>
        </w:rPr>
      </w:pPr>
      <w:r w:rsidRPr="00892D50">
        <w:rPr>
          <w:rFonts w:ascii="仿宋_GB2312" w:hAnsi="仿宋_GB2312" w:cs="仿宋_GB2312" w:hint="eastAsia"/>
          <w:color w:val="000000"/>
          <w:szCs w:val="32"/>
        </w:rPr>
        <w:t>1.项目背景及立项依据</w:t>
      </w:r>
    </w:p>
    <w:p w:rsidR="00277231" w:rsidRPr="00892D50" w:rsidRDefault="00277231" w:rsidP="00277231">
      <w:pPr>
        <w:snapToGrid w:val="0"/>
        <w:spacing w:line="560" w:lineRule="exact"/>
        <w:ind w:firstLine="660"/>
        <w:rPr>
          <w:rFonts w:ascii="仿宋_GB2312" w:hAnsi="仿宋_GB2312" w:cs="仿宋_GB2312"/>
          <w:color w:val="000000"/>
          <w:szCs w:val="32"/>
        </w:rPr>
      </w:pPr>
      <w:r w:rsidRPr="00892D50">
        <w:rPr>
          <w:rFonts w:ascii="仿宋_GB2312" w:hAnsi="仿宋_GB2312" w:cs="仿宋_GB2312" w:hint="eastAsia"/>
          <w:color w:val="000000"/>
          <w:szCs w:val="32"/>
        </w:rPr>
        <w:t>我办按照《安徽省人口与计划生育条例》和区卫健委相关规定，结合本部实际独生子女人数发放了独生子女保健费，及独生子女父母退休一次性奖励。</w:t>
      </w:r>
    </w:p>
    <w:p w:rsidR="00277231" w:rsidRPr="00892D50" w:rsidRDefault="00277231" w:rsidP="00277231">
      <w:pPr>
        <w:snapToGrid w:val="0"/>
        <w:spacing w:line="560" w:lineRule="exact"/>
        <w:ind w:firstLine="660"/>
        <w:rPr>
          <w:rFonts w:ascii="仿宋_GB2312" w:hAnsi="仿宋_GB2312" w:cs="仿宋_GB2312"/>
          <w:color w:val="000000"/>
          <w:szCs w:val="32"/>
        </w:rPr>
      </w:pPr>
      <w:r w:rsidRPr="00892D50">
        <w:rPr>
          <w:rFonts w:ascii="仿宋_GB2312" w:hAnsi="仿宋_GB2312" w:cs="仿宋_GB2312" w:hint="eastAsia"/>
          <w:color w:val="000000"/>
          <w:szCs w:val="32"/>
        </w:rPr>
        <w:lastRenderedPageBreak/>
        <w:t>根据《退役军人事务部</w:t>
      </w:r>
      <w:r w:rsidRPr="00892D50">
        <w:rPr>
          <w:rFonts w:ascii="宋体" w:eastAsia="宋体" w:hAnsi="宋体" w:cs="宋体" w:hint="eastAsia"/>
          <w:color w:val="000000"/>
          <w:szCs w:val="32"/>
        </w:rPr>
        <w:t> </w:t>
      </w:r>
      <w:r w:rsidRPr="00892D50">
        <w:rPr>
          <w:rFonts w:ascii="仿宋_GB2312" w:hAnsi="仿宋_GB2312" w:cs="仿宋_GB2312" w:hint="eastAsia"/>
          <w:color w:val="000000"/>
          <w:szCs w:val="32"/>
        </w:rPr>
        <w:t>财政部关于调整部分优抚对象等人员抚恤和生活补助标准的通知》(退役军人部发[2019]42号)规定，从2021年8月1日起调整部分优抚对象等人员抚恤和生活补助标准，提高残疾军人（含伤残人民警察、伤残国家机关工作人员、伤残民兵民工)的残疾抚恤金、烈属(含因公牺牲军人遗属、病故军人遗属)的定期抚恤金、在乡退伍红军老战士(含在乡西路军红军老战士、红军失散人员）的生活补助标准。</w:t>
      </w:r>
    </w:p>
    <w:p w:rsidR="00277231" w:rsidRPr="00892D50" w:rsidRDefault="00277231" w:rsidP="00277231">
      <w:pPr>
        <w:snapToGrid w:val="0"/>
        <w:spacing w:line="560" w:lineRule="exact"/>
        <w:ind w:firstLine="660"/>
        <w:rPr>
          <w:rFonts w:ascii="仿宋_GB2312" w:hAnsi="仿宋_GB2312" w:cs="仿宋_GB2312"/>
          <w:color w:val="000000"/>
          <w:szCs w:val="32"/>
        </w:rPr>
      </w:pPr>
      <w:r w:rsidRPr="00892D50">
        <w:rPr>
          <w:rFonts w:ascii="仿宋_GB2312" w:hAnsi="仿宋_GB2312" w:cs="仿宋_GB2312" w:hint="eastAsia"/>
          <w:color w:val="000000"/>
          <w:szCs w:val="32"/>
        </w:rPr>
        <w:t>2.资金来源及使用情况。</w:t>
      </w:r>
    </w:p>
    <w:p w:rsidR="00277231" w:rsidRPr="00892D50" w:rsidRDefault="00277231" w:rsidP="00277231">
      <w:pPr>
        <w:snapToGrid w:val="0"/>
        <w:spacing w:line="560" w:lineRule="exact"/>
        <w:ind w:firstLine="660"/>
        <w:rPr>
          <w:rFonts w:ascii="仿宋_GB2312" w:hAnsi="仿宋_GB2312" w:cs="仿宋_GB2312"/>
          <w:color w:val="000000"/>
          <w:szCs w:val="32"/>
        </w:rPr>
      </w:pPr>
      <w:r w:rsidRPr="00892D50">
        <w:rPr>
          <w:rFonts w:ascii="仿宋_GB2312" w:hAnsi="仿宋_GB2312" w:cs="仿宋_GB2312" w:hint="eastAsia"/>
          <w:color w:val="000000"/>
          <w:szCs w:val="32"/>
        </w:rPr>
        <w:t>2023年任楼街道办事处下达专项补助经费年初预算10.4万元，包括退役军人生活补助1.4万元，计生专项补助4万元，</w:t>
      </w:r>
      <w:r w:rsidRPr="00892D50">
        <w:rPr>
          <w:rFonts w:ascii="仿宋_GB2312" w:hAnsi="仿宋_GB2312" w:cs="仿宋_GB2312"/>
          <w:color w:val="000000"/>
          <w:szCs w:val="32"/>
        </w:rPr>
        <w:t>疫情防控专项经费</w:t>
      </w:r>
      <w:r w:rsidRPr="00892D50">
        <w:rPr>
          <w:rFonts w:ascii="仿宋_GB2312" w:hAnsi="仿宋_GB2312" w:cs="仿宋_GB2312" w:hint="eastAsia"/>
          <w:color w:val="000000"/>
          <w:szCs w:val="32"/>
        </w:rPr>
        <w:t>3万元，</w:t>
      </w:r>
      <w:r w:rsidRPr="00892D50">
        <w:rPr>
          <w:rFonts w:ascii="仿宋_GB2312" w:hAnsi="仿宋_GB2312" w:cs="仿宋_GB2312"/>
          <w:color w:val="000000"/>
          <w:szCs w:val="32"/>
        </w:rPr>
        <w:t>安全生产专项费用</w:t>
      </w:r>
      <w:r w:rsidRPr="00892D50">
        <w:rPr>
          <w:rFonts w:ascii="仿宋_GB2312" w:hAnsi="仿宋_GB2312" w:cs="仿宋_GB2312" w:hint="eastAsia"/>
          <w:color w:val="000000"/>
          <w:szCs w:val="32"/>
        </w:rPr>
        <w:t>2万元，实际支出7.9万元，主要用于各相关补助的发放。预算执行率75.96%。</w:t>
      </w:r>
    </w:p>
    <w:p w:rsidR="00277231" w:rsidRPr="00892D50" w:rsidRDefault="00277231" w:rsidP="00277231">
      <w:pPr>
        <w:snapToGrid w:val="0"/>
        <w:spacing w:line="560" w:lineRule="exact"/>
        <w:ind w:firstLine="660"/>
        <w:rPr>
          <w:rFonts w:ascii="仿宋_GB2312" w:hAnsi="仿宋_GB2312" w:cs="仿宋_GB2312"/>
          <w:color w:val="000000"/>
          <w:szCs w:val="32"/>
        </w:rPr>
      </w:pPr>
      <w:r w:rsidRPr="00892D50">
        <w:rPr>
          <w:rFonts w:ascii="仿宋_GB2312" w:hAnsi="仿宋_GB2312" w:cs="仿宋_GB2312" w:hint="eastAsia"/>
          <w:color w:val="000000"/>
          <w:szCs w:val="32"/>
        </w:rPr>
        <w:t>该项资金按实际支出进行报销。</w:t>
      </w:r>
    </w:p>
    <w:p w:rsidR="00277231" w:rsidRPr="00892D50" w:rsidRDefault="00277231" w:rsidP="00277231">
      <w:pPr>
        <w:snapToGrid w:val="0"/>
        <w:spacing w:line="560" w:lineRule="exact"/>
        <w:ind w:firstLine="660"/>
        <w:rPr>
          <w:rFonts w:ascii="仿宋_GB2312" w:hAnsi="仿宋_GB2312" w:cs="仿宋_GB2312"/>
          <w:b/>
          <w:color w:val="000000"/>
          <w:szCs w:val="32"/>
        </w:rPr>
      </w:pPr>
      <w:r w:rsidRPr="00892D50">
        <w:rPr>
          <w:rFonts w:ascii="仿宋_GB2312" w:hAnsi="仿宋_GB2312" w:cs="仿宋_GB2312" w:hint="eastAsia"/>
          <w:b/>
          <w:color w:val="000000"/>
          <w:szCs w:val="32"/>
        </w:rPr>
        <w:t>2.国有企业退休社会化管理补助支出</w:t>
      </w:r>
    </w:p>
    <w:p w:rsidR="00277231" w:rsidRPr="00892D50" w:rsidRDefault="00277231" w:rsidP="00277231">
      <w:pPr>
        <w:snapToGrid w:val="0"/>
        <w:spacing w:line="560" w:lineRule="exact"/>
        <w:ind w:firstLine="660"/>
        <w:rPr>
          <w:rFonts w:ascii="仿宋_GB2312" w:hAnsi="仿宋_GB2312" w:cs="仿宋_GB2312"/>
          <w:color w:val="000000"/>
          <w:szCs w:val="32"/>
        </w:rPr>
      </w:pPr>
      <w:r w:rsidRPr="00892D50">
        <w:rPr>
          <w:rFonts w:ascii="仿宋_GB2312" w:hAnsi="仿宋_GB2312" w:cs="仿宋_GB2312" w:hint="eastAsia"/>
          <w:color w:val="000000"/>
          <w:szCs w:val="32"/>
        </w:rPr>
        <w:t>（1）项目概况。</w:t>
      </w:r>
    </w:p>
    <w:p w:rsidR="00277231" w:rsidRPr="00892D50" w:rsidRDefault="00277231" w:rsidP="00277231">
      <w:pPr>
        <w:snapToGrid w:val="0"/>
        <w:spacing w:line="560" w:lineRule="exact"/>
        <w:ind w:firstLine="660"/>
        <w:rPr>
          <w:rFonts w:ascii="仿宋_GB2312" w:hAnsi="仿宋_GB2312" w:cs="仿宋_GB2312"/>
          <w:color w:val="000000"/>
          <w:szCs w:val="32"/>
        </w:rPr>
      </w:pPr>
      <w:r w:rsidRPr="00892D50">
        <w:rPr>
          <w:rFonts w:ascii="仿宋_GB2312" w:hAnsi="仿宋_GB2312" w:cs="仿宋_GB2312" w:hint="eastAsia"/>
          <w:color w:val="000000"/>
          <w:szCs w:val="32"/>
        </w:rPr>
        <w:t>1.项目背景及立项依据</w:t>
      </w:r>
    </w:p>
    <w:p w:rsidR="00277231" w:rsidRPr="00892D50" w:rsidRDefault="00277231" w:rsidP="00277231">
      <w:pPr>
        <w:snapToGrid w:val="0"/>
        <w:spacing w:line="560" w:lineRule="exact"/>
        <w:ind w:firstLine="660"/>
        <w:rPr>
          <w:rFonts w:ascii="仿宋_GB2312" w:hAnsi="仿宋_GB2312" w:cs="仿宋_GB2312"/>
          <w:color w:val="000000"/>
          <w:szCs w:val="32"/>
        </w:rPr>
      </w:pPr>
      <w:r w:rsidRPr="00892D50">
        <w:rPr>
          <w:rFonts w:ascii="仿宋_GB2312" w:hAnsi="仿宋_GB2312" w:cs="仿宋_GB2312" w:hint="eastAsia"/>
          <w:color w:val="000000"/>
          <w:szCs w:val="32"/>
        </w:rPr>
        <w:t>以习近平新时代中国特色社会主义思想为指导，认真落实党中央、国务院决策部署和省、市有关要求，全面深化国有企业改革，加快剥离国有企业办社会职能和解决历史遗留问题，立足国有企业退休人员法定权益保障和服务需求，整合管理服务资源，创新管理服务方式，提升管理服务水平，确保国有企业退休人员管理服务有序移交、平稳过渡。实行</w:t>
      </w:r>
      <w:r w:rsidRPr="00892D50">
        <w:rPr>
          <w:rFonts w:ascii="仿宋_GB2312" w:hAnsi="仿宋_GB2312" w:cs="仿宋_GB2312" w:hint="eastAsia"/>
          <w:color w:val="000000"/>
          <w:szCs w:val="32"/>
        </w:rPr>
        <w:lastRenderedPageBreak/>
        <w:t>社会化管理后，国有企业新办理退休人员管理服务工作与原企业分离，国有企业管理的事业单位退休人员原则上一并移交实行社会化管理。。</w:t>
      </w:r>
    </w:p>
    <w:p w:rsidR="00277231" w:rsidRPr="00892D50" w:rsidRDefault="00277231" w:rsidP="00277231">
      <w:pPr>
        <w:snapToGrid w:val="0"/>
        <w:spacing w:line="560" w:lineRule="exact"/>
        <w:ind w:firstLine="660"/>
        <w:rPr>
          <w:rFonts w:ascii="仿宋_GB2312" w:hAnsi="仿宋_GB2312" w:cs="仿宋_GB2312"/>
          <w:color w:val="000000"/>
          <w:szCs w:val="32"/>
        </w:rPr>
      </w:pPr>
      <w:r w:rsidRPr="00892D50">
        <w:rPr>
          <w:rFonts w:ascii="仿宋_GB2312" w:hAnsi="仿宋_GB2312" w:cs="仿宋_GB2312" w:hint="eastAsia"/>
          <w:color w:val="000000"/>
          <w:szCs w:val="32"/>
        </w:rPr>
        <w:t>根据《财政部关于提前下达2022年国有企业退休人员社会化管理补助资金预算的通知》（财资〔2021〕140号）等文件规定，以及《省国资委关于国有企业退休人员社会化管理中央及省级财政补助资金分配意见的函》（皖国资改革函〔2021〕359号），。</w:t>
      </w:r>
    </w:p>
    <w:p w:rsidR="00277231" w:rsidRPr="00892D50" w:rsidRDefault="00277231" w:rsidP="00277231">
      <w:pPr>
        <w:snapToGrid w:val="0"/>
        <w:spacing w:line="560" w:lineRule="exact"/>
        <w:ind w:firstLine="660"/>
        <w:rPr>
          <w:rFonts w:ascii="仿宋_GB2312" w:hAnsi="仿宋_GB2312" w:cs="仿宋_GB2312"/>
          <w:color w:val="000000"/>
          <w:szCs w:val="32"/>
        </w:rPr>
      </w:pPr>
      <w:r w:rsidRPr="00892D50">
        <w:rPr>
          <w:rFonts w:ascii="仿宋_GB2312" w:hAnsi="仿宋_GB2312" w:cs="仿宋_GB2312" w:hint="eastAsia"/>
          <w:color w:val="000000"/>
          <w:szCs w:val="32"/>
        </w:rPr>
        <w:t>2.资金来源及使用情况。</w:t>
      </w:r>
    </w:p>
    <w:p w:rsidR="00277231" w:rsidRPr="00892D50" w:rsidRDefault="00277231" w:rsidP="00277231">
      <w:pPr>
        <w:snapToGrid w:val="0"/>
        <w:spacing w:line="560" w:lineRule="exact"/>
        <w:ind w:firstLine="660"/>
        <w:rPr>
          <w:rFonts w:ascii="仿宋_GB2312" w:hAnsi="仿宋_GB2312" w:cs="仿宋_GB2312"/>
          <w:color w:val="000000"/>
          <w:szCs w:val="32"/>
        </w:rPr>
      </w:pPr>
      <w:r w:rsidRPr="00892D50">
        <w:rPr>
          <w:rFonts w:ascii="仿宋_GB2312" w:hAnsi="仿宋_GB2312" w:cs="仿宋_GB2312" w:hint="eastAsia"/>
          <w:color w:val="000000"/>
          <w:szCs w:val="32"/>
        </w:rPr>
        <w:t>2023年任楼街道办事处下达国有企业退休社会化管理补助支出年初预算143万元，实际支出87.4351万元，主要用于物业费、污水处理厂的经费发放。预算执行率61.14%。</w:t>
      </w:r>
    </w:p>
    <w:p w:rsidR="00277231" w:rsidRPr="00892D50" w:rsidRDefault="00277231" w:rsidP="00277231">
      <w:pPr>
        <w:snapToGrid w:val="0"/>
        <w:spacing w:line="560" w:lineRule="exact"/>
        <w:ind w:firstLine="660"/>
        <w:rPr>
          <w:rFonts w:ascii="仿宋_GB2312" w:hAnsi="仿宋_GB2312" w:cs="仿宋_GB2312"/>
          <w:color w:val="000000"/>
          <w:szCs w:val="32"/>
        </w:rPr>
      </w:pPr>
      <w:r w:rsidRPr="00892D50">
        <w:rPr>
          <w:rFonts w:ascii="仿宋_GB2312" w:hAnsi="仿宋_GB2312" w:cs="仿宋_GB2312" w:hint="eastAsia"/>
          <w:color w:val="000000"/>
          <w:szCs w:val="32"/>
        </w:rPr>
        <w:t>该项资金按实际支出进行报销。</w:t>
      </w:r>
    </w:p>
    <w:p w:rsidR="00277231" w:rsidRPr="00892D50" w:rsidRDefault="00277231" w:rsidP="00277231">
      <w:pPr>
        <w:snapToGrid w:val="0"/>
        <w:spacing w:line="560" w:lineRule="exact"/>
        <w:ind w:firstLine="660"/>
        <w:rPr>
          <w:rFonts w:ascii="仿宋_GB2312" w:hAnsi="仿宋_GB2312" w:cs="仿宋_GB2312"/>
          <w:b/>
          <w:color w:val="000000"/>
          <w:szCs w:val="32"/>
        </w:rPr>
      </w:pPr>
      <w:r w:rsidRPr="00892D50">
        <w:rPr>
          <w:rFonts w:ascii="仿宋_GB2312" w:hAnsi="仿宋_GB2312" w:cs="仿宋_GB2312" w:hint="eastAsia"/>
          <w:b/>
          <w:color w:val="000000"/>
          <w:szCs w:val="32"/>
        </w:rPr>
        <w:t>3.综合工作经费</w:t>
      </w:r>
    </w:p>
    <w:p w:rsidR="00277231" w:rsidRPr="00892D50" w:rsidRDefault="00277231" w:rsidP="00277231">
      <w:pPr>
        <w:snapToGrid w:val="0"/>
        <w:spacing w:line="560" w:lineRule="exact"/>
        <w:ind w:firstLine="660"/>
        <w:rPr>
          <w:rFonts w:ascii="仿宋_GB2312" w:hAnsi="仿宋_GB2312" w:cs="仿宋_GB2312"/>
          <w:color w:val="000000"/>
          <w:szCs w:val="32"/>
        </w:rPr>
      </w:pPr>
      <w:r w:rsidRPr="00892D50">
        <w:rPr>
          <w:rFonts w:ascii="仿宋_GB2312" w:hAnsi="仿宋_GB2312" w:cs="仿宋_GB2312" w:hint="eastAsia"/>
          <w:color w:val="000000"/>
          <w:szCs w:val="32"/>
        </w:rPr>
        <w:t>（1）项目概况。</w:t>
      </w:r>
    </w:p>
    <w:p w:rsidR="00277231" w:rsidRPr="00892D50" w:rsidRDefault="00277231" w:rsidP="00277231">
      <w:pPr>
        <w:snapToGrid w:val="0"/>
        <w:spacing w:line="560" w:lineRule="exact"/>
        <w:ind w:firstLine="660"/>
        <w:rPr>
          <w:rFonts w:ascii="仿宋_GB2312" w:hAnsi="仿宋_GB2312" w:cs="仿宋_GB2312"/>
          <w:color w:val="000000"/>
          <w:szCs w:val="32"/>
        </w:rPr>
      </w:pPr>
      <w:r w:rsidRPr="00892D50">
        <w:rPr>
          <w:rFonts w:ascii="仿宋_GB2312" w:hAnsi="仿宋_GB2312" w:cs="仿宋_GB2312" w:hint="eastAsia"/>
          <w:color w:val="000000"/>
          <w:szCs w:val="32"/>
        </w:rPr>
        <w:t>项目背景及立项依据</w:t>
      </w:r>
    </w:p>
    <w:p w:rsidR="00277231" w:rsidRPr="00892D50" w:rsidRDefault="00277231" w:rsidP="00277231">
      <w:pPr>
        <w:snapToGrid w:val="0"/>
        <w:spacing w:line="560" w:lineRule="exact"/>
        <w:ind w:firstLine="660"/>
        <w:rPr>
          <w:rFonts w:ascii="仿宋_GB2312" w:hAnsi="仿宋_GB2312" w:cs="仿宋_GB2312"/>
          <w:color w:val="000000"/>
          <w:szCs w:val="32"/>
        </w:rPr>
      </w:pPr>
      <w:r w:rsidRPr="00892D50">
        <w:rPr>
          <w:rFonts w:ascii="仿宋_GB2312" w:hAnsi="仿宋_GB2312" w:cs="仿宋_GB2312" w:hint="eastAsia"/>
          <w:color w:val="000000"/>
          <w:szCs w:val="32"/>
        </w:rPr>
        <w:t>(一)项目概况。</w:t>
      </w:r>
    </w:p>
    <w:p w:rsidR="00277231" w:rsidRPr="00892D50" w:rsidRDefault="00277231" w:rsidP="00277231">
      <w:pPr>
        <w:snapToGrid w:val="0"/>
        <w:spacing w:line="560" w:lineRule="exact"/>
        <w:ind w:firstLine="660"/>
        <w:rPr>
          <w:rFonts w:ascii="仿宋_GB2312" w:hAnsi="仿宋_GB2312" w:cs="仿宋_GB2312"/>
          <w:color w:val="000000"/>
          <w:szCs w:val="32"/>
        </w:rPr>
      </w:pPr>
      <w:r w:rsidRPr="00892D50">
        <w:rPr>
          <w:rFonts w:ascii="仿宋_GB2312" w:hAnsi="仿宋_GB2312" w:cs="仿宋_GB2312" w:hint="eastAsia"/>
          <w:color w:val="000000"/>
          <w:szCs w:val="32"/>
        </w:rPr>
        <w:t>1.立项背景及目的：</w:t>
      </w:r>
    </w:p>
    <w:p w:rsidR="00277231" w:rsidRPr="00892D50" w:rsidRDefault="00277231" w:rsidP="00277231">
      <w:pPr>
        <w:snapToGrid w:val="0"/>
        <w:spacing w:line="560" w:lineRule="exact"/>
        <w:ind w:firstLine="660"/>
        <w:rPr>
          <w:rFonts w:ascii="仿宋_GB2312" w:hAnsi="仿宋_GB2312" w:cs="仿宋_GB2312"/>
          <w:color w:val="000000"/>
          <w:szCs w:val="32"/>
        </w:rPr>
      </w:pPr>
      <w:r w:rsidRPr="00892D50">
        <w:rPr>
          <w:rFonts w:ascii="仿宋_GB2312" w:hAnsi="仿宋_GB2312" w:cs="仿宋_GB2312" w:hint="eastAsia"/>
          <w:color w:val="000000"/>
          <w:szCs w:val="32"/>
        </w:rPr>
        <w:t>完成年度内区政府安排的党委、纪检监察、人大、组织、宣传、精神文明建设、统战、团委、妇联、工会等工作。完成办事处日常工作、文秘、会务、目督、保密、档案、财务、国有资产管理、后勤保障服务等工作。完成街道经济发展各项指标、规划工作。完成安全生产工作；完成环境保护、招商引资、产业培育、工商、统计、税务、衣经、会计委托代</w:t>
      </w:r>
      <w:r w:rsidRPr="00892D50">
        <w:rPr>
          <w:rFonts w:ascii="仿宋_GB2312" w:hAnsi="仿宋_GB2312" w:cs="仿宋_GB2312" w:hint="eastAsia"/>
          <w:color w:val="000000"/>
          <w:szCs w:val="32"/>
        </w:rPr>
        <w:lastRenderedPageBreak/>
        <w:t>理、内审、市场监管等工作；完成重点项目推进和管理服务工作。完成社区建设工作；完成民政、双拥、残联、老龄、民宗等工作；完成人力资源和社会保障等工作。完成社区建设工作；完成教育、科技、文化、体育、旅游、医疗卫生、人口计生等工作。完成社会治安综合治理、信访、维稳以及交通安全、消防安全，加强社会治理等工作。2021年根据连续性项目原则申请立项。</w:t>
      </w:r>
    </w:p>
    <w:p w:rsidR="00277231" w:rsidRPr="00892D50" w:rsidRDefault="00277231" w:rsidP="00277231">
      <w:pPr>
        <w:snapToGrid w:val="0"/>
        <w:spacing w:line="560" w:lineRule="exact"/>
        <w:ind w:firstLine="660"/>
        <w:rPr>
          <w:rFonts w:ascii="仿宋_GB2312" w:hAnsi="仿宋_GB2312" w:cs="仿宋_GB2312"/>
          <w:color w:val="000000"/>
          <w:szCs w:val="32"/>
        </w:rPr>
      </w:pPr>
      <w:r w:rsidRPr="00892D50">
        <w:rPr>
          <w:rFonts w:ascii="仿宋_GB2312" w:hAnsi="仿宋_GB2312" w:cs="仿宋_GB2312" w:hint="eastAsia"/>
          <w:color w:val="000000"/>
          <w:szCs w:val="32"/>
        </w:rPr>
        <w:t>2.资金来源及使用情况。</w:t>
      </w:r>
    </w:p>
    <w:p w:rsidR="00277231" w:rsidRPr="00892D50" w:rsidRDefault="00277231" w:rsidP="00277231">
      <w:pPr>
        <w:snapToGrid w:val="0"/>
        <w:spacing w:line="560" w:lineRule="exact"/>
        <w:ind w:firstLine="660"/>
        <w:rPr>
          <w:rFonts w:ascii="仿宋_GB2312" w:hAnsi="仿宋_GB2312" w:cs="仿宋_GB2312"/>
          <w:color w:val="000000"/>
          <w:szCs w:val="32"/>
        </w:rPr>
      </w:pPr>
      <w:r w:rsidRPr="00892D50">
        <w:rPr>
          <w:rFonts w:ascii="仿宋_GB2312" w:hAnsi="仿宋_GB2312" w:cs="仿宋_GB2312" w:hint="eastAsia"/>
          <w:color w:val="000000"/>
          <w:szCs w:val="32"/>
        </w:rPr>
        <w:t>2023年任楼街道办事处下达综合工作经费年初预算15万元。实际支出</w:t>
      </w:r>
      <w:r w:rsidRPr="00892D50">
        <w:rPr>
          <w:rFonts w:ascii="仿宋_GB2312" w:hAnsi="仿宋_GB2312" w:cs="仿宋_GB2312"/>
          <w:color w:val="000000"/>
          <w:szCs w:val="32"/>
        </w:rPr>
        <w:t>6</w:t>
      </w:r>
      <w:r w:rsidRPr="00892D50">
        <w:rPr>
          <w:rFonts w:ascii="仿宋_GB2312" w:hAnsi="仿宋_GB2312" w:cs="仿宋_GB2312" w:hint="eastAsia"/>
          <w:color w:val="000000"/>
          <w:szCs w:val="32"/>
        </w:rPr>
        <w:t>.</w:t>
      </w:r>
      <w:r w:rsidRPr="00892D50">
        <w:rPr>
          <w:rFonts w:ascii="仿宋_GB2312" w:hAnsi="仿宋_GB2312" w:cs="仿宋_GB2312"/>
          <w:color w:val="000000"/>
          <w:szCs w:val="32"/>
        </w:rPr>
        <w:t>6386</w:t>
      </w:r>
      <w:r w:rsidRPr="00892D50">
        <w:rPr>
          <w:rFonts w:ascii="仿宋_GB2312" w:hAnsi="仿宋_GB2312" w:cs="仿宋_GB2312" w:hint="eastAsia"/>
          <w:color w:val="000000"/>
          <w:szCs w:val="32"/>
        </w:rPr>
        <w:t>万元，预算执行率</w:t>
      </w:r>
      <w:r w:rsidRPr="00892D50">
        <w:rPr>
          <w:rFonts w:ascii="仿宋_GB2312" w:hAnsi="仿宋_GB2312" w:cs="仿宋_GB2312"/>
          <w:color w:val="000000"/>
          <w:szCs w:val="32"/>
        </w:rPr>
        <w:t>44.26</w:t>
      </w:r>
      <w:r w:rsidRPr="00892D50">
        <w:rPr>
          <w:rFonts w:ascii="仿宋_GB2312" w:hAnsi="仿宋_GB2312" w:cs="仿宋_GB2312" w:hint="eastAsia"/>
          <w:color w:val="000000"/>
          <w:szCs w:val="32"/>
        </w:rPr>
        <w:t>%。</w:t>
      </w:r>
    </w:p>
    <w:p w:rsidR="00277231" w:rsidRPr="00892D50" w:rsidRDefault="00277231" w:rsidP="00277231">
      <w:pPr>
        <w:snapToGrid w:val="0"/>
        <w:spacing w:line="560" w:lineRule="exact"/>
        <w:ind w:firstLine="660"/>
        <w:rPr>
          <w:rFonts w:ascii="仿宋_GB2312" w:hAnsi="仿宋_GB2312" w:cs="仿宋_GB2312"/>
          <w:color w:val="000000"/>
          <w:szCs w:val="32"/>
        </w:rPr>
      </w:pPr>
      <w:r w:rsidRPr="00892D50">
        <w:rPr>
          <w:rFonts w:ascii="仿宋_GB2312" w:hAnsi="仿宋_GB2312" w:cs="仿宋_GB2312" w:hint="eastAsia"/>
          <w:color w:val="000000"/>
          <w:szCs w:val="32"/>
        </w:rPr>
        <w:t>该项资金按实际支出进行报销。</w:t>
      </w:r>
    </w:p>
    <w:p w:rsidR="00277231" w:rsidRPr="00892D50" w:rsidRDefault="00277231" w:rsidP="00277231">
      <w:pPr>
        <w:snapToGrid w:val="0"/>
        <w:spacing w:line="560" w:lineRule="exact"/>
        <w:ind w:firstLine="660"/>
        <w:rPr>
          <w:rFonts w:ascii="黑体" w:eastAsia="黑体" w:hAnsi="黑体" w:cs="仿宋_GB2312"/>
          <w:color w:val="000000"/>
          <w:szCs w:val="32"/>
        </w:rPr>
      </w:pPr>
      <w:r w:rsidRPr="00892D50">
        <w:rPr>
          <w:rFonts w:ascii="黑体" w:eastAsia="黑体" w:hAnsi="黑体" w:cs="仿宋_GB2312" w:hint="eastAsia"/>
          <w:color w:val="000000"/>
          <w:szCs w:val="32"/>
        </w:rPr>
        <w:t>三、项目自评结果及分析</w:t>
      </w:r>
    </w:p>
    <w:p w:rsidR="00277231" w:rsidRPr="00892D50" w:rsidRDefault="00277231" w:rsidP="00277231">
      <w:pPr>
        <w:snapToGrid w:val="0"/>
        <w:spacing w:line="560" w:lineRule="exact"/>
        <w:ind w:firstLine="660"/>
        <w:rPr>
          <w:rFonts w:ascii="仿宋_GB2312" w:hAnsi="仿宋_GB2312" w:cs="仿宋_GB2312"/>
          <w:color w:val="000000"/>
          <w:szCs w:val="32"/>
        </w:rPr>
      </w:pPr>
      <w:r w:rsidRPr="00892D50">
        <w:rPr>
          <w:rFonts w:ascii="仿宋_GB2312" w:hAnsi="仿宋_GB2312" w:cs="仿宋_GB2312" w:hint="eastAsia"/>
          <w:color w:val="000000"/>
          <w:szCs w:val="32"/>
        </w:rPr>
        <w:t>2023年我单位专项补助资金预算为</w:t>
      </w:r>
      <w:r w:rsidRPr="00892D50">
        <w:rPr>
          <w:rFonts w:ascii="宋体" w:eastAsia="宋体" w:hAnsi="宋体" w:cs="宋体" w:hint="eastAsia"/>
          <w:color w:val="000000"/>
          <w:szCs w:val="32"/>
        </w:rPr>
        <w:t>10.4</w:t>
      </w:r>
      <w:r w:rsidRPr="00892D50">
        <w:rPr>
          <w:rFonts w:ascii="仿宋_GB2312" w:hAnsi="仿宋_GB2312" w:cs="仿宋_GB2312" w:hint="eastAsia"/>
          <w:color w:val="000000"/>
          <w:szCs w:val="32"/>
        </w:rPr>
        <w:t>万元。根据支出进度表，该项支出预算按照序时进度完成，</w:t>
      </w:r>
      <w:r w:rsidRPr="00892D50">
        <w:rPr>
          <w:rFonts w:ascii="仿宋_GB2312" w:hAnsi="仿宋_GB2312" w:cs="仿宋_GB2312"/>
          <w:color w:val="000000"/>
          <w:szCs w:val="32"/>
        </w:rPr>
        <w:t>2022</w:t>
      </w:r>
      <w:r w:rsidRPr="00892D50">
        <w:rPr>
          <w:rFonts w:ascii="仿宋_GB2312" w:hAnsi="仿宋_GB2312" w:cs="仿宋_GB2312" w:hint="eastAsia"/>
          <w:color w:val="000000"/>
          <w:szCs w:val="32"/>
        </w:rPr>
        <w:t>年底完成项目的75.96</w:t>
      </w:r>
      <w:r w:rsidRPr="00892D50">
        <w:rPr>
          <w:rFonts w:ascii="仿宋_GB2312" w:hAnsi="仿宋_GB2312" w:cs="仿宋_GB2312"/>
          <w:color w:val="000000"/>
          <w:szCs w:val="32"/>
        </w:rPr>
        <w:t>%</w:t>
      </w:r>
      <w:r w:rsidRPr="00892D50">
        <w:rPr>
          <w:rFonts w:ascii="仿宋_GB2312" w:hAnsi="仿宋_GB2312" w:cs="仿宋_GB2312" w:hint="eastAsia"/>
          <w:color w:val="000000"/>
          <w:szCs w:val="32"/>
        </w:rPr>
        <w:t>。</w:t>
      </w:r>
    </w:p>
    <w:p w:rsidR="00277231" w:rsidRPr="00892D50" w:rsidRDefault="00277231" w:rsidP="00277231">
      <w:pPr>
        <w:snapToGrid w:val="0"/>
        <w:spacing w:line="560" w:lineRule="exact"/>
        <w:ind w:firstLine="660"/>
        <w:rPr>
          <w:rFonts w:ascii="仿宋_GB2312" w:hAnsi="仿宋_GB2312" w:cs="仿宋_GB2312"/>
          <w:color w:val="000000"/>
          <w:szCs w:val="32"/>
        </w:rPr>
      </w:pPr>
      <w:r w:rsidRPr="00892D50">
        <w:rPr>
          <w:rFonts w:ascii="仿宋_GB2312" w:hAnsi="仿宋_GB2312" w:cs="仿宋_GB2312" w:hint="eastAsia"/>
          <w:color w:val="000000"/>
          <w:szCs w:val="32"/>
        </w:rPr>
        <w:t>2023年我单位国有企业退休社会化管理补助支出</w:t>
      </w:r>
      <w:r w:rsidRPr="00892D50">
        <w:rPr>
          <w:rFonts w:ascii="宋体" w:eastAsia="宋体" w:hAnsi="宋体" w:cs="宋体" w:hint="eastAsia"/>
          <w:color w:val="000000"/>
          <w:szCs w:val="32"/>
        </w:rPr>
        <w:t>143</w:t>
      </w:r>
      <w:r w:rsidRPr="00892D50">
        <w:rPr>
          <w:rFonts w:ascii="仿宋_GB2312" w:hAnsi="仿宋_GB2312" w:cs="仿宋_GB2312" w:hint="eastAsia"/>
          <w:color w:val="000000"/>
          <w:szCs w:val="32"/>
        </w:rPr>
        <w:t>万元，根据实际支出，该项资金按照序时进度完成，完成总预算金额的61.14</w:t>
      </w:r>
      <w:r w:rsidRPr="00892D50">
        <w:rPr>
          <w:rFonts w:ascii="仿宋_GB2312" w:hAnsi="仿宋_GB2312" w:cs="仿宋_GB2312"/>
          <w:color w:val="000000"/>
          <w:szCs w:val="32"/>
        </w:rPr>
        <w:t>%</w:t>
      </w:r>
      <w:r w:rsidRPr="00892D50">
        <w:rPr>
          <w:rFonts w:ascii="仿宋_GB2312" w:hAnsi="仿宋_GB2312" w:cs="仿宋_GB2312" w:hint="eastAsia"/>
          <w:color w:val="000000"/>
          <w:szCs w:val="32"/>
        </w:rPr>
        <w:t>。</w:t>
      </w:r>
    </w:p>
    <w:p w:rsidR="00277231" w:rsidRPr="00892D50" w:rsidRDefault="00277231" w:rsidP="00277231">
      <w:pPr>
        <w:snapToGrid w:val="0"/>
        <w:spacing w:line="560" w:lineRule="exact"/>
        <w:ind w:firstLine="660"/>
        <w:rPr>
          <w:rFonts w:ascii="仿宋_GB2312" w:hAnsi="仿宋_GB2312" w:cs="仿宋_GB2312"/>
          <w:color w:val="000000"/>
          <w:szCs w:val="32"/>
        </w:rPr>
      </w:pPr>
      <w:r w:rsidRPr="00892D50">
        <w:rPr>
          <w:rFonts w:ascii="仿宋_GB2312" w:hAnsi="仿宋_GB2312" w:cs="仿宋_GB2312" w:hint="eastAsia"/>
          <w:color w:val="000000"/>
          <w:szCs w:val="32"/>
        </w:rPr>
        <w:t>2023年我单位综合工作经费</w:t>
      </w:r>
      <w:r w:rsidRPr="00892D50">
        <w:rPr>
          <w:rFonts w:ascii="宋体" w:eastAsia="宋体" w:hAnsi="宋体" w:cs="宋体" w:hint="eastAsia"/>
          <w:color w:val="000000"/>
          <w:szCs w:val="32"/>
        </w:rPr>
        <w:t>15</w:t>
      </w:r>
      <w:r w:rsidRPr="00892D50">
        <w:rPr>
          <w:rFonts w:ascii="仿宋_GB2312" w:hAnsi="仿宋_GB2312" w:cs="仿宋_GB2312" w:hint="eastAsia"/>
          <w:color w:val="000000"/>
          <w:szCs w:val="32"/>
        </w:rPr>
        <w:t>万元，根据支出进度表，该项资金按照序时进度完成，完成总预算金额的44.26</w:t>
      </w:r>
      <w:r w:rsidRPr="00892D50">
        <w:rPr>
          <w:rFonts w:ascii="仿宋_GB2312" w:hAnsi="仿宋_GB2312" w:cs="仿宋_GB2312"/>
          <w:color w:val="000000"/>
          <w:szCs w:val="32"/>
        </w:rPr>
        <w:t>%</w:t>
      </w:r>
      <w:r w:rsidRPr="00892D50">
        <w:rPr>
          <w:rFonts w:ascii="仿宋_GB2312" w:hAnsi="仿宋_GB2312" w:cs="仿宋_GB2312" w:hint="eastAsia"/>
          <w:color w:val="000000"/>
          <w:szCs w:val="32"/>
        </w:rPr>
        <w:t>。</w:t>
      </w:r>
    </w:p>
    <w:p w:rsidR="00277231" w:rsidRPr="00892D50" w:rsidRDefault="00277231" w:rsidP="00277231">
      <w:pPr>
        <w:snapToGrid w:val="0"/>
        <w:spacing w:line="560" w:lineRule="exact"/>
        <w:ind w:firstLine="660"/>
        <w:rPr>
          <w:rFonts w:ascii="黑体" w:eastAsia="黑体" w:hAnsi="黑体" w:cs="仿宋_GB2312"/>
          <w:color w:val="000000"/>
          <w:szCs w:val="32"/>
        </w:rPr>
      </w:pPr>
      <w:r w:rsidRPr="00892D50">
        <w:rPr>
          <w:rFonts w:ascii="黑体" w:eastAsia="黑体" w:hAnsi="黑体" w:cs="仿宋_GB2312" w:hint="eastAsia"/>
          <w:color w:val="000000"/>
          <w:szCs w:val="32"/>
        </w:rPr>
        <w:t>四、绩效自评发现的主要问题及整改措施</w:t>
      </w:r>
    </w:p>
    <w:p w:rsidR="00277231" w:rsidRPr="00892D50" w:rsidRDefault="00277231" w:rsidP="00277231">
      <w:pPr>
        <w:snapToGrid w:val="0"/>
        <w:spacing w:line="560" w:lineRule="exact"/>
        <w:ind w:firstLineChars="200" w:firstLine="640"/>
        <w:rPr>
          <w:rFonts w:ascii="仿宋_GB2312" w:hAnsi="仿宋_GB2312" w:cs="仿宋_GB2312"/>
          <w:color w:val="000000"/>
          <w:szCs w:val="32"/>
        </w:rPr>
      </w:pPr>
      <w:r w:rsidRPr="00892D50">
        <w:rPr>
          <w:rFonts w:ascii="仿宋_GB2312" w:hAnsi="仿宋_GB2312" w:cs="仿宋_GB2312" w:hint="eastAsia"/>
          <w:color w:val="000000"/>
          <w:szCs w:val="32"/>
        </w:rPr>
        <w:t>2023年，我单位严格按照预算资金绩效管理办法,及时开展项目落实，为全年工作的开展提供了保障，但还存在绩效制度不健全、绩效管理质量不高的问题，后期将从以下几</w:t>
      </w:r>
      <w:r w:rsidRPr="00892D50">
        <w:rPr>
          <w:rFonts w:ascii="仿宋_GB2312" w:hAnsi="仿宋_GB2312" w:cs="仿宋_GB2312" w:hint="eastAsia"/>
          <w:color w:val="000000"/>
          <w:szCs w:val="32"/>
        </w:rPr>
        <w:lastRenderedPageBreak/>
        <w:t>个方面加强绩效管理：</w:t>
      </w:r>
    </w:p>
    <w:p w:rsidR="00277231" w:rsidRPr="00892D50" w:rsidRDefault="00277231" w:rsidP="00277231">
      <w:pPr>
        <w:snapToGrid w:val="0"/>
        <w:spacing w:line="560" w:lineRule="exact"/>
        <w:ind w:firstLineChars="200" w:firstLine="643"/>
        <w:rPr>
          <w:rFonts w:ascii="仿宋_GB2312" w:hAnsi="仿宋_GB2312" w:cs="仿宋_GB2312"/>
          <w:color w:val="000000"/>
          <w:szCs w:val="32"/>
        </w:rPr>
      </w:pPr>
      <w:r w:rsidRPr="00892D50">
        <w:rPr>
          <w:rFonts w:ascii="仿宋_GB2312" w:hAnsi="仿宋_GB2312" w:cs="仿宋_GB2312" w:hint="eastAsia"/>
          <w:b/>
          <w:color w:val="000000"/>
          <w:szCs w:val="32"/>
        </w:rPr>
        <w:t>一是</w:t>
      </w:r>
      <w:r w:rsidRPr="00892D50">
        <w:rPr>
          <w:rFonts w:ascii="仿宋_GB2312" w:hAnsi="仿宋_GB2312" w:cs="仿宋_GB2312" w:hint="eastAsia"/>
          <w:color w:val="000000"/>
          <w:szCs w:val="32"/>
        </w:rPr>
        <w:t>加强绩效制度建设。完善绩效管理和评价制度.为资金资产的合理配置提供有效依据。强预算编制的前瞻性.建议按照新《预算法》及其实施条例的相关规定，按政策规定及本部门的发展规划, 结合上一年度预算执行情况和本年度预算收支变化因素，科学、合理地编制本年预算草案。</w:t>
      </w:r>
    </w:p>
    <w:p w:rsidR="00277231" w:rsidRPr="00892D50" w:rsidRDefault="00277231" w:rsidP="00277231">
      <w:pPr>
        <w:snapToGrid w:val="0"/>
        <w:spacing w:line="560" w:lineRule="exact"/>
        <w:ind w:firstLineChars="200" w:firstLine="643"/>
        <w:rPr>
          <w:rFonts w:ascii="仿宋_GB2312" w:hAnsi="仿宋_GB2312" w:cs="仿宋_GB2312"/>
          <w:color w:val="000000"/>
          <w:szCs w:val="32"/>
        </w:rPr>
      </w:pPr>
      <w:r w:rsidRPr="00892D50">
        <w:rPr>
          <w:rFonts w:ascii="仿宋_GB2312" w:hAnsi="仿宋_GB2312" w:cs="仿宋_GB2312" w:hint="eastAsia"/>
          <w:b/>
          <w:color w:val="000000"/>
          <w:szCs w:val="32"/>
        </w:rPr>
        <w:t>二是</w:t>
      </w:r>
      <w:r w:rsidRPr="00892D50">
        <w:rPr>
          <w:rFonts w:ascii="仿宋_GB2312" w:hAnsi="仿宋_GB2312" w:cs="仿宋_GB2312" w:hint="eastAsia"/>
          <w:color w:val="000000"/>
          <w:szCs w:val="32"/>
        </w:rPr>
        <w:t>强化绩效目标管理。把绩效目标作为项目实施的前置条件，提高资金使用的合理性和科学性。严格《会计法》、《事业单位会计制度》《事业单位财务规定》等规定执行财务核算，并结合实际情况，完成、准确地披露相关信息，尽可能地做到决算与预算相衔接。</w:t>
      </w:r>
    </w:p>
    <w:p w:rsidR="00277231" w:rsidRPr="00892D50" w:rsidRDefault="00277231" w:rsidP="00277231">
      <w:pPr>
        <w:snapToGrid w:val="0"/>
        <w:spacing w:line="560" w:lineRule="exact"/>
        <w:ind w:firstLineChars="200" w:firstLine="643"/>
        <w:rPr>
          <w:rFonts w:ascii="仿宋_GB2312" w:hAnsi="仿宋_GB2312" w:cs="仿宋_GB2312"/>
          <w:color w:val="000000"/>
          <w:szCs w:val="32"/>
        </w:rPr>
      </w:pPr>
      <w:r w:rsidRPr="00892D50">
        <w:rPr>
          <w:rFonts w:ascii="仿宋_GB2312" w:hAnsi="仿宋_GB2312" w:cs="仿宋_GB2312" w:hint="eastAsia"/>
          <w:b/>
          <w:color w:val="000000"/>
          <w:szCs w:val="32"/>
        </w:rPr>
        <w:t>三是</w:t>
      </w:r>
      <w:r w:rsidRPr="00892D50">
        <w:rPr>
          <w:rFonts w:ascii="仿宋_GB2312" w:hAnsi="仿宋_GB2312" w:cs="仿宋_GB2312" w:hint="eastAsia"/>
          <w:color w:val="000000"/>
          <w:szCs w:val="32"/>
        </w:rPr>
        <w:t>加强绩效运行监管。加强重大项目的事前、事中、事后监督管理，将资金同项目实施质量挂钩，提升资金的使用效能。加强新事业单位会计制度和新预算法学习。</w:t>
      </w:r>
    </w:p>
    <w:p w:rsidR="00FD182B" w:rsidRDefault="00FD182B"/>
    <w:sectPr w:rsidR="00FD18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_GBK">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7EA"/>
    <w:rsid w:val="00277231"/>
    <w:rsid w:val="00E027EA"/>
    <w:rsid w:val="00FD1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231"/>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231"/>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2024-11-04T03:33:00Z</dcterms:created>
  <dcterms:modified xsi:type="dcterms:W3CDTF">2024-11-04T03:33:00Z</dcterms:modified>
</cp:coreProperties>
</file>