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7979D">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2：部门三公经费公开</w:t>
      </w:r>
    </w:p>
    <w:p w14:paraId="191BF7B4">
      <w:pPr>
        <w:jc w:val="center"/>
        <w:rPr>
          <w:rFonts w:hint="eastAsia" w:ascii="仿宋" w:hAnsi="仿宋" w:eastAsia="仿宋" w:cs="仿宋"/>
          <w:b w:val="0"/>
          <w:bCs/>
          <w:sz w:val="32"/>
          <w:szCs w:val="32"/>
          <w:lang w:val="en-US" w:eastAsia="zh-CN"/>
        </w:rPr>
      </w:pPr>
    </w:p>
    <w:p w14:paraId="2F38DD14">
      <w:pPr>
        <w:jc w:val="center"/>
        <w:rPr>
          <w:rFonts w:ascii="宋体" w:hAnsi="宋体"/>
          <w:b/>
          <w:sz w:val="36"/>
          <w:szCs w:val="36"/>
        </w:rPr>
      </w:pPr>
      <w:r>
        <w:rPr>
          <w:rFonts w:hint="eastAsia" w:ascii="宋体" w:hAnsi="宋体"/>
          <w:b/>
          <w:sz w:val="36"/>
          <w:szCs w:val="36"/>
        </w:rPr>
        <w:t>淮北市</w:t>
      </w:r>
      <w:r>
        <w:rPr>
          <w:rFonts w:hint="eastAsia" w:ascii="宋体" w:hAnsi="宋体"/>
          <w:b/>
          <w:sz w:val="36"/>
          <w:szCs w:val="36"/>
          <w:lang w:eastAsia="zh-CN"/>
        </w:rPr>
        <w:t>烈山区机关事务管理中心</w:t>
      </w: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36EC8D30">
      <w:pPr>
        <w:jc w:val="center"/>
        <w:rPr>
          <w:rFonts w:ascii="楷体_GB2312" w:eastAsia="楷体_GB2312"/>
          <w:szCs w:val="32"/>
        </w:rPr>
      </w:pPr>
    </w:p>
    <w:p w14:paraId="532E46DF">
      <w:pPr>
        <w:adjustRightInd w:val="0"/>
        <w:snapToGrid w:val="0"/>
        <w:spacing w:line="360" w:lineRule="auto"/>
        <w:jc w:val="center"/>
        <w:rPr>
          <w:rFonts w:ascii="宋体" w:hAnsi="宋体"/>
          <w:sz w:val="6"/>
          <w:szCs w:val="32"/>
        </w:rPr>
      </w:pPr>
    </w:p>
    <w:p w14:paraId="68271803">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w:t>
      </w:r>
      <w:r>
        <w:rPr>
          <w:rFonts w:hint="eastAsia" w:ascii="黑体" w:hAnsi="黑体" w:eastAsia="黑体"/>
          <w:szCs w:val="32"/>
          <w:lang w:val="en-US" w:eastAsia="zh-CN"/>
        </w:rPr>
        <w:t>3</w:t>
      </w:r>
      <w:r>
        <w:rPr>
          <w:rFonts w:hint="eastAsia" w:ascii="黑体" w:hAnsi="黑体" w:eastAsia="黑体"/>
          <w:szCs w:val="32"/>
        </w:rPr>
        <w:t>年度一般公共预算财政拨款“三公”经费支出决算表</w:t>
      </w:r>
    </w:p>
    <w:p w14:paraId="645188BD">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2C4555DA">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66A51DA5">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6B8B4979">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568BB1C9">
            <w:pPr>
              <w:widowControl/>
              <w:jc w:val="center"/>
              <w:rPr>
                <w:rFonts w:ascii="宋体" w:hAnsi="宋体" w:cs="宋体"/>
                <w:b/>
                <w:bCs/>
                <w:kern w:val="0"/>
                <w:szCs w:val="21"/>
              </w:rPr>
            </w:pPr>
            <w:r>
              <w:rPr>
                <w:rFonts w:hint="eastAsia" w:ascii="宋体" w:hAnsi="宋体" w:cs="宋体"/>
                <w:b/>
                <w:bCs/>
                <w:kern w:val="0"/>
                <w:szCs w:val="21"/>
              </w:rPr>
              <w:t>决 算 数</w:t>
            </w:r>
          </w:p>
        </w:tc>
      </w:tr>
      <w:tr w14:paraId="1CFDBAE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B0FE82A">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40E88581">
            <w:pPr>
              <w:widowControl/>
              <w:jc w:val="center"/>
              <w:rPr>
                <w:rFonts w:ascii="宋体" w:hAnsi="宋体" w:cs="宋体"/>
                <w:b/>
                <w:bCs/>
                <w:kern w:val="0"/>
                <w:szCs w:val="21"/>
              </w:rPr>
            </w:pPr>
            <w:r>
              <w:rPr>
                <w:rFonts w:hint="eastAsia" w:ascii="宋体" w:hAnsi="宋体" w:cs="宋体"/>
                <w:b/>
                <w:bCs/>
                <w:kern w:val="0"/>
                <w:szCs w:val="21"/>
                <w:lang w:val="en-US" w:eastAsia="zh-CN"/>
              </w:rPr>
              <w:t>120</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vAlign w:val="center"/>
          </w:tcPr>
          <w:p w14:paraId="0480B87E">
            <w:pPr>
              <w:widowControl/>
              <w:jc w:val="center"/>
              <w:rPr>
                <w:rFonts w:ascii="宋体" w:hAnsi="宋体" w:cs="宋体"/>
                <w:b/>
                <w:bCs/>
                <w:kern w:val="0"/>
                <w:szCs w:val="21"/>
              </w:rPr>
            </w:pPr>
            <w:r>
              <w:rPr>
                <w:rFonts w:hint="eastAsia" w:ascii="宋体" w:hAnsi="宋体" w:cs="宋体"/>
                <w:b/>
                <w:bCs/>
                <w:kern w:val="0"/>
                <w:szCs w:val="21"/>
                <w:lang w:val="en-US" w:eastAsia="zh-CN"/>
              </w:rPr>
              <w:t>119</w:t>
            </w:r>
            <w:r>
              <w:rPr>
                <w:rFonts w:hint="eastAsia" w:ascii="宋体" w:hAnsi="宋体" w:cs="宋体"/>
                <w:b/>
                <w:bCs/>
                <w:kern w:val="0"/>
                <w:szCs w:val="21"/>
              </w:rPr>
              <w:t>　</w:t>
            </w:r>
          </w:p>
        </w:tc>
      </w:tr>
      <w:tr w14:paraId="10C99C8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A1F0EAF">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443BAAEB">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590BE265">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7CEEA48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80E332E">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1F9A0A10">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20</w:t>
            </w:r>
          </w:p>
        </w:tc>
        <w:tc>
          <w:tcPr>
            <w:tcW w:w="2220" w:type="dxa"/>
            <w:tcBorders>
              <w:top w:val="nil"/>
              <w:left w:val="nil"/>
              <w:bottom w:val="single" w:color="auto" w:sz="4" w:space="0"/>
              <w:right w:val="single" w:color="auto" w:sz="4" w:space="0"/>
            </w:tcBorders>
            <w:vAlign w:val="bottom"/>
          </w:tcPr>
          <w:p w14:paraId="6DC4A973">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19</w:t>
            </w:r>
          </w:p>
        </w:tc>
      </w:tr>
      <w:tr w14:paraId="70521B1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767F8FF">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1B65E694">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100</w:t>
            </w:r>
          </w:p>
        </w:tc>
        <w:tc>
          <w:tcPr>
            <w:tcW w:w="2220" w:type="dxa"/>
            <w:tcBorders>
              <w:top w:val="nil"/>
              <w:left w:val="nil"/>
              <w:bottom w:val="single" w:color="auto" w:sz="4" w:space="0"/>
              <w:right w:val="single" w:color="auto" w:sz="4" w:space="0"/>
            </w:tcBorders>
            <w:vAlign w:val="bottom"/>
          </w:tcPr>
          <w:p w14:paraId="5A297A17">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100</w:t>
            </w:r>
          </w:p>
        </w:tc>
      </w:tr>
      <w:tr w14:paraId="7D69B8C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011F461">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09F1A5C4">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100</w:t>
            </w:r>
          </w:p>
        </w:tc>
        <w:tc>
          <w:tcPr>
            <w:tcW w:w="2220" w:type="dxa"/>
            <w:tcBorders>
              <w:top w:val="nil"/>
              <w:left w:val="nil"/>
              <w:bottom w:val="single" w:color="auto" w:sz="4" w:space="0"/>
              <w:right w:val="single" w:color="auto" w:sz="4" w:space="0"/>
            </w:tcBorders>
            <w:vAlign w:val="bottom"/>
          </w:tcPr>
          <w:p w14:paraId="33593FBD">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100</w:t>
            </w:r>
          </w:p>
        </w:tc>
      </w:tr>
      <w:tr w14:paraId="6F66A77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DD23D62">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057B491A">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35DF6421">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bl>
    <w:p w14:paraId="182D716A">
      <w:pPr>
        <w:rPr>
          <w:rFonts w:hint="eastAsia" w:ascii="仿宋_GB2312" w:hAnsi="仿宋"/>
          <w:sz w:val="21"/>
          <w:szCs w:val="21"/>
          <w:lang w:val="en-US" w:eastAsia="zh-CN"/>
        </w:rPr>
      </w:pPr>
    </w:p>
    <w:p w14:paraId="0D71D619">
      <w:pPr>
        <w:ind w:firstLine="420" w:firstLineChars="200"/>
        <w:rPr>
          <w:rFonts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黑体" w:hAnsi="黑体" w:eastAsia="黑体"/>
          <w:szCs w:val="32"/>
        </w:rPr>
        <w:t xml:space="preserve">                                      </w:t>
      </w:r>
    </w:p>
    <w:p w14:paraId="46703AE9">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、20</w:t>
      </w:r>
      <w:r>
        <w:rPr>
          <w:rFonts w:hint="eastAsia" w:ascii="黑体" w:hAnsi="黑体" w:eastAsia="黑体"/>
          <w:szCs w:val="32"/>
        </w:rPr>
        <w:t>2</w:t>
      </w:r>
      <w:r>
        <w:rPr>
          <w:rFonts w:hint="eastAsia" w:ascii="黑体" w:hAnsi="黑体" w:eastAsia="黑体"/>
          <w:szCs w:val="32"/>
          <w:lang w:val="en-US" w:eastAsia="zh-CN"/>
        </w:rPr>
        <w:t>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B35FD11">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26A4FC3F">
      <w:pPr>
        <w:ind w:firstLine="640" w:firstLineChars="200"/>
        <w:rPr>
          <w:rFonts w:ascii="仿宋_GB2312" w:hAnsi="仿宋"/>
          <w:szCs w:val="32"/>
        </w:rPr>
      </w:pPr>
      <w:r>
        <w:rPr>
          <w:rFonts w:hint="eastAsia" w:ascii="仿宋_GB2312" w:hAnsi="仿宋"/>
          <w:szCs w:val="32"/>
        </w:rPr>
        <w:t>淮北市</w:t>
      </w:r>
      <w:r>
        <w:rPr>
          <w:rFonts w:hint="eastAsia" w:ascii="仿宋_GB2312" w:hAnsi="仿宋"/>
          <w:szCs w:val="32"/>
          <w:lang w:eastAsia="zh-CN"/>
        </w:rPr>
        <w:t>烈山区机关事务管理中心</w:t>
      </w:r>
      <w:r>
        <w:rPr>
          <w:rFonts w:hint="eastAsia" w:ascii="仿宋_GB2312" w:hAnsi="仿宋"/>
          <w:szCs w:val="32"/>
        </w:rPr>
        <w:t>202</w:t>
      </w:r>
      <w:r>
        <w:rPr>
          <w:rFonts w:hint="eastAsia" w:ascii="仿宋_GB2312" w:hAnsi="仿宋"/>
          <w:szCs w:val="32"/>
          <w:lang w:val="en-US" w:eastAsia="zh-CN"/>
        </w:rPr>
        <w:t>3</w:t>
      </w:r>
      <w:r>
        <w:rPr>
          <w:rFonts w:hint="eastAsia" w:ascii="仿宋_GB2312" w:hAnsi="仿宋"/>
          <w:szCs w:val="32"/>
        </w:rPr>
        <w:t>年度一般公共预算财政拨款“三公”经费支出预算为</w:t>
      </w:r>
      <w:r>
        <w:rPr>
          <w:rFonts w:hint="eastAsia" w:ascii="仿宋_GB2312" w:hAnsi="仿宋"/>
          <w:szCs w:val="32"/>
          <w:lang w:val="en-US" w:eastAsia="zh-CN"/>
        </w:rPr>
        <w:t>120</w:t>
      </w:r>
      <w:r>
        <w:rPr>
          <w:rFonts w:hint="eastAsia" w:ascii="仿宋_GB2312" w:hAnsi="仿宋"/>
          <w:szCs w:val="32"/>
        </w:rPr>
        <w:t>万元，支出决算为</w:t>
      </w:r>
      <w:r>
        <w:rPr>
          <w:rFonts w:hint="eastAsia" w:ascii="仿宋_GB2312" w:hAnsi="仿宋"/>
          <w:szCs w:val="32"/>
          <w:lang w:val="en-US" w:eastAsia="zh-CN"/>
        </w:rPr>
        <w:t>119</w:t>
      </w:r>
      <w:r>
        <w:rPr>
          <w:rFonts w:hint="eastAsia" w:ascii="仿宋_GB2312" w:hAnsi="仿宋"/>
          <w:szCs w:val="32"/>
        </w:rPr>
        <w:t>万元，完成预算的</w:t>
      </w:r>
      <w:r>
        <w:rPr>
          <w:rFonts w:hint="eastAsia" w:ascii="仿宋_GB2312" w:hAnsi="仿宋"/>
          <w:szCs w:val="32"/>
          <w:lang w:val="en-US" w:eastAsia="zh-CN"/>
        </w:rPr>
        <w:t>99.17</w:t>
      </w:r>
      <w:r>
        <w:rPr>
          <w:rFonts w:hint="eastAsia" w:ascii="仿宋_GB2312" w:hAnsi="仿宋"/>
          <w:szCs w:val="32"/>
        </w:rPr>
        <w:t>%，决算数小于预算数的主要原因是</w:t>
      </w:r>
      <w:r>
        <w:rPr>
          <w:rFonts w:hint="eastAsia" w:ascii="仿宋_GB2312" w:hAnsi="仿宋"/>
          <w:szCs w:val="32"/>
          <w:lang w:eastAsia="zh-CN"/>
        </w:rPr>
        <w:t>严格按照财政支出要求控制资金支出</w:t>
      </w:r>
      <w:r>
        <w:rPr>
          <w:rFonts w:hint="eastAsia" w:ascii="仿宋_GB2312" w:hAnsi="仿宋"/>
          <w:szCs w:val="32"/>
        </w:rPr>
        <w:t>。</w:t>
      </w:r>
    </w:p>
    <w:p w14:paraId="7DF63BE5">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2F8861F">
      <w:pPr>
        <w:ind w:firstLine="640" w:firstLineChars="200"/>
        <w:rPr>
          <w:rFonts w:ascii="仿宋_GB2312" w:hAnsi="仿宋"/>
          <w:szCs w:val="32"/>
        </w:rPr>
      </w:pPr>
      <w:r>
        <w:rPr>
          <w:rFonts w:hint="eastAsia" w:ascii="仿宋_GB2312" w:hAnsi="仿宋"/>
          <w:szCs w:val="32"/>
        </w:rPr>
        <w:t>淮北市</w:t>
      </w:r>
      <w:r>
        <w:rPr>
          <w:rFonts w:hint="eastAsia" w:ascii="仿宋_GB2312" w:hAnsi="仿宋"/>
          <w:szCs w:val="32"/>
          <w:lang w:eastAsia="zh-CN"/>
        </w:rPr>
        <w:t>烈山区机关事务管理中心</w:t>
      </w:r>
      <w:r>
        <w:rPr>
          <w:rFonts w:hint="eastAsia" w:ascii="仿宋_GB2312" w:hAnsi="仿宋"/>
          <w:szCs w:val="32"/>
        </w:rPr>
        <w:t>202</w:t>
      </w:r>
      <w:r>
        <w:rPr>
          <w:rFonts w:hint="eastAsia" w:ascii="仿宋_GB2312" w:hAnsi="仿宋"/>
          <w:szCs w:val="32"/>
          <w:lang w:val="en-US" w:eastAsia="zh-CN"/>
        </w:rPr>
        <w:t>3</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19</w:t>
      </w:r>
      <w:r>
        <w:rPr>
          <w:rFonts w:hint="eastAsia" w:ascii="仿宋_GB2312" w:hAnsi="仿宋"/>
          <w:szCs w:val="32"/>
        </w:rPr>
        <w:t>万元，占</w:t>
      </w:r>
      <w:r>
        <w:rPr>
          <w:rFonts w:hint="eastAsia" w:ascii="仿宋_GB2312" w:hAnsi="仿宋"/>
          <w:szCs w:val="32"/>
          <w:lang w:val="en-US" w:eastAsia="zh-CN"/>
        </w:rPr>
        <w:t>15.97</w:t>
      </w:r>
      <w:r>
        <w:rPr>
          <w:rFonts w:hint="eastAsia" w:ascii="仿宋_GB2312" w:hAnsi="仿宋"/>
          <w:szCs w:val="32"/>
        </w:rPr>
        <w:t>%；公务用车购置及运行维护费支出决算</w:t>
      </w:r>
      <w:r>
        <w:rPr>
          <w:rFonts w:hint="eastAsia" w:ascii="仿宋_GB2312" w:hAnsi="仿宋"/>
          <w:szCs w:val="32"/>
          <w:lang w:val="en-US" w:eastAsia="zh-CN"/>
        </w:rPr>
        <w:t>100</w:t>
      </w:r>
      <w:r>
        <w:rPr>
          <w:rFonts w:hint="eastAsia" w:ascii="仿宋_GB2312" w:hAnsi="仿宋"/>
          <w:szCs w:val="32"/>
        </w:rPr>
        <w:t>万元，占</w:t>
      </w:r>
      <w:r>
        <w:rPr>
          <w:rFonts w:hint="eastAsia" w:ascii="仿宋_GB2312" w:hAnsi="仿宋"/>
          <w:szCs w:val="32"/>
          <w:lang w:val="en-US" w:eastAsia="zh-CN"/>
        </w:rPr>
        <w:t>84.03</w:t>
      </w:r>
      <w:r>
        <w:rPr>
          <w:rFonts w:hint="eastAsia" w:ascii="仿宋_GB2312" w:hAnsi="仿宋"/>
          <w:szCs w:val="32"/>
        </w:rPr>
        <w:t>%。具体情况如下：</w:t>
      </w:r>
    </w:p>
    <w:p w14:paraId="053DDEC3">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w:t>
      </w:r>
      <w:r>
        <w:rPr>
          <w:rFonts w:hint="eastAsia" w:ascii="仿宋_GB2312" w:hAnsi="仿宋"/>
          <w:szCs w:val="32"/>
        </w:rPr>
        <w:t>与202</w:t>
      </w:r>
      <w:r>
        <w:rPr>
          <w:rFonts w:hint="eastAsia" w:ascii="仿宋_GB2312" w:hAnsi="仿宋"/>
          <w:szCs w:val="32"/>
          <w:lang w:val="en-US" w:eastAsia="zh-CN"/>
        </w:rPr>
        <w:t>3</w:t>
      </w:r>
      <w:r>
        <w:rPr>
          <w:rFonts w:hint="eastAsia" w:ascii="仿宋_GB2312" w:hAnsi="仿宋"/>
          <w:szCs w:val="32"/>
        </w:rPr>
        <w:t>年度预算相比，</w:t>
      </w:r>
      <w:r>
        <w:rPr>
          <w:rFonts w:hint="eastAsia" w:ascii="仿宋_GB2312" w:hAnsi="仿宋"/>
          <w:szCs w:val="32"/>
          <w:lang w:eastAsia="zh-CN"/>
        </w:rPr>
        <w:t>无变化</w:t>
      </w:r>
      <w:r>
        <w:rPr>
          <w:rFonts w:hint="eastAsia" w:ascii="仿宋_GB2312" w:hAnsi="仿宋"/>
          <w:szCs w:val="32"/>
        </w:rPr>
        <w:t>。202</w:t>
      </w:r>
      <w:r>
        <w:rPr>
          <w:rFonts w:hint="eastAsia" w:ascii="仿宋_GB2312" w:hAnsi="仿宋"/>
          <w:szCs w:val="32"/>
          <w:lang w:val="en-US" w:eastAsia="zh-CN"/>
        </w:rPr>
        <w:t>3</w:t>
      </w:r>
      <w:r>
        <w:rPr>
          <w:rFonts w:hint="eastAsia" w:ascii="仿宋_GB2312" w:hAnsi="仿宋"/>
          <w:szCs w:val="32"/>
        </w:rPr>
        <w:t>年淮北市</w:t>
      </w:r>
      <w:r>
        <w:rPr>
          <w:rFonts w:hint="eastAsia" w:ascii="仿宋_GB2312" w:hAnsi="仿宋"/>
          <w:szCs w:val="32"/>
          <w:lang w:eastAsia="zh-CN"/>
        </w:rPr>
        <w:t>烈山区机关事务管理中心</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p>
    <w:p w14:paraId="204E1269">
      <w:pPr>
        <w:ind w:firstLine="628"/>
        <w:rPr>
          <w:rFonts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20</w:t>
      </w:r>
      <w:r>
        <w:rPr>
          <w:rFonts w:hint="eastAsia" w:ascii="仿宋_GB2312" w:hAnsi="仿宋"/>
          <w:szCs w:val="32"/>
          <w:lang w:eastAsia="zh-CN"/>
        </w:rPr>
        <w:t>万元，支出决算为</w:t>
      </w:r>
      <w:r>
        <w:rPr>
          <w:rFonts w:hint="eastAsia" w:ascii="仿宋_GB2312" w:hAnsi="仿宋"/>
          <w:szCs w:val="32"/>
          <w:lang w:val="en-US" w:eastAsia="zh-CN"/>
        </w:rPr>
        <w:t>19万元</w:t>
      </w:r>
      <w:r>
        <w:rPr>
          <w:rFonts w:hint="eastAsia" w:ascii="仿宋_GB2312" w:hAnsi="仿宋"/>
          <w:szCs w:val="32"/>
          <w:lang w:eastAsia="zh-CN"/>
        </w:rPr>
        <w:t>，完成预算的</w:t>
      </w:r>
      <w:r>
        <w:rPr>
          <w:rFonts w:hint="eastAsia" w:ascii="仿宋_GB2312" w:hAnsi="仿宋"/>
          <w:szCs w:val="32"/>
          <w:lang w:val="en-US" w:eastAsia="zh-CN"/>
        </w:rPr>
        <w:t>95</w:t>
      </w:r>
      <w:r>
        <w:rPr>
          <w:rFonts w:hint="eastAsia" w:ascii="仿宋_GB2312" w:hAnsi="仿宋"/>
          <w:szCs w:val="32"/>
          <w:lang w:eastAsia="zh-CN"/>
        </w:rPr>
        <w:t>%；较上年减少</w:t>
      </w:r>
      <w:r>
        <w:rPr>
          <w:rFonts w:hint="eastAsia" w:ascii="仿宋_GB2312" w:hAnsi="仿宋"/>
          <w:szCs w:val="32"/>
          <w:lang w:val="en-US" w:eastAsia="zh-CN"/>
        </w:rPr>
        <w:t>0.65</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3.31%。</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于预算数的主要原因是</w:t>
      </w:r>
      <w:r>
        <w:rPr>
          <w:rFonts w:hint="eastAsia" w:ascii="仿宋_GB2312" w:hAnsi="仿宋"/>
          <w:szCs w:val="32"/>
          <w:lang w:eastAsia="zh-CN"/>
        </w:rPr>
        <w:t>严格控制经费支出</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szCs w:val="32"/>
          <w:lang w:eastAsia="zh-CN"/>
        </w:rPr>
        <w:t>接待人数减少</w:t>
      </w:r>
      <w:r>
        <w:rPr>
          <w:rFonts w:hint="eastAsia" w:ascii="仿宋_GB2312" w:hAnsi="仿宋"/>
          <w:szCs w:val="32"/>
        </w:rPr>
        <w:t>。202</w:t>
      </w:r>
      <w:r>
        <w:rPr>
          <w:rFonts w:hint="eastAsia" w:ascii="仿宋_GB2312" w:hAnsi="仿宋"/>
          <w:szCs w:val="32"/>
          <w:lang w:val="en-US" w:eastAsia="zh-CN"/>
        </w:rPr>
        <w:t>3</w:t>
      </w:r>
      <w:r>
        <w:rPr>
          <w:rFonts w:hint="eastAsia" w:ascii="仿宋_GB2312" w:hAnsi="仿宋"/>
          <w:szCs w:val="32"/>
        </w:rPr>
        <w:t>年淮北市</w:t>
      </w:r>
      <w:r>
        <w:rPr>
          <w:rFonts w:hint="eastAsia" w:ascii="仿宋_GB2312" w:hAnsi="仿宋"/>
          <w:szCs w:val="32"/>
          <w:lang w:eastAsia="zh-CN"/>
        </w:rPr>
        <w:t>烈山区机关事务管理中心</w:t>
      </w:r>
      <w:r>
        <w:rPr>
          <w:rFonts w:hint="eastAsia" w:ascii="仿宋_GB2312" w:hAnsi="仿宋"/>
          <w:szCs w:val="32"/>
        </w:rPr>
        <w:t>国内公务接待共</w:t>
      </w:r>
      <w:r>
        <w:rPr>
          <w:rFonts w:hint="eastAsia" w:ascii="仿宋_GB2312" w:hAnsi="仿宋"/>
          <w:szCs w:val="32"/>
          <w:lang w:val="en-US" w:eastAsia="zh-CN"/>
        </w:rPr>
        <w:t>87</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1267</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eastAsia="zh-CN"/>
        </w:rPr>
        <w:t>招商引资、上级单位业务指导和工作调研等公务往来支出</w:t>
      </w:r>
      <w:r>
        <w:rPr>
          <w:rFonts w:hint="eastAsia" w:ascii="仿宋_GB2312" w:hAnsi="仿宋"/>
          <w:szCs w:val="32"/>
        </w:rPr>
        <w:t>。经费使用贯彻中央八项规定</w:t>
      </w:r>
      <w:r>
        <w:rPr>
          <w:rFonts w:hint="eastAsia" w:ascii="仿宋_GB2312" w:hAnsi="仿宋"/>
          <w:szCs w:val="32"/>
          <w:lang w:eastAsia="zh-CN"/>
        </w:rPr>
        <w:t>精神</w:t>
      </w:r>
      <w:r>
        <w:rPr>
          <w:rFonts w:hint="eastAsia" w:ascii="仿宋_GB2312" w:hAnsi="仿宋"/>
          <w:szCs w:val="32"/>
        </w:rPr>
        <w:t>和省</w:t>
      </w:r>
      <w:r>
        <w:rPr>
          <w:rFonts w:hint="eastAsia" w:ascii="仿宋_GB2312" w:hAnsi="仿宋"/>
          <w:szCs w:val="32"/>
          <w:lang w:eastAsia="zh-CN"/>
        </w:rPr>
        <w:t>委</w:t>
      </w:r>
      <w:r>
        <w:rPr>
          <w:rFonts w:hint="eastAsia" w:ascii="仿宋_GB2312" w:hAnsi="仿宋"/>
          <w:szCs w:val="32"/>
        </w:rPr>
        <w:t>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关于印发&lt;淮北市市直单位接待经费管理暂行办法&gt;的通知》（财行〔2013〕133号）、《淮北市财政局淮北市机关事务管理中心关于调整市直机关公务接待费用餐标准的通知》（财行〔2021〕85号）等相关规定。</w:t>
      </w:r>
    </w:p>
    <w:p w14:paraId="2785ABB8">
      <w:pPr>
        <w:ind w:firstLine="643" w:firstLineChars="200"/>
        <w:rPr>
          <w:rFonts w:ascii="仿宋_GB2312" w:hAnsi="仿宋"/>
          <w:szCs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100</w:t>
      </w:r>
      <w:r>
        <w:rPr>
          <w:rFonts w:hint="eastAsia" w:ascii="仿宋_GB2312" w:hAnsi="仿宋"/>
          <w:szCs w:val="32"/>
          <w:lang w:eastAsia="zh-CN"/>
        </w:rPr>
        <w:t>万元，支出决算为</w:t>
      </w:r>
      <w:r>
        <w:rPr>
          <w:rFonts w:hint="eastAsia" w:ascii="仿宋_GB2312" w:hAnsi="仿宋"/>
          <w:szCs w:val="32"/>
          <w:lang w:val="en-US" w:eastAsia="zh-CN"/>
        </w:rPr>
        <w:t>100万元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3.51</w:t>
      </w:r>
      <w:r>
        <w:rPr>
          <w:rFonts w:hint="eastAsia" w:ascii="仿宋_GB2312" w:hAnsi="仿宋"/>
          <w:szCs w:val="32"/>
          <w:lang w:eastAsia="zh-CN"/>
        </w:rPr>
        <w:t>万元，下降</w:t>
      </w:r>
      <w:r>
        <w:rPr>
          <w:rFonts w:hint="eastAsia" w:ascii="仿宋_GB2312" w:hAnsi="仿宋"/>
          <w:szCs w:val="32"/>
          <w:lang w:val="en-US" w:eastAsia="zh-CN"/>
        </w:rPr>
        <w:t>3.09%。</w:t>
      </w:r>
      <w:r>
        <w:rPr>
          <w:rFonts w:hint="eastAsia" w:ascii="仿宋_GB2312" w:hAnsi="仿宋"/>
          <w:szCs w:val="32"/>
          <w:lang w:eastAsia="zh-CN"/>
        </w:rPr>
        <w:t>决算数等于预算数的主要原因是严格控制经费支出。决算数较上年减少的主要原因是严格控制经费支出。</w:t>
      </w:r>
      <w:r>
        <w:rPr>
          <w:rFonts w:hint="eastAsia" w:ascii="仿宋_GB2312" w:hAnsi="仿宋"/>
          <w:szCs w:val="32"/>
        </w:rPr>
        <w:t>其中，公务用车购置费</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本年度</w:t>
      </w:r>
      <w:r>
        <w:rPr>
          <w:rFonts w:hint="eastAsia" w:ascii="仿宋_GB2312" w:hAnsi="仿宋"/>
          <w:szCs w:val="32"/>
        </w:rPr>
        <w:t>没有安排公务用车购置费</w:t>
      </w:r>
      <w:r>
        <w:rPr>
          <w:rFonts w:hint="eastAsia" w:ascii="楷体_GB2312" w:hAnsi="仿宋" w:eastAsia="楷体_GB2312"/>
          <w:szCs w:val="32"/>
        </w:rPr>
        <w:t>。</w:t>
      </w:r>
      <w:r>
        <w:rPr>
          <w:rFonts w:hint="eastAsia" w:ascii="仿宋_GB2312" w:hAnsi="仿宋"/>
          <w:szCs w:val="32"/>
        </w:rPr>
        <w:t>公务用车运行维护费</w:t>
      </w:r>
      <w:r>
        <w:rPr>
          <w:rFonts w:hint="eastAsia" w:ascii="仿宋_GB2312" w:hAnsi="仿宋"/>
          <w:szCs w:val="32"/>
          <w:lang w:val="en-US" w:eastAsia="zh-CN"/>
        </w:rPr>
        <w:t>100</w:t>
      </w:r>
      <w:r>
        <w:rPr>
          <w:rFonts w:hint="eastAsia" w:ascii="仿宋_GB2312" w:hAnsi="仿宋"/>
          <w:szCs w:val="32"/>
        </w:rPr>
        <w:t>万元，与预算</w:t>
      </w:r>
      <w:r>
        <w:rPr>
          <w:rFonts w:hint="eastAsia" w:ascii="仿宋_GB2312" w:hAnsi="仿宋"/>
          <w:szCs w:val="32"/>
          <w:lang w:eastAsia="zh-CN"/>
        </w:rPr>
        <w:t>持平。</w:t>
      </w:r>
      <w:r>
        <w:rPr>
          <w:rFonts w:hint="eastAsia" w:ascii="仿宋_GB2312" w:hAnsi="仿宋"/>
          <w:szCs w:val="32"/>
        </w:rPr>
        <w:t>公务用车运行维护费，包括车辆燃料费、维修费、过路过桥费、保险费等支出，主要用于</w:t>
      </w:r>
      <w:r>
        <w:rPr>
          <w:rFonts w:hint="eastAsia" w:ascii="仿宋_GB2312" w:hAnsi="仿宋"/>
          <w:szCs w:val="32"/>
          <w:lang w:eastAsia="zh-CN"/>
        </w:rPr>
        <w:t>保障公车日常的使用</w:t>
      </w:r>
      <w:r>
        <w:rPr>
          <w:rFonts w:hint="eastAsia" w:ascii="仿宋_GB2312" w:hAnsi="仿宋"/>
          <w:szCs w:val="32"/>
        </w:rPr>
        <w:t>。截至202</w:t>
      </w:r>
      <w:r>
        <w:rPr>
          <w:rFonts w:hint="eastAsia" w:ascii="仿宋_GB2312" w:hAnsi="仿宋"/>
          <w:szCs w:val="32"/>
          <w:lang w:val="en-US" w:eastAsia="zh-CN"/>
        </w:rPr>
        <w:t>3</w:t>
      </w:r>
      <w:r>
        <w:rPr>
          <w:rFonts w:hint="eastAsia" w:ascii="仿宋_GB2312" w:hAnsi="仿宋"/>
          <w:szCs w:val="32"/>
        </w:rPr>
        <w:t>年12月31日，淮北市</w:t>
      </w:r>
      <w:r>
        <w:rPr>
          <w:rFonts w:hint="eastAsia" w:ascii="仿宋_GB2312" w:hAnsi="仿宋"/>
          <w:szCs w:val="32"/>
          <w:lang w:eastAsia="zh-CN"/>
        </w:rPr>
        <w:t>烈山区机关事务管理中心</w:t>
      </w:r>
      <w:r>
        <w:rPr>
          <w:rFonts w:hint="eastAsia" w:ascii="仿宋_GB2312" w:hAnsi="仿宋"/>
          <w:szCs w:val="32"/>
        </w:rPr>
        <w:t>开支财政拨款的公务用车保有量为</w:t>
      </w:r>
      <w:r>
        <w:rPr>
          <w:rFonts w:hint="eastAsia" w:ascii="仿宋_GB2312" w:hAnsi="仿宋"/>
          <w:szCs w:val="32"/>
          <w:lang w:val="en-US" w:eastAsia="zh-CN"/>
        </w:rPr>
        <w:t>34</w:t>
      </w:r>
      <w:r>
        <w:rPr>
          <w:rFonts w:hint="eastAsia" w:ascii="仿宋_GB2312" w:hAnsi="仿宋"/>
          <w:szCs w:val="32"/>
        </w:rPr>
        <w:t>辆。</w:t>
      </w:r>
      <w:bookmarkStart w:id="0" w:name="_GoBack"/>
      <w:bookmarkEnd w:id="0"/>
    </w:p>
    <w:p w14:paraId="21D7185C"/>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TljNGZlZjYxZDQ0YmNjMWEzZWJjYTViZDg3YWY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0C7D38BF"/>
    <w:rsid w:val="18242EF9"/>
    <w:rsid w:val="242F3C34"/>
    <w:rsid w:val="28657B53"/>
    <w:rsid w:val="34901B69"/>
    <w:rsid w:val="3A9C0774"/>
    <w:rsid w:val="49703D76"/>
    <w:rsid w:val="54B61383"/>
    <w:rsid w:val="5AAB751C"/>
    <w:rsid w:val="76C86D11"/>
    <w:rsid w:val="78CD0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1150</Words>
  <Characters>1267</Characters>
  <Lines>8</Lines>
  <Paragraphs>2</Paragraphs>
  <TotalTime>0</TotalTime>
  <ScaleCrop>false</ScaleCrop>
  <LinksUpToDate>false</LinksUpToDate>
  <CharactersWithSpaces>1344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倔强农民工</cp:lastModifiedBy>
  <cp:lastPrinted>2020-09-14T08:17:00Z</cp:lastPrinted>
  <dcterms:modified xsi:type="dcterms:W3CDTF">2024-12-20T04:36:09Z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B79DE6E8AB2D49F0B54235CDE451797B_13</vt:lpwstr>
  </property>
</Properties>
</file>