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70" w:rsidRDefault="00F90770">
      <w:pPr>
        <w:keepNext/>
        <w:spacing w:line="720" w:lineRule="exact"/>
        <w:rPr>
          <w:rFonts w:ascii="Times New Roman" w:eastAsia="方正小标宋简体" w:hAnsi="Times New Roman"/>
          <w:sz w:val="44"/>
          <w:szCs w:val="44"/>
        </w:rPr>
      </w:pPr>
    </w:p>
    <w:p w:rsidR="00F90770" w:rsidRDefault="00F90770">
      <w:pPr>
        <w:keepNext/>
        <w:spacing w:line="54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F90770" w:rsidRDefault="00F90770">
      <w:pPr>
        <w:keepNext/>
        <w:spacing w:line="480" w:lineRule="auto"/>
        <w:rPr>
          <w:rFonts w:ascii="仿宋_GB2312" w:eastAsia="仿宋_GB2312"/>
          <w:bCs/>
          <w:sz w:val="32"/>
          <w:szCs w:val="32"/>
        </w:rPr>
      </w:pPr>
    </w:p>
    <w:p w:rsidR="00F90770" w:rsidRDefault="00F90770">
      <w:pPr>
        <w:keepNext/>
        <w:spacing w:line="480" w:lineRule="auto"/>
        <w:jc w:val="center"/>
        <w:rPr>
          <w:rFonts w:ascii="仿宋_GB2312" w:eastAsia="仿宋_GB2312"/>
          <w:bCs/>
          <w:sz w:val="32"/>
          <w:szCs w:val="32"/>
        </w:rPr>
      </w:pPr>
    </w:p>
    <w:p w:rsidR="00F90770" w:rsidRDefault="00B32BC9">
      <w:pPr>
        <w:keepNext/>
        <w:spacing w:line="480" w:lineRule="auto"/>
        <w:jc w:val="center"/>
        <w:rPr>
          <w:rFonts w:ascii="仿宋_GB2312" w:eastAsia="仿宋_GB2312"/>
          <w:bCs/>
          <w:sz w:val="32"/>
          <w:szCs w:val="32"/>
        </w:rPr>
      </w:pPr>
      <w:bookmarkStart w:id="0" w:name="_GoBack"/>
      <w:r>
        <w:rPr>
          <w:rFonts w:ascii="仿宋_GB2312" w:eastAsia="仿宋_GB2312" w:hint="eastAsia"/>
          <w:bCs/>
          <w:sz w:val="32"/>
          <w:szCs w:val="32"/>
        </w:rPr>
        <w:t>烈教〔</w:t>
      </w:r>
      <w:r>
        <w:rPr>
          <w:rFonts w:ascii="仿宋_GB2312" w:eastAsia="仿宋_GB2312" w:hint="eastAsia"/>
          <w:bCs/>
          <w:sz w:val="32"/>
          <w:szCs w:val="32"/>
        </w:rPr>
        <w:t>202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〕</w:t>
      </w:r>
      <w:r>
        <w:rPr>
          <w:rFonts w:ascii="仿宋_GB2312" w:eastAsia="仿宋_GB2312" w:hint="eastAsia"/>
          <w:bCs/>
          <w:sz w:val="32"/>
          <w:szCs w:val="32"/>
        </w:rPr>
        <w:t>24</w:t>
      </w:r>
      <w:r>
        <w:rPr>
          <w:rFonts w:ascii="仿宋_GB2312" w:eastAsia="仿宋_GB2312" w:hint="eastAsia"/>
          <w:bCs/>
          <w:sz w:val="32"/>
          <w:szCs w:val="32"/>
        </w:rPr>
        <w:t>号</w:t>
      </w:r>
      <w:bookmarkEnd w:id="0"/>
    </w:p>
    <w:p w:rsidR="00F90770" w:rsidRDefault="00F90770">
      <w:pPr>
        <w:pStyle w:val="20"/>
        <w:keepLines w:val="0"/>
        <w:spacing w:before="0" w:after="0" w:line="240" w:lineRule="auto"/>
        <w:textAlignment w:val="center"/>
      </w:pPr>
    </w:p>
    <w:p w:rsidR="00F90770" w:rsidRDefault="00B32BC9">
      <w:pPr>
        <w:keepNext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烈山区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教育局关于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做好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普通高中选课走班</w:t>
      </w:r>
    </w:p>
    <w:p w:rsidR="00F90770" w:rsidRDefault="00B32BC9">
      <w:pPr>
        <w:keepNext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</w:t>
      </w:r>
    </w:p>
    <w:p w:rsidR="00F90770" w:rsidRDefault="00F90770">
      <w:pPr>
        <w:keepNext/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90770" w:rsidRDefault="00B32BC9">
      <w:pPr>
        <w:keepNext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区教育局相关办公室、淮北七中：</w:t>
      </w:r>
    </w:p>
    <w:p w:rsidR="00F90770" w:rsidRDefault="00B32BC9">
      <w:pPr>
        <w:keepNex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《安徽省深化基础教育改革全面提高育人质量行动计划》《安徽省普通高中新课程新教材实施方案》《安徽省深化普通高校考试招生综合改革实施方案》和《淮北市普通高中新课程新教材实施方案》等文件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精神，确保我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普通高中选课走班教学工作平稳、有序开展，制定本</w:t>
      </w:r>
      <w:r>
        <w:rPr>
          <w:rFonts w:ascii="仿宋_GB2312" w:eastAsia="仿宋_GB2312" w:hAnsi="仿宋_GB2312" w:cs="仿宋_GB2312" w:hint="eastAsia"/>
          <w:sz w:val="32"/>
          <w:szCs w:val="32"/>
        </w:rPr>
        <w:t>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90770" w:rsidRDefault="00B32BC9">
      <w:pPr>
        <w:pStyle w:val="a6"/>
        <w:keepNext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F90770" w:rsidRDefault="00B32BC9">
      <w:pPr>
        <w:keepNext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全面贯彻党的教育方针，落实立德树人根本任务，坚持正确育人导向。遵循教育发展规律和人才成长规律，全面落实国家普通高中课程方案和课程标准，深化课程改革，推进普通高中育人方式变革，引导普通高中高质量多样化有特色的发展，培养德智体美劳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面发展的社会主义建设者和接班人。</w:t>
      </w:r>
    </w:p>
    <w:p w:rsidR="00F90770" w:rsidRDefault="00B32BC9">
      <w:pPr>
        <w:pStyle w:val="a6"/>
        <w:keepNext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二、基本原则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坚持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以生为本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充分尊重学生自主选择和发展的权利，尊重学生的个人兴趣、特长、学习能力及发展方向，发挥学生的主体地位，促进学生个性发展。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坚持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科学指导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对学生兴趣、学业、专业发展方向等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方面全面调研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分析，帮助学生形成适合个性发展的选课方案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兼顾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师资团队、课程特色、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教学场地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等办学实际，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学生提供不同科目组合。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坚持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整体规划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加强顶层设计，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整体规划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选课走班教学环节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合理规划课程安排，优化教育教学管理，加大信息化系统建设，逐步建立健全选课走班教学管理机制。</w:t>
      </w:r>
    </w:p>
    <w:p w:rsidR="00F90770" w:rsidRDefault="00B32BC9">
      <w:pPr>
        <w:pStyle w:val="a6"/>
        <w:keepNext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三、工作实施</w:t>
      </w:r>
    </w:p>
    <w:p w:rsidR="00F90770" w:rsidRDefault="00B32BC9">
      <w:pPr>
        <w:pStyle w:val="a6"/>
        <w:keepNext/>
        <w:shd w:val="clear" w:color="auto" w:fill="FEFEFE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（一）做好选课走班规划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淮北七中要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开展选课走班学情调研，做好选课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走班试点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模拟工作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。在充分调研与模拟选课的基础上，结合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，合理统筹，科学规划，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细化培训、选课、分班、教学、管理、评价等各环节，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研制学校选课走班工作方案。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（二）开展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教育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宣传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工作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淮北七中要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认真做好选课走班宣传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家长对新课程新教材新高考的认识，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明确教师在选课走班中的责任和任务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学生解决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选课走班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问题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同时做好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家校沟通，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让学生和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家长全面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了解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新高考改革及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选课走班的意义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使家长充分尊重学生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主权，共同做好学生选课工作。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（三）落实课程教学选择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学校要加强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课程选择管理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精心组织设计。原则上高一学年结束、必修课程完结后，实施选课走班教学。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落实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选课指导，帮助学生了解相关政策，解读高校招生专业要求，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指导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学生合理选择适合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自身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发展需求的课程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避免盲目选课。做好学生生涯规划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社会实践和职业体验培训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充分利用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社会教育资源，拓宽学生参与社会实践渠道，提升学生职业发展能力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和生涯规划意识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（四）建立完善导师制度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结合学校实际，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为每位学生配备成长导师，成长导师负责思想上引导、学业上辅导、心理上疏导和生活上指导等工作。成长导师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全面关注学生的个性特征、学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科成绩、学习兴趣、认知水平和学习潜力等，引导学生根据自己的兴趣和特长选择学习内容、发展个性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学生选课给出针对性指导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（五）强化学生发展指导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加强学生生涯规划教育和指导，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科学设置生涯规划课程，探索建立符合本校实际的学生发展指导制度。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帮助学生依据个人兴趣爱好、学习能力、未来职业的选择和人生发展规划，理性选择学习科目和层次，培养学生生涯规划的意识和能力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（六）健全完善管理制度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建立完善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选课走班相适应的新型教学管理制度。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改革单一行政班教学组织模式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逐步探索教学班和行政班并行的管理机制，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合理划分行政班和教学班的功能。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学校要建立扁平化组织架构，充分尊重学生的发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展需求，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教师、学生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和教学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的管理评价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均衡配置师资，鼓励有条件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学校实行选课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分层教学相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结合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的模式开展选课走班教学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（七）加强课程体系建设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严格落实国家课程标准和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省普通高中课程改革实施方案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学校要科学制定高中三年课程总表，高一年级必须开齐开足普通高中必修课程。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积极推行国家课程校本化，构建促进学生个性化发展的特色课程体系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。注重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因材施教，制定个性化教学目标，开设丰富的选修课程，满足学生选课需求。</w:t>
      </w:r>
    </w:p>
    <w:p w:rsidR="00F90770" w:rsidRDefault="00B32BC9">
      <w:pPr>
        <w:pStyle w:val="a6"/>
        <w:keepNext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四、保障机制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（一）加强组织领导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淮北七中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高度重视选课走班工作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烈山区教育局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选课走班工作领导小组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F90770" w:rsidRDefault="00B32BC9">
      <w:pPr>
        <w:pStyle w:val="2"/>
        <w:keepNext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区教育局党委书记、局长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李慎海</w:t>
      </w:r>
    </w:p>
    <w:p w:rsidR="00F90770" w:rsidRDefault="00B32BC9">
      <w:pPr>
        <w:pStyle w:val="2"/>
        <w:keepNext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副组长：区教育局党委副书记、淮北七中校长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</w:t>
      </w:r>
    </w:p>
    <w:p w:rsidR="00F90770" w:rsidRDefault="00B32BC9">
      <w:pPr>
        <w:pStyle w:val="2"/>
        <w:keepNext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区教育局党委委员、副局长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欣</w:t>
      </w:r>
    </w:p>
    <w:p w:rsidR="00F90770" w:rsidRDefault="00B32BC9">
      <w:pPr>
        <w:pStyle w:val="2"/>
        <w:keepNext/>
        <w:spacing w:line="560" w:lineRule="exact"/>
        <w:ind w:leftChars="0" w:left="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员：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教管办、教研室、人事办、七中班子成员等</w:t>
      </w:r>
    </w:p>
    <w:p w:rsidR="00F90770" w:rsidRDefault="00B32BC9">
      <w:pPr>
        <w:keepNext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领导小组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加强工作调研，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督促指导学校实施选课走班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。学校要根据学校特点制定完善选课走班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工作方案，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坚持一校一策，全面开展选课走班工作。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（二）强化基础保障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教研室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要统筹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教学资源，切实加大资源建设与保障力度，满足教育教学需求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加强教学组织形式、教学内容改革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、选课走班实施、教育教学管理、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学生选课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工作的指导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研究，有计划地开展相关教研和培训活动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积极解决选课走班教学过程中遇到的困难和问题。学校要根据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本校实际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，在课程设置、师资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配置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、信息化建设等方面整合资源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确保满足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选课走班教学需求。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（三）加强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师资建设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区教育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局教研室、人事办、教管办等相关科室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要结合选课走班教学推进情况，围绕选课走班、学生发展指导等工作，定期开展培训活动，督促教师自我研修，不断增强教师实施新课程的能力。学校要注重对教师的评价，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创新评价方式，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构建适应新高考综合改革的教学评价模式，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以评价促进教学方式转变，提高教学质量，促进教师专业发展。</w:t>
      </w:r>
    </w:p>
    <w:p w:rsidR="00F90770" w:rsidRDefault="00B32BC9">
      <w:pPr>
        <w:keepNext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（四）加强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检查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考核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区教育局将选课走班工作作为普通高中教学改革的重要内容，纳入对学校的检查范围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，建立考评机制，定期组织检查考核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并做好迎接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上级教育部门定期对学校的选课走班开展情况检查评估工作。</w:t>
      </w:r>
    </w:p>
    <w:p w:rsidR="00F90770" w:rsidRDefault="00F90770">
      <w:pPr>
        <w:pStyle w:val="a6"/>
        <w:keepNext/>
        <w:shd w:val="clear" w:color="auto" w:fill="FFFFFF"/>
        <w:tabs>
          <w:tab w:val="left" w:pos="312"/>
        </w:tabs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F90770" w:rsidRDefault="00F90770">
      <w:pPr>
        <w:pStyle w:val="a6"/>
        <w:keepNext/>
        <w:shd w:val="clear" w:color="auto" w:fill="FFFFFF"/>
        <w:tabs>
          <w:tab w:val="left" w:pos="312"/>
        </w:tabs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F90770" w:rsidRDefault="00F90770">
      <w:pPr>
        <w:pStyle w:val="a6"/>
        <w:keepNext/>
        <w:shd w:val="clear" w:color="auto" w:fill="FFFFFF"/>
        <w:tabs>
          <w:tab w:val="left" w:pos="312"/>
        </w:tabs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F90770" w:rsidRDefault="00B32BC9">
      <w:pPr>
        <w:pStyle w:val="a6"/>
        <w:keepNext/>
        <w:shd w:val="clear" w:color="auto" w:fill="FFFFFF"/>
        <w:tabs>
          <w:tab w:val="left" w:pos="312"/>
        </w:tabs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bookmarkEnd w:id="1"/>
    <w:p w:rsidR="00F90770" w:rsidRDefault="00F90770">
      <w:pPr>
        <w:pStyle w:val="a6"/>
        <w:keepNext/>
        <w:shd w:val="clear" w:color="auto" w:fill="FFFFFF"/>
        <w:tabs>
          <w:tab w:val="left" w:pos="312"/>
        </w:tabs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F90770" w:rsidRDefault="00F90770">
      <w:pPr>
        <w:pStyle w:val="a6"/>
        <w:keepNext/>
        <w:shd w:val="clear" w:color="auto" w:fill="FFFFFF"/>
        <w:tabs>
          <w:tab w:val="left" w:pos="312"/>
        </w:tabs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F90770" w:rsidRDefault="00F90770">
      <w:pPr>
        <w:pStyle w:val="a6"/>
        <w:keepNext/>
        <w:shd w:val="clear" w:color="auto" w:fill="FFFFFF"/>
        <w:tabs>
          <w:tab w:val="left" w:pos="312"/>
        </w:tabs>
        <w:spacing w:line="56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keepNext/>
        <w:tabs>
          <w:tab w:val="left" w:pos="8306"/>
        </w:tabs>
        <w:spacing w:line="520" w:lineRule="exact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pStyle w:val="2"/>
        <w:ind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pStyle w:val="2"/>
        <w:ind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pStyle w:val="2"/>
        <w:ind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pStyle w:val="2"/>
        <w:ind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pStyle w:val="2"/>
        <w:ind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pStyle w:val="2"/>
        <w:ind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F90770">
      <w:pPr>
        <w:pStyle w:val="2"/>
        <w:ind w:firstLine="643"/>
        <w:rPr>
          <w:rFonts w:ascii="仿宋_GB2312" w:eastAsia="仿宋_GB2312" w:hAnsi="宋体"/>
          <w:b/>
          <w:bCs/>
          <w:sz w:val="32"/>
          <w:szCs w:val="32"/>
          <w:u w:val="single"/>
        </w:rPr>
      </w:pPr>
    </w:p>
    <w:p w:rsidR="00F90770" w:rsidRDefault="00B32BC9">
      <w:pPr>
        <w:keepNext/>
        <w:tabs>
          <w:tab w:val="left" w:pos="8306"/>
        </w:tabs>
        <w:spacing w:line="520" w:lineRule="exact"/>
        <w:rPr>
          <w:b/>
          <w:bCs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     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F90770" w:rsidRDefault="00B32BC9">
      <w:pPr>
        <w:keepNext/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F90770">
          <w:footerReference w:type="even" r:id="rId7"/>
          <w:footerReference w:type="default" r:id="rId8"/>
          <w:pgSz w:w="11906" w:h="16838"/>
          <w:pgMar w:top="1984" w:right="1587" w:bottom="1871" w:left="1587" w:header="851" w:footer="992" w:gutter="0"/>
          <w:pgNumType w:fmt="numberInDash" w:start="1"/>
          <w:cols w:space="720"/>
          <w:docGrid w:linePitch="312"/>
        </w:sectPr>
      </w:pPr>
      <w:r>
        <w:rPr>
          <w:rFonts w:ascii="仿宋_GB2312" w:eastAsia="仿宋_GB2312" w:hAnsi="宋体" w:hint="eastAsia"/>
          <w:sz w:val="32"/>
          <w:szCs w:val="32"/>
          <w:u w:val="single"/>
        </w:rPr>
        <w:t>烈山区教育局党政办公室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202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 w:hAnsi="宋体" w:hint="eastAsia"/>
          <w:sz w:val="32"/>
          <w:szCs w:val="32"/>
          <w:u w:val="single"/>
        </w:rPr>
        <w:t>印发</w:t>
      </w:r>
      <w:r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 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         </w:t>
      </w:r>
    </w:p>
    <w:p w:rsidR="00F90770" w:rsidRDefault="00F90770"/>
    <w:sectPr w:rsidR="00F90770"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BC9" w:rsidRDefault="00B32BC9">
      <w:r>
        <w:separator/>
      </w:r>
    </w:p>
  </w:endnote>
  <w:endnote w:type="continuationSeparator" w:id="0">
    <w:p w:rsidR="00B32BC9" w:rsidRDefault="00B3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70" w:rsidRDefault="00F9077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70" w:rsidRDefault="00B32B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0770" w:rsidRDefault="00B32BC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8795E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F90770" w:rsidRDefault="00B32BC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8795E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70" w:rsidRDefault="00B32B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90770" w:rsidRDefault="00B32BC9">
                          <w:pPr>
                            <w:pStyle w:val="a4"/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8795E"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BTHAIAABw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yAwtLU35RndOtPTxVu+aVDRlvnwyBz4gS7A+fCAo5IGmc0gUVIb9+lv&#10;+uiPscFKSQu+FVRjISiRbzXGGak5Cm4U9qOgj+rOgMAYEWpJIj64IEexckZ9xCKsYw6YmObIVNAw&#10;ineh5zwWiYv1OjmBgJaFrd5ZHkNHlLxdHwNQTWBHbHokMKT4AAXTuIZ1iRz/9Z28npZ69RM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C89EFMcAgAAHA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F90770" w:rsidRDefault="00B32BC9">
                    <w:pPr>
                      <w:pStyle w:val="a4"/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 w:rsidR="0028795E"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BC9" w:rsidRDefault="00B32BC9">
      <w:r>
        <w:separator/>
      </w:r>
    </w:p>
  </w:footnote>
  <w:footnote w:type="continuationSeparator" w:id="0">
    <w:p w:rsidR="00B32BC9" w:rsidRDefault="00B3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FC14A"/>
    <w:rsid w:val="CDDF239E"/>
    <w:rsid w:val="E72F50C3"/>
    <w:rsid w:val="F9B6E264"/>
    <w:rsid w:val="FDAFBEF6"/>
    <w:rsid w:val="001921FD"/>
    <w:rsid w:val="00194926"/>
    <w:rsid w:val="0028795E"/>
    <w:rsid w:val="0029146F"/>
    <w:rsid w:val="00486174"/>
    <w:rsid w:val="0048691E"/>
    <w:rsid w:val="00544C05"/>
    <w:rsid w:val="005D68E0"/>
    <w:rsid w:val="00754EE7"/>
    <w:rsid w:val="008047F7"/>
    <w:rsid w:val="008A11E4"/>
    <w:rsid w:val="00B32BC9"/>
    <w:rsid w:val="00CB1EE0"/>
    <w:rsid w:val="00DD4216"/>
    <w:rsid w:val="00F90770"/>
    <w:rsid w:val="01490B31"/>
    <w:rsid w:val="037E3747"/>
    <w:rsid w:val="03E36874"/>
    <w:rsid w:val="05234D68"/>
    <w:rsid w:val="05F64725"/>
    <w:rsid w:val="06ED4C0C"/>
    <w:rsid w:val="06FA3E47"/>
    <w:rsid w:val="074F16B3"/>
    <w:rsid w:val="07EB7EB9"/>
    <w:rsid w:val="08AA05F5"/>
    <w:rsid w:val="09867C6A"/>
    <w:rsid w:val="0FD16DB7"/>
    <w:rsid w:val="10C96E50"/>
    <w:rsid w:val="135E44C2"/>
    <w:rsid w:val="13914DCF"/>
    <w:rsid w:val="14D57F26"/>
    <w:rsid w:val="157603C3"/>
    <w:rsid w:val="15D1446A"/>
    <w:rsid w:val="165D6D39"/>
    <w:rsid w:val="1B3739F9"/>
    <w:rsid w:val="1E547F6D"/>
    <w:rsid w:val="1E7756F3"/>
    <w:rsid w:val="209660F5"/>
    <w:rsid w:val="24022772"/>
    <w:rsid w:val="243119F9"/>
    <w:rsid w:val="243F5C4A"/>
    <w:rsid w:val="27526DE8"/>
    <w:rsid w:val="277347B9"/>
    <w:rsid w:val="279855A9"/>
    <w:rsid w:val="27EA57A7"/>
    <w:rsid w:val="29A70FF9"/>
    <w:rsid w:val="3248720A"/>
    <w:rsid w:val="325A0FC2"/>
    <w:rsid w:val="363F04F8"/>
    <w:rsid w:val="3815089A"/>
    <w:rsid w:val="38921FA6"/>
    <w:rsid w:val="3A121CBA"/>
    <w:rsid w:val="3B6817DA"/>
    <w:rsid w:val="3D204C01"/>
    <w:rsid w:val="3DE511B8"/>
    <w:rsid w:val="3EFFC14A"/>
    <w:rsid w:val="45081E61"/>
    <w:rsid w:val="48A3583C"/>
    <w:rsid w:val="498D3C61"/>
    <w:rsid w:val="4A3A5E66"/>
    <w:rsid w:val="4B272509"/>
    <w:rsid w:val="4F7416F5"/>
    <w:rsid w:val="51C15980"/>
    <w:rsid w:val="536C6901"/>
    <w:rsid w:val="58A60F12"/>
    <w:rsid w:val="59486571"/>
    <w:rsid w:val="5AF2343A"/>
    <w:rsid w:val="5AF9375E"/>
    <w:rsid w:val="5B3428B4"/>
    <w:rsid w:val="5CD853A9"/>
    <w:rsid w:val="5DC600CC"/>
    <w:rsid w:val="5E0F6296"/>
    <w:rsid w:val="5E9C5A6D"/>
    <w:rsid w:val="64144382"/>
    <w:rsid w:val="64D13BC3"/>
    <w:rsid w:val="65F05FCC"/>
    <w:rsid w:val="65F75CEB"/>
    <w:rsid w:val="66B36528"/>
    <w:rsid w:val="68152AC7"/>
    <w:rsid w:val="688B6D2F"/>
    <w:rsid w:val="68D7146E"/>
    <w:rsid w:val="6A5B3FAF"/>
    <w:rsid w:val="6AAD549F"/>
    <w:rsid w:val="6C6955DA"/>
    <w:rsid w:val="6EDB4023"/>
    <w:rsid w:val="6FEFD1DC"/>
    <w:rsid w:val="717F4246"/>
    <w:rsid w:val="736E0DA4"/>
    <w:rsid w:val="76644D24"/>
    <w:rsid w:val="76FF3F88"/>
    <w:rsid w:val="7711042D"/>
    <w:rsid w:val="77EE1CE4"/>
    <w:rsid w:val="7AFFD094"/>
    <w:rsid w:val="7DFD3546"/>
    <w:rsid w:val="7F7BCCCF"/>
    <w:rsid w:val="7FB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01B15B-972C-4CBC-B479-A46AD7C6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Theme="minorHAnsi" w:eastAsia="方正仿宋_GB2312" w:hAnsiTheme="minorHAnsi"/>
      <w:b/>
      <w:kern w:val="44"/>
      <w:sz w:val="4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2022-04-12T00:52:00Z</cp:lastPrinted>
  <dcterms:created xsi:type="dcterms:W3CDTF">2022-05-27T07:44:00Z</dcterms:created>
  <dcterms:modified xsi:type="dcterms:W3CDTF">2022-05-27T07:44:00Z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6D6F782774A34808A0EB24FFCCBFA9F2</vt:lpwstr>
  </property>
</Properties>
</file>