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F99F8">
      <w:pPr>
        <w:spacing w:line="560" w:lineRule="exact"/>
        <w:rPr>
          <w:rFonts w:cs="TimesNewRoman" w:asciiTheme="minorEastAsia" w:hAnsiTheme="minorEastAsia"/>
          <w:szCs w:val="32"/>
        </w:rPr>
      </w:pPr>
      <w:r>
        <w:rPr>
          <w:rFonts w:hint="eastAsia" w:cs="TimesNewRoman" w:asciiTheme="minorEastAsia" w:hAnsiTheme="minorEastAsia"/>
          <w:szCs w:val="32"/>
        </w:rPr>
        <w:t>附件1-1</w:t>
      </w:r>
    </w:p>
    <w:p w14:paraId="4D732610">
      <w:pPr>
        <w:rPr>
          <w:rFonts w:asciiTheme="minorEastAsia" w:hAnsiTheme="minorEastAsia"/>
        </w:rPr>
      </w:pPr>
    </w:p>
    <w:p w14:paraId="1B21A27D">
      <w:pPr>
        <w:rPr>
          <w:rFonts w:asciiTheme="minorEastAsia" w:hAnsiTheme="minorEastAsia"/>
        </w:rPr>
      </w:pPr>
    </w:p>
    <w:p w14:paraId="67101A10">
      <w:pPr>
        <w:rPr>
          <w:rFonts w:asciiTheme="minorEastAsia" w:hAnsiTheme="minorEastAsia"/>
        </w:rPr>
      </w:pPr>
    </w:p>
    <w:p w14:paraId="0587B0E4">
      <w:pPr>
        <w:rPr>
          <w:rFonts w:asciiTheme="minorEastAsia" w:hAnsiTheme="minorEastAsia"/>
        </w:rPr>
      </w:pPr>
    </w:p>
    <w:p w14:paraId="664FA68B">
      <w:pPr>
        <w:rPr>
          <w:rFonts w:asciiTheme="minorEastAsia" w:hAnsiTheme="minorEastAsia"/>
        </w:rPr>
      </w:pPr>
    </w:p>
    <w:p w14:paraId="674E4932">
      <w:pPr>
        <w:rPr>
          <w:rFonts w:asciiTheme="minorEastAsia" w:hAnsiTheme="minorEastAsia"/>
        </w:rPr>
      </w:pPr>
    </w:p>
    <w:p w14:paraId="68CD9DE6">
      <w:pPr>
        <w:rPr>
          <w:rFonts w:asciiTheme="minorEastAsia" w:hAnsiTheme="minorEastAsia"/>
        </w:rPr>
      </w:pPr>
    </w:p>
    <w:p w14:paraId="002F98D2">
      <w:pPr>
        <w:rPr>
          <w:rFonts w:asciiTheme="minorEastAsia" w:hAnsiTheme="minorEastAsia"/>
        </w:rPr>
      </w:pPr>
    </w:p>
    <w:p w14:paraId="71FB6DFA">
      <w:pPr>
        <w:spacing w:line="560" w:lineRule="exact"/>
        <w:jc w:val="center"/>
        <w:rPr>
          <w:rFonts w:cs="TimesNewRoman" w:asciiTheme="minorEastAsia" w:hAnsiTheme="minorEastAsia"/>
          <w:b/>
          <w:sz w:val="44"/>
          <w:szCs w:val="44"/>
        </w:rPr>
      </w:pPr>
      <w:r>
        <w:rPr>
          <w:rFonts w:hint="eastAsia" w:cs="TimesNewRoman" w:asciiTheme="minorEastAsia" w:hAnsiTheme="minorEastAsia"/>
          <w:b/>
          <w:sz w:val="44"/>
          <w:szCs w:val="44"/>
        </w:rPr>
        <w:t>烈山区职业教育中心2025年部门预算</w:t>
      </w:r>
    </w:p>
    <w:p w14:paraId="07C24C1F">
      <w:pPr>
        <w:rPr>
          <w:rFonts w:asciiTheme="minorEastAsia" w:hAnsiTheme="minorEastAsia"/>
        </w:rPr>
      </w:pPr>
    </w:p>
    <w:p w14:paraId="51058EFF">
      <w:pPr>
        <w:rPr>
          <w:rFonts w:asciiTheme="minorEastAsia" w:hAnsiTheme="minorEastAsia"/>
        </w:rPr>
      </w:pPr>
    </w:p>
    <w:p w14:paraId="403CA04E">
      <w:pPr>
        <w:rPr>
          <w:rFonts w:asciiTheme="minorEastAsia" w:hAnsiTheme="minorEastAsia"/>
        </w:rPr>
      </w:pPr>
    </w:p>
    <w:p w14:paraId="10E2FC54">
      <w:pPr>
        <w:rPr>
          <w:rFonts w:asciiTheme="minorEastAsia" w:hAnsiTheme="minorEastAsia"/>
        </w:rPr>
      </w:pPr>
    </w:p>
    <w:p w14:paraId="123A353E">
      <w:pPr>
        <w:rPr>
          <w:rFonts w:asciiTheme="minorEastAsia" w:hAnsiTheme="minorEastAsia"/>
        </w:rPr>
      </w:pPr>
    </w:p>
    <w:p w14:paraId="2AC5D32C">
      <w:pPr>
        <w:rPr>
          <w:rFonts w:asciiTheme="minorEastAsia" w:hAnsiTheme="minorEastAsia"/>
        </w:rPr>
      </w:pPr>
    </w:p>
    <w:p w14:paraId="5E0C053F">
      <w:pPr>
        <w:rPr>
          <w:rFonts w:asciiTheme="minorEastAsia" w:hAnsiTheme="minorEastAsia"/>
        </w:rPr>
      </w:pPr>
    </w:p>
    <w:p w14:paraId="01D6814B">
      <w:pPr>
        <w:rPr>
          <w:rFonts w:asciiTheme="minorEastAsia" w:hAnsiTheme="minorEastAsia"/>
        </w:rPr>
      </w:pPr>
    </w:p>
    <w:p w14:paraId="3B0ECD2F">
      <w:pPr>
        <w:rPr>
          <w:rFonts w:asciiTheme="minorEastAsia" w:hAnsiTheme="minorEastAsia"/>
        </w:rPr>
      </w:pPr>
    </w:p>
    <w:p w14:paraId="4B22E318">
      <w:pPr>
        <w:rPr>
          <w:rFonts w:asciiTheme="minorEastAsia" w:hAnsiTheme="minorEastAsia"/>
        </w:rPr>
      </w:pPr>
    </w:p>
    <w:p w14:paraId="033098F3">
      <w:pPr>
        <w:rPr>
          <w:rFonts w:asciiTheme="minorEastAsia" w:hAnsiTheme="minorEastAsia"/>
        </w:rPr>
      </w:pPr>
    </w:p>
    <w:p w14:paraId="35753A8C">
      <w:pPr>
        <w:rPr>
          <w:rFonts w:asciiTheme="minorEastAsia" w:hAnsiTheme="minorEastAsia"/>
        </w:rPr>
      </w:pPr>
    </w:p>
    <w:p w14:paraId="17227FCE">
      <w:pPr>
        <w:rPr>
          <w:rFonts w:asciiTheme="minorEastAsia" w:hAnsiTheme="minorEastAsia"/>
        </w:rPr>
      </w:pPr>
    </w:p>
    <w:p w14:paraId="56F49876">
      <w:pPr>
        <w:rPr>
          <w:rFonts w:asciiTheme="minorEastAsia" w:hAnsiTheme="minorEastAsia"/>
        </w:rPr>
      </w:pPr>
    </w:p>
    <w:p w14:paraId="333E9FDC">
      <w:pPr>
        <w:rPr>
          <w:rFonts w:asciiTheme="minorEastAsia" w:hAnsiTheme="minorEastAsia"/>
        </w:rPr>
      </w:pPr>
    </w:p>
    <w:p w14:paraId="51252611">
      <w:pPr>
        <w:rPr>
          <w:rFonts w:asciiTheme="minorEastAsia" w:hAnsiTheme="minorEastAsia"/>
        </w:rPr>
      </w:pPr>
    </w:p>
    <w:p w14:paraId="391D10CA">
      <w:pPr>
        <w:rPr>
          <w:rFonts w:asciiTheme="minorEastAsia" w:hAnsiTheme="minorEastAsia"/>
        </w:rPr>
      </w:pPr>
    </w:p>
    <w:p w14:paraId="369B0961">
      <w:pPr>
        <w:rPr>
          <w:rFonts w:asciiTheme="minorEastAsia" w:hAnsiTheme="minorEastAsia"/>
        </w:rPr>
      </w:pPr>
    </w:p>
    <w:p w14:paraId="14956787">
      <w:pPr>
        <w:rPr>
          <w:rFonts w:asciiTheme="minorEastAsia" w:hAnsiTheme="minorEastAsia"/>
        </w:rPr>
      </w:pPr>
    </w:p>
    <w:p w14:paraId="41CF3516">
      <w:pPr>
        <w:rPr>
          <w:rFonts w:asciiTheme="minorEastAsia" w:hAnsiTheme="minorEastAsia"/>
        </w:rPr>
      </w:pPr>
    </w:p>
    <w:p w14:paraId="7C2C525B">
      <w:pPr>
        <w:rPr>
          <w:rFonts w:asciiTheme="minorEastAsia" w:hAnsiTheme="minorEastAsia"/>
        </w:rPr>
      </w:pPr>
    </w:p>
    <w:p w14:paraId="10922EB0">
      <w:pPr>
        <w:rPr>
          <w:rFonts w:asciiTheme="minorEastAsia" w:hAnsiTheme="minorEastAsia"/>
        </w:rPr>
      </w:pPr>
    </w:p>
    <w:p w14:paraId="28DFA7C7">
      <w:pPr>
        <w:pStyle w:val="4"/>
        <w:adjustRightInd w:val="0"/>
        <w:snapToGrid w:val="0"/>
        <w:spacing w:line="560" w:lineRule="exact"/>
        <w:jc w:val="center"/>
        <w:rPr>
          <w:rFonts w:cs="TimesNewRoman" w:asciiTheme="minorEastAsia" w:hAnsiTheme="minorEastAsia" w:eastAsiaTheme="minorEastAsia"/>
          <w:bCs/>
          <w:sz w:val="44"/>
          <w:szCs w:val="44"/>
        </w:rPr>
      </w:pPr>
    </w:p>
    <w:p w14:paraId="24B27937">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2025年</w:t>
      </w:r>
      <w:r>
        <w:rPr>
          <w:rFonts w:hint="eastAsia" w:cs="TimesNewRoman" w:asciiTheme="minorEastAsia" w:hAnsiTheme="minorEastAsia" w:eastAsiaTheme="minorEastAsia"/>
          <w:bCs/>
          <w:sz w:val="44"/>
          <w:szCs w:val="44"/>
          <w:lang w:val="en-US" w:eastAsia="zh-CN"/>
        </w:rPr>
        <w:t>1</w:t>
      </w:r>
      <w:bookmarkStart w:id="0" w:name="_GoBack"/>
      <w:bookmarkEnd w:id="0"/>
      <w:r>
        <w:rPr>
          <w:rFonts w:hint="eastAsia" w:cs="TimesNewRoman" w:asciiTheme="minorEastAsia" w:hAnsiTheme="minorEastAsia" w:eastAsiaTheme="minorEastAsia"/>
          <w:bCs/>
          <w:sz w:val="44"/>
          <w:szCs w:val="44"/>
        </w:rPr>
        <w:t>月</w:t>
      </w:r>
    </w:p>
    <w:p w14:paraId="36F77D4E">
      <w:pPr>
        <w:rPr>
          <w:rFonts w:asciiTheme="minorEastAsia" w:hAnsiTheme="minorEastAsia"/>
        </w:rPr>
      </w:pPr>
    </w:p>
    <w:p w14:paraId="49F05C93">
      <w:pPr>
        <w:rPr>
          <w:rFonts w:asciiTheme="minorEastAsia" w:hAnsiTheme="minorEastAsia"/>
        </w:rPr>
      </w:pPr>
    </w:p>
    <w:p w14:paraId="484F1EC7">
      <w:pPr>
        <w:rPr>
          <w:rFonts w:asciiTheme="minorEastAsia" w:hAnsiTheme="minorEastAsia"/>
        </w:rPr>
      </w:pPr>
    </w:p>
    <w:p w14:paraId="655AB6A0">
      <w:pPr>
        <w:rPr>
          <w:rFonts w:asciiTheme="minorEastAsia" w:hAnsiTheme="minorEastAsia"/>
        </w:rPr>
      </w:pPr>
    </w:p>
    <w:p w14:paraId="3C67AEF9">
      <w:pPr>
        <w:pStyle w:val="4"/>
        <w:adjustRightInd w:val="0"/>
        <w:snapToGrid w:val="0"/>
        <w:spacing w:line="560" w:lineRule="exact"/>
        <w:jc w:val="center"/>
        <w:rPr>
          <w:rFonts w:cs="TimesNewRoman" w:asciiTheme="minorEastAsia" w:hAnsiTheme="minorEastAsia" w:eastAsiaTheme="minorEastAsia"/>
          <w:bCs/>
          <w:sz w:val="44"/>
          <w:szCs w:val="44"/>
        </w:rPr>
      </w:pPr>
      <w:r>
        <w:rPr>
          <w:rFonts w:hint="eastAsia" w:cs="TimesNewRoman" w:asciiTheme="minorEastAsia" w:hAnsiTheme="minorEastAsia" w:eastAsiaTheme="minorEastAsia"/>
          <w:bCs/>
          <w:sz w:val="44"/>
          <w:szCs w:val="44"/>
        </w:rPr>
        <w:t>目  录</w:t>
      </w:r>
    </w:p>
    <w:p w14:paraId="7F53315F">
      <w:pPr>
        <w:rPr>
          <w:rFonts w:asciiTheme="minorEastAsia" w:hAnsiTheme="minorEastAsia"/>
        </w:rPr>
      </w:pPr>
    </w:p>
    <w:p w14:paraId="0D539D15">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第一部分 部门（单位）概况</w:t>
      </w:r>
    </w:p>
    <w:p w14:paraId="37AC8A47">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1、主要职责</w:t>
      </w:r>
    </w:p>
    <w:p w14:paraId="42A10D27">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2、部门（单位）预算构成</w:t>
      </w:r>
    </w:p>
    <w:p w14:paraId="04995FF4">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 、2025年度主要工作任务</w:t>
      </w:r>
    </w:p>
    <w:p w14:paraId="6EDDC65F">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第二部分 2025年部门（单位）预算表</w:t>
      </w:r>
    </w:p>
    <w:p w14:paraId="101C98EA">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1、烈山区职业教育中心2025年收支总表</w:t>
      </w:r>
    </w:p>
    <w:p w14:paraId="65F911BB">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2、烈山区职业教育中心2025年收入总表</w:t>
      </w:r>
    </w:p>
    <w:p w14:paraId="4654EC0D">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3、烈山区职业教育中心2025年支出总表</w:t>
      </w:r>
    </w:p>
    <w:p w14:paraId="47B3BC6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4、烈山区职业教育中心2025年财政拨款收支总表</w:t>
      </w:r>
    </w:p>
    <w:p w14:paraId="29C9925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5、烈山区职业教育中心2025年一般公共预算支出表</w:t>
      </w:r>
    </w:p>
    <w:p w14:paraId="74C70B8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6、烈山区职业教育中心2025年一般公共预算基本支出表</w:t>
      </w:r>
    </w:p>
    <w:p w14:paraId="2F3F55D1">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7、烈山区职业教育中心2025年政府性基金预算支出表</w:t>
      </w:r>
    </w:p>
    <w:p w14:paraId="0B00E7F3">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8、烈山区职业教育中心2025年国有资本经营预算支出表</w:t>
      </w:r>
    </w:p>
    <w:p w14:paraId="22E20C9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9、烈山区职业教育中心2025年项目支出表</w:t>
      </w:r>
    </w:p>
    <w:p w14:paraId="49FCAF52">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10、烈山区职业教育中心2025年政府采购支出表</w:t>
      </w:r>
    </w:p>
    <w:p w14:paraId="1682F422">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11、烈山区职业教育中心2025年政府购买服务支出表</w:t>
      </w:r>
    </w:p>
    <w:p w14:paraId="2982471B">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12、烈山区职业教育中心2025</w:t>
      </w:r>
      <w:r>
        <w:rPr>
          <w:rFonts w:cs="TimesNewRoman" w:asciiTheme="minorEastAsia" w:hAnsiTheme="minorEastAsia" w:eastAsiaTheme="minorEastAsia"/>
          <w:bCs/>
          <w:sz w:val="32"/>
          <w:szCs w:val="32"/>
        </w:rPr>
        <w:t>年通用资产配置支出表</w:t>
      </w:r>
    </w:p>
    <w:p w14:paraId="48F5E39C">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第三部分 2025年部门（单位）预算情况说明</w:t>
      </w:r>
    </w:p>
    <w:p w14:paraId="7F4CCEF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1、关于2025年收支总表的说明</w:t>
      </w:r>
    </w:p>
    <w:p w14:paraId="1CF6C22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2、关于2025年收入总表的说明</w:t>
      </w:r>
    </w:p>
    <w:p w14:paraId="7840411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3、关于2025年支出总表的说明</w:t>
      </w:r>
    </w:p>
    <w:p w14:paraId="2780C30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4、关于2025年财政拨款收支总表的说明</w:t>
      </w:r>
    </w:p>
    <w:p w14:paraId="365B3E7D">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5、关于2025年一般公共预算支出表的说明</w:t>
      </w:r>
    </w:p>
    <w:p w14:paraId="3DF749B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6、关于2025年一般公共预算基本支出表的说明</w:t>
      </w:r>
    </w:p>
    <w:p w14:paraId="26D35FBD">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7、关于2025年政府性基金预算支出表的说明</w:t>
      </w:r>
    </w:p>
    <w:p w14:paraId="1D885460">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8、关于2025年国有资本经营预算支出表的说明</w:t>
      </w:r>
    </w:p>
    <w:p w14:paraId="558A7ECC">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9、关于2025年项目支出表的说明</w:t>
      </w:r>
    </w:p>
    <w:p w14:paraId="79520D42">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10、关于2025年政府采购支出表的说明</w:t>
      </w:r>
    </w:p>
    <w:p w14:paraId="5A641683">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11、关于2025年政府购买服务支出表的说明</w:t>
      </w:r>
    </w:p>
    <w:p w14:paraId="4199A54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12、其他重要事项情况说明</w:t>
      </w:r>
    </w:p>
    <w:p w14:paraId="7E6BD69B">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第四部分 名词解释</w:t>
      </w:r>
    </w:p>
    <w:p w14:paraId="7EDEC007">
      <w:pPr>
        <w:pStyle w:val="4"/>
        <w:adjustRightInd w:val="0"/>
        <w:snapToGrid w:val="0"/>
        <w:spacing w:line="400" w:lineRule="exact"/>
        <w:ind w:firstLine="643" w:firstLineChars="200"/>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第五部分 其它公开事项</w:t>
      </w:r>
    </w:p>
    <w:p w14:paraId="1C1D1D49">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1、烈山区职业教育中心2025年部门预算纳入绩效考评项目表</w:t>
      </w:r>
    </w:p>
    <w:p w14:paraId="2F5B80E8">
      <w:pPr>
        <w:pStyle w:val="4"/>
        <w:adjustRightInd w:val="0"/>
        <w:snapToGrid w:val="0"/>
        <w:spacing w:line="400" w:lineRule="exact"/>
        <w:ind w:firstLine="800" w:firstLineChars="250"/>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2、烈山区职业教育中心2025年部门预算专项资金管理清单（专栏公开）</w:t>
      </w:r>
    </w:p>
    <w:p w14:paraId="78907B9F">
      <w:pPr>
        <w:pStyle w:val="4"/>
        <w:adjustRightInd w:val="0"/>
        <w:snapToGrid w:val="0"/>
        <w:spacing w:line="400" w:lineRule="exact"/>
        <w:ind w:firstLine="800" w:firstLineChars="250"/>
        <w:rPr>
          <w:rFonts w:cs="TimesNewRoman" w:asciiTheme="minorEastAsia" w:hAnsiTheme="minorEastAsia" w:eastAsiaTheme="minorEastAsia"/>
          <w:bCs/>
          <w:sz w:val="32"/>
          <w:szCs w:val="32"/>
        </w:rPr>
      </w:pPr>
    </w:p>
    <w:p w14:paraId="7D0F4439">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第一部分 部门概况</w:t>
      </w:r>
    </w:p>
    <w:p w14:paraId="5C06FF27">
      <w:pPr>
        <w:rPr>
          <w:rFonts w:asciiTheme="minorEastAsia" w:hAnsiTheme="minorEastAsia"/>
        </w:rPr>
      </w:pPr>
    </w:p>
    <w:p w14:paraId="5E9EEF38">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一、主要职责</w:t>
      </w:r>
    </w:p>
    <w:p w14:paraId="7A37DF21">
      <w:pPr>
        <w:rPr>
          <w:rFonts w:cs="TimesNewRoman" w:asciiTheme="minorEastAsia" w:hAnsiTheme="minorEastAsia"/>
          <w:sz w:val="32"/>
          <w:szCs w:val="32"/>
        </w:rPr>
      </w:pPr>
      <w:r>
        <w:rPr>
          <w:rFonts w:hint="eastAsia" w:cs="TimesNewRoman" w:asciiTheme="minorEastAsia" w:hAnsiTheme="minorEastAsia"/>
          <w:sz w:val="32"/>
          <w:szCs w:val="32"/>
        </w:rPr>
        <w:t xml:space="preserve">    （一）全面贯彻党的教育方针，认真执行上级领导机关的指示和决定。按教育规律办学，按时完成教学任务。</w:t>
      </w:r>
    </w:p>
    <w:p w14:paraId="1AA04FAB">
      <w:pPr>
        <w:rPr>
          <w:rFonts w:cs="TimesNewRoman" w:asciiTheme="minorEastAsia" w:hAnsiTheme="minorEastAsia"/>
          <w:sz w:val="32"/>
          <w:szCs w:val="32"/>
        </w:rPr>
      </w:pPr>
      <w:r>
        <w:rPr>
          <w:rFonts w:hint="eastAsia" w:cs="TimesNewRoman" w:asciiTheme="minorEastAsia" w:hAnsiTheme="minorEastAsia"/>
          <w:sz w:val="32"/>
          <w:szCs w:val="32"/>
        </w:rPr>
        <w:t xml:space="preserve">    （二）全面规划学校工作，制定和实施学校工作计划。审查各部门工作计划，定期检查和总结工作。认真总结经验、教训，提出改进意见和措施，并向上级和职工代表大会报告工作。</w:t>
      </w:r>
    </w:p>
    <w:p w14:paraId="298ACB5B">
      <w:pPr>
        <w:rPr>
          <w:rFonts w:cs="TimesNewRoman" w:asciiTheme="minorEastAsia" w:hAnsiTheme="minorEastAsia"/>
          <w:sz w:val="32"/>
          <w:szCs w:val="32"/>
        </w:rPr>
      </w:pPr>
      <w:r>
        <w:rPr>
          <w:rFonts w:hint="eastAsia" w:cs="TimesNewRoman" w:asciiTheme="minorEastAsia" w:hAnsiTheme="minorEastAsia"/>
          <w:sz w:val="32"/>
          <w:szCs w:val="32"/>
        </w:rPr>
        <w:t xml:space="preserve">    （三）主持校务会议，指导学校全面工作，研究决定学校的重大问题。</w:t>
      </w:r>
    </w:p>
    <w:p w14:paraId="0A5831C4">
      <w:pPr>
        <w:rPr>
          <w:rFonts w:cs="TimesNewRoman" w:asciiTheme="minorEastAsia" w:hAnsiTheme="minorEastAsia"/>
          <w:sz w:val="32"/>
          <w:szCs w:val="32"/>
        </w:rPr>
      </w:pPr>
      <w:r>
        <w:rPr>
          <w:rFonts w:hint="eastAsia" w:cs="TimesNewRoman" w:asciiTheme="minorEastAsia" w:hAnsiTheme="minorEastAsia"/>
          <w:sz w:val="32"/>
          <w:szCs w:val="32"/>
        </w:rPr>
        <w:t xml:space="preserve">    （四）认真组织师生学习贯彻《小学生日常行为规范》，加强校园社会主义精神文明建设，树立良好的校风。</w:t>
      </w:r>
    </w:p>
    <w:p w14:paraId="56E5E7A9">
      <w:pPr>
        <w:rPr>
          <w:rFonts w:cs="TimesNewRoman" w:asciiTheme="minorEastAsia" w:hAnsiTheme="minorEastAsia"/>
          <w:sz w:val="32"/>
          <w:szCs w:val="32"/>
        </w:rPr>
      </w:pPr>
      <w:r>
        <w:rPr>
          <w:rFonts w:hint="eastAsia" w:cs="TimesNewRoman" w:asciiTheme="minorEastAsia" w:hAnsiTheme="minorEastAsia"/>
          <w:sz w:val="32"/>
          <w:szCs w:val="32"/>
        </w:rPr>
        <w:t xml:space="preserve">    （五）坚持以教学为中心，领导教学工作。坚持深入课堂，抓好教学工作。了解教师教学和学生学习情况。指导教导处搞好教学实验和教改工作。积极引导教师进行教育科学研究，不断改进教学方法。</w:t>
      </w:r>
    </w:p>
    <w:p w14:paraId="0FC11DAD">
      <w:pPr>
        <w:rPr>
          <w:rFonts w:cs="TimesNewRoman" w:asciiTheme="minorEastAsia" w:hAnsiTheme="minorEastAsia"/>
          <w:sz w:val="32"/>
          <w:szCs w:val="32"/>
        </w:rPr>
      </w:pPr>
      <w:r>
        <w:rPr>
          <w:rFonts w:hint="eastAsia" w:cs="TimesNewRoman" w:asciiTheme="minorEastAsia" w:hAnsiTheme="minorEastAsia"/>
          <w:sz w:val="32"/>
          <w:szCs w:val="32"/>
        </w:rPr>
        <w:t xml:space="preserve">    （六）领导学校文体卫生工作。认真贯彻执行上级颁布的各项体育卫生条例，切实抓好体育课教学和课外活动。加强学校的卫生保健工作，减轻学生负担，保护学生健康。</w:t>
      </w:r>
    </w:p>
    <w:p w14:paraId="74BE861C">
      <w:pPr>
        <w:rPr>
          <w:rFonts w:cs="TimesNewRoman" w:asciiTheme="minorEastAsia" w:hAnsiTheme="minorEastAsia"/>
          <w:sz w:val="32"/>
          <w:szCs w:val="32"/>
        </w:rPr>
      </w:pPr>
      <w:r>
        <w:rPr>
          <w:rFonts w:hint="eastAsia" w:cs="TimesNewRoman" w:asciiTheme="minorEastAsia" w:hAnsiTheme="minorEastAsia"/>
          <w:sz w:val="32"/>
          <w:szCs w:val="32"/>
        </w:rPr>
        <w:t xml:space="preserve">    （七）负责做好学校的人事工作。根据上级要求，结合本校实际，聘用、调整学校的教师岗位，并在人事工作中努力做到知人善作、任人唯贤、人尽其才，充分发挥每个教职工的积极性和业务特长，加速青年教师队伍的基本建设。</w:t>
      </w:r>
    </w:p>
    <w:p w14:paraId="688F85B8">
      <w:pPr>
        <w:rPr>
          <w:rFonts w:cs="TimesNewRoman" w:asciiTheme="minorEastAsia" w:hAnsiTheme="minorEastAsia"/>
          <w:sz w:val="32"/>
          <w:szCs w:val="32"/>
        </w:rPr>
      </w:pPr>
      <w:r>
        <w:rPr>
          <w:rFonts w:hint="eastAsia" w:cs="TimesNewRoman" w:asciiTheme="minorEastAsia" w:hAnsiTheme="minorEastAsia"/>
          <w:sz w:val="32"/>
          <w:szCs w:val="32"/>
        </w:rPr>
        <w:t xml:space="preserve">    （八）坚持勤俭办学的原则，努力改善办学条件。校长对学校的财务支出认真管理，定时审批和检查，引导后勤人员树立为教学服务、为师生服务的思想，管理好学校的校舍和一切校产、经费，关心职工生活，善于为教职工排忧解难。</w:t>
      </w:r>
    </w:p>
    <w:p w14:paraId="63A4428A">
      <w:pPr>
        <w:rPr>
          <w:sz w:val="32"/>
          <w:szCs w:val="32"/>
        </w:rPr>
      </w:pPr>
      <w:r>
        <w:rPr>
          <w:rFonts w:hint="eastAsia" w:cs="TimesNewRoman" w:asciiTheme="minorEastAsia" w:hAnsiTheme="minorEastAsia"/>
          <w:sz w:val="32"/>
          <w:szCs w:val="32"/>
        </w:rPr>
        <w:t>（九）建立健全学校的各项规章制度，认真检查执行情况，保证学校正常的工作、学习秩序。</w:t>
      </w:r>
    </w:p>
    <w:p w14:paraId="4DD017A0">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二、部门预算构成</w:t>
      </w:r>
    </w:p>
    <w:p w14:paraId="3CF9DC6F">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从预算单位构成看，</w:t>
      </w:r>
      <w:r>
        <w:rPr>
          <w:rFonts w:hint="eastAsia" w:cs="TimesNewRoman" w:asciiTheme="minorEastAsia" w:hAnsiTheme="minorEastAsia" w:eastAsiaTheme="minorEastAsia"/>
          <w:bCs/>
          <w:sz w:val="32"/>
          <w:szCs w:val="32"/>
        </w:rPr>
        <w:t>烈山区职业教育中心</w:t>
      </w:r>
      <w:r>
        <w:rPr>
          <w:rFonts w:hint="eastAsia" w:cs="TimesNewRoman" w:asciiTheme="minorEastAsia" w:hAnsiTheme="minorEastAsia" w:eastAsiaTheme="minorEastAsia"/>
          <w:sz w:val="32"/>
          <w:szCs w:val="32"/>
        </w:rPr>
        <w:t>2025年度部门预算仅包括本级预算，无其他下属单位预算。</w:t>
      </w:r>
    </w:p>
    <w:p w14:paraId="3414B3EE">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三、2025年度主要工作任务</w:t>
      </w:r>
    </w:p>
    <w:p w14:paraId="1A357157">
      <w:pPr>
        <w:rPr>
          <w:rFonts w:asciiTheme="minorEastAsia" w:hAnsiTheme="minorEastAsia"/>
          <w:sz w:val="32"/>
          <w:szCs w:val="32"/>
        </w:rPr>
      </w:pPr>
      <w:r>
        <w:rPr>
          <w:rFonts w:hint="eastAsia" w:asciiTheme="minorEastAsia" w:hAnsiTheme="minorEastAsia"/>
          <w:sz w:val="32"/>
          <w:szCs w:val="32"/>
        </w:rPr>
        <w:t xml:space="preserve">    （一）强化师德师风建设，促进校园和谐发展。通过开展师德师风活动，使教师进一步转变工作作风，提高办事效率，文明执教，优质服务于学生。学生、家长对教师工作的满意度有大幅度提高。</w:t>
      </w:r>
    </w:p>
    <w:p w14:paraId="078ACE0A">
      <w:pPr>
        <w:rPr>
          <w:rFonts w:asciiTheme="minorEastAsia" w:hAnsiTheme="minorEastAsia"/>
          <w:sz w:val="32"/>
          <w:szCs w:val="32"/>
        </w:rPr>
      </w:pPr>
      <w:r>
        <w:rPr>
          <w:rFonts w:hint="eastAsia" w:asciiTheme="minorEastAsia" w:hAnsiTheme="minorEastAsia"/>
          <w:sz w:val="32"/>
          <w:szCs w:val="32"/>
        </w:rPr>
        <w:t xml:space="preserve">    （二）坚持以教学为中心，全面提高教学质量。教学工作始终坚持以教育教学质量为中心，以教学常规管理为切入点，强化本年度的教学工作。规范教学秩序，强化教学常规管理。严格执行减负规定，向课堂教学要效益，要求每位教师要树立向四十分钟要质量意识，充分利用好课堂教学平台和教育资源，切实提高教学质量。</w:t>
      </w:r>
    </w:p>
    <w:p w14:paraId="1FA4C687">
      <w:pPr>
        <w:rPr>
          <w:rFonts w:asciiTheme="minorEastAsia" w:hAnsiTheme="minorEastAsia"/>
          <w:sz w:val="32"/>
          <w:szCs w:val="32"/>
        </w:rPr>
      </w:pPr>
      <w:r>
        <w:rPr>
          <w:rFonts w:hint="eastAsia" w:asciiTheme="minorEastAsia" w:hAnsiTheme="minorEastAsia"/>
          <w:sz w:val="32"/>
          <w:szCs w:val="32"/>
        </w:rPr>
        <w:t xml:space="preserve">    （三）抓好教师队伍建设，提高教师素质。继续帮教活动，集中安排公开教学，通过听课、评课，反馈教学情况，使教师比较迅速地成长起来。发挥骨干教师、教学能手的示范和引领作用，开展一系列教研活动，促使教师学习课改精神和理念，积极钻研新教材。</w:t>
      </w:r>
    </w:p>
    <w:p w14:paraId="40EFE542">
      <w:pPr>
        <w:rPr>
          <w:rFonts w:asciiTheme="minorEastAsia" w:hAnsiTheme="minorEastAsia"/>
          <w:sz w:val="32"/>
          <w:szCs w:val="32"/>
        </w:rPr>
      </w:pPr>
      <w:r>
        <w:rPr>
          <w:rFonts w:hint="eastAsia" w:asciiTheme="minorEastAsia" w:hAnsiTheme="minorEastAsia"/>
          <w:sz w:val="32"/>
          <w:szCs w:val="32"/>
        </w:rPr>
        <w:t xml:space="preserve">    （四）坚持以德育为首位，全面实施素质教育。开展丰富多彩的课外活动，注重学生行为习惯养成教育，在全校范围内开展争做规范生活动。发挥“家校互动”职能，要求各位教师加强与学生家长进行交流，及时掌握好学生的学习动态。</w:t>
      </w:r>
    </w:p>
    <w:p w14:paraId="69D6DA5B">
      <w:pPr>
        <w:rPr>
          <w:rFonts w:asciiTheme="minorEastAsia" w:hAnsiTheme="minorEastAsia"/>
          <w:sz w:val="32"/>
          <w:szCs w:val="32"/>
        </w:rPr>
      </w:pPr>
      <w:r>
        <w:rPr>
          <w:rFonts w:hint="eastAsia" w:asciiTheme="minorEastAsia" w:hAnsiTheme="minorEastAsia"/>
          <w:sz w:val="32"/>
          <w:szCs w:val="32"/>
        </w:rPr>
        <w:t xml:space="preserve">    （五）加强学校安全和后勤服务工作，强化安全管理责任。学校安全直接关系到广大师生的生命安全，关系到社会和谐稳定。学校后勤部门本着服务于教育教学工作的原则，努力创造优美舒适的校园环境，为教育教学提供安全保障，尽心尽力做好后勤服务工作。</w:t>
      </w:r>
    </w:p>
    <w:p w14:paraId="3FCC604F">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第二部分 2025年部门（单位）预算表</w:t>
      </w:r>
    </w:p>
    <w:p w14:paraId="14CD65EA">
      <w:pPr>
        <w:pStyle w:val="4"/>
        <w:adjustRightInd w:val="0"/>
        <w:snapToGrid w:val="0"/>
        <w:spacing w:line="560" w:lineRule="exact"/>
        <w:ind w:firstLine="627" w:firstLineChars="196"/>
        <w:jc w:val="center"/>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见附件1-2</w:t>
      </w:r>
    </w:p>
    <w:p w14:paraId="205DDCF6">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第三部分 2025年部门（单位）预算情况说明</w:t>
      </w:r>
    </w:p>
    <w:p w14:paraId="694E58FD">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一、关于2025年收支总表的说明</w:t>
      </w:r>
    </w:p>
    <w:p w14:paraId="1A435E31">
      <w:pPr>
        <w:pStyle w:val="4"/>
        <w:adjustRightInd w:val="0"/>
        <w:snapToGrid w:val="0"/>
        <w:spacing w:line="560" w:lineRule="exact"/>
        <w:ind w:firstLine="627"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sz w:val="32"/>
          <w:szCs w:val="32"/>
        </w:rPr>
        <w:t>按照综合预算的原则，烈山区职业教育中心所有收入和支出均纳入部门预算管理。烈山区职业教育中心2025年收支总预算</w:t>
      </w:r>
      <w:r>
        <w:rPr>
          <w:rFonts w:hint="eastAsia" w:cs="TimesNewRoman" w:asciiTheme="minorEastAsia" w:hAnsiTheme="minorEastAsia" w:eastAsiaTheme="minorEastAsia"/>
          <w:sz w:val="32"/>
          <w:szCs w:val="32"/>
          <w:lang w:val="en-US" w:eastAsia="zh-CN"/>
        </w:rPr>
        <w:t>1204.98</w:t>
      </w:r>
      <w:r>
        <w:rPr>
          <w:rFonts w:hint="eastAsia" w:cs="TimesNewRoman" w:asciiTheme="minorEastAsia" w:hAnsiTheme="minorEastAsia" w:eastAsiaTheme="minorEastAsia"/>
          <w:sz w:val="32"/>
          <w:szCs w:val="32"/>
        </w:rPr>
        <w:t>万元，收入包括一般公共预算拨款收入、财政专户管理资金收入，支出包括：教育支出、社会保障和就业支出、卫生健康支出、住房保障支出。</w:t>
      </w:r>
    </w:p>
    <w:p w14:paraId="1DCB2C5C">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二、关于2025年收入总表的说明</w:t>
      </w:r>
    </w:p>
    <w:p w14:paraId="3698951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烈山区职业教育中心2025年收入预算</w:t>
      </w:r>
      <w:r>
        <w:rPr>
          <w:rFonts w:hint="eastAsia" w:cs="TimesNewRoman" w:asciiTheme="minorEastAsia" w:hAnsiTheme="minorEastAsia"/>
          <w:color w:val="FF0000"/>
          <w:kern w:val="0"/>
          <w:sz w:val="32"/>
          <w:szCs w:val="32"/>
        </w:rPr>
        <w:t>1204.98</w:t>
      </w:r>
      <w:r>
        <w:rPr>
          <w:rFonts w:hint="eastAsia" w:cs="TimesNewRoman" w:asciiTheme="minorEastAsia" w:hAnsiTheme="minorEastAsia"/>
          <w:kern w:val="0"/>
          <w:sz w:val="32"/>
          <w:szCs w:val="32"/>
        </w:rPr>
        <w:t>万元，其中，本年收入</w:t>
      </w:r>
      <w:r>
        <w:rPr>
          <w:rFonts w:hint="eastAsia" w:cs="TimesNewRoman" w:asciiTheme="minorEastAsia" w:hAnsiTheme="minorEastAsia"/>
          <w:color w:val="FF0000"/>
          <w:kern w:val="0"/>
          <w:sz w:val="32"/>
          <w:szCs w:val="32"/>
        </w:rPr>
        <w:t>1204.98</w:t>
      </w:r>
      <w:r>
        <w:rPr>
          <w:rFonts w:hint="eastAsia" w:cs="TimesNewRoman" w:asciiTheme="minorEastAsia" w:hAnsiTheme="minorEastAsia"/>
          <w:kern w:val="0"/>
          <w:sz w:val="32"/>
          <w:szCs w:val="32"/>
        </w:rPr>
        <w:t>万元。</w:t>
      </w:r>
    </w:p>
    <w:p w14:paraId="24ED15BC">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（一）本年收入</w:t>
      </w:r>
      <w:r>
        <w:rPr>
          <w:rFonts w:hint="eastAsia" w:cs="TimesNewRoman" w:asciiTheme="minorEastAsia" w:hAnsiTheme="minorEastAsia"/>
          <w:b/>
          <w:color w:val="FF0000"/>
          <w:kern w:val="0"/>
          <w:sz w:val="32"/>
          <w:szCs w:val="32"/>
        </w:rPr>
        <w:t>1204.98</w:t>
      </w:r>
      <w:r>
        <w:rPr>
          <w:rFonts w:hint="eastAsia" w:cs="TimesNewRoman" w:asciiTheme="minorEastAsia" w:hAnsiTheme="minorEastAsia"/>
          <w:b/>
          <w:kern w:val="0"/>
          <w:sz w:val="32"/>
          <w:szCs w:val="32"/>
        </w:rPr>
        <w:t>万元，</w:t>
      </w:r>
      <w:r>
        <w:rPr>
          <w:rFonts w:hint="eastAsia" w:cs="TimesNewRoman" w:asciiTheme="minorEastAsia" w:hAnsiTheme="minorEastAsia"/>
          <w:kern w:val="0"/>
          <w:sz w:val="32"/>
          <w:szCs w:val="32"/>
        </w:rPr>
        <w:t>主要包括：一般公共预算拨款收入</w:t>
      </w:r>
      <w:r>
        <w:rPr>
          <w:rFonts w:hint="eastAsia" w:cs="TimesNewRoman" w:asciiTheme="minorEastAsia" w:hAnsiTheme="minorEastAsia"/>
          <w:color w:val="FF0000"/>
          <w:kern w:val="0"/>
          <w:sz w:val="32"/>
          <w:szCs w:val="32"/>
        </w:rPr>
        <w:t>1004.98</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83.40%</w:t>
      </w:r>
      <w:r>
        <w:rPr>
          <w:rFonts w:hint="eastAsia" w:cs="TimesNewRoman" w:asciiTheme="minorEastAsia" w:hAnsiTheme="minorEastAsia"/>
          <w:kern w:val="0"/>
          <w:sz w:val="32"/>
          <w:szCs w:val="32"/>
        </w:rPr>
        <w:t>，比2024年预算</w:t>
      </w:r>
      <w:r>
        <w:rPr>
          <w:rFonts w:hint="eastAsia" w:cs="TimesNewRoman" w:asciiTheme="minorEastAsia" w:hAnsiTheme="minorEastAsia"/>
          <w:color w:val="FF0000"/>
          <w:kern w:val="0"/>
          <w:sz w:val="32"/>
          <w:szCs w:val="32"/>
        </w:rPr>
        <w:t>增加66.51万元，增加7.09%</w:t>
      </w:r>
      <w:r>
        <w:rPr>
          <w:rFonts w:hint="eastAsia" w:cs="TimesNewRoman" w:asciiTheme="minorEastAsia" w:hAnsiTheme="minorEastAsia"/>
          <w:kern w:val="0"/>
          <w:sz w:val="32"/>
          <w:szCs w:val="32"/>
        </w:rPr>
        <w:t>，原因主要是人员</w:t>
      </w:r>
      <w:r>
        <w:rPr>
          <w:rFonts w:hint="eastAsia" w:cs="TimesNewRoman" w:asciiTheme="minorEastAsia" w:hAnsiTheme="minorEastAsia"/>
          <w:kern w:val="0"/>
          <w:sz w:val="32"/>
          <w:szCs w:val="32"/>
          <w:lang w:eastAsia="zh-CN"/>
        </w:rPr>
        <w:t>绩效奖发放。</w:t>
      </w:r>
      <w:r>
        <w:rPr>
          <w:rFonts w:hint="eastAsia" w:cs="TimesNewRoman" w:asciiTheme="minorEastAsia" w:hAnsiTheme="minorEastAsia"/>
          <w:kern w:val="0"/>
          <w:sz w:val="32"/>
          <w:szCs w:val="32"/>
        </w:rPr>
        <w:t>专户管理资金收入</w:t>
      </w:r>
      <w:r>
        <w:rPr>
          <w:rFonts w:hint="eastAsia" w:cs="TimesNewRoman" w:asciiTheme="minorEastAsia" w:hAnsiTheme="minorEastAsia"/>
          <w:color w:val="FF0000"/>
          <w:kern w:val="0"/>
          <w:sz w:val="32"/>
          <w:szCs w:val="32"/>
        </w:rPr>
        <w:t>200</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16.60%</w:t>
      </w:r>
      <w:r>
        <w:rPr>
          <w:rFonts w:hint="eastAsia" w:cs="TimesNewRoman" w:asciiTheme="minorEastAsia" w:hAnsiTheme="minorEastAsia"/>
          <w:kern w:val="0"/>
          <w:sz w:val="32"/>
          <w:szCs w:val="32"/>
        </w:rPr>
        <w:t>，比2024年预算减少</w:t>
      </w:r>
      <w:r>
        <w:rPr>
          <w:rFonts w:hint="eastAsia" w:cs="TimesNewRoman" w:asciiTheme="minorEastAsia" w:hAnsiTheme="minorEastAsia"/>
          <w:color w:val="FF0000"/>
          <w:kern w:val="0"/>
          <w:sz w:val="32"/>
          <w:szCs w:val="32"/>
        </w:rPr>
        <w:t>20</w:t>
      </w:r>
      <w:r>
        <w:rPr>
          <w:rFonts w:hint="eastAsia" w:cs="TimesNewRoman" w:asciiTheme="minorEastAsia" w:hAnsiTheme="minorEastAsia"/>
          <w:kern w:val="0"/>
          <w:sz w:val="32"/>
          <w:szCs w:val="32"/>
        </w:rPr>
        <w:t>万元，下降）</w:t>
      </w:r>
      <w:r>
        <w:rPr>
          <w:rFonts w:hint="eastAsia" w:cs="TimesNewRoman" w:asciiTheme="minorEastAsia" w:hAnsiTheme="minorEastAsia"/>
          <w:color w:val="FF0000"/>
          <w:kern w:val="0"/>
          <w:sz w:val="32"/>
          <w:szCs w:val="32"/>
        </w:rPr>
        <w:t>9.09%</w:t>
      </w:r>
      <w:r>
        <w:rPr>
          <w:rFonts w:hint="eastAsia" w:cs="TimesNewRoman" w:asciiTheme="minorEastAsia" w:hAnsiTheme="minorEastAsia"/>
          <w:kern w:val="0"/>
          <w:sz w:val="32"/>
          <w:szCs w:val="32"/>
        </w:rPr>
        <w:t>，原因主要是</w:t>
      </w:r>
      <w:r>
        <w:rPr>
          <w:rFonts w:hint="eastAsia" w:cs="TimesNewRoman" w:asciiTheme="minorEastAsia" w:hAnsiTheme="minorEastAsia"/>
          <w:kern w:val="0"/>
          <w:sz w:val="32"/>
          <w:szCs w:val="32"/>
          <w:lang w:eastAsia="zh-CN"/>
        </w:rPr>
        <w:t>学费住宿费减少</w:t>
      </w:r>
      <w:r>
        <w:rPr>
          <w:rFonts w:hint="eastAsia" w:cs="TimesNewRoman" w:asciiTheme="minorEastAsia" w:hAnsiTheme="minorEastAsia"/>
          <w:kern w:val="0"/>
          <w:sz w:val="32"/>
          <w:szCs w:val="32"/>
        </w:rPr>
        <w:t>。</w:t>
      </w:r>
    </w:p>
    <w:p w14:paraId="29F04172">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三、关于2025年支出总表的说明</w:t>
      </w:r>
    </w:p>
    <w:p w14:paraId="4FF2CEF5">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烈山区职业教育中心2025年支出预算</w:t>
      </w:r>
      <w:r>
        <w:rPr>
          <w:rFonts w:hint="eastAsia" w:cs="TimesNewRoman" w:asciiTheme="minorEastAsia" w:hAnsiTheme="minorEastAsia"/>
          <w:color w:val="FF0000"/>
          <w:kern w:val="0"/>
          <w:sz w:val="32"/>
          <w:szCs w:val="32"/>
        </w:rPr>
        <w:t>1204.98</w:t>
      </w:r>
      <w:r>
        <w:rPr>
          <w:rFonts w:hint="eastAsia" w:cs="TimesNewRoman" w:asciiTheme="minorEastAsia" w:hAnsiTheme="minorEastAsia"/>
          <w:kern w:val="0"/>
          <w:sz w:val="32"/>
          <w:szCs w:val="32"/>
        </w:rPr>
        <w:t>万元，比2024年预算增加</w:t>
      </w:r>
      <w:r>
        <w:rPr>
          <w:rFonts w:hint="eastAsia" w:cs="TimesNewRoman" w:asciiTheme="minorEastAsia" w:hAnsiTheme="minorEastAsia"/>
          <w:color w:val="FF0000"/>
          <w:kern w:val="0"/>
          <w:sz w:val="32"/>
          <w:szCs w:val="32"/>
        </w:rPr>
        <w:t>46.51万元</w:t>
      </w:r>
      <w:r>
        <w:rPr>
          <w:rFonts w:hint="eastAsia" w:cs="TimesNewRoman" w:asciiTheme="minorEastAsia" w:hAnsiTheme="minorEastAsia"/>
          <w:kern w:val="0"/>
          <w:sz w:val="32"/>
          <w:szCs w:val="32"/>
        </w:rPr>
        <w:t>，增长</w:t>
      </w:r>
      <w:r>
        <w:rPr>
          <w:rFonts w:hint="eastAsia" w:cs="TimesNewRoman" w:asciiTheme="minorEastAsia" w:hAnsiTheme="minorEastAsia"/>
          <w:color w:val="FF0000"/>
          <w:kern w:val="0"/>
          <w:sz w:val="32"/>
          <w:szCs w:val="32"/>
        </w:rPr>
        <w:t>4.01%</w:t>
      </w:r>
      <w:r>
        <w:rPr>
          <w:rFonts w:hint="eastAsia" w:cs="TimesNewRoman" w:asciiTheme="minorEastAsia" w:hAnsiTheme="minorEastAsia"/>
          <w:kern w:val="0"/>
          <w:sz w:val="32"/>
          <w:szCs w:val="32"/>
        </w:rPr>
        <w:t>，原因主要是人员</w:t>
      </w:r>
      <w:r>
        <w:rPr>
          <w:rFonts w:hint="eastAsia" w:cs="TimesNewRoman" w:asciiTheme="minorEastAsia" w:hAnsiTheme="minorEastAsia"/>
          <w:kern w:val="0"/>
          <w:sz w:val="32"/>
          <w:szCs w:val="32"/>
          <w:lang w:eastAsia="zh-CN"/>
        </w:rPr>
        <w:t>基础绩效奖支出</w:t>
      </w:r>
      <w:r>
        <w:rPr>
          <w:rFonts w:hint="eastAsia" w:cs="TimesNewRoman" w:asciiTheme="minorEastAsia" w:hAnsiTheme="minorEastAsia"/>
          <w:kern w:val="0"/>
          <w:sz w:val="32"/>
          <w:szCs w:val="32"/>
        </w:rPr>
        <w:t>。其中，基本支出</w:t>
      </w:r>
      <w:r>
        <w:rPr>
          <w:rFonts w:hint="eastAsia" w:cs="TimesNewRoman" w:asciiTheme="minorEastAsia" w:hAnsiTheme="minorEastAsia"/>
          <w:color w:val="FF0000"/>
          <w:kern w:val="0"/>
          <w:sz w:val="32"/>
          <w:szCs w:val="32"/>
        </w:rPr>
        <w:t>899.98</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74.69%</w:t>
      </w:r>
      <w:r>
        <w:rPr>
          <w:rFonts w:hint="eastAsia" w:cs="TimesNewRoman" w:asciiTheme="minorEastAsia" w:hAnsiTheme="minorEastAsia"/>
          <w:kern w:val="0"/>
          <w:sz w:val="32"/>
          <w:szCs w:val="32"/>
        </w:rPr>
        <w:t>，主要用于保障机构人员工资及社会保障支出；项目支出</w:t>
      </w:r>
      <w:r>
        <w:rPr>
          <w:rFonts w:hint="eastAsia" w:cs="TimesNewRoman" w:asciiTheme="minorEastAsia" w:hAnsiTheme="minorEastAsia"/>
          <w:color w:val="FF0000"/>
          <w:kern w:val="0"/>
          <w:sz w:val="32"/>
          <w:szCs w:val="32"/>
        </w:rPr>
        <w:t>305</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25.31%</w:t>
      </w:r>
      <w:r>
        <w:rPr>
          <w:rFonts w:hint="eastAsia" w:cs="TimesNewRoman" w:asciiTheme="minorEastAsia" w:hAnsiTheme="minorEastAsia"/>
          <w:kern w:val="0"/>
          <w:sz w:val="32"/>
          <w:szCs w:val="32"/>
        </w:rPr>
        <w:t>，主要用于保障机构日常运转、完成日常工作任务。</w:t>
      </w:r>
    </w:p>
    <w:p w14:paraId="67C52DFE">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四、关于2025年财政拨款收支总表的说明</w:t>
      </w:r>
    </w:p>
    <w:p w14:paraId="18574A99">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烈山区职业教育中心2025年财政拨款收支预算</w:t>
      </w:r>
      <w:r>
        <w:rPr>
          <w:rFonts w:hint="eastAsia" w:cs="TimesNewRoman" w:asciiTheme="minorEastAsia" w:hAnsiTheme="minorEastAsia"/>
          <w:color w:val="FF0000"/>
          <w:kern w:val="0"/>
          <w:sz w:val="32"/>
          <w:szCs w:val="32"/>
        </w:rPr>
        <w:t>1204.98</w:t>
      </w:r>
      <w:r>
        <w:rPr>
          <w:rFonts w:hint="eastAsia" w:cs="TimesNewRoman" w:asciiTheme="minorEastAsia" w:hAnsiTheme="minorEastAsia"/>
          <w:kern w:val="0"/>
          <w:sz w:val="32"/>
          <w:szCs w:val="32"/>
        </w:rPr>
        <w:t>万元。收入按资金来源分为：一般公共预算拨款</w:t>
      </w:r>
      <w:r>
        <w:rPr>
          <w:rFonts w:hint="eastAsia" w:cs="TimesNewRoman" w:asciiTheme="minorEastAsia" w:hAnsiTheme="minorEastAsia"/>
          <w:color w:val="FF0000"/>
          <w:kern w:val="0"/>
          <w:sz w:val="32"/>
          <w:szCs w:val="32"/>
        </w:rPr>
        <w:t>1</w:t>
      </w:r>
      <w:r>
        <w:rPr>
          <w:rFonts w:hint="eastAsia" w:cs="TimesNewRoman" w:asciiTheme="minorEastAsia" w:hAnsiTheme="minorEastAsia"/>
          <w:color w:val="FF0000"/>
          <w:kern w:val="0"/>
          <w:sz w:val="32"/>
          <w:szCs w:val="32"/>
          <w:lang w:val="en-US" w:eastAsia="zh-CN"/>
        </w:rPr>
        <w:t>0</w:t>
      </w:r>
      <w:r>
        <w:rPr>
          <w:rFonts w:hint="eastAsia" w:cs="TimesNewRoman" w:asciiTheme="minorEastAsia" w:hAnsiTheme="minorEastAsia"/>
          <w:color w:val="FF0000"/>
          <w:kern w:val="0"/>
          <w:sz w:val="32"/>
          <w:szCs w:val="32"/>
        </w:rPr>
        <w:t>04.98</w:t>
      </w:r>
      <w:r>
        <w:rPr>
          <w:rFonts w:hint="eastAsia" w:cs="TimesNewRoman" w:asciiTheme="minorEastAsia" w:hAnsiTheme="minorEastAsia"/>
          <w:kern w:val="0"/>
          <w:sz w:val="32"/>
          <w:szCs w:val="32"/>
        </w:rPr>
        <w:t>万元；按资金年度分为：本年财政拨款收入</w:t>
      </w:r>
      <w:r>
        <w:rPr>
          <w:rFonts w:hint="eastAsia" w:cs="TimesNewRoman" w:asciiTheme="minorEastAsia" w:hAnsiTheme="minorEastAsia"/>
          <w:color w:val="FF0000"/>
          <w:kern w:val="0"/>
          <w:sz w:val="32"/>
          <w:szCs w:val="32"/>
        </w:rPr>
        <w:t>1</w:t>
      </w:r>
      <w:r>
        <w:rPr>
          <w:rFonts w:hint="eastAsia" w:cs="TimesNewRoman" w:asciiTheme="minorEastAsia" w:hAnsiTheme="minorEastAsia"/>
          <w:color w:val="FF0000"/>
          <w:kern w:val="0"/>
          <w:sz w:val="32"/>
          <w:szCs w:val="32"/>
          <w:lang w:val="en-US" w:eastAsia="zh-CN"/>
        </w:rPr>
        <w:t>0</w:t>
      </w:r>
      <w:r>
        <w:rPr>
          <w:rFonts w:hint="eastAsia" w:cs="TimesNewRoman" w:asciiTheme="minorEastAsia" w:hAnsiTheme="minorEastAsia"/>
          <w:color w:val="FF0000"/>
          <w:kern w:val="0"/>
          <w:sz w:val="32"/>
          <w:szCs w:val="32"/>
        </w:rPr>
        <w:t>04.98</w:t>
      </w:r>
      <w:r>
        <w:rPr>
          <w:rFonts w:hint="eastAsia" w:cs="TimesNewRoman" w:asciiTheme="minorEastAsia" w:hAnsiTheme="minorEastAsia"/>
          <w:kern w:val="0"/>
          <w:sz w:val="32"/>
          <w:szCs w:val="32"/>
        </w:rPr>
        <w:t>万元。支出按功能分类分为：教育支出</w:t>
      </w:r>
      <w:r>
        <w:rPr>
          <w:rFonts w:hint="eastAsia" w:cs="TimesNewRoman" w:asciiTheme="minorEastAsia" w:hAnsiTheme="minorEastAsia"/>
          <w:color w:val="FF0000"/>
          <w:kern w:val="0"/>
          <w:sz w:val="32"/>
          <w:szCs w:val="32"/>
        </w:rPr>
        <w:t>857.9</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71.20%</w:t>
      </w:r>
      <w:r>
        <w:rPr>
          <w:rFonts w:hint="eastAsia" w:cs="TimesNewRoman" w:asciiTheme="minorEastAsia" w:hAnsiTheme="minorEastAsia"/>
          <w:kern w:val="0"/>
          <w:sz w:val="32"/>
          <w:szCs w:val="32"/>
        </w:rPr>
        <w:t>；社会保障和就业支出</w:t>
      </w:r>
      <w:r>
        <w:rPr>
          <w:rFonts w:hint="eastAsia" w:cs="TimesNewRoman" w:asciiTheme="minorEastAsia" w:hAnsiTheme="minorEastAsia"/>
          <w:color w:val="FF0000"/>
          <w:kern w:val="0"/>
          <w:sz w:val="32"/>
          <w:szCs w:val="32"/>
        </w:rPr>
        <w:t>183.26</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15.21%</w:t>
      </w:r>
      <w:r>
        <w:rPr>
          <w:rFonts w:hint="eastAsia" w:cs="TimesNewRoman" w:asciiTheme="minorEastAsia" w:hAnsiTheme="minorEastAsia"/>
          <w:kern w:val="0"/>
          <w:sz w:val="32"/>
          <w:szCs w:val="32"/>
        </w:rPr>
        <w:t>；卫生健康支出</w:t>
      </w:r>
      <w:r>
        <w:rPr>
          <w:rFonts w:hint="eastAsia" w:cs="TimesNewRoman" w:asciiTheme="minorEastAsia" w:hAnsiTheme="minorEastAsia"/>
          <w:color w:val="FF0000"/>
          <w:kern w:val="0"/>
          <w:sz w:val="32"/>
          <w:szCs w:val="32"/>
        </w:rPr>
        <w:t>42.28</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3.51%</w:t>
      </w:r>
      <w:r>
        <w:rPr>
          <w:rFonts w:hint="eastAsia" w:cs="TimesNewRoman" w:asciiTheme="minorEastAsia" w:hAnsiTheme="minorEastAsia"/>
          <w:kern w:val="0"/>
          <w:sz w:val="32"/>
          <w:szCs w:val="32"/>
        </w:rPr>
        <w:t>；住房保障支出</w:t>
      </w:r>
      <w:r>
        <w:rPr>
          <w:rFonts w:hint="eastAsia" w:cs="TimesNewRoman" w:asciiTheme="minorEastAsia" w:hAnsiTheme="minorEastAsia"/>
          <w:color w:val="FF0000"/>
          <w:kern w:val="0"/>
          <w:sz w:val="32"/>
          <w:szCs w:val="32"/>
        </w:rPr>
        <w:t>121.54</w:t>
      </w:r>
      <w:r>
        <w:rPr>
          <w:rFonts w:hint="eastAsia" w:cs="TimesNewRoman" w:asciiTheme="minorEastAsia" w:hAnsiTheme="minorEastAsia"/>
          <w:kern w:val="0"/>
          <w:sz w:val="32"/>
          <w:szCs w:val="32"/>
        </w:rPr>
        <w:t>万元，占</w:t>
      </w:r>
      <w:r>
        <w:rPr>
          <w:rFonts w:hint="eastAsia" w:cs="TimesNewRoman" w:asciiTheme="minorEastAsia" w:hAnsiTheme="minorEastAsia"/>
          <w:color w:val="FF0000"/>
          <w:kern w:val="0"/>
          <w:sz w:val="32"/>
          <w:szCs w:val="32"/>
        </w:rPr>
        <w:t>10.09%</w:t>
      </w:r>
      <w:r>
        <w:rPr>
          <w:rFonts w:hint="eastAsia" w:cs="TimesNewRoman" w:asciiTheme="minorEastAsia" w:hAnsiTheme="minorEastAsia"/>
          <w:kern w:val="0"/>
          <w:sz w:val="32"/>
          <w:szCs w:val="32"/>
        </w:rPr>
        <w:t>。</w:t>
      </w:r>
    </w:p>
    <w:p w14:paraId="7F0F8A0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五、关于2025年一般公共预算支出表的说明</w:t>
      </w:r>
    </w:p>
    <w:p w14:paraId="22BD53DB">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（一）一般公共预算支出规模变化情况。</w:t>
      </w:r>
    </w:p>
    <w:p w14:paraId="55429464">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烈山区职业教育中心2025年一般公共预算支出</w:t>
      </w:r>
      <w:r>
        <w:rPr>
          <w:rFonts w:hint="eastAsia" w:cs="TimesNewRoman" w:asciiTheme="minorEastAsia" w:hAnsiTheme="minorEastAsia"/>
          <w:color w:val="FF0000"/>
          <w:kern w:val="0"/>
          <w:sz w:val="32"/>
          <w:szCs w:val="32"/>
        </w:rPr>
        <w:t>1004.98</w:t>
      </w:r>
      <w:r>
        <w:rPr>
          <w:rFonts w:hint="eastAsia" w:cs="TimesNewRoman" w:asciiTheme="minorEastAsia" w:hAnsiTheme="minorEastAsia"/>
          <w:kern w:val="0"/>
          <w:sz w:val="32"/>
          <w:szCs w:val="32"/>
        </w:rPr>
        <w:t>万元，比2024年预算</w:t>
      </w:r>
      <w:r>
        <w:rPr>
          <w:rFonts w:hint="eastAsia" w:cs="TimesNewRoman" w:asciiTheme="minorEastAsia" w:hAnsiTheme="minorEastAsia"/>
          <w:color w:val="FF0000"/>
          <w:kern w:val="0"/>
          <w:sz w:val="32"/>
          <w:szCs w:val="32"/>
        </w:rPr>
        <w:t>增加66.51</w:t>
      </w:r>
      <w:r>
        <w:rPr>
          <w:rFonts w:hint="eastAsia" w:cs="TimesNewRoman" w:asciiTheme="minorEastAsia" w:hAnsiTheme="minorEastAsia"/>
          <w:kern w:val="0"/>
          <w:sz w:val="32"/>
          <w:szCs w:val="32"/>
        </w:rPr>
        <w:t>万元，</w:t>
      </w:r>
      <w:r>
        <w:rPr>
          <w:rFonts w:hint="eastAsia" w:cs="TimesNewRoman" w:asciiTheme="minorEastAsia" w:hAnsiTheme="minorEastAsia"/>
          <w:color w:val="FF0000"/>
          <w:kern w:val="0"/>
          <w:sz w:val="32"/>
          <w:szCs w:val="32"/>
        </w:rPr>
        <w:t>增长7.09%</w:t>
      </w:r>
      <w:r>
        <w:rPr>
          <w:rFonts w:hint="eastAsia" w:cs="TimesNewRoman" w:asciiTheme="minorEastAsia" w:hAnsiTheme="minorEastAsia"/>
          <w:kern w:val="0"/>
          <w:sz w:val="32"/>
          <w:szCs w:val="32"/>
        </w:rPr>
        <w:t>，主要原因：</w:t>
      </w:r>
      <w:r>
        <w:rPr>
          <w:rFonts w:hint="eastAsia" w:cs="TimesNewRoman" w:asciiTheme="minorEastAsia" w:hAnsiTheme="minorEastAsia"/>
          <w:kern w:val="0"/>
          <w:sz w:val="32"/>
          <w:szCs w:val="32"/>
          <w:lang w:eastAsia="zh-CN"/>
        </w:rPr>
        <w:t>退休</w:t>
      </w:r>
      <w:r>
        <w:rPr>
          <w:rFonts w:hint="eastAsia" w:cs="TimesNewRoman" w:asciiTheme="minorEastAsia" w:hAnsiTheme="minorEastAsia"/>
          <w:kern w:val="0"/>
          <w:sz w:val="32"/>
          <w:szCs w:val="32"/>
        </w:rPr>
        <w:t>人员</w:t>
      </w:r>
      <w:r>
        <w:rPr>
          <w:rFonts w:hint="eastAsia" w:cs="TimesNewRoman" w:asciiTheme="minorEastAsia" w:hAnsiTheme="minorEastAsia"/>
          <w:kern w:val="0"/>
          <w:sz w:val="32"/>
          <w:szCs w:val="32"/>
          <w:lang w:eastAsia="zh-CN"/>
        </w:rPr>
        <w:t>基础绩效奖</w:t>
      </w:r>
      <w:r>
        <w:rPr>
          <w:rFonts w:hint="eastAsia" w:cs="TimesNewRoman" w:asciiTheme="minorEastAsia" w:hAnsiTheme="minorEastAsia"/>
          <w:kern w:val="0"/>
          <w:sz w:val="32"/>
          <w:szCs w:val="32"/>
        </w:rPr>
        <w:t>支出</w:t>
      </w:r>
      <w:r>
        <w:rPr>
          <w:rFonts w:hint="eastAsia" w:cs="TimesNewRoman" w:asciiTheme="minorEastAsia" w:hAnsiTheme="minorEastAsia"/>
          <w:kern w:val="0"/>
          <w:sz w:val="32"/>
          <w:szCs w:val="32"/>
          <w:lang w:eastAsia="zh-CN"/>
        </w:rPr>
        <w:t>增加</w:t>
      </w:r>
      <w:r>
        <w:rPr>
          <w:rFonts w:hint="eastAsia" w:cs="TimesNewRoman" w:asciiTheme="minorEastAsia" w:hAnsiTheme="minorEastAsia"/>
          <w:kern w:val="0"/>
          <w:sz w:val="32"/>
          <w:szCs w:val="32"/>
        </w:rPr>
        <w:t>。</w:t>
      </w:r>
    </w:p>
    <w:p w14:paraId="48F9A2AC">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（二）一般公共预算支出结构情况。</w:t>
      </w:r>
    </w:p>
    <w:p w14:paraId="3B76D905">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教育支出</w:t>
      </w:r>
      <w:r>
        <w:rPr>
          <w:rFonts w:hint="eastAsia" w:cs="TimesNewRoman" w:asciiTheme="minorEastAsia" w:hAnsiTheme="minorEastAsia"/>
          <w:color w:val="FF0000"/>
          <w:kern w:val="0"/>
          <w:sz w:val="32"/>
          <w:szCs w:val="32"/>
        </w:rPr>
        <w:t>657.9万元</w:t>
      </w:r>
      <w:r>
        <w:rPr>
          <w:rFonts w:hint="eastAsia" w:cs="TimesNewRoman" w:asciiTheme="minorEastAsia" w:hAnsiTheme="minorEastAsia"/>
          <w:kern w:val="0"/>
          <w:sz w:val="32"/>
          <w:szCs w:val="32"/>
        </w:rPr>
        <w:t>，占</w:t>
      </w:r>
      <w:r>
        <w:rPr>
          <w:rFonts w:hint="eastAsia" w:cs="TimesNewRoman" w:asciiTheme="minorEastAsia" w:hAnsiTheme="minorEastAsia"/>
          <w:color w:val="FF0000"/>
          <w:kern w:val="0"/>
          <w:sz w:val="32"/>
          <w:szCs w:val="32"/>
        </w:rPr>
        <w:t>65.46%</w:t>
      </w:r>
      <w:r>
        <w:rPr>
          <w:rFonts w:hint="eastAsia" w:cs="TimesNewRoman" w:asciiTheme="minorEastAsia" w:hAnsiTheme="minorEastAsia"/>
          <w:kern w:val="0"/>
          <w:sz w:val="32"/>
          <w:szCs w:val="32"/>
        </w:rPr>
        <w:t>；社会保障和就业支出</w:t>
      </w:r>
      <w:r>
        <w:rPr>
          <w:rFonts w:hint="eastAsia" w:cs="TimesNewRoman" w:asciiTheme="minorEastAsia" w:hAnsiTheme="minorEastAsia"/>
          <w:color w:val="FF0000"/>
          <w:kern w:val="0"/>
          <w:sz w:val="32"/>
          <w:szCs w:val="32"/>
        </w:rPr>
        <w:t>183.26万元</w:t>
      </w:r>
      <w:r>
        <w:rPr>
          <w:rFonts w:hint="eastAsia" w:cs="TimesNewRoman" w:asciiTheme="minorEastAsia" w:hAnsiTheme="minorEastAsia"/>
          <w:kern w:val="0"/>
          <w:sz w:val="32"/>
          <w:szCs w:val="32"/>
        </w:rPr>
        <w:t>，占</w:t>
      </w:r>
      <w:r>
        <w:rPr>
          <w:rFonts w:hint="eastAsia" w:cs="TimesNewRoman" w:asciiTheme="minorEastAsia" w:hAnsiTheme="minorEastAsia"/>
          <w:color w:val="FF0000"/>
          <w:kern w:val="0"/>
          <w:sz w:val="32"/>
          <w:szCs w:val="32"/>
        </w:rPr>
        <w:t>18.24%</w:t>
      </w:r>
      <w:r>
        <w:rPr>
          <w:rFonts w:hint="eastAsia" w:cs="TimesNewRoman" w:asciiTheme="minorEastAsia" w:hAnsiTheme="minorEastAsia"/>
          <w:kern w:val="0"/>
          <w:sz w:val="32"/>
          <w:szCs w:val="32"/>
        </w:rPr>
        <w:t>；卫生健康支出</w:t>
      </w:r>
      <w:r>
        <w:rPr>
          <w:rFonts w:hint="eastAsia" w:cs="TimesNewRoman" w:asciiTheme="minorEastAsia" w:hAnsiTheme="minorEastAsia"/>
          <w:color w:val="FF0000"/>
          <w:kern w:val="0"/>
          <w:sz w:val="32"/>
          <w:szCs w:val="32"/>
        </w:rPr>
        <w:t>42.28万元</w:t>
      </w:r>
      <w:r>
        <w:rPr>
          <w:rFonts w:hint="eastAsia" w:cs="TimesNewRoman" w:asciiTheme="minorEastAsia" w:hAnsiTheme="minorEastAsia"/>
          <w:kern w:val="0"/>
          <w:sz w:val="32"/>
          <w:szCs w:val="32"/>
        </w:rPr>
        <w:t>，占</w:t>
      </w:r>
      <w:r>
        <w:rPr>
          <w:rFonts w:hint="eastAsia" w:cs="TimesNewRoman" w:asciiTheme="minorEastAsia" w:hAnsiTheme="minorEastAsia"/>
          <w:color w:val="FF0000"/>
          <w:kern w:val="0"/>
          <w:sz w:val="32"/>
          <w:szCs w:val="32"/>
        </w:rPr>
        <w:t>4.21%</w:t>
      </w:r>
      <w:r>
        <w:rPr>
          <w:rFonts w:hint="eastAsia" w:cs="TimesNewRoman" w:asciiTheme="minorEastAsia" w:hAnsiTheme="minorEastAsia"/>
          <w:kern w:val="0"/>
          <w:sz w:val="32"/>
          <w:szCs w:val="32"/>
        </w:rPr>
        <w:t>；住房保障支出</w:t>
      </w:r>
      <w:r>
        <w:rPr>
          <w:rFonts w:hint="eastAsia" w:cs="TimesNewRoman" w:asciiTheme="minorEastAsia" w:hAnsiTheme="minorEastAsia"/>
          <w:color w:val="FF0000"/>
          <w:kern w:val="0"/>
          <w:sz w:val="32"/>
          <w:szCs w:val="32"/>
        </w:rPr>
        <w:t>121.54万元</w:t>
      </w:r>
      <w:r>
        <w:rPr>
          <w:rFonts w:hint="eastAsia" w:cs="TimesNewRoman" w:asciiTheme="minorEastAsia" w:hAnsiTheme="minorEastAsia"/>
          <w:kern w:val="0"/>
          <w:sz w:val="32"/>
          <w:szCs w:val="32"/>
        </w:rPr>
        <w:t>，占</w:t>
      </w:r>
      <w:r>
        <w:rPr>
          <w:rFonts w:hint="eastAsia" w:cs="TimesNewRoman" w:asciiTheme="minorEastAsia" w:hAnsiTheme="minorEastAsia"/>
          <w:color w:val="FF0000"/>
          <w:kern w:val="0"/>
          <w:sz w:val="32"/>
          <w:szCs w:val="32"/>
        </w:rPr>
        <w:t>12.09%</w:t>
      </w:r>
      <w:r>
        <w:rPr>
          <w:rFonts w:hint="eastAsia" w:cs="TimesNewRoman" w:asciiTheme="minorEastAsia" w:hAnsiTheme="minorEastAsia"/>
          <w:kern w:val="0"/>
          <w:sz w:val="32"/>
          <w:szCs w:val="32"/>
        </w:rPr>
        <w:t>。</w:t>
      </w:r>
    </w:p>
    <w:p w14:paraId="252758BC">
      <w:pPr>
        <w:pStyle w:val="4"/>
        <w:adjustRightInd w:val="0"/>
        <w:snapToGrid w:val="0"/>
        <w:spacing w:line="560" w:lineRule="exact"/>
        <w:ind w:firstLine="630" w:firstLineChars="196"/>
        <w:rPr>
          <w:rFonts w:cs="TimesNewRoman" w:asciiTheme="minorEastAsia" w:hAnsiTheme="minorEastAsia" w:eastAsiaTheme="minorEastAsia"/>
          <w:b/>
          <w:sz w:val="32"/>
          <w:szCs w:val="32"/>
        </w:rPr>
      </w:pPr>
      <w:r>
        <w:rPr>
          <w:rFonts w:hint="eastAsia" w:cs="TimesNewRoman" w:asciiTheme="minorEastAsia" w:hAnsiTheme="minorEastAsia" w:eastAsiaTheme="minorEastAsia"/>
          <w:b/>
          <w:sz w:val="32"/>
          <w:szCs w:val="32"/>
        </w:rPr>
        <w:t>（三）一般公共预算支出具体使用情况。</w:t>
      </w:r>
    </w:p>
    <w:p w14:paraId="2368A5E8">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1、</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lang w:eastAsia="zh-CN"/>
        </w:rPr>
        <w:t>职业</w:t>
      </w:r>
      <w:r>
        <w:rPr>
          <w:rFonts w:hint="eastAsia" w:ascii="TimesNewRoman" w:hAnsi="TimesNewRoman" w:cs="TimesNewRoman"/>
          <w:b/>
          <w:sz w:val="32"/>
          <w:szCs w:val="32"/>
        </w:rPr>
        <w:t>教育</w:t>
      </w:r>
      <w:r>
        <w:rPr>
          <w:rFonts w:ascii="TimesNewRoman" w:hAnsi="TimesNewRoman" w:cs="TimesNewRoman"/>
          <w:b/>
          <w:sz w:val="32"/>
          <w:szCs w:val="32"/>
        </w:rPr>
        <w:t>（款）</w:t>
      </w:r>
      <w:r>
        <w:rPr>
          <w:rFonts w:hint="eastAsia" w:ascii="TimesNewRoman" w:hAnsi="TimesNewRoman" w:cs="TimesNewRoman"/>
          <w:b/>
          <w:sz w:val="32"/>
          <w:szCs w:val="32"/>
          <w:lang w:eastAsia="zh-CN"/>
        </w:rPr>
        <w:t>中等</w:t>
      </w:r>
      <w:r>
        <w:rPr>
          <w:rFonts w:hint="eastAsia" w:ascii="TimesNewRoman" w:hAnsi="TimesNewRoman" w:cs="TimesNewRoman"/>
          <w:b/>
          <w:sz w:val="32"/>
          <w:szCs w:val="32"/>
        </w:rPr>
        <w:t>职业教育</w:t>
      </w:r>
      <w:r>
        <w:rPr>
          <w:rFonts w:ascii="TimesNewRoman" w:hAnsi="TimesNewRoman" w:cs="TimesNewRoman"/>
          <w:b/>
          <w:sz w:val="32"/>
          <w:szCs w:val="32"/>
        </w:rPr>
        <w:t>（项）</w:t>
      </w:r>
      <w:r>
        <w:rPr>
          <w:rFonts w:hint="eastAsia" w:cs="TimesNewRoman" w:asciiTheme="minorEastAsia" w:hAnsiTheme="minorEastAsia"/>
          <w:kern w:val="0"/>
          <w:sz w:val="32"/>
          <w:szCs w:val="32"/>
        </w:rPr>
        <w:t>2025年预算</w:t>
      </w:r>
      <w:r>
        <w:rPr>
          <w:rFonts w:hint="eastAsia" w:cs="TimesNewRoman" w:asciiTheme="minorEastAsia" w:hAnsiTheme="minorEastAsia"/>
          <w:color w:val="FF0000"/>
          <w:kern w:val="0"/>
          <w:sz w:val="32"/>
          <w:szCs w:val="32"/>
        </w:rPr>
        <w:t>657.9万元</w:t>
      </w:r>
      <w:r>
        <w:rPr>
          <w:rFonts w:hint="eastAsia" w:cs="TimesNewRoman" w:asciiTheme="minorEastAsia" w:hAnsiTheme="minorEastAsia"/>
          <w:kern w:val="0"/>
          <w:sz w:val="32"/>
          <w:szCs w:val="32"/>
        </w:rPr>
        <w:t>，比2024年预算增加</w:t>
      </w:r>
      <w:r>
        <w:rPr>
          <w:rFonts w:hint="eastAsia" w:cs="TimesNewRoman" w:asciiTheme="minorEastAsia" w:hAnsiTheme="minorEastAsia"/>
          <w:color w:val="FF0000"/>
          <w:kern w:val="0"/>
          <w:sz w:val="32"/>
          <w:szCs w:val="32"/>
        </w:rPr>
        <w:t>12.82万元</w:t>
      </w:r>
      <w:r>
        <w:rPr>
          <w:rFonts w:hint="eastAsia" w:cs="TimesNewRoman" w:asciiTheme="minorEastAsia" w:hAnsiTheme="minorEastAsia"/>
          <w:kern w:val="0"/>
          <w:sz w:val="32"/>
          <w:szCs w:val="32"/>
        </w:rPr>
        <w:t>，增长</w:t>
      </w:r>
      <w:r>
        <w:rPr>
          <w:rFonts w:hint="eastAsia" w:cs="TimesNewRoman" w:asciiTheme="minorEastAsia" w:hAnsiTheme="minorEastAsia"/>
          <w:color w:val="FF0000"/>
          <w:kern w:val="0"/>
          <w:sz w:val="32"/>
          <w:szCs w:val="32"/>
        </w:rPr>
        <w:t>1.99%</w:t>
      </w:r>
      <w:r>
        <w:rPr>
          <w:rFonts w:hint="eastAsia" w:cs="TimesNewRoman" w:asciiTheme="minorEastAsia" w:hAnsiTheme="minorEastAsia"/>
          <w:kern w:val="0"/>
          <w:sz w:val="32"/>
          <w:szCs w:val="32"/>
        </w:rPr>
        <w:t>，原因主要是部分在职人员调整工资增加。</w:t>
      </w:r>
    </w:p>
    <w:p w14:paraId="390B1CE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w:t>
      </w:r>
      <w:r>
        <w:rPr>
          <w:rFonts w:hint="eastAsia" w:ascii="TimesNewRoman" w:hAnsi="TimesNewRoman" w:cs="TimesNewRoman"/>
          <w:b/>
          <w:sz w:val="32"/>
          <w:szCs w:val="32"/>
        </w:rPr>
        <w:t>教育</w:t>
      </w:r>
      <w:r>
        <w:rPr>
          <w:rFonts w:ascii="TimesNewRoman" w:hAnsi="TimesNewRoman" w:cs="TimesNewRoman"/>
          <w:b/>
          <w:sz w:val="32"/>
          <w:szCs w:val="32"/>
        </w:rPr>
        <w:t>支出（类）</w:t>
      </w:r>
      <w:r>
        <w:rPr>
          <w:rFonts w:hint="eastAsia" w:ascii="TimesNewRoman" w:hAnsi="TimesNewRoman" w:cs="TimesNewRoman"/>
          <w:b/>
          <w:sz w:val="32"/>
          <w:szCs w:val="32"/>
          <w:lang w:eastAsia="zh-CN"/>
        </w:rPr>
        <w:t>职业</w:t>
      </w:r>
      <w:r>
        <w:rPr>
          <w:rFonts w:hint="eastAsia" w:ascii="TimesNewRoman" w:hAnsi="TimesNewRoman" w:cs="TimesNewRoman"/>
          <w:b/>
          <w:sz w:val="32"/>
          <w:szCs w:val="32"/>
        </w:rPr>
        <w:t>教育</w:t>
      </w:r>
      <w:r>
        <w:rPr>
          <w:rFonts w:ascii="TimesNewRoman" w:hAnsi="TimesNewRoman" w:cs="TimesNewRoman"/>
          <w:b/>
          <w:sz w:val="32"/>
          <w:szCs w:val="32"/>
        </w:rPr>
        <w:t>（款）</w:t>
      </w:r>
      <w:r>
        <w:rPr>
          <w:rFonts w:hint="eastAsia" w:ascii="TimesNewRoman" w:hAnsi="TimesNewRoman" w:cs="TimesNewRoman"/>
          <w:b/>
          <w:sz w:val="32"/>
          <w:szCs w:val="32"/>
          <w:lang w:eastAsia="zh-CN"/>
        </w:rPr>
        <w:t>中等</w:t>
      </w:r>
      <w:r>
        <w:rPr>
          <w:rFonts w:hint="eastAsia" w:ascii="TimesNewRoman" w:hAnsi="TimesNewRoman" w:cs="TimesNewRoman"/>
          <w:b/>
          <w:sz w:val="32"/>
          <w:szCs w:val="32"/>
        </w:rPr>
        <w:t>职业教育</w:t>
      </w:r>
      <w:r>
        <w:rPr>
          <w:rFonts w:ascii="TimesNewRoman" w:hAnsi="TimesNewRoman" w:cs="TimesNewRoman"/>
          <w:b/>
          <w:sz w:val="32"/>
          <w:szCs w:val="32"/>
        </w:rPr>
        <w:t>（项）</w:t>
      </w:r>
      <w:r>
        <w:rPr>
          <w:rFonts w:hint="eastAsia" w:cs="TimesNewRoman" w:asciiTheme="minorEastAsia" w:hAnsiTheme="minorEastAsia"/>
          <w:kern w:val="0"/>
          <w:sz w:val="32"/>
          <w:szCs w:val="32"/>
        </w:rPr>
        <w:t>2025年预算</w:t>
      </w:r>
      <w:r>
        <w:rPr>
          <w:rFonts w:hint="eastAsia" w:cs="TimesNewRoman" w:asciiTheme="minorEastAsia" w:hAnsiTheme="minorEastAsia"/>
          <w:color w:val="FF0000"/>
          <w:kern w:val="0"/>
          <w:sz w:val="32"/>
          <w:szCs w:val="32"/>
        </w:rPr>
        <w:t>657.9万元</w:t>
      </w:r>
      <w:r>
        <w:rPr>
          <w:rFonts w:hint="eastAsia" w:cs="TimesNewRoman" w:asciiTheme="minorEastAsia" w:hAnsiTheme="minorEastAsia"/>
          <w:kern w:val="0"/>
          <w:sz w:val="32"/>
          <w:szCs w:val="32"/>
        </w:rPr>
        <w:t>，比2024年预算</w:t>
      </w:r>
      <w:r>
        <w:rPr>
          <w:rFonts w:hint="eastAsia" w:cs="TimesNewRoman" w:asciiTheme="minorEastAsia" w:hAnsiTheme="minorEastAsia"/>
          <w:color w:val="FF0000"/>
          <w:kern w:val="0"/>
          <w:sz w:val="32"/>
          <w:szCs w:val="32"/>
        </w:rPr>
        <w:t>增加36.43万元</w:t>
      </w:r>
      <w:r>
        <w:rPr>
          <w:rFonts w:hint="eastAsia" w:cs="TimesNewRoman" w:asciiTheme="minorEastAsia" w:hAnsiTheme="minorEastAsia"/>
          <w:kern w:val="0"/>
          <w:sz w:val="32"/>
          <w:szCs w:val="32"/>
        </w:rPr>
        <w:t>，</w:t>
      </w:r>
      <w:r>
        <w:rPr>
          <w:rFonts w:hint="eastAsia" w:cs="TimesNewRoman" w:asciiTheme="minorEastAsia" w:hAnsiTheme="minorEastAsia"/>
          <w:color w:val="FF0000"/>
          <w:kern w:val="0"/>
          <w:sz w:val="32"/>
          <w:szCs w:val="32"/>
        </w:rPr>
        <w:t>增长5.86%</w:t>
      </w:r>
      <w:r>
        <w:rPr>
          <w:rFonts w:hint="eastAsia" w:cs="TimesNewRoman" w:asciiTheme="minorEastAsia" w:hAnsiTheme="minorEastAsia"/>
          <w:kern w:val="0"/>
          <w:sz w:val="32"/>
          <w:szCs w:val="32"/>
        </w:rPr>
        <w:t>，原因主要是</w:t>
      </w:r>
      <w:r>
        <w:rPr>
          <w:rFonts w:hint="eastAsia" w:ascii="TimesNewRoman" w:hAnsi="TimesNewRoman" w:cs="TimesNewRoman"/>
          <w:sz w:val="32"/>
          <w:szCs w:val="32"/>
        </w:rPr>
        <w:t>人员类基本支出中退休人员基础绩效奖归属社会保障退休费支出</w:t>
      </w:r>
      <w:r>
        <w:rPr>
          <w:rFonts w:hint="eastAsia" w:cs="TimesNewRoman" w:asciiTheme="minorEastAsia" w:hAnsiTheme="minorEastAsia"/>
          <w:kern w:val="0"/>
          <w:sz w:val="32"/>
          <w:szCs w:val="32"/>
        </w:rPr>
        <w:t>。</w:t>
      </w:r>
    </w:p>
    <w:p w14:paraId="16A5503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w:t>
      </w:r>
      <w:r>
        <w:rPr>
          <w:rFonts w:hint="eastAsia" w:cs="TimesNewRoman" w:asciiTheme="minorEastAsia" w:hAnsiTheme="minorEastAsia"/>
          <w:b/>
          <w:kern w:val="0"/>
          <w:sz w:val="32"/>
          <w:szCs w:val="32"/>
        </w:rPr>
        <w:t>社会保障和就业支出（类）行政事业单位离退休（款）归口管理的行政事业单位离退休（项）</w:t>
      </w:r>
      <w:r>
        <w:rPr>
          <w:rFonts w:hint="eastAsia" w:cs="TimesNewRoman" w:asciiTheme="minorEastAsia" w:hAnsiTheme="minorEastAsia"/>
          <w:kern w:val="0"/>
          <w:sz w:val="32"/>
          <w:szCs w:val="32"/>
        </w:rPr>
        <w:t>2025年预算</w:t>
      </w:r>
      <w:r>
        <w:rPr>
          <w:rFonts w:hint="eastAsia" w:cs="TimesNewRoman" w:asciiTheme="minorEastAsia" w:hAnsiTheme="minorEastAsia"/>
          <w:color w:val="FF0000"/>
          <w:kern w:val="0"/>
          <w:sz w:val="32"/>
          <w:szCs w:val="32"/>
          <w:lang w:val="en-US" w:eastAsia="zh-CN"/>
        </w:rPr>
        <w:t>147.48</w:t>
      </w:r>
      <w:r>
        <w:rPr>
          <w:rFonts w:hint="eastAsia" w:cs="TimesNewRoman" w:asciiTheme="minorEastAsia" w:hAnsiTheme="minorEastAsia"/>
          <w:color w:val="FF0000"/>
          <w:kern w:val="0"/>
          <w:sz w:val="32"/>
          <w:szCs w:val="32"/>
        </w:rPr>
        <w:t>万元，</w:t>
      </w:r>
      <w:r>
        <w:rPr>
          <w:rFonts w:hint="eastAsia" w:cs="TimesNewRoman" w:asciiTheme="minorEastAsia" w:hAnsiTheme="minorEastAsia"/>
          <w:kern w:val="0"/>
          <w:sz w:val="32"/>
          <w:szCs w:val="32"/>
        </w:rPr>
        <w:t>比2024年预算增加</w:t>
      </w:r>
      <w:r>
        <w:rPr>
          <w:rFonts w:hint="eastAsia" w:cs="TimesNewRoman" w:asciiTheme="minorEastAsia" w:hAnsiTheme="minorEastAsia"/>
          <w:color w:val="FF0000"/>
          <w:kern w:val="0"/>
          <w:sz w:val="32"/>
          <w:szCs w:val="32"/>
          <w:lang w:val="en-US" w:eastAsia="zh-CN"/>
        </w:rPr>
        <w:t>46.86</w:t>
      </w:r>
      <w:r>
        <w:rPr>
          <w:rFonts w:hint="eastAsia" w:cs="TimesNewRoman" w:asciiTheme="minorEastAsia" w:hAnsiTheme="minorEastAsia"/>
          <w:color w:val="FF0000"/>
          <w:kern w:val="0"/>
          <w:sz w:val="32"/>
          <w:szCs w:val="32"/>
        </w:rPr>
        <w:t>万元</w:t>
      </w:r>
      <w:r>
        <w:rPr>
          <w:rFonts w:hint="eastAsia" w:cs="TimesNewRoman" w:asciiTheme="minorEastAsia" w:hAnsiTheme="minorEastAsia"/>
          <w:kern w:val="0"/>
          <w:sz w:val="32"/>
          <w:szCs w:val="32"/>
        </w:rPr>
        <w:t>，</w:t>
      </w:r>
      <w:r>
        <w:rPr>
          <w:rFonts w:hint="eastAsia" w:cs="TimesNewRoman" w:asciiTheme="minorEastAsia" w:hAnsiTheme="minorEastAsia"/>
          <w:color w:val="FF0000"/>
          <w:kern w:val="0"/>
          <w:sz w:val="32"/>
          <w:szCs w:val="32"/>
        </w:rPr>
        <w:t>增长</w:t>
      </w:r>
      <w:r>
        <w:rPr>
          <w:rFonts w:hint="eastAsia" w:cs="TimesNewRoman" w:asciiTheme="minorEastAsia" w:hAnsiTheme="minorEastAsia"/>
          <w:color w:val="FF0000"/>
          <w:kern w:val="0"/>
          <w:sz w:val="32"/>
          <w:szCs w:val="32"/>
          <w:lang w:val="en-US" w:eastAsia="zh-CN"/>
        </w:rPr>
        <w:t>47</w:t>
      </w:r>
      <w:r>
        <w:rPr>
          <w:rFonts w:hint="eastAsia" w:cs="TimesNewRoman" w:asciiTheme="minorEastAsia" w:hAnsiTheme="minorEastAsia"/>
          <w:color w:val="FF0000"/>
          <w:kern w:val="0"/>
          <w:sz w:val="32"/>
          <w:szCs w:val="32"/>
        </w:rPr>
        <w:t>%</w:t>
      </w:r>
      <w:r>
        <w:rPr>
          <w:rFonts w:hint="eastAsia" w:cs="TimesNewRoman" w:asciiTheme="minorEastAsia" w:hAnsiTheme="minorEastAsia"/>
          <w:kern w:val="0"/>
          <w:sz w:val="32"/>
          <w:szCs w:val="32"/>
        </w:rPr>
        <w:t>，原因主要是</w:t>
      </w:r>
      <w:r>
        <w:rPr>
          <w:rFonts w:hint="eastAsia" w:ascii="TimesNewRoman" w:hAnsi="TimesNewRoman" w:cs="TimesNewRoman"/>
          <w:sz w:val="32"/>
          <w:szCs w:val="32"/>
        </w:rPr>
        <w:t>退休人员基础绩效奖归属社会保障支出</w:t>
      </w:r>
      <w:r>
        <w:rPr>
          <w:rFonts w:hint="eastAsia" w:ascii="TimesNewRoman" w:hAnsi="TimesNewRoman" w:cs="TimesNewRoman"/>
          <w:sz w:val="32"/>
          <w:szCs w:val="32"/>
          <w:lang w:eastAsia="zh-CN"/>
        </w:rPr>
        <w:t>增加</w:t>
      </w:r>
      <w:r>
        <w:rPr>
          <w:rFonts w:hint="eastAsia" w:cs="TimesNewRoman" w:asciiTheme="minorEastAsia" w:hAnsiTheme="minorEastAsia"/>
          <w:kern w:val="0"/>
          <w:sz w:val="32"/>
          <w:szCs w:val="32"/>
        </w:rPr>
        <w:t>。</w:t>
      </w:r>
    </w:p>
    <w:p w14:paraId="66F2336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w:t>
      </w:r>
      <w:r>
        <w:rPr>
          <w:rFonts w:cs="TimesNewRoman" w:asciiTheme="minorEastAsia" w:hAnsiTheme="minorEastAsia"/>
          <w:b/>
          <w:sz w:val="32"/>
          <w:szCs w:val="32"/>
        </w:rPr>
        <w:t>社会保障和就业支出（类）行政事业单位养老支出（款）机关事业单位基本养老保险缴费支出（项）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147.48</w:t>
      </w:r>
      <w:r>
        <w:rPr>
          <w:rFonts w:cs="TimesNewRoman" w:asciiTheme="minorEastAsia" w:hAnsiTheme="minorEastAsia"/>
          <w:color w:val="FF0000"/>
          <w:sz w:val="32"/>
          <w:szCs w:val="32"/>
        </w:rPr>
        <w:t>万元</w:t>
      </w:r>
      <w:r>
        <w:rPr>
          <w:rFonts w:cs="TimesNewRoman" w:asciiTheme="minorEastAsia" w:hAnsiTheme="minorEastAsia"/>
          <w:sz w:val="32"/>
          <w:szCs w:val="32"/>
        </w:rPr>
        <w:t>，比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增加46.87</w:t>
      </w:r>
      <w:r>
        <w:rPr>
          <w:rFonts w:cs="TimesNewRoman" w:asciiTheme="minorEastAsia" w:hAnsiTheme="minorEastAsia"/>
          <w:color w:val="FF0000"/>
          <w:sz w:val="32"/>
          <w:szCs w:val="32"/>
        </w:rPr>
        <w:t>万元</w:t>
      </w:r>
      <w:r>
        <w:rPr>
          <w:rFonts w:cs="TimesNewRoman" w:asciiTheme="minorEastAsia" w:hAnsiTheme="minorEastAsia"/>
          <w:sz w:val="32"/>
          <w:szCs w:val="32"/>
        </w:rPr>
        <w:t>，</w:t>
      </w:r>
      <w:r>
        <w:rPr>
          <w:rFonts w:hint="eastAsia" w:cs="TimesNewRoman" w:asciiTheme="minorEastAsia" w:hAnsiTheme="minorEastAsia"/>
          <w:color w:val="FF0000"/>
          <w:sz w:val="32"/>
          <w:szCs w:val="32"/>
        </w:rPr>
        <w:t>增长46.59</w:t>
      </w:r>
      <w:r>
        <w:rPr>
          <w:rFonts w:cs="TimesNewRoman" w:asciiTheme="minorEastAsia" w:hAnsiTheme="minorEastAsia"/>
          <w:color w:val="FF0000"/>
          <w:sz w:val="32"/>
          <w:szCs w:val="32"/>
        </w:rPr>
        <w:t>%</w:t>
      </w:r>
      <w:r>
        <w:rPr>
          <w:rFonts w:cs="TimesNewRoman" w:asciiTheme="minorEastAsia" w:hAnsiTheme="minorEastAsia"/>
          <w:sz w:val="32"/>
          <w:szCs w:val="32"/>
        </w:rPr>
        <w:t>，</w:t>
      </w:r>
      <w:r>
        <w:rPr>
          <w:rFonts w:hint="eastAsia" w:cs="TimesNewRoman" w:asciiTheme="minorEastAsia" w:hAnsiTheme="minorEastAsia"/>
          <w:sz w:val="32"/>
          <w:szCs w:val="32"/>
        </w:rPr>
        <w:t>下降</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6D21F64B">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5、</w:t>
      </w:r>
      <w:r>
        <w:rPr>
          <w:rFonts w:cs="TimesNewRoman" w:asciiTheme="minorEastAsia" w:hAnsiTheme="minorEastAsia"/>
          <w:b/>
          <w:sz w:val="32"/>
          <w:szCs w:val="32"/>
        </w:rPr>
        <w:t>社会保障和就业支出（类）行政事业单位养老支出（款）机关事业单位职业年金缴费支出（项）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31.16</w:t>
      </w:r>
      <w:r>
        <w:rPr>
          <w:rFonts w:cs="TimesNewRoman" w:asciiTheme="minorEastAsia" w:hAnsiTheme="minorEastAsia"/>
          <w:color w:val="FF0000"/>
          <w:sz w:val="32"/>
          <w:szCs w:val="32"/>
        </w:rPr>
        <w:t>万元</w:t>
      </w:r>
      <w:r>
        <w:rPr>
          <w:rFonts w:cs="TimesNewRoman" w:asciiTheme="minorEastAsia" w:hAnsiTheme="minorEastAsia"/>
          <w:sz w:val="32"/>
          <w:szCs w:val="32"/>
        </w:rPr>
        <w:t>，比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减少</w:t>
      </w:r>
      <w:r>
        <w:rPr>
          <w:rFonts w:hint="eastAsia" w:cs="TimesNewRoman" w:asciiTheme="minorEastAsia" w:hAnsiTheme="minorEastAsia"/>
          <w:color w:val="FF0000"/>
          <w:sz w:val="32"/>
          <w:szCs w:val="32"/>
        </w:rPr>
        <w:t>2.38</w:t>
      </w:r>
      <w:r>
        <w:rPr>
          <w:rFonts w:cs="TimesNewRoman" w:asciiTheme="minorEastAsia" w:hAnsiTheme="minorEastAsia"/>
          <w:color w:val="FF0000"/>
          <w:sz w:val="32"/>
          <w:szCs w:val="32"/>
        </w:rPr>
        <w:t>万元</w:t>
      </w:r>
      <w:r>
        <w:rPr>
          <w:rFonts w:cs="TimesNewRoman" w:asciiTheme="minorEastAsia" w:hAnsiTheme="minorEastAsia"/>
          <w:sz w:val="32"/>
          <w:szCs w:val="32"/>
        </w:rPr>
        <w:t>，</w:t>
      </w:r>
      <w:r>
        <w:rPr>
          <w:rFonts w:hint="eastAsia" w:cs="TimesNewRoman" w:asciiTheme="minorEastAsia" w:hAnsiTheme="minorEastAsia"/>
          <w:sz w:val="32"/>
          <w:szCs w:val="32"/>
        </w:rPr>
        <w:t>下降</w:t>
      </w:r>
      <w:r>
        <w:rPr>
          <w:rFonts w:hint="eastAsia" w:cs="TimesNewRoman" w:asciiTheme="minorEastAsia" w:hAnsiTheme="minorEastAsia"/>
          <w:color w:val="FF0000"/>
          <w:sz w:val="32"/>
          <w:szCs w:val="32"/>
        </w:rPr>
        <w:t>7.10</w:t>
      </w:r>
      <w:r>
        <w:rPr>
          <w:rFonts w:cs="TimesNewRoman" w:asciiTheme="minorEastAsia" w:hAnsiTheme="minorEastAsia"/>
          <w:color w:val="FF0000"/>
          <w:sz w:val="32"/>
          <w:szCs w:val="32"/>
        </w:rPr>
        <w:t>%</w:t>
      </w:r>
      <w:r>
        <w:rPr>
          <w:rFonts w:cs="TimesNewRoman" w:asciiTheme="minorEastAsia" w:hAnsiTheme="minorEastAsia"/>
          <w:sz w:val="32"/>
          <w:szCs w:val="32"/>
        </w:rPr>
        <w:t>，</w:t>
      </w:r>
      <w:r>
        <w:rPr>
          <w:rFonts w:hint="eastAsia" w:cs="TimesNewRoman" w:asciiTheme="minorEastAsia" w:hAnsiTheme="minorEastAsia"/>
          <w:sz w:val="32"/>
          <w:szCs w:val="32"/>
        </w:rPr>
        <w:t>下降</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6E0050B6">
      <w:pPr>
        <w:adjustRightInd w:val="0"/>
        <w:snapToGrid w:val="0"/>
        <w:spacing w:line="560" w:lineRule="exact"/>
        <w:ind w:firstLine="640" w:firstLineChars="200"/>
        <w:rPr>
          <w:rFonts w:cs="TimesNewRoman" w:asciiTheme="minorEastAsia" w:hAnsiTheme="minorEastAsia"/>
          <w:sz w:val="32"/>
          <w:szCs w:val="32"/>
        </w:rPr>
      </w:pPr>
      <w:r>
        <w:rPr>
          <w:rFonts w:hint="eastAsia" w:cs="TimesNewRoman" w:asciiTheme="minorEastAsia" w:hAnsiTheme="minorEastAsia"/>
          <w:kern w:val="0"/>
          <w:sz w:val="32"/>
          <w:szCs w:val="32"/>
        </w:rPr>
        <w:t>6、</w:t>
      </w:r>
      <w:r>
        <w:rPr>
          <w:rFonts w:cs="TimesNewRoman" w:asciiTheme="minorEastAsia" w:hAnsiTheme="minorEastAsia"/>
          <w:b/>
          <w:sz w:val="32"/>
          <w:szCs w:val="32"/>
        </w:rPr>
        <w:t>社会保障和就业支出（类）其他社会保障和就业支出（款）其他社会保障和就业支出（项）</w:t>
      </w:r>
      <w:r>
        <w:rPr>
          <w:rFonts w:hint="eastAsia" w:cs="TimesNewRoman" w:asciiTheme="minorEastAsia" w:hAnsiTheme="minorEastAsia"/>
          <w:sz w:val="32"/>
          <w:szCs w:val="32"/>
        </w:rPr>
        <w:t>2025</w:t>
      </w:r>
      <w:r>
        <w:rPr>
          <w:rFonts w:cs="TimesNewRoman" w:asciiTheme="minorEastAsia" w:hAnsiTheme="minorEastAsia"/>
          <w:sz w:val="32"/>
          <w:szCs w:val="32"/>
        </w:rPr>
        <w:t>年预</w:t>
      </w:r>
      <w:r>
        <w:rPr>
          <w:rFonts w:hint="eastAsia" w:cs="TimesNewRoman" w:asciiTheme="minorEastAsia" w:hAnsiTheme="minorEastAsia"/>
          <w:color w:val="FF0000"/>
          <w:sz w:val="32"/>
          <w:szCs w:val="32"/>
        </w:rPr>
        <w:t>35.78</w:t>
      </w:r>
      <w:r>
        <w:rPr>
          <w:rFonts w:cs="TimesNewRoman" w:asciiTheme="minorEastAsia" w:hAnsiTheme="minorEastAsia"/>
          <w:color w:val="FF0000"/>
          <w:sz w:val="32"/>
          <w:szCs w:val="32"/>
        </w:rPr>
        <w:t>万元</w:t>
      </w:r>
      <w:r>
        <w:rPr>
          <w:rFonts w:cs="TimesNewRoman" w:asciiTheme="minorEastAsia" w:hAnsiTheme="minorEastAsia"/>
          <w:sz w:val="32"/>
          <w:szCs w:val="32"/>
        </w:rPr>
        <w:t>，比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w:t>
      </w:r>
      <w:r>
        <w:rPr>
          <w:rFonts w:hint="eastAsia" w:cs="TimesNewRoman" w:asciiTheme="minorEastAsia" w:hAnsiTheme="minorEastAsia"/>
          <w:color w:val="FF0000"/>
          <w:sz w:val="32"/>
          <w:szCs w:val="32"/>
        </w:rPr>
        <w:t>31.87</w:t>
      </w:r>
      <w:r>
        <w:rPr>
          <w:rFonts w:cs="TimesNewRoman" w:asciiTheme="minorEastAsia" w:hAnsiTheme="minorEastAsia"/>
          <w:color w:val="FF0000"/>
          <w:sz w:val="32"/>
          <w:szCs w:val="32"/>
        </w:rPr>
        <w:t>万元</w:t>
      </w:r>
      <w:r>
        <w:rPr>
          <w:rFonts w:cs="TimesNewRoman" w:asciiTheme="minorEastAsia" w:hAnsiTheme="minorEastAsia"/>
          <w:sz w:val="32"/>
          <w:szCs w:val="32"/>
        </w:rPr>
        <w:t>，</w:t>
      </w:r>
      <w:r>
        <w:rPr>
          <w:rFonts w:hint="eastAsia" w:cs="TimesNewRoman" w:asciiTheme="minorEastAsia" w:hAnsiTheme="minorEastAsia"/>
          <w:sz w:val="32"/>
          <w:szCs w:val="32"/>
        </w:rPr>
        <w:t>增长</w:t>
      </w:r>
      <w:r>
        <w:rPr>
          <w:rFonts w:hint="eastAsia" w:cs="TimesNewRoman" w:asciiTheme="minorEastAsia" w:hAnsiTheme="minorEastAsia"/>
          <w:color w:val="FF0000"/>
          <w:sz w:val="32"/>
          <w:szCs w:val="32"/>
        </w:rPr>
        <w:t>8.15</w:t>
      </w:r>
      <w:r>
        <w:rPr>
          <w:rFonts w:hint="eastAsia" w:cs="TimesNewRoman" w:asciiTheme="minorEastAsia" w:hAnsiTheme="minorEastAsia"/>
          <w:sz w:val="32"/>
          <w:szCs w:val="32"/>
        </w:rPr>
        <w:t>，减少</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49D792B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7、</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w:t>
      </w:r>
      <w:r>
        <w:rPr>
          <w:rFonts w:hint="eastAsia" w:cs="TimesNewRoman" w:asciiTheme="minorEastAsia" w:hAnsiTheme="minorEastAsia"/>
          <w:b/>
          <w:sz w:val="32"/>
          <w:szCs w:val="32"/>
        </w:rPr>
        <w:t>事业</w:t>
      </w:r>
      <w:r>
        <w:rPr>
          <w:rFonts w:cs="TimesNewRoman" w:asciiTheme="minorEastAsia" w:hAnsiTheme="minorEastAsia"/>
          <w:b/>
          <w:sz w:val="32"/>
          <w:szCs w:val="32"/>
        </w:rPr>
        <w:t>单位医疗（项）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28.04</w:t>
      </w:r>
      <w:r>
        <w:rPr>
          <w:rFonts w:cs="TimesNewRoman" w:asciiTheme="minorEastAsia" w:hAnsiTheme="minorEastAsia"/>
          <w:color w:val="FF0000"/>
          <w:sz w:val="32"/>
          <w:szCs w:val="32"/>
        </w:rPr>
        <w:t>万元</w:t>
      </w:r>
      <w:r>
        <w:rPr>
          <w:rFonts w:cs="TimesNewRoman" w:asciiTheme="minorEastAsia" w:hAnsiTheme="minorEastAsia"/>
          <w:sz w:val="32"/>
          <w:szCs w:val="32"/>
        </w:rPr>
        <w:t>，比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减少7.17</w:t>
      </w:r>
      <w:r>
        <w:rPr>
          <w:rFonts w:cs="TimesNewRoman" w:asciiTheme="minorEastAsia" w:hAnsiTheme="minorEastAsia"/>
          <w:color w:val="FF0000"/>
          <w:sz w:val="32"/>
          <w:szCs w:val="32"/>
        </w:rPr>
        <w:t>万元</w:t>
      </w:r>
      <w:r>
        <w:rPr>
          <w:rFonts w:cs="TimesNewRoman" w:asciiTheme="minorEastAsia" w:hAnsiTheme="minorEastAsia"/>
          <w:sz w:val="32"/>
          <w:szCs w:val="32"/>
        </w:rPr>
        <w:t>，</w:t>
      </w:r>
      <w:r>
        <w:rPr>
          <w:rFonts w:hint="eastAsia" w:cs="TimesNewRoman" w:asciiTheme="minorEastAsia" w:hAnsiTheme="minorEastAsia"/>
          <w:color w:val="FF0000"/>
          <w:sz w:val="32"/>
          <w:szCs w:val="32"/>
        </w:rPr>
        <w:t>下降20.36</w:t>
      </w:r>
      <w:r>
        <w:rPr>
          <w:rFonts w:cs="TimesNewRoman" w:asciiTheme="minorEastAsia" w:hAnsiTheme="minorEastAsia"/>
          <w:color w:val="FF0000"/>
          <w:sz w:val="32"/>
          <w:szCs w:val="32"/>
        </w:rPr>
        <w:t>%</w:t>
      </w:r>
      <w:r>
        <w:rPr>
          <w:rFonts w:cs="TimesNewRoman" w:asciiTheme="minorEastAsia" w:hAnsiTheme="minorEastAsia"/>
          <w:sz w:val="32"/>
          <w:szCs w:val="32"/>
        </w:rPr>
        <w:t>，</w:t>
      </w:r>
      <w:r>
        <w:rPr>
          <w:rFonts w:hint="eastAsia" w:cs="TimesNewRoman" w:asciiTheme="minorEastAsia" w:hAnsiTheme="minorEastAsia"/>
          <w:sz w:val="32"/>
          <w:szCs w:val="32"/>
        </w:rPr>
        <w:t>增加</w:t>
      </w:r>
      <w:r>
        <w:rPr>
          <w:rFonts w:cs="TimesNewRoman" w:asciiTheme="minorEastAsia" w:hAnsiTheme="minorEastAsia"/>
          <w:sz w:val="32"/>
          <w:szCs w:val="32"/>
        </w:rPr>
        <w:t>原因主要是</w:t>
      </w:r>
      <w:r>
        <w:rPr>
          <w:rFonts w:hint="eastAsia" w:cs="TimesNewRoman" w:asciiTheme="minorEastAsia" w:hAnsiTheme="minorEastAsia"/>
          <w:sz w:val="32"/>
          <w:szCs w:val="32"/>
        </w:rPr>
        <w:t>在职人员医疗保险基数调整</w:t>
      </w:r>
      <w:r>
        <w:rPr>
          <w:rFonts w:cs="TimesNewRoman" w:asciiTheme="minorEastAsia" w:hAnsiTheme="minorEastAsia"/>
          <w:sz w:val="32"/>
          <w:szCs w:val="32"/>
        </w:rPr>
        <w:t>。</w:t>
      </w:r>
    </w:p>
    <w:p w14:paraId="175B0365">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8、</w:t>
      </w:r>
      <w:r>
        <w:rPr>
          <w:rFonts w:hint="eastAsia" w:cs="TimesNewRoman" w:asciiTheme="minorEastAsia" w:hAnsiTheme="minorEastAsia"/>
          <w:b/>
          <w:sz w:val="32"/>
          <w:szCs w:val="32"/>
        </w:rPr>
        <w:t>卫生健康支出</w:t>
      </w:r>
      <w:r>
        <w:rPr>
          <w:rFonts w:cs="TimesNewRoman" w:asciiTheme="minorEastAsia" w:hAnsiTheme="minorEastAsia"/>
          <w:b/>
          <w:sz w:val="32"/>
          <w:szCs w:val="32"/>
        </w:rPr>
        <w:t>（类）行政事业单位医疗（款）公务员医疗补助（项）</w:t>
      </w:r>
      <w:r>
        <w:rPr>
          <w:rFonts w:hint="eastAsia" w:cs="TimesNewRoman" w:asciiTheme="minorEastAsia" w:hAnsiTheme="minorEastAsia"/>
          <w:sz w:val="32"/>
          <w:szCs w:val="32"/>
        </w:rPr>
        <w:t>2025</w:t>
      </w:r>
      <w:r>
        <w:rPr>
          <w:rFonts w:cs="TimesNewRoman" w:asciiTheme="minorEastAsia" w:hAnsiTheme="minorEastAsia"/>
          <w:sz w:val="32"/>
          <w:szCs w:val="32"/>
        </w:rPr>
        <w:t>年预算</w:t>
      </w:r>
      <w:r>
        <w:rPr>
          <w:rFonts w:hint="eastAsia" w:cs="TimesNewRoman" w:asciiTheme="minorEastAsia" w:hAnsiTheme="minorEastAsia"/>
          <w:color w:val="FF0000"/>
          <w:sz w:val="32"/>
          <w:szCs w:val="32"/>
        </w:rPr>
        <w:t>14.24</w:t>
      </w:r>
      <w:r>
        <w:rPr>
          <w:rFonts w:cs="TimesNewRoman" w:asciiTheme="minorEastAsia" w:hAnsiTheme="minorEastAsia"/>
          <w:color w:val="FF0000"/>
          <w:sz w:val="32"/>
          <w:szCs w:val="32"/>
        </w:rPr>
        <w:t>万元</w:t>
      </w:r>
      <w:r>
        <w:rPr>
          <w:rFonts w:cs="TimesNewRoman" w:asciiTheme="minorEastAsia" w:hAnsiTheme="minorEastAsia"/>
          <w:sz w:val="32"/>
          <w:szCs w:val="32"/>
        </w:rPr>
        <w:t>，比</w:t>
      </w:r>
      <w:r>
        <w:rPr>
          <w:rFonts w:hint="eastAsia" w:cs="TimesNewRoman" w:asciiTheme="minorEastAsia" w:hAnsiTheme="minorEastAsia"/>
          <w:sz w:val="32"/>
          <w:szCs w:val="32"/>
        </w:rPr>
        <w:t>2024</w:t>
      </w:r>
      <w:r>
        <w:rPr>
          <w:rFonts w:cs="TimesNewRoman" w:asciiTheme="minorEastAsia" w:hAnsiTheme="minorEastAsia"/>
          <w:sz w:val="32"/>
          <w:szCs w:val="32"/>
        </w:rPr>
        <w:t>年预算</w:t>
      </w:r>
      <w:r>
        <w:rPr>
          <w:rFonts w:hint="eastAsia" w:cs="TimesNewRoman" w:asciiTheme="minorEastAsia" w:hAnsiTheme="minorEastAsia"/>
          <w:sz w:val="32"/>
          <w:szCs w:val="32"/>
        </w:rPr>
        <w:t>增加</w:t>
      </w:r>
      <w:r>
        <w:rPr>
          <w:rFonts w:hint="eastAsia" w:cs="TimesNewRoman" w:asciiTheme="minorEastAsia" w:hAnsiTheme="minorEastAsia"/>
          <w:color w:val="FF0000"/>
          <w:sz w:val="32"/>
          <w:szCs w:val="32"/>
        </w:rPr>
        <w:t>1.67</w:t>
      </w:r>
      <w:r>
        <w:rPr>
          <w:rFonts w:cs="TimesNewRoman" w:asciiTheme="minorEastAsia" w:hAnsiTheme="minorEastAsia"/>
          <w:color w:val="FF0000"/>
          <w:sz w:val="32"/>
          <w:szCs w:val="32"/>
        </w:rPr>
        <w:t>万元</w:t>
      </w:r>
      <w:r>
        <w:rPr>
          <w:rFonts w:cs="TimesNewRoman" w:asciiTheme="minorEastAsia" w:hAnsiTheme="minorEastAsia"/>
          <w:sz w:val="32"/>
          <w:szCs w:val="32"/>
        </w:rPr>
        <w:t>，</w:t>
      </w:r>
      <w:r>
        <w:rPr>
          <w:rFonts w:hint="eastAsia" w:cs="TimesNewRoman" w:asciiTheme="minorEastAsia" w:hAnsiTheme="minorEastAsia"/>
          <w:color w:val="FF0000"/>
          <w:sz w:val="32"/>
          <w:szCs w:val="32"/>
        </w:rPr>
        <w:t>增长13.29</w:t>
      </w:r>
      <w:r>
        <w:rPr>
          <w:rFonts w:cs="TimesNewRoman" w:asciiTheme="minorEastAsia" w:hAnsiTheme="minorEastAsia"/>
          <w:color w:val="FF0000"/>
          <w:sz w:val="32"/>
          <w:szCs w:val="32"/>
        </w:rPr>
        <w:t>%</w:t>
      </w:r>
      <w:r>
        <w:rPr>
          <w:rFonts w:hint="eastAsia" w:cs="TimesNewRoman" w:asciiTheme="minorEastAsia" w:hAnsiTheme="minorEastAsia"/>
          <w:sz w:val="32"/>
          <w:szCs w:val="32"/>
        </w:rPr>
        <w:t>，减少</w:t>
      </w:r>
      <w:r>
        <w:rPr>
          <w:rFonts w:cs="TimesNewRoman" w:asciiTheme="minorEastAsia" w:hAnsiTheme="minorEastAsia"/>
          <w:sz w:val="32"/>
          <w:szCs w:val="32"/>
        </w:rPr>
        <w:t>原因主要是</w:t>
      </w:r>
      <w:r>
        <w:rPr>
          <w:rFonts w:hint="eastAsia" w:cs="TimesNewRoman" w:asciiTheme="minorEastAsia" w:hAnsiTheme="minorEastAsia"/>
          <w:sz w:val="32"/>
          <w:szCs w:val="32"/>
        </w:rPr>
        <w:t>在职转退休及部分人员调出</w:t>
      </w:r>
      <w:r>
        <w:rPr>
          <w:rFonts w:cs="TimesNewRoman" w:asciiTheme="minorEastAsia" w:hAnsiTheme="minorEastAsia"/>
          <w:sz w:val="32"/>
          <w:szCs w:val="32"/>
        </w:rPr>
        <w:t>。</w:t>
      </w:r>
    </w:p>
    <w:p w14:paraId="7441A04E">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9、</w:t>
      </w:r>
      <w:r>
        <w:rPr>
          <w:rFonts w:hint="eastAsia" w:cs="TimesNewRoman" w:asciiTheme="minorEastAsia" w:hAnsiTheme="minorEastAsia"/>
          <w:b/>
          <w:kern w:val="0"/>
          <w:sz w:val="32"/>
          <w:szCs w:val="32"/>
        </w:rPr>
        <w:t>住房保障支出（类）住房改革支出（款）住房公积金（项）</w:t>
      </w:r>
      <w:r>
        <w:rPr>
          <w:rFonts w:hint="eastAsia" w:cs="TimesNewRoman" w:asciiTheme="minorEastAsia" w:hAnsiTheme="minorEastAsia"/>
          <w:kern w:val="0"/>
          <w:sz w:val="32"/>
          <w:szCs w:val="32"/>
        </w:rPr>
        <w:t>2025年预算</w:t>
      </w:r>
      <w:r>
        <w:rPr>
          <w:rFonts w:hint="eastAsia" w:cs="TimesNewRoman" w:asciiTheme="minorEastAsia" w:hAnsiTheme="minorEastAsia"/>
          <w:color w:val="FF0000"/>
          <w:kern w:val="0"/>
          <w:sz w:val="32"/>
          <w:szCs w:val="32"/>
        </w:rPr>
        <w:t>121.54万元</w:t>
      </w:r>
      <w:r>
        <w:rPr>
          <w:rFonts w:hint="eastAsia" w:cs="TimesNewRoman" w:asciiTheme="minorEastAsia" w:hAnsiTheme="minorEastAsia"/>
          <w:kern w:val="0"/>
          <w:sz w:val="32"/>
          <w:szCs w:val="32"/>
        </w:rPr>
        <w:t>，比2024年预算</w:t>
      </w:r>
      <w:r>
        <w:rPr>
          <w:rFonts w:hint="eastAsia" w:cs="TimesNewRoman" w:asciiTheme="minorEastAsia" w:hAnsiTheme="minorEastAsia"/>
          <w:color w:val="FF0000"/>
          <w:kern w:val="0"/>
          <w:sz w:val="32"/>
          <w:szCs w:val="32"/>
        </w:rPr>
        <w:t>减少7.43万元</w:t>
      </w:r>
      <w:r>
        <w:rPr>
          <w:rFonts w:hint="eastAsia" w:cs="TimesNewRoman" w:asciiTheme="minorEastAsia" w:hAnsiTheme="minorEastAsia"/>
          <w:kern w:val="0"/>
          <w:sz w:val="32"/>
          <w:szCs w:val="32"/>
        </w:rPr>
        <w:t>，下降</w:t>
      </w:r>
      <w:r>
        <w:rPr>
          <w:rFonts w:hint="eastAsia" w:cs="TimesNewRoman" w:asciiTheme="minorEastAsia" w:hAnsiTheme="minorEastAsia"/>
          <w:color w:val="FF0000"/>
          <w:kern w:val="0"/>
          <w:sz w:val="32"/>
          <w:szCs w:val="32"/>
        </w:rPr>
        <w:t>5.76%，</w:t>
      </w:r>
      <w:r>
        <w:rPr>
          <w:rFonts w:hint="eastAsia" w:cs="TimesNewRoman" w:asciiTheme="minorEastAsia" w:hAnsiTheme="minorEastAsia"/>
          <w:kern w:val="0"/>
          <w:sz w:val="32"/>
          <w:szCs w:val="32"/>
        </w:rPr>
        <w:t>原因主要是</w:t>
      </w:r>
      <w:r>
        <w:rPr>
          <w:rFonts w:hint="eastAsia" w:cs="TimesNewRoman" w:asciiTheme="minorEastAsia" w:hAnsiTheme="minorEastAsia"/>
          <w:sz w:val="32"/>
          <w:szCs w:val="32"/>
        </w:rPr>
        <w:t>在职转退休及部分人员调出以及住房公积金基数调整</w:t>
      </w:r>
      <w:r>
        <w:rPr>
          <w:rFonts w:hint="eastAsia" w:cs="TimesNewRoman" w:asciiTheme="minorEastAsia" w:hAnsiTheme="minorEastAsia"/>
          <w:kern w:val="0"/>
          <w:sz w:val="32"/>
          <w:szCs w:val="32"/>
        </w:rPr>
        <w:t>。</w:t>
      </w:r>
    </w:p>
    <w:p w14:paraId="1EE34133">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六、关于2025年一般公共预算基本支出表的说明</w:t>
      </w:r>
    </w:p>
    <w:p w14:paraId="30B8AF5D">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烈山区职业教育中心2025年一般公共预算基本支出</w:t>
      </w:r>
      <w:r>
        <w:rPr>
          <w:rFonts w:hint="eastAsia" w:cs="TimesNewRoman" w:asciiTheme="minorEastAsia" w:hAnsiTheme="minorEastAsia"/>
          <w:color w:val="FF0000"/>
          <w:kern w:val="0"/>
          <w:sz w:val="32"/>
          <w:szCs w:val="32"/>
        </w:rPr>
        <w:t>899.98万元</w:t>
      </w:r>
      <w:r>
        <w:rPr>
          <w:rFonts w:hint="eastAsia" w:cs="TimesNewRoman" w:asciiTheme="minorEastAsia" w:hAnsiTheme="minorEastAsia"/>
          <w:kern w:val="0"/>
          <w:sz w:val="32"/>
          <w:szCs w:val="32"/>
        </w:rPr>
        <w:t>，其中，人员经费</w:t>
      </w:r>
      <w:r>
        <w:rPr>
          <w:rFonts w:hint="eastAsia" w:cs="TimesNewRoman" w:asciiTheme="minorEastAsia" w:hAnsiTheme="minorEastAsia"/>
          <w:color w:val="FF0000"/>
          <w:kern w:val="0"/>
          <w:sz w:val="32"/>
          <w:szCs w:val="32"/>
        </w:rPr>
        <w:t>899.98万元</w:t>
      </w:r>
      <w:r>
        <w:rPr>
          <w:rFonts w:hint="eastAsia" w:cs="TimesNewRoman" w:asciiTheme="minorEastAsia" w:hAnsiTheme="minorEastAsia"/>
          <w:kern w:val="0"/>
          <w:sz w:val="32"/>
          <w:szCs w:val="32"/>
        </w:rPr>
        <w:t>，公用经费0万元。</w:t>
      </w:r>
    </w:p>
    <w:p w14:paraId="5AF23007">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（一）人员经费</w:t>
      </w:r>
      <w:r>
        <w:rPr>
          <w:rFonts w:hint="eastAsia" w:cs="TimesNewRoman" w:asciiTheme="minorEastAsia" w:hAnsiTheme="minorEastAsia"/>
          <w:b/>
          <w:color w:val="FF0000"/>
          <w:kern w:val="0"/>
          <w:sz w:val="32"/>
          <w:szCs w:val="32"/>
        </w:rPr>
        <w:t>899.98万元</w:t>
      </w:r>
      <w:r>
        <w:rPr>
          <w:rFonts w:hint="eastAsia" w:cs="TimesNewRoman" w:asciiTheme="minorEastAsia" w:hAnsiTheme="minorEastAsia"/>
          <w:b/>
          <w:kern w:val="0"/>
          <w:sz w:val="32"/>
          <w:szCs w:val="32"/>
        </w:rPr>
        <w:t>，</w:t>
      </w:r>
      <w:r>
        <w:rPr>
          <w:rFonts w:hint="eastAsia" w:cs="TimesNewRoman" w:asciiTheme="minorEastAsia" w:hAnsiTheme="minorEastAsia"/>
          <w:kern w:val="0"/>
          <w:sz w:val="32"/>
          <w:szCs w:val="32"/>
        </w:rPr>
        <w:t>主要包括:基本工资、津贴补贴、奖金、绩效工资、机关事业单位基本养老保险费、职业年金缴费、职工基本医疗保险缴费、公务员医疗补助缴费、其他社会保障缴费、工会经费、福利费、住房公积金、退休费、生活补助、医疗费补助、奖励金、对其他个人和家庭的补助支出。</w:t>
      </w:r>
    </w:p>
    <w:p w14:paraId="45133266">
      <w:pPr>
        <w:ind w:firstLine="643" w:firstLineChars="200"/>
        <w:rPr>
          <w:rFonts w:cs="TimesNewRoman" w:asciiTheme="minorEastAsia" w:hAnsiTheme="minorEastAsia"/>
          <w:kern w:val="0"/>
          <w:sz w:val="32"/>
          <w:szCs w:val="32"/>
        </w:rPr>
      </w:pPr>
      <w:r>
        <w:rPr>
          <w:rFonts w:hint="eastAsia" w:cs="TimesNewRoman" w:asciiTheme="minorEastAsia" w:hAnsiTheme="minorEastAsia"/>
          <w:b/>
          <w:kern w:val="0"/>
          <w:sz w:val="32"/>
          <w:szCs w:val="32"/>
        </w:rPr>
        <w:t>（二）公用经费0万元</w:t>
      </w:r>
      <w:r>
        <w:rPr>
          <w:rFonts w:hint="eastAsia" w:cs="TimesNewRoman" w:asciiTheme="minorEastAsia" w:hAnsiTheme="minorEastAsia"/>
          <w:kern w:val="0"/>
          <w:sz w:val="32"/>
          <w:szCs w:val="32"/>
        </w:rPr>
        <w:t>。</w:t>
      </w:r>
    </w:p>
    <w:p w14:paraId="22F73CD2">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七、关于2025年政府性基金预算支出表的说明</w:t>
      </w:r>
    </w:p>
    <w:p w14:paraId="2E607E36">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烈山区职业教育中心2025年没有政府性基金预算拨款收入，也没有使用政府性基金预算拨款安排的支出。</w:t>
      </w:r>
    </w:p>
    <w:p w14:paraId="57D64D6A">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八、关于2025年国有资本经营预算支出表的说明</w:t>
      </w:r>
    </w:p>
    <w:p w14:paraId="5D691DFF">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烈山区职业教育中心2025年没有国有资本经营预算拨款收入，也没有使用国有资本经营预算拨款安排的支出。</w:t>
      </w:r>
    </w:p>
    <w:p w14:paraId="255E5993">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九、关于2025年项目支出表的说明</w:t>
      </w:r>
    </w:p>
    <w:p w14:paraId="4A30806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烈山区职业教育中心2025年预算共安排项目支出</w:t>
      </w:r>
      <w:r>
        <w:rPr>
          <w:rFonts w:hint="eastAsia" w:cs="TimesNewRoman" w:asciiTheme="minorEastAsia" w:hAnsiTheme="minorEastAsia"/>
          <w:color w:val="FF0000"/>
          <w:kern w:val="0"/>
          <w:sz w:val="32"/>
          <w:szCs w:val="32"/>
        </w:rPr>
        <w:t>305万元</w:t>
      </w:r>
      <w:r>
        <w:rPr>
          <w:rFonts w:hint="eastAsia" w:cs="TimesNewRoman" w:asciiTheme="minorEastAsia" w:hAnsiTheme="minorEastAsia"/>
          <w:kern w:val="0"/>
          <w:sz w:val="32"/>
          <w:szCs w:val="32"/>
        </w:rPr>
        <w:t>，比2024年预算</w:t>
      </w:r>
      <w:r>
        <w:rPr>
          <w:rFonts w:hint="eastAsia" w:cs="TimesNewRoman" w:asciiTheme="minorEastAsia" w:hAnsiTheme="minorEastAsia"/>
          <w:color w:val="FF0000"/>
          <w:kern w:val="0"/>
          <w:sz w:val="32"/>
          <w:szCs w:val="32"/>
        </w:rPr>
        <w:t>增加67.04万元</w:t>
      </w:r>
      <w:r>
        <w:rPr>
          <w:rFonts w:hint="eastAsia" w:cs="TimesNewRoman" w:asciiTheme="minorEastAsia" w:hAnsiTheme="minorEastAsia"/>
          <w:kern w:val="0"/>
          <w:sz w:val="32"/>
          <w:szCs w:val="32"/>
        </w:rPr>
        <w:t>，</w:t>
      </w:r>
      <w:r>
        <w:rPr>
          <w:rFonts w:hint="eastAsia" w:cs="TimesNewRoman" w:asciiTheme="minorEastAsia" w:hAnsiTheme="minorEastAsia"/>
          <w:color w:val="FF0000"/>
          <w:kern w:val="0"/>
          <w:sz w:val="32"/>
          <w:szCs w:val="32"/>
        </w:rPr>
        <w:t>增长28.17%</w:t>
      </w:r>
      <w:r>
        <w:rPr>
          <w:rFonts w:hint="eastAsia" w:cs="TimesNewRoman" w:asciiTheme="minorEastAsia" w:hAnsiTheme="minorEastAsia"/>
          <w:kern w:val="0"/>
          <w:sz w:val="32"/>
          <w:szCs w:val="32"/>
        </w:rPr>
        <w:t>，原因主要是</w:t>
      </w:r>
      <w:r>
        <w:rPr>
          <w:rFonts w:hint="eastAsia" w:cs="TimesNewRoman" w:asciiTheme="minorEastAsia" w:hAnsiTheme="minorEastAsia"/>
          <w:kern w:val="0"/>
          <w:sz w:val="32"/>
          <w:szCs w:val="32"/>
          <w:lang w:eastAsia="zh-CN"/>
        </w:rPr>
        <w:t>纳入</w:t>
      </w:r>
      <w:r>
        <w:rPr>
          <w:rFonts w:hint="eastAsia" w:cs="TimesNewRoman" w:asciiTheme="minorEastAsia" w:hAnsiTheme="minorEastAsia"/>
          <w:kern w:val="0"/>
          <w:sz w:val="32"/>
          <w:szCs w:val="32"/>
          <w:lang w:val="en-US" w:eastAsia="zh-CN"/>
        </w:rPr>
        <w:t>99万职教中心职业教育经费及6万元的租金</w:t>
      </w:r>
      <w:r>
        <w:rPr>
          <w:rFonts w:hint="eastAsia" w:cs="TimesNewRoman" w:asciiTheme="minorEastAsia" w:hAnsiTheme="minorEastAsia"/>
          <w:kern w:val="0"/>
          <w:sz w:val="32"/>
          <w:szCs w:val="32"/>
        </w:rPr>
        <w:t>，政府性基金预算拨款安排0万元），财政专户管理资金安排</w:t>
      </w:r>
      <w:r>
        <w:rPr>
          <w:rFonts w:hint="eastAsia" w:cs="TimesNewRoman" w:asciiTheme="minorEastAsia" w:hAnsiTheme="minorEastAsia"/>
          <w:kern w:val="0"/>
          <w:sz w:val="32"/>
          <w:szCs w:val="32"/>
          <w:lang w:eastAsia="zh-CN"/>
        </w:rPr>
        <w:t>200</w:t>
      </w:r>
      <w:r>
        <w:rPr>
          <w:rFonts w:hint="eastAsia" w:cs="TimesNewRoman" w:asciiTheme="minorEastAsia" w:hAnsiTheme="minorEastAsia"/>
          <w:kern w:val="0"/>
          <w:sz w:val="32"/>
          <w:szCs w:val="32"/>
        </w:rPr>
        <w:t>万元。</w:t>
      </w:r>
    </w:p>
    <w:p w14:paraId="2A407C9C">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十、关于2025年政府采购支出表的说明</w:t>
      </w:r>
    </w:p>
    <w:p w14:paraId="1B349AB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烈山区职业教育中心2025年没有使用一般公共预算拨款、政府性基金预算拨款、国有资本经营预算拨款、财政专户管理资金和单位资金安排的政府采购支出。</w:t>
      </w:r>
    </w:p>
    <w:p w14:paraId="03C4B018">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十一、关于2025年政府购买服务支出表的说明</w:t>
      </w:r>
    </w:p>
    <w:p w14:paraId="78BEA0E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烈山区职业教育中心2025年没有安排政府购买服务支出。</w:t>
      </w:r>
    </w:p>
    <w:p w14:paraId="697D4746">
      <w:pPr>
        <w:pStyle w:val="4"/>
        <w:adjustRightInd w:val="0"/>
        <w:snapToGrid w:val="0"/>
        <w:spacing w:line="560" w:lineRule="exact"/>
        <w:ind w:firstLine="627" w:firstLineChars="196"/>
        <w:rPr>
          <w:rFonts w:cs="TimesNewRoman" w:asciiTheme="minorEastAsia" w:hAnsiTheme="minorEastAsia" w:eastAsiaTheme="minorEastAsia"/>
          <w:bCs/>
          <w:sz w:val="32"/>
          <w:szCs w:val="32"/>
        </w:rPr>
      </w:pPr>
      <w:r>
        <w:rPr>
          <w:rFonts w:hint="eastAsia" w:cs="TimesNewRoman" w:asciiTheme="minorEastAsia" w:hAnsiTheme="minorEastAsia" w:eastAsiaTheme="minorEastAsia"/>
          <w:bCs/>
          <w:sz w:val="32"/>
          <w:szCs w:val="32"/>
        </w:rPr>
        <w:t>十二、其他重要事项情况说明</w:t>
      </w:r>
    </w:p>
    <w:p w14:paraId="6718FABC">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（一）项目及绩效目标情况。</w:t>
      </w:r>
    </w:p>
    <w:p w14:paraId="7F0EA451">
      <w:pPr>
        <w:ind w:firstLine="420" w:firstLineChars="200"/>
        <w:rPr>
          <w:rFonts w:asciiTheme="minorEastAsia" w:hAnsiTheme="minorEastAsia"/>
        </w:rPr>
      </w:pPr>
    </w:p>
    <w:p w14:paraId="020CFBD1">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lang w:val="en-US" w:eastAsia="zh-CN"/>
        </w:rPr>
        <w:t>1</w:t>
      </w:r>
      <w:r>
        <w:rPr>
          <w:rFonts w:hint="eastAsia" w:cs="TimesNewRoman" w:asciiTheme="minorEastAsia" w:hAnsiTheme="minorEastAsia"/>
          <w:kern w:val="0"/>
          <w:sz w:val="32"/>
          <w:szCs w:val="32"/>
        </w:rPr>
        <w:t>、“</w:t>
      </w:r>
      <w:r>
        <w:rPr>
          <w:rFonts w:hint="eastAsia" w:cs="TimesNewRoman" w:asciiTheme="minorEastAsia" w:hAnsiTheme="minorEastAsia"/>
          <w:kern w:val="0"/>
          <w:sz w:val="32"/>
          <w:szCs w:val="32"/>
          <w:lang w:eastAsia="zh-CN"/>
        </w:rPr>
        <w:t>职</w:t>
      </w:r>
      <w:r>
        <w:rPr>
          <w:rFonts w:hint="eastAsia" w:cs="TimesNewRoman" w:asciiTheme="minorEastAsia" w:hAnsiTheme="minorEastAsia"/>
          <w:kern w:val="0"/>
          <w:sz w:val="32"/>
          <w:szCs w:val="32"/>
        </w:rPr>
        <w:t>高学费住宿费”项目。</w:t>
      </w:r>
    </w:p>
    <w:p w14:paraId="69F82AE1">
      <w:pPr>
        <w:adjustRightInd w:val="0"/>
        <w:snapToGrid w:val="0"/>
        <w:spacing w:line="600" w:lineRule="exact"/>
        <w:ind w:firstLine="640" w:firstLineChars="200"/>
        <w:rPr>
          <w:rFonts w:asciiTheme="minorEastAsia" w:hAnsiTheme="minorEastAsia"/>
          <w:sz w:val="32"/>
          <w:szCs w:val="32"/>
        </w:rPr>
      </w:pPr>
      <w:r>
        <w:rPr>
          <w:rFonts w:hint="eastAsia" w:cs="TimesNewRoman" w:asciiTheme="minorEastAsia" w:hAnsiTheme="minorEastAsia"/>
          <w:kern w:val="0"/>
          <w:sz w:val="32"/>
          <w:szCs w:val="32"/>
        </w:rPr>
        <w:t>（1）项目概述。</w:t>
      </w:r>
      <w:r>
        <w:rPr>
          <w:rFonts w:hint="eastAsia" w:asciiTheme="minorEastAsia" w:hAnsiTheme="minorEastAsia"/>
          <w:sz w:val="32"/>
          <w:szCs w:val="32"/>
          <w:lang w:eastAsia="zh-CN"/>
        </w:rPr>
        <w:t>中职</w:t>
      </w:r>
      <w:r>
        <w:rPr>
          <w:rFonts w:hint="eastAsia" w:asciiTheme="minorEastAsia" w:hAnsiTheme="minorEastAsia"/>
          <w:sz w:val="32"/>
          <w:szCs w:val="32"/>
        </w:rPr>
        <w:t>学费每生每年</w:t>
      </w:r>
      <w:r>
        <w:rPr>
          <w:rFonts w:hint="eastAsia" w:asciiTheme="minorEastAsia" w:hAnsiTheme="minorEastAsia"/>
          <w:sz w:val="32"/>
          <w:szCs w:val="32"/>
          <w:lang w:val="en-US" w:eastAsia="zh-CN"/>
        </w:rPr>
        <w:t>2400</w:t>
      </w:r>
      <w:r>
        <w:rPr>
          <w:rFonts w:hint="eastAsia" w:asciiTheme="minorEastAsia" w:hAnsiTheme="minorEastAsia"/>
          <w:sz w:val="32"/>
          <w:szCs w:val="32"/>
        </w:rPr>
        <w:t>元、住宿费每生每年</w:t>
      </w:r>
      <w:r>
        <w:rPr>
          <w:rFonts w:hint="eastAsia" w:asciiTheme="minorEastAsia" w:hAnsiTheme="minorEastAsia"/>
          <w:sz w:val="32"/>
          <w:szCs w:val="32"/>
          <w:lang w:val="en-US" w:eastAsia="zh-CN"/>
        </w:rPr>
        <w:t>800</w:t>
      </w:r>
      <w:r>
        <w:rPr>
          <w:rFonts w:hint="eastAsia" w:asciiTheme="minorEastAsia" w:hAnsiTheme="minorEastAsia"/>
          <w:sz w:val="32"/>
          <w:szCs w:val="32"/>
        </w:rPr>
        <w:t>元，用于学校日常运行。</w:t>
      </w:r>
    </w:p>
    <w:p w14:paraId="7D094D6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（2）立项依据。</w:t>
      </w:r>
      <w:r>
        <w:rPr>
          <w:rFonts w:hint="eastAsia" w:asciiTheme="minorEastAsia" w:hAnsiTheme="minorEastAsia"/>
          <w:sz w:val="32"/>
          <w:szCs w:val="32"/>
          <w:lang w:eastAsia="zh-CN"/>
        </w:rPr>
        <w:t>职业</w:t>
      </w:r>
      <w:r>
        <w:rPr>
          <w:rFonts w:hint="eastAsia" w:asciiTheme="minorEastAsia" w:hAnsiTheme="minorEastAsia"/>
          <w:sz w:val="32"/>
          <w:szCs w:val="32"/>
        </w:rPr>
        <w:t>学费住宿费非税收入。</w:t>
      </w:r>
    </w:p>
    <w:p w14:paraId="0506517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（3）实施主体。烈山区职业教育中心</w:t>
      </w:r>
    </w:p>
    <w:p w14:paraId="2AC988D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（4）起止时间。</w:t>
      </w:r>
      <w:r>
        <w:rPr>
          <w:rFonts w:hint="eastAsia" w:asciiTheme="minorEastAsia" w:hAnsiTheme="minorEastAsia"/>
          <w:sz w:val="32"/>
          <w:szCs w:val="32"/>
        </w:rPr>
        <w:t>2025年1月-2025年12月</w:t>
      </w:r>
    </w:p>
    <w:p w14:paraId="796FDC22">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（5）项目内容。</w:t>
      </w:r>
      <w:r>
        <w:rPr>
          <w:rFonts w:hint="eastAsia" w:asciiTheme="minorEastAsia" w:hAnsiTheme="minorEastAsia"/>
          <w:sz w:val="32"/>
          <w:szCs w:val="32"/>
          <w:lang w:eastAsia="zh-CN"/>
        </w:rPr>
        <w:t>中职</w:t>
      </w:r>
      <w:r>
        <w:rPr>
          <w:rFonts w:hint="eastAsia" w:asciiTheme="minorEastAsia" w:hAnsiTheme="minorEastAsia"/>
          <w:sz w:val="32"/>
          <w:szCs w:val="32"/>
        </w:rPr>
        <w:t>学费每生每年</w:t>
      </w:r>
      <w:r>
        <w:rPr>
          <w:rFonts w:hint="eastAsia" w:asciiTheme="minorEastAsia" w:hAnsiTheme="minorEastAsia"/>
          <w:sz w:val="32"/>
          <w:szCs w:val="32"/>
          <w:lang w:val="en-US" w:eastAsia="zh-CN"/>
        </w:rPr>
        <w:t>2400</w:t>
      </w:r>
      <w:r>
        <w:rPr>
          <w:rFonts w:hint="eastAsia" w:asciiTheme="minorEastAsia" w:hAnsiTheme="minorEastAsia"/>
          <w:sz w:val="32"/>
          <w:szCs w:val="32"/>
        </w:rPr>
        <w:t>元、住宿费每生每年</w:t>
      </w:r>
      <w:r>
        <w:rPr>
          <w:rFonts w:hint="eastAsia" w:asciiTheme="minorEastAsia" w:hAnsiTheme="minorEastAsia"/>
          <w:sz w:val="32"/>
          <w:szCs w:val="32"/>
          <w:lang w:val="en-US" w:eastAsia="zh-CN"/>
        </w:rPr>
        <w:t>800</w:t>
      </w:r>
      <w:r>
        <w:rPr>
          <w:rFonts w:hint="eastAsia" w:asciiTheme="minorEastAsia" w:hAnsiTheme="minorEastAsia"/>
          <w:sz w:val="32"/>
          <w:szCs w:val="32"/>
        </w:rPr>
        <w:t>元。</w:t>
      </w:r>
    </w:p>
    <w:p w14:paraId="17B56DD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（6）年度预算安排。2025年度预算</w:t>
      </w:r>
      <w:r>
        <w:rPr>
          <w:rFonts w:hint="eastAsia" w:cs="TimesNewRoman" w:asciiTheme="minorEastAsia" w:hAnsiTheme="minorEastAsia"/>
          <w:kern w:val="0"/>
          <w:sz w:val="32"/>
          <w:szCs w:val="32"/>
          <w:lang w:val="en-US" w:eastAsia="zh-CN"/>
        </w:rPr>
        <w:t>200</w:t>
      </w:r>
      <w:r>
        <w:rPr>
          <w:rFonts w:hint="eastAsia" w:cs="TimesNewRoman" w:asciiTheme="minorEastAsia" w:hAnsiTheme="minorEastAsia"/>
          <w:kern w:val="0"/>
          <w:sz w:val="32"/>
          <w:szCs w:val="32"/>
        </w:rPr>
        <w:t>万元。</w:t>
      </w:r>
    </w:p>
    <w:p w14:paraId="6224301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（7）绩效目标。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3F20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14:paraId="74142F3B">
            <w:pPr>
              <w:widowControl/>
              <w:jc w:val="center"/>
              <w:textAlignment w:val="center"/>
              <w:rPr>
                <w:rFonts w:cs="宋体" w:asciiTheme="minorEastAsia" w:hAnsiTheme="minorEastAsia"/>
                <w:b/>
                <w:bCs/>
                <w:szCs w:val="32"/>
              </w:rPr>
            </w:pPr>
            <w:r>
              <w:rPr>
                <w:rFonts w:hint="eastAsia" w:cs="宋体" w:asciiTheme="minorEastAsia" w:hAnsiTheme="minorEastAsia"/>
                <w:b/>
                <w:color w:val="000000"/>
                <w:kern w:val="0"/>
                <w:sz w:val="28"/>
                <w:szCs w:val="28"/>
              </w:rPr>
              <w:t>项目支出绩效目标表</w:t>
            </w:r>
          </w:p>
        </w:tc>
      </w:tr>
      <w:tr w14:paraId="36F5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14:paraId="64635A7F">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（2025年度）                                </w:t>
            </w:r>
          </w:p>
        </w:tc>
      </w:tr>
      <w:tr w14:paraId="33DF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69DF5A6">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项目名称</w:t>
            </w:r>
          </w:p>
        </w:tc>
        <w:tc>
          <w:tcPr>
            <w:tcW w:w="7577" w:type="dxa"/>
            <w:gridSpan w:val="4"/>
            <w:tcBorders>
              <w:tl2br w:val="nil"/>
              <w:tr2bl w:val="nil"/>
            </w:tcBorders>
            <w:vAlign w:val="center"/>
          </w:tcPr>
          <w:p w14:paraId="0F99AEAC">
            <w:pPr>
              <w:jc w:val="center"/>
              <w:rPr>
                <w:rFonts w:cs="宋体" w:asciiTheme="minorEastAsia" w:hAnsiTheme="minorEastAsia"/>
                <w:sz w:val="20"/>
              </w:rPr>
            </w:pPr>
            <w:r>
              <w:rPr>
                <w:rFonts w:hint="eastAsia" w:ascii="宋体" w:hAnsi="宋体" w:cs="宋体"/>
                <w:kern w:val="0"/>
                <w:sz w:val="22"/>
              </w:rPr>
              <w:t>普高学费住宿费非税收入</w:t>
            </w:r>
          </w:p>
        </w:tc>
      </w:tr>
      <w:tr w14:paraId="755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14:paraId="679469C6">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主管部门   及代码</w:t>
            </w:r>
          </w:p>
        </w:tc>
        <w:tc>
          <w:tcPr>
            <w:tcW w:w="3349" w:type="dxa"/>
            <w:gridSpan w:val="2"/>
            <w:tcBorders>
              <w:tl2br w:val="nil"/>
              <w:tr2bl w:val="nil"/>
            </w:tcBorders>
            <w:vAlign w:val="center"/>
          </w:tcPr>
          <w:p w14:paraId="22428BFA">
            <w:pPr>
              <w:jc w:val="center"/>
              <w:rPr>
                <w:rFonts w:cs="宋体" w:asciiTheme="minorEastAsia" w:hAnsiTheme="minorEastAsia"/>
                <w:sz w:val="20"/>
              </w:rPr>
            </w:pPr>
            <w:r>
              <w:rPr>
                <w:rFonts w:hint="eastAsia" w:ascii="宋体" w:hAnsi="宋体" w:cs="宋体"/>
                <w:kern w:val="0"/>
                <w:sz w:val="22"/>
              </w:rPr>
              <w:t>烈山区教育局</w:t>
            </w:r>
          </w:p>
        </w:tc>
        <w:tc>
          <w:tcPr>
            <w:tcW w:w="1848" w:type="dxa"/>
            <w:tcBorders>
              <w:tl2br w:val="nil"/>
              <w:tr2bl w:val="nil"/>
            </w:tcBorders>
            <w:vAlign w:val="center"/>
          </w:tcPr>
          <w:p w14:paraId="32257D9A">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实施单位</w:t>
            </w:r>
          </w:p>
        </w:tc>
        <w:tc>
          <w:tcPr>
            <w:tcW w:w="2380" w:type="dxa"/>
            <w:tcBorders>
              <w:tl2br w:val="nil"/>
              <w:tr2bl w:val="nil"/>
            </w:tcBorders>
            <w:vAlign w:val="center"/>
          </w:tcPr>
          <w:p w14:paraId="456D4A7F">
            <w:pPr>
              <w:jc w:val="center"/>
              <w:rPr>
                <w:rFonts w:asciiTheme="minorEastAsia" w:hAnsiTheme="minorEastAsia"/>
              </w:rPr>
            </w:pPr>
            <w:r>
              <w:rPr>
                <w:rFonts w:hint="eastAsia" w:ascii="宋体" w:hAnsi="宋体" w:cs="宋体"/>
                <w:kern w:val="0"/>
                <w:sz w:val="22"/>
              </w:rPr>
              <w:t>烈山区职业教育中心</w:t>
            </w:r>
          </w:p>
        </w:tc>
      </w:tr>
      <w:tr w14:paraId="4ECB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14:paraId="0BA31514">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项目来源</w:t>
            </w:r>
          </w:p>
        </w:tc>
        <w:tc>
          <w:tcPr>
            <w:tcW w:w="3349" w:type="dxa"/>
            <w:gridSpan w:val="2"/>
            <w:tcBorders>
              <w:tl2br w:val="nil"/>
              <w:tr2bl w:val="nil"/>
            </w:tcBorders>
            <w:vAlign w:val="center"/>
          </w:tcPr>
          <w:p w14:paraId="38E5AAE7">
            <w:pPr>
              <w:jc w:val="center"/>
              <w:rPr>
                <w:rFonts w:cs="宋体" w:asciiTheme="minorEastAsia" w:hAnsiTheme="minorEastAsia"/>
                <w:sz w:val="20"/>
              </w:rPr>
            </w:pPr>
            <w:r>
              <w:rPr>
                <w:rFonts w:hint="eastAsia" w:ascii="宋体" w:hAnsi="宋体" w:cs="宋体"/>
                <w:kern w:val="0"/>
                <w:sz w:val="22"/>
              </w:rPr>
              <w:t>财政非税专户收入</w:t>
            </w:r>
          </w:p>
        </w:tc>
        <w:tc>
          <w:tcPr>
            <w:tcW w:w="1848" w:type="dxa"/>
            <w:tcBorders>
              <w:tl2br w:val="nil"/>
              <w:tr2bl w:val="nil"/>
            </w:tcBorders>
            <w:vAlign w:val="center"/>
          </w:tcPr>
          <w:p w14:paraId="185F263E">
            <w:pPr>
              <w:widowControl/>
              <w:jc w:val="center"/>
              <w:textAlignment w:val="center"/>
              <w:rPr>
                <w:rFonts w:asciiTheme="minorEastAsia" w:hAnsiTheme="minorEastAsia"/>
              </w:rPr>
            </w:pPr>
            <w:r>
              <w:rPr>
                <w:rFonts w:hint="eastAsia" w:cs="宋体" w:asciiTheme="minorEastAsia" w:hAnsiTheme="minorEastAsia"/>
                <w:color w:val="000000"/>
                <w:kern w:val="0"/>
                <w:sz w:val="20"/>
                <w:szCs w:val="20"/>
              </w:rPr>
              <w:t>项目期</w:t>
            </w:r>
          </w:p>
        </w:tc>
        <w:tc>
          <w:tcPr>
            <w:tcW w:w="2380" w:type="dxa"/>
            <w:tcBorders>
              <w:tl2br w:val="nil"/>
              <w:tr2bl w:val="nil"/>
            </w:tcBorders>
            <w:vAlign w:val="center"/>
          </w:tcPr>
          <w:p w14:paraId="600DB70F">
            <w:pPr>
              <w:jc w:val="center"/>
              <w:rPr>
                <w:rFonts w:asciiTheme="minorEastAsia" w:hAnsiTheme="minorEastAsia"/>
              </w:rPr>
            </w:pPr>
            <w:r>
              <w:rPr>
                <w:rFonts w:hint="eastAsia" w:ascii="宋体" w:hAnsi="宋体" w:cs="宋体"/>
                <w:kern w:val="0"/>
                <w:sz w:val="22"/>
              </w:rPr>
              <w:t>2025.01-2025.12</w:t>
            </w:r>
          </w:p>
        </w:tc>
      </w:tr>
      <w:tr w14:paraId="5D10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14:paraId="15ADBF7D">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项目资金</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（万元）</w:t>
            </w:r>
          </w:p>
        </w:tc>
        <w:tc>
          <w:tcPr>
            <w:tcW w:w="3349" w:type="dxa"/>
            <w:gridSpan w:val="2"/>
            <w:tcBorders>
              <w:tl2br w:val="nil"/>
              <w:tr2bl w:val="nil"/>
            </w:tcBorders>
            <w:vAlign w:val="center"/>
          </w:tcPr>
          <w:p w14:paraId="28DF45B1">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年度资金总额：</w:t>
            </w:r>
          </w:p>
        </w:tc>
        <w:tc>
          <w:tcPr>
            <w:tcW w:w="4228" w:type="dxa"/>
            <w:gridSpan w:val="2"/>
            <w:tcBorders>
              <w:tl2br w:val="nil"/>
              <w:tr2bl w:val="nil"/>
            </w:tcBorders>
            <w:vAlign w:val="center"/>
          </w:tcPr>
          <w:p w14:paraId="09EF25EB">
            <w:pPr>
              <w:jc w:val="center"/>
              <w:rPr>
                <w:rFonts w:cs="宋体" w:asciiTheme="minorEastAsia" w:hAnsiTheme="minorEastAsia"/>
                <w:sz w:val="20"/>
              </w:rPr>
            </w:pPr>
            <w:r>
              <w:rPr>
                <w:rFonts w:hint="eastAsia" w:cs="宋体" w:asciiTheme="minorEastAsia" w:hAnsiTheme="minorEastAsia"/>
                <w:sz w:val="20"/>
                <w:lang w:eastAsia="zh-CN"/>
              </w:rPr>
              <w:t>200</w:t>
            </w:r>
            <w:r>
              <w:rPr>
                <w:rFonts w:hint="eastAsia" w:cs="宋体" w:asciiTheme="minorEastAsia" w:hAnsiTheme="minorEastAsia"/>
                <w:sz w:val="20"/>
              </w:rPr>
              <w:t>万元</w:t>
            </w:r>
          </w:p>
        </w:tc>
      </w:tr>
      <w:tr w14:paraId="1E9C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7F80592">
            <w:pPr>
              <w:jc w:val="center"/>
              <w:rPr>
                <w:rFonts w:cs="宋体" w:asciiTheme="minorEastAsia" w:hAnsiTheme="minorEastAsia"/>
                <w:sz w:val="20"/>
              </w:rPr>
            </w:pPr>
          </w:p>
        </w:tc>
        <w:tc>
          <w:tcPr>
            <w:tcW w:w="3349" w:type="dxa"/>
            <w:gridSpan w:val="2"/>
            <w:tcBorders>
              <w:tl2br w:val="nil"/>
              <w:tr2bl w:val="nil"/>
            </w:tcBorders>
            <w:vAlign w:val="center"/>
          </w:tcPr>
          <w:p w14:paraId="08F76A9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其中：财政拨款</w:t>
            </w:r>
          </w:p>
        </w:tc>
        <w:tc>
          <w:tcPr>
            <w:tcW w:w="4228" w:type="dxa"/>
            <w:gridSpan w:val="2"/>
            <w:tcBorders>
              <w:tl2br w:val="nil"/>
              <w:tr2bl w:val="nil"/>
            </w:tcBorders>
            <w:vAlign w:val="center"/>
          </w:tcPr>
          <w:p w14:paraId="7487C2B8">
            <w:pPr>
              <w:jc w:val="center"/>
              <w:rPr>
                <w:rFonts w:cs="宋体" w:asciiTheme="minorEastAsia" w:hAnsiTheme="minorEastAsia"/>
                <w:sz w:val="20"/>
              </w:rPr>
            </w:pPr>
            <w:r>
              <w:rPr>
                <w:rFonts w:hint="eastAsia" w:cs="宋体" w:asciiTheme="minorEastAsia" w:hAnsiTheme="minorEastAsia"/>
                <w:sz w:val="20"/>
                <w:lang w:eastAsia="zh-CN"/>
              </w:rPr>
              <w:t>200</w:t>
            </w:r>
            <w:r>
              <w:rPr>
                <w:rFonts w:hint="eastAsia" w:cs="宋体" w:asciiTheme="minorEastAsia" w:hAnsiTheme="minorEastAsia"/>
                <w:sz w:val="20"/>
              </w:rPr>
              <w:t>万元</w:t>
            </w:r>
          </w:p>
        </w:tc>
      </w:tr>
      <w:tr w14:paraId="058F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262EE190">
            <w:pPr>
              <w:jc w:val="center"/>
              <w:rPr>
                <w:rFonts w:cs="宋体" w:asciiTheme="minorEastAsia" w:hAnsiTheme="minorEastAsia"/>
                <w:sz w:val="20"/>
              </w:rPr>
            </w:pPr>
          </w:p>
        </w:tc>
        <w:tc>
          <w:tcPr>
            <w:tcW w:w="3349" w:type="dxa"/>
            <w:gridSpan w:val="2"/>
            <w:tcBorders>
              <w:tl2br w:val="nil"/>
              <w:tr2bl w:val="nil"/>
            </w:tcBorders>
            <w:vAlign w:val="center"/>
          </w:tcPr>
          <w:p w14:paraId="3762BE0E">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上年结转</w:t>
            </w:r>
          </w:p>
        </w:tc>
        <w:tc>
          <w:tcPr>
            <w:tcW w:w="4228" w:type="dxa"/>
            <w:gridSpan w:val="2"/>
            <w:tcBorders>
              <w:tl2br w:val="nil"/>
              <w:tr2bl w:val="nil"/>
            </w:tcBorders>
            <w:vAlign w:val="center"/>
          </w:tcPr>
          <w:p w14:paraId="67A60414">
            <w:pPr>
              <w:jc w:val="center"/>
              <w:rPr>
                <w:rFonts w:cs="宋体" w:asciiTheme="minorEastAsia" w:hAnsiTheme="minorEastAsia"/>
                <w:sz w:val="20"/>
              </w:rPr>
            </w:pPr>
          </w:p>
        </w:tc>
      </w:tr>
      <w:tr w14:paraId="53F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14:paraId="74F5DCB3">
            <w:pPr>
              <w:jc w:val="center"/>
              <w:rPr>
                <w:rFonts w:cs="宋体" w:asciiTheme="minorEastAsia" w:hAnsiTheme="minorEastAsia"/>
                <w:sz w:val="20"/>
              </w:rPr>
            </w:pPr>
          </w:p>
        </w:tc>
        <w:tc>
          <w:tcPr>
            <w:tcW w:w="3349" w:type="dxa"/>
            <w:gridSpan w:val="2"/>
            <w:tcBorders>
              <w:tl2br w:val="nil"/>
              <w:tr2bl w:val="nil"/>
            </w:tcBorders>
            <w:vAlign w:val="center"/>
          </w:tcPr>
          <w:p w14:paraId="6279BE26">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 xml:space="preserve">         其他资金</w:t>
            </w:r>
          </w:p>
        </w:tc>
        <w:tc>
          <w:tcPr>
            <w:tcW w:w="4228" w:type="dxa"/>
            <w:gridSpan w:val="2"/>
            <w:tcBorders>
              <w:tl2br w:val="nil"/>
              <w:tr2bl w:val="nil"/>
            </w:tcBorders>
            <w:vAlign w:val="center"/>
          </w:tcPr>
          <w:p w14:paraId="77F8AECD">
            <w:pPr>
              <w:jc w:val="right"/>
              <w:rPr>
                <w:rFonts w:cs="宋体" w:asciiTheme="minorEastAsia" w:hAnsiTheme="minorEastAsia"/>
                <w:sz w:val="20"/>
              </w:rPr>
            </w:pPr>
          </w:p>
        </w:tc>
      </w:tr>
      <w:tr w14:paraId="42B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14:paraId="3971E573">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年度</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目标</w:t>
            </w:r>
          </w:p>
        </w:tc>
        <w:tc>
          <w:tcPr>
            <w:tcW w:w="8582" w:type="dxa"/>
            <w:gridSpan w:val="6"/>
            <w:tcBorders>
              <w:tl2br w:val="nil"/>
              <w:tr2bl w:val="nil"/>
            </w:tcBorders>
            <w:vAlign w:val="center"/>
          </w:tcPr>
          <w:p w14:paraId="2714184C">
            <w:pPr>
              <w:jc w:val="left"/>
              <w:rPr>
                <w:rFonts w:cs="宋体" w:asciiTheme="minorEastAsia" w:hAnsiTheme="minorEastAsia"/>
                <w:sz w:val="20"/>
              </w:rPr>
            </w:pPr>
            <w:r>
              <w:rPr>
                <w:rFonts w:hint="eastAsia" w:asciiTheme="minorEastAsia" w:hAnsiTheme="minorEastAsia"/>
                <w:sz w:val="22"/>
                <w:szCs w:val="32"/>
              </w:rPr>
              <w:t>普高学费每生每年</w:t>
            </w:r>
            <w:r>
              <w:rPr>
                <w:rFonts w:hint="eastAsia" w:asciiTheme="minorEastAsia" w:hAnsiTheme="minorEastAsia"/>
                <w:sz w:val="22"/>
                <w:szCs w:val="32"/>
                <w:lang w:val="en-US" w:eastAsia="zh-CN"/>
              </w:rPr>
              <w:t>2400</w:t>
            </w:r>
            <w:r>
              <w:rPr>
                <w:rFonts w:hint="eastAsia" w:asciiTheme="minorEastAsia" w:hAnsiTheme="minorEastAsia"/>
                <w:sz w:val="22"/>
                <w:szCs w:val="32"/>
              </w:rPr>
              <w:t>元、住宿费每生每年</w:t>
            </w:r>
            <w:r>
              <w:rPr>
                <w:rFonts w:hint="eastAsia" w:asciiTheme="minorEastAsia" w:hAnsiTheme="minorEastAsia"/>
                <w:sz w:val="22"/>
                <w:szCs w:val="32"/>
                <w:lang w:val="en-US" w:eastAsia="zh-CN"/>
              </w:rPr>
              <w:t>800</w:t>
            </w:r>
            <w:r>
              <w:rPr>
                <w:rFonts w:hint="eastAsia" w:asciiTheme="minorEastAsia" w:hAnsiTheme="minorEastAsia"/>
                <w:sz w:val="22"/>
                <w:szCs w:val="32"/>
              </w:rPr>
              <w:t>元，用于学校日常运行。</w:t>
            </w:r>
          </w:p>
        </w:tc>
      </w:tr>
      <w:tr w14:paraId="3C9D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14:paraId="6BE2E331">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绩</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效</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标</w:t>
            </w:r>
          </w:p>
        </w:tc>
        <w:tc>
          <w:tcPr>
            <w:tcW w:w="723" w:type="dxa"/>
            <w:tcBorders>
              <w:tl2br w:val="nil"/>
              <w:tr2bl w:val="nil"/>
            </w:tcBorders>
            <w:vAlign w:val="center"/>
          </w:tcPr>
          <w:p w14:paraId="17EF643B">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一级</w:t>
            </w:r>
            <w:r>
              <w:rPr>
                <w:rFonts w:hint="eastAsia" w:cs="宋体" w:asciiTheme="minorEastAsia" w:hAnsiTheme="minorEastAsia"/>
                <w:color w:val="000000"/>
                <w:kern w:val="0"/>
                <w:sz w:val="20"/>
                <w:szCs w:val="20"/>
              </w:rPr>
              <w:br w:type="textWrapping"/>
            </w:r>
            <w:r>
              <w:rPr>
                <w:rFonts w:hint="eastAsia" w:cs="宋体" w:asciiTheme="minorEastAsia" w:hAnsiTheme="minorEastAsia"/>
                <w:color w:val="000000"/>
                <w:kern w:val="0"/>
                <w:sz w:val="20"/>
                <w:szCs w:val="20"/>
              </w:rPr>
              <w:t>指标</w:t>
            </w:r>
          </w:p>
        </w:tc>
        <w:tc>
          <w:tcPr>
            <w:tcW w:w="759" w:type="dxa"/>
            <w:gridSpan w:val="2"/>
            <w:tcBorders>
              <w:tl2br w:val="nil"/>
              <w:tr2bl w:val="nil"/>
            </w:tcBorders>
            <w:vAlign w:val="center"/>
          </w:tcPr>
          <w:p w14:paraId="59327CC3">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二级指标</w:t>
            </w:r>
          </w:p>
        </w:tc>
        <w:tc>
          <w:tcPr>
            <w:tcW w:w="2872" w:type="dxa"/>
            <w:tcBorders>
              <w:tl2br w:val="nil"/>
              <w:tr2bl w:val="nil"/>
            </w:tcBorders>
            <w:vAlign w:val="center"/>
          </w:tcPr>
          <w:p w14:paraId="2B1E88E7">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三级指标</w:t>
            </w:r>
          </w:p>
        </w:tc>
        <w:tc>
          <w:tcPr>
            <w:tcW w:w="4228" w:type="dxa"/>
            <w:gridSpan w:val="2"/>
            <w:tcBorders>
              <w:tl2br w:val="nil"/>
              <w:tr2bl w:val="nil"/>
            </w:tcBorders>
            <w:vAlign w:val="center"/>
          </w:tcPr>
          <w:p w14:paraId="143A5F59">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指标值</w:t>
            </w:r>
          </w:p>
        </w:tc>
      </w:tr>
      <w:tr w14:paraId="58DB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5363424F">
            <w:pPr>
              <w:jc w:val="center"/>
              <w:rPr>
                <w:rFonts w:cs="宋体" w:asciiTheme="minorEastAsia" w:hAnsiTheme="minorEastAsia"/>
                <w:sz w:val="20"/>
              </w:rPr>
            </w:pPr>
          </w:p>
        </w:tc>
        <w:tc>
          <w:tcPr>
            <w:tcW w:w="723" w:type="dxa"/>
            <w:vMerge w:val="restart"/>
            <w:tcBorders>
              <w:tl2br w:val="nil"/>
              <w:tr2bl w:val="nil"/>
            </w:tcBorders>
            <w:vAlign w:val="center"/>
          </w:tcPr>
          <w:p w14:paraId="73DC9C08">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产出指标</w:t>
            </w:r>
          </w:p>
        </w:tc>
        <w:tc>
          <w:tcPr>
            <w:tcW w:w="759" w:type="dxa"/>
            <w:gridSpan w:val="2"/>
            <w:tcBorders>
              <w:tl2br w:val="nil"/>
              <w:tr2bl w:val="nil"/>
            </w:tcBorders>
            <w:vAlign w:val="center"/>
          </w:tcPr>
          <w:p w14:paraId="0F9DB1F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数量指标</w:t>
            </w:r>
          </w:p>
        </w:tc>
        <w:tc>
          <w:tcPr>
            <w:tcW w:w="2872" w:type="dxa"/>
            <w:tcBorders>
              <w:tl2br w:val="nil"/>
              <w:tr2bl w:val="nil"/>
            </w:tcBorders>
            <w:vAlign w:val="center"/>
          </w:tcPr>
          <w:p w14:paraId="64799F50">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8397454">
            <w:pPr>
              <w:jc w:val="center"/>
              <w:rPr>
                <w:rFonts w:ascii="等线" w:hAnsi="宋体" w:eastAsia="等线" w:cs="宋体"/>
                <w:color w:val="000000"/>
                <w:sz w:val="22"/>
              </w:rPr>
            </w:pPr>
            <w:r>
              <w:rPr>
                <w:rFonts w:hint="eastAsia" w:ascii="等线" w:eastAsia="等线"/>
                <w:color w:val="000000"/>
                <w:sz w:val="22"/>
              </w:rPr>
              <w:t>运转保障率100%</w:t>
            </w:r>
          </w:p>
        </w:tc>
      </w:tr>
      <w:tr w14:paraId="252F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062A48B1">
            <w:pPr>
              <w:jc w:val="center"/>
              <w:rPr>
                <w:rFonts w:cs="宋体" w:asciiTheme="minorEastAsia" w:hAnsiTheme="minorEastAsia"/>
                <w:sz w:val="20"/>
              </w:rPr>
            </w:pPr>
          </w:p>
        </w:tc>
        <w:tc>
          <w:tcPr>
            <w:tcW w:w="723" w:type="dxa"/>
            <w:vMerge w:val="continue"/>
            <w:tcBorders>
              <w:tl2br w:val="nil"/>
              <w:tr2bl w:val="nil"/>
            </w:tcBorders>
            <w:vAlign w:val="center"/>
          </w:tcPr>
          <w:p w14:paraId="324D7A0C">
            <w:pPr>
              <w:jc w:val="center"/>
              <w:rPr>
                <w:rFonts w:cs="宋体" w:asciiTheme="minorEastAsia" w:hAnsiTheme="minorEastAsia"/>
                <w:sz w:val="20"/>
              </w:rPr>
            </w:pPr>
          </w:p>
        </w:tc>
        <w:tc>
          <w:tcPr>
            <w:tcW w:w="759" w:type="dxa"/>
            <w:gridSpan w:val="2"/>
            <w:tcBorders>
              <w:tl2br w:val="nil"/>
              <w:tr2bl w:val="nil"/>
            </w:tcBorders>
            <w:vAlign w:val="center"/>
          </w:tcPr>
          <w:p w14:paraId="73E897B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质量指标</w:t>
            </w:r>
          </w:p>
        </w:tc>
        <w:tc>
          <w:tcPr>
            <w:tcW w:w="2872" w:type="dxa"/>
            <w:tcBorders>
              <w:tl2br w:val="nil"/>
              <w:tr2bl w:val="nil"/>
            </w:tcBorders>
            <w:vAlign w:val="center"/>
          </w:tcPr>
          <w:p w14:paraId="42C7D917">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51B1F7E1">
            <w:pPr>
              <w:jc w:val="center"/>
              <w:rPr>
                <w:rFonts w:ascii="等线" w:hAnsi="宋体" w:eastAsia="等线" w:cs="宋体"/>
                <w:color w:val="000000"/>
                <w:sz w:val="22"/>
              </w:rPr>
            </w:pPr>
            <w:r>
              <w:rPr>
                <w:rFonts w:hint="eastAsia" w:ascii="等线" w:eastAsia="等线"/>
                <w:color w:val="000000"/>
                <w:sz w:val="22"/>
              </w:rPr>
              <w:t>支出合规率100%</w:t>
            </w:r>
          </w:p>
        </w:tc>
      </w:tr>
      <w:tr w14:paraId="1B5B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484A411B">
            <w:pPr>
              <w:jc w:val="center"/>
              <w:rPr>
                <w:rFonts w:cs="宋体" w:asciiTheme="minorEastAsia" w:hAnsiTheme="minorEastAsia"/>
                <w:sz w:val="20"/>
              </w:rPr>
            </w:pPr>
          </w:p>
        </w:tc>
        <w:tc>
          <w:tcPr>
            <w:tcW w:w="723" w:type="dxa"/>
            <w:vMerge w:val="continue"/>
            <w:tcBorders>
              <w:tl2br w:val="nil"/>
              <w:tr2bl w:val="nil"/>
            </w:tcBorders>
            <w:vAlign w:val="center"/>
          </w:tcPr>
          <w:p w14:paraId="3B9F8F03">
            <w:pPr>
              <w:jc w:val="center"/>
              <w:rPr>
                <w:rFonts w:cs="宋体" w:asciiTheme="minorEastAsia" w:hAnsiTheme="minorEastAsia"/>
                <w:sz w:val="20"/>
              </w:rPr>
            </w:pPr>
          </w:p>
        </w:tc>
        <w:tc>
          <w:tcPr>
            <w:tcW w:w="759" w:type="dxa"/>
            <w:gridSpan w:val="2"/>
            <w:tcBorders>
              <w:tl2br w:val="nil"/>
              <w:tr2bl w:val="nil"/>
            </w:tcBorders>
            <w:vAlign w:val="center"/>
          </w:tcPr>
          <w:p w14:paraId="511CA0BF">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时效指标</w:t>
            </w:r>
          </w:p>
        </w:tc>
        <w:tc>
          <w:tcPr>
            <w:tcW w:w="2872" w:type="dxa"/>
            <w:tcBorders>
              <w:tl2br w:val="nil"/>
              <w:tr2bl w:val="nil"/>
            </w:tcBorders>
            <w:vAlign w:val="center"/>
          </w:tcPr>
          <w:p w14:paraId="7F5388E1">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0870E988">
            <w:pPr>
              <w:jc w:val="center"/>
              <w:rPr>
                <w:rFonts w:cs="宋体" w:asciiTheme="minorEastAsia" w:hAnsiTheme="minorEastAsia"/>
                <w:sz w:val="20"/>
              </w:rPr>
            </w:pPr>
            <w:r>
              <w:rPr>
                <w:rFonts w:hint="eastAsia" w:ascii="等线" w:eastAsia="等线"/>
                <w:color w:val="000000"/>
                <w:sz w:val="22"/>
              </w:rPr>
              <w:t>支付及时率100%</w:t>
            </w:r>
          </w:p>
        </w:tc>
      </w:tr>
      <w:tr w14:paraId="0EC4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8D4D4BF">
            <w:pPr>
              <w:jc w:val="center"/>
              <w:rPr>
                <w:rFonts w:cs="宋体" w:asciiTheme="minorEastAsia" w:hAnsiTheme="minorEastAsia"/>
                <w:sz w:val="20"/>
              </w:rPr>
            </w:pPr>
          </w:p>
        </w:tc>
        <w:tc>
          <w:tcPr>
            <w:tcW w:w="723" w:type="dxa"/>
            <w:vMerge w:val="continue"/>
            <w:tcBorders>
              <w:tl2br w:val="nil"/>
              <w:tr2bl w:val="nil"/>
            </w:tcBorders>
            <w:vAlign w:val="center"/>
          </w:tcPr>
          <w:p w14:paraId="11842CF2">
            <w:pPr>
              <w:jc w:val="center"/>
              <w:rPr>
                <w:rFonts w:cs="宋体" w:asciiTheme="minorEastAsia" w:hAnsiTheme="minorEastAsia"/>
                <w:sz w:val="20"/>
              </w:rPr>
            </w:pPr>
          </w:p>
        </w:tc>
        <w:tc>
          <w:tcPr>
            <w:tcW w:w="759" w:type="dxa"/>
            <w:gridSpan w:val="2"/>
            <w:tcBorders>
              <w:tl2br w:val="nil"/>
              <w:tr2bl w:val="nil"/>
            </w:tcBorders>
            <w:vAlign w:val="center"/>
          </w:tcPr>
          <w:p w14:paraId="3A3E2E38">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成本指标</w:t>
            </w:r>
          </w:p>
        </w:tc>
        <w:tc>
          <w:tcPr>
            <w:tcW w:w="2872" w:type="dxa"/>
            <w:tcBorders>
              <w:tl2br w:val="nil"/>
              <w:tr2bl w:val="nil"/>
            </w:tcBorders>
            <w:vAlign w:val="center"/>
          </w:tcPr>
          <w:p w14:paraId="4DE22EB6">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7DA518A3">
            <w:pPr>
              <w:jc w:val="center"/>
              <w:rPr>
                <w:rFonts w:ascii="等线" w:hAnsi="宋体" w:eastAsia="等线" w:cs="宋体"/>
                <w:color w:val="000000"/>
                <w:sz w:val="22"/>
              </w:rPr>
            </w:pPr>
            <w:r>
              <w:rPr>
                <w:rFonts w:hint="eastAsia" w:ascii="等线" w:eastAsia="等线"/>
                <w:color w:val="000000"/>
                <w:sz w:val="22"/>
              </w:rPr>
              <w:t>足额拨付100%</w:t>
            </w:r>
          </w:p>
        </w:tc>
      </w:tr>
      <w:tr w14:paraId="391B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4A2B0ED">
            <w:pPr>
              <w:jc w:val="center"/>
              <w:rPr>
                <w:rFonts w:cs="宋体" w:asciiTheme="minorEastAsia" w:hAnsiTheme="minorEastAsia"/>
                <w:sz w:val="20"/>
              </w:rPr>
            </w:pPr>
          </w:p>
        </w:tc>
        <w:tc>
          <w:tcPr>
            <w:tcW w:w="723" w:type="dxa"/>
            <w:vMerge w:val="restart"/>
            <w:tcBorders>
              <w:tl2br w:val="nil"/>
              <w:tr2bl w:val="nil"/>
            </w:tcBorders>
            <w:vAlign w:val="center"/>
          </w:tcPr>
          <w:p w14:paraId="2D57E03E">
            <w:pPr>
              <w:widowControl/>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效益指标</w:t>
            </w:r>
          </w:p>
        </w:tc>
        <w:tc>
          <w:tcPr>
            <w:tcW w:w="759" w:type="dxa"/>
            <w:gridSpan w:val="2"/>
            <w:tcBorders>
              <w:tl2br w:val="nil"/>
              <w:tr2bl w:val="nil"/>
            </w:tcBorders>
            <w:vAlign w:val="center"/>
          </w:tcPr>
          <w:p w14:paraId="59BFEA65">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经济效益指标</w:t>
            </w:r>
          </w:p>
        </w:tc>
        <w:tc>
          <w:tcPr>
            <w:tcW w:w="2872" w:type="dxa"/>
            <w:tcBorders>
              <w:tl2br w:val="nil"/>
              <w:tr2bl w:val="nil"/>
            </w:tcBorders>
            <w:vAlign w:val="center"/>
          </w:tcPr>
          <w:p w14:paraId="52DE2115">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5A4013C6">
            <w:pPr>
              <w:jc w:val="center"/>
              <w:rPr>
                <w:rFonts w:ascii="等线" w:hAnsi="宋体" w:eastAsia="等线" w:cs="宋体"/>
                <w:color w:val="000000"/>
                <w:sz w:val="22"/>
              </w:rPr>
            </w:pPr>
            <w:r>
              <w:rPr>
                <w:rFonts w:hint="eastAsia" w:ascii="等线" w:eastAsia="等线"/>
                <w:color w:val="000000"/>
                <w:sz w:val="22"/>
              </w:rPr>
              <w:t>资金使用效率</w:t>
            </w:r>
            <w:r>
              <w:rPr>
                <w:rFonts w:hint="eastAsia" w:ascii="等线" w:hAnsi="宋体" w:eastAsia="等线" w:cs="宋体"/>
                <w:color w:val="000000"/>
                <w:sz w:val="22"/>
              </w:rPr>
              <w:t>，</w:t>
            </w:r>
            <w:r>
              <w:rPr>
                <w:rFonts w:hint="eastAsia" w:ascii="等线" w:eastAsia="等线"/>
                <w:color w:val="000000"/>
                <w:sz w:val="22"/>
              </w:rPr>
              <w:t>提高资金使用效率</w:t>
            </w:r>
          </w:p>
        </w:tc>
      </w:tr>
      <w:tr w14:paraId="2272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7FAAF6C3">
            <w:pPr>
              <w:jc w:val="center"/>
              <w:rPr>
                <w:rFonts w:cs="宋体" w:asciiTheme="minorEastAsia" w:hAnsiTheme="minorEastAsia"/>
                <w:sz w:val="20"/>
              </w:rPr>
            </w:pPr>
          </w:p>
        </w:tc>
        <w:tc>
          <w:tcPr>
            <w:tcW w:w="723" w:type="dxa"/>
            <w:vMerge w:val="continue"/>
            <w:tcBorders>
              <w:tl2br w:val="nil"/>
              <w:tr2bl w:val="nil"/>
            </w:tcBorders>
            <w:vAlign w:val="center"/>
          </w:tcPr>
          <w:p w14:paraId="3A0EE264">
            <w:pPr>
              <w:jc w:val="center"/>
              <w:rPr>
                <w:rFonts w:cs="宋体" w:asciiTheme="minorEastAsia" w:hAnsiTheme="minorEastAsia"/>
                <w:sz w:val="20"/>
              </w:rPr>
            </w:pPr>
          </w:p>
        </w:tc>
        <w:tc>
          <w:tcPr>
            <w:tcW w:w="759" w:type="dxa"/>
            <w:gridSpan w:val="2"/>
            <w:tcBorders>
              <w:tl2br w:val="nil"/>
              <w:tr2bl w:val="nil"/>
            </w:tcBorders>
            <w:vAlign w:val="center"/>
          </w:tcPr>
          <w:p w14:paraId="49F5AAB4">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社会效益指标</w:t>
            </w:r>
          </w:p>
        </w:tc>
        <w:tc>
          <w:tcPr>
            <w:tcW w:w="2872" w:type="dxa"/>
            <w:tcBorders>
              <w:tl2br w:val="nil"/>
              <w:tr2bl w:val="nil"/>
            </w:tcBorders>
            <w:vAlign w:val="center"/>
          </w:tcPr>
          <w:p w14:paraId="33CFEEC6">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19F10373">
            <w:pPr>
              <w:jc w:val="center"/>
              <w:rPr>
                <w:rFonts w:ascii="等线" w:hAnsi="宋体" w:eastAsia="等线" w:cs="宋体"/>
                <w:color w:val="000000"/>
                <w:sz w:val="22"/>
              </w:rPr>
            </w:pPr>
            <w:r>
              <w:rPr>
                <w:rFonts w:hint="eastAsia" w:ascii="等线" w:eastAsia="等线"/>
                <w:color w:val="000000"/>
                <w:sz w:val="22"/>
              </w:rPr>
              <w:t>提高教育教学水平</w:t>
            </w:r>
            <w:r>
              <w:rPr>
                <w:rFonts w:hint="eastAsia" w:ascii="等线" w:hAnsi="宋体" w:eastAsia="等线" w:cs="宋体"/>
                <w:color w:val="000000"/>
                <w:sz w:val="22"/>
              </w:rPr>
              <w:t>，</w:t>
            </w:r>
            <w:r>
              <w:rPr>
                <w:rFonts w:hint="eastAsia" w:ascii="等线" w:eastAsia="等线"/>
                <w:color w:val="000000"/>
                <w:sz w:val="22"/>
              </w:rPr>
              <w:t>教育薄弱环节改善与能力提升</w:t>
            </w:r>
          </w:p>
        </w:tc>
      </w:tr>
      <w:tr w14:paraId="08BB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267CE587">
            <w:pPr>
              <w:jc w:val="center"/>
              <w:rPr>
                <w:rFonts w:cs="宋体" w:asciiTheme="minorEastAsia" w:hAnsiTheme="minorEastAsia"/>
                <w:sz w:val="20"/>
              </w:rPr>
            </w:pPr>
          </w:p>
        </w:tc>
        <w:tc>
          <w:tcPr>
            <w:tcW w:w="723" w:type="dxa"/>
            <w:vMerge w:val="continue"/>
            <w:tcBorders>
              <w:tl2br w:val="nil"/>
              <w:tr2bl w:val="nil"/>
            </w:tcBorders>
            <w:vAlign w:val="center"/>
          </w:tcPr>
          <w:p w14:paraId="5480B6A0">
            <w:pPr>
              <w:jc w:val="center"/>
              <w:rPr>
                <w:rFonts w:cs="宋体" w:asciiTheme="minorEastAsia" w:hAnsiTheme="minorEastAsia"/>
                <w:sz w:val="20"/>
              </w:rPr>
            </w:pPr>
          </w:p>
        </w:tc>
        <w:tc>
          <w:tcPr>
            <w:tcW w:w="759" w:type="dxa"/>
            <w:gridSpan w:val="2"/>
            <w:tcBorders>
              <w:tl2br w:val="nil"/>
              <w:tr2bl w:val="nil"/>
            </w:tcBorders>
            <w:vAlign w:val="center"/>
          </w:tcPr>
          <w:p w14:paraId="08A6CD73">
            <w:pPr>
              <w:widowControl/>
              <w:spacing w:line="200" w:lineRule="exact"/>
              <w:jc w:val="center"/>
              <w:textAlignment w:val="center"/>
              <w:rPr>
                <w:rFonts w:cs="宋体" w:asciiTheme="minorEastAsia" w:hAnsiTheme="minorEastAsia"/>
                <w:sz w:val="20"/>
              </w:rPr>
            </w:pPr>
            <w:r>
              <w:rPr>
                <w:rFonts w:hint="eastAsia" w:cs="宋体" w:asciiTheme="minorEastAsia" w:hAnsiTheme="minorEastAsia"/>
                <w:color w:val="000000"/>
                <w:kern w:val="0"/>
                <w:sz w:val="20"/>
                <w:szCs w:val="20"/>
              </w:rPr>
              <w:t>生态效益指标</w:t>
            </w:r>
          </w:p>
        </w:tc>
        <w:tc>
          <w:tcPr>
            <w:tcW w:w="2872" w:type="dxa"/>
            <w:tcBorders>
              <w:tl2br w:val="nil"/>
              <w:tr2bl w:val="nil"/>
            </w:tcBorders>
            <w:vAlign w:val="center"/>
          </w:tcPr>
          <w:p w14:paraId="125BCF30">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338C0509">
            <w:pPr>
              <w:jc w:val="center"/>
              <w:rPr>
                <w:rFonts w:ascii="等线" w:hAnsi="宋体" w:eastAsia="等线" w:cs="宋体"/>
                <w:color w:val="000000"/>
                <w:sz w:val="22"/>
              </w:rPr>
            </w:pPr>
            <w:r>
              <w:rPr>
                <w:rFonts w:hint="eastAsia" w:ascii="等线" w:eastAsia="等线"/>
                <w:color w:val="000000"/>
                <w:sz w:val="22"/>
              </w:rPr>
              <w:t>生态效益</w:t>
            </w:r>
            <w:r>
              <w:rPr>
                <w:rFonts w:hint="eastAsia" w:ascii="等线" w:hAnsi="宋体" w:eastAsia="等线" w:cs="宋体"/>
                <w:color w:val="000000"/>
                <w:sz w:val="22"/>
              </w:rPr>
              <w:t>，</w:t>
            </w:r>
            <w:r>
              <w:rPr>
                <w:rFonts w:hint="eastAsia" w:ascii="等线" w:eastAsia="等线"/>
                <w:color w:val="000000"/>
                <w:sz w:val="22"/>
              </w:rPr>
              <w:t>改善师生学习生活环境</w:t>
            </w:r>
          </w:p>
        </w:tc>
      </w:tr>
      <w:tr w14:paraId="722B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14:paraId="07C373BD">
            <w:pPr>
              <w:jc w:val="center"/>
              <w:rPr>
                <w:rFonts w:cs="宋体" w:asciiTheme="minorEastAsia" w:hAnsiTheme="minorEastAsia"/>
                <w:sz w:val="20"/>
              </w:rPr>
            </w:pPr>
          </w:p>
        </w:tc>
        <w:tc>
          <w:tcPr>
            <w:tcW w:w="723" w:type="dxa"/>
            <w:vMerge w:val="continue"/>
            <w:tcBorders>
              <w:tl2br w:val="nil"/>
              <w:tr2bl w:val="nil"/>
            </w:tcBorders>
            <w:vAlign w:val="center"/>
          </w:tcPr>
          <w:p w14:paraId="40C5B3DF">
            <w:pPr>
              <w:jc w:val="center"/>
              <w:rPr>
                <w:rFonts w:cs="宋体" w:asciiTheme="minorEastAsia" w:hAnsiTheme="minorEastAsia"/>
                <w:sz w:val="20"/>
              </w:rPr>
            </w:pPr>
          </w:p>
        </w:tc>
        <w:tc>
          <w:tcPr>
            <w:tcW w:w="759" w:type="dxa"/>
            <w:gridSpan w:val="2"/>
            <w:tcBorders>
              <w:tl2br w:val="nil"/>
              <w:tr2bl w:val="nil"/>
            </w:tcBorders>
            <w:vAlign w:val="center"/>
          </w:tcPr>
          <w:p w14:paraId="01C12C46">
            <w:pPr>
              <w:widowControl/>
              <w:spacing w:line="200" w:lineRule="exact"/>
              <w:jc w:val="center"/>
              <w:rPr>
                <w:rFonts w:cs="宋体" w:asciiTheme="minorEastAsia" w:hAnsiTheme="minorEastAsia"/>
                <w:sz w:val="20"/>
              </w:rPr>
            </w:pPr>
            <w:r>
              <w:rPr>
                <w:rFonts w:hint="eastAsia" w:cs="宋体" w:asciiTheme="minorEastAsia" w:hAnsiTheme="minorEastAsia"/>
                <w:sz w:val="20"/>
              </w:rPr>
              <w:t>可持续影响指标</w:t>
            </w:r>
          </w:p>
        </w:tc>
        <w:tc>
          <w:tcPr>
            <w:tcW w:w="2872" w:type="dxa"/>
            <w:tcBorders>
              <w:tl2br w:val="nil"/>
              <w:tr2bl w:val="nil"/>
            </w:tcBorders>
            <w:vAlign w:val="center"/>
          </w:tcPr>
          <w:p w14:paraId="080F4574">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621E4072">
            <w:pPr>
              <w:jc w:val="center"/>
              <w:rPr>
                <w:rFonts w:ascii="等线" w:hAnsi="宋体" w:eastAsia="等线" w:cs="宋体"/>
                <w:color w:val="000000"/>
                <w:sz w:val="22"/>
              </w:rPr>
            </w:pPr>
            <w:r>
              <w:rPr>
                <w:rFonts w:hint="eastAsia" w:ascii="等线" w:eastAsia="等线"/>
                <w:color w:val="000000"/>
                <w:sz w:val="22"/>
              </w:rPr>
              <w:t>提高资金使用效益，推进教育均衡发展</w:t>
            </w:r>
          </w:p>
        </w:tc>
      </w:tr>
      <w:tr w14:paraId="0624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14:paraId="6DF76360">
            <w:pPr>
              <w:jc w:val="center"/>
              <w:rPr>
                <w:rFonts w:cs="宋体" w:asciiTheme="minorEastAsia" w:hAnsiTheme="minorEastAsia"/>
                <w:sz w:val="20"/>
              </w:rPr>
            </w:pPr>
          </w:p>
        </w:tc>
        <w:tc>
          <w:tcPr>
            <w:tcW w:w="723" w:type="dxa"/>
            <w:tcBorders>
              <w:tl2br w:val="nil"/>
              <w:tr2bl w:val="nil"/>
            </w:tcBorders>
            <w:vAlign w:val="center"/>
          </w:tcPr>
          <w:p w14:paraId="54E520F1">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759" w:type="dxa"/>
            <w:gridSpan w:val="2"/>
            <w:tcBorders>
              <w:tl2br w:val="nil"/>
              <w:tr2bl w:val="nil"/>
            </w:tcBorders>
            <w:vAlign w:val="center"/>
          </w:tcPr>
          <w:p w14:paraId="0326D138">
            <w:pPr>
              <w:widowControl/>
              <w:spacing w:line="200" w:lineRule="exact"/>
              <w:jc w:val="center"/>
              <w:rPr>
                <w:rFonts w:cs="宋体" w:asciiTheme="minorEastAsia" w:hAnsiTheme="minorEastAsia"/>
                <w:sz w:val="20"/>
              </w:rPr>
            </w:pPr>
            <w:r>
              <w:rPr>
                <w:rFonts w:hint="eastAsia" w:cs="宋体" w:asciiTheme="minorEastAsia" w:hAnsiTheme="minorEastAsia"/>
                <w:sz w:val="20"/>
              </w:rPr>
              <w:t>满意度指标</w:t>
            </w:r>
          </w:p>
        </w:tc>
        <w:tc>
          <w:tcPr>
            <w:tcW w:w="2872" w:type="dxa"/>
            <w:tcBorders>
              <w:tl2br w:val="nil"/>
              <w:tr2bl w:val="nil"/>
            </w:tcBorders>
            <w:vAlign w:val="center"/>
          </w:tcPr>
          <w:p w14:paraId="254470A9">
            <w:pPr>
              <w:widowControl/>
              <w:jc w:val="left"/>
              <w:textAlignment w:val="center"/>
              <w:rPr>
                <w:rFonts w:cs="宋体" w:asciiTheme="minorEastAsia" w:hAnsiTheme="minorEastAsia"/>
                <w:sz w:val="20"/>
              </w:rPr>
            </w:pPr>
            <w:r>
              <w:rPr>
                <w:rFonts w:hint="eastAsia" w:cs="宋体" w:asciiTheme="minorEastAsia" w:hAnsiTheme="minorEastAsia"/>
                <w:color w:val="000000"/>
                <w:kern w:val="0"/>
                <w:sz w:val="20"/>
                <w:szCs w:val="20"/>
              </w:rPr>
              <w:t>指标1：</w:t>
            </w:r>
          </w:p>
        </w:tc>
        <w:tc>
          <w:tcPr>
            <w:tcW w:w="4228" w:type="dxa"/>
            <w:gridSpan w:val="2"/>
            <w:tcBorders>
              <w:tl2br w:val="nil"/>
              <w:tr2bl w:val="nil"/>
            </w:tcBorders>
            <w:vAlign w:val="center"/>
          </w:tcPr>
          <w:p w14:paraId="7E57C79A">
            <w:pPr>
              <w:jc w:val="center"/>
              <w:rPr>
                <w:rFonts w:ascii="等线" w:hAnsi="宋体" w:eastAsia="等线" w:cs="宋体"/>
                <w:color w:val="000000"/>
                <w:sz w:val="22"/>
              </w:rPr>
            </w:pPr>
            <w:r>
              <w:rPr>
                <w:rFonts w:hint="eastAsia" w:ascii="等线" w:eastAsia="等线"/>
                <w:color w:val="000000"/>
                <w:sz w:val="22"/>
              </w:rPr>
              <w:t>反映学校、家长、学生的满意情况</w:t>
            </w:r>
          </w:p>
        </w:tc>
      </w:tr>
    </w:tbl>
    <w:p w14:paraId="77EC8E67">
      <w:pPr>
        <w:adjustRightInd w:val="0"/>
        <w:snapToGrid w:val="0"/>
        <w:spacing w:line="580" w:lineRule="exact"/>
        <w:ind w:left="708" w:leftChars="337"/>
        <w:rPr>
          <w:rFonts w:cs="TimesNewRoman" w:asciiTheme="minorEastAsia" w:hAnsiTheme="minorEastAsia"/>
          <w:b/>
          <w:sz w:val="32"/>
          <w:szCs w:val="32"/>
        </w:rPr>
      </w:pPr>
      <w:r>
        <w:rPr>
          <w:rFonts w:hint="eastAsia" w:cs="TimesNewRoman" w:asciiTheme="minorEastAsia" w:hAnsiTheme="minorEastAsia"/>
          <w:b/>
          <w:sz w:val="32"/>
          <w:szCs w:val="32"/>
        </w:rPr>
        <w:t>（二）机关运行经费。</w:t>
      </w:r>
    </w:p>
    <w:p w14:paraId="0514D0E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烈山区职业教育中心为非参照公务员法管理的事业单位，按照部门预算机关运行经费口径，2025年无机关运行经费财政拨款预算。</w:t>
      </w:r>
    </w:p>
    <w:p w14:paraId="62EA1A13">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（三）政府采购情况。</w:t>
      </w:r>
    </w:p>
    <w:p w14:paraId="354699E3">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烈山区职业教育中心2025年无政府采购预算。</w:t>
      </w:r>
    </w:p>
    <w:p w14:paraId="48C9B343">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（四）国有资产占有使用情况。</w:t>
      </w:r>
    </w:p>
    <w:p w14:paraId="7FFB4647">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截至2024年12月31日，烈山区职业教育中心共有车辆</w:t>
      </w:r>
      <w:r>
        <w:rPr>
          <w:rFonts w:hint="eastAsia" w:cs="TimesNewRoman" w:asciiTheme="minorEastAsia" w:hAnsiTheme="minorEastAsia"/>
          <w:kern w:val="0"/>
          <w:sz w:val="32"/>
          <w:szCs w:val="32"/>
          <w:lang w:val="en-US" w:eastAsia="zh-CN"/>
        </w:rPr>
        <w:t>0</w:t>
      </w:r>
      <w:r>
        <w:rPr>
          <w:rFonts w:hint="eastAsia" w:cs="TimesNewRoman" w:asciiTheme="minorEastAsia" w:hAnsiTheme="minorEastAsia"/>
          <w:kern w:val="0"/>
          <w:sz w:val="32"/>
          <w:szCs w:val="32"/>
        </w:rPr>
        <w:t>辆，其中：其他用车</w:t>
      </w:r>
      <w:r>
        <w:rPr>
          <w:rFonts w:hint="eastAsia" w:cs="TimesNewRoman" w:asciiTheme="minorEastAsia" w:hAnsiTheme="minorEastAsia"/>
          <w:kern w:val="0"/>
          <w:sz w:val="32"/>
          <w:szCs w:val="32"/>
          <w:lang w:val="en-US" w:eastAsia="zh-CN"/>
        </w:rPr>
        <w:t>0</w:t>
      </w:r>
      <w:r>
        <w:rPr>
          <w:rFonts w:hint="eastAsia" w:cs="TimesNewRoman" w:asciiTheme="minorEastAsia" w:hAnsiTheme="minorEastAsia"/>
          <w:kern w:val="0"/>
          <w:sz w:val="32"/>
          <w:szCs w:val="32"/>
        </w:rPr>
        <w:t>辆。单价50万元以上的通用设备0台（套），单价100万元以上的专用设备0台（套）。</w:t>
      </w:r>
    </w:p>
    <w:p w14:paraId="3DF3166B">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2025年部门（单位）预算安排购置公务用车0辆，购置费0万元；安排购置单价50万元以上的通用设备0台（套），购置费0万元；安排购置单价100万元以上专用设备0台（套），购置费0万元。</w:t>
      </w:r>
    </w:p>
    <w:p w14:paraId="47900A26">
      <w:pPr>
        <w:adjustRightInd w:val="0"/>
        <w:snapToGrid w:val="0"/>
        <w:spacing w:line="580" w:lineRule="exact"/>
        <w:ind w:firstLine="643" w:firstLineChars="200"/>
        <w:rPr>
          <w:rFonts w:cs="TimesNewRoman" w:asciiTheme="minorEastAsia" w:hAnsiTheme="minorEastAsia"/>
          <w:b/>
          <w:sz w:val="32"/>
          <w:szCs w:val="32"/>
        </w:rPr>
      </w:pPr>
      <w:r>
        <w:rPr>
          <w:rFonts w:hint="eastAsia" w:cs="TimesNewRoman" w:asciiTheme="minorEastAsia" w:hAnsiTheme="minorEastAsia"/>
          <w:b/>
          <w:sz w:val="32"/>
          <w:szCs w:val="32"/>
        </w:rPr>
        <w:t>（五）绩效目标设置情况。</w:t>
      </w:r>
    </w:p>
    <w:p w14:paraId="09D864FC">
      <w:pPr>
        <w:ind w:firstLine="640" w:firstLineChars="200"/>
        <w:rPr>
          <w:rFonts w:cs="TimesNewRoman" w:asciiTheme="minorEastAsia" w:hAnsiTheme="minorEastAsia"/>
          <w:kern w:val="0"/>
          <w:sz w:val="32"/>
          <w:szCs w:val="32"/>
        </w:rPr>
      </w:pPr>
      <w:r>
        <w:rPr>
          <w:rFonts w:hint="eastAsia" w:cs="TimesNewRoman" w:asciiTheme="minorEastAsia" w:hAnsiTheme="minorEastAsia"/>
          <w:kern w:val="0"/>
          <w:sz w:val="32"/>
          <w:szCs w:val="32"/>
        </w:rPr>
        <w:t>2025年，烈山区职业教育中心</w:t>
      </w:r>
      <w:r>
        <w:rPr>
          <w:rFonts w:hint="eastAsia" w:cs="TimesNewRoman" w:asciiTheme="minorEastAsia" w:hAnsiTheme="minorEastAsia"/>
          <w:kern w:val="0"/>
          <w:sz w:val="32"/>
          <w:szCs w:val="32"/>
          <w:lang w:val="en-US" w:eastAsia="zh-CN"/>
        </w:rPr>
        <w:t>1</w:t>
      </w:r>
      <w:r>
        <w:rPr>
          <w:rFonts w:hint="eastAsia" w:cs="TimesNewRoman" w:asciiTheme="minorEastAsia" w:hAnsiTheme="minorEastAsia"/>
          <w:kern w:val="0"/>
          <w:sz w:val="32"/>
          <w:szCs w:val="32"/>
        </w:rPr>
        <w:t>个项目实行了绩效目标管理，涉及一般公共预算当年财政拨款</w:t>
      </w:r>
      <w:r>
        <w:rPr>
          <w:rFonts w:hint="eastAsia" w:cs="TimesNewRoman" w:asciiTheme="minorEastAsia" w:hAnsiTheme="minorEastAsia"/>
          <w:kern w:val="0"/>
          <w:sz w:val="32"/>
          <w:szCs w:val="32"/>
          <w:lang w:val="en-US" w:eastAsia="zh-CN"/>
        </w:rPr>
        <w:t>0</w:t>
      </w:r>
      <w:r>
        <w:rPr>
          <w:rFonts w:hint="eastAsia" w:cs="TimesNewRoman" w:asciiTheme="minorEastAsia" w:hAnsiTheme="minorEastAsia"/>
          <w:kern w:val="0"/>
          <w:sz w:val="32"/>
          <w:szCs w:val="32"/>
        </w:rPr>
        <w:t>万元、政府性基金预算当年财政拨款0万元、财政专户管理资金当年安排</w:t>
      </w:r>
      <w:r>
        <w:rPr>
          <w:rFonts w:hint="eastAsia" w:cs="TimesNewRoman" w:asciiTheme="minorEastAsia" w:hAnsiTheme="minorEastAsia"/>
          <w:kern w:val="0"/>
          <w:sz w:val="32"/>
          <w:szCs w:val="32"/>
          <w:lang w:eastAsia="zh-CN"/>
        </w:rPr>
        <w:t>200</w:t>
      </w:r>
      <w:r>
        <w:rPr>
          <w:rFonts w:hint="eastAsia" w:cs="TimesNewRoman" w:asciiTheme="minorEastAsia" w:hAnsiTheme="minorEastAsia"/>
          <w:kern w:val="0"/>
          <w:sz w:val="32"/>
          <w:szCs w:val="32"/>
        </w:rPr>
        <w:t>万元。</w:t>
      </w:r>
    </w:p>
    <w:p w14:paraId="6640FCF1">
      <w:pPr>
        <w:pStyle w:val="4"/>
        <w:adjustRightInd w:val="0"/>
        <w:snapToGrid w:val="0"/>
        <w:spacing w:line="560" w:lineRule="exact"/>
        <w:jc w:val="center"/>
        <w:rPr>
          <w:rFonts w:cs="TimesNewRoman" w:asciiTheme="minorEastAsia" w:hAnsiTheme="minorEastAsia" w:eastAsiaTheme="minorEastAsia"/>
          <w:bCs/>
          <w:sz w:val="36"/>
          <w:szCs w:val="36"/>
        </w:rPr>
      </w:pPr>
    </w:p>
    <w:p w14:paraId="280FB6A2">
      <w:pPr>
        <w:pStyle w:val="4"/>
        <w:adjustRightInd w:val="0"/>
        <w:snapToGrid w:val="0"/>
        <w:spacing w:line="560" w:lineRule="exact"/>
        <w:jc w:val="center"/>
        <w:rPr>
          <w:rFonts w:cs="TimesNewRoman" w:asciiTheme="minorEastAsia" w:hAnsiTheme="minorEastAsia" w:eastAsiaTheme="minorEastAsia"/>
          <w:bCs/>
          <w:sz w:val="36"/>
          <w:szCs w:val="36"/>
        </w:rPr>
      </w:pPr>
      <w:r>
        <w:rPr>
          <w:rFonts w:hint="eastAsia" w:cs="TimesNewRoman" w:asciiTheme="minorEastAsia" w:hAnsiTheme="minorEastAsia" w:eastAsiaTheme="minorEastAsia"/>
          <w:bCs/>
          <w:sz w:val="36"/>
          <w:szCs w:val="36"/>
        </w:rPr>
        <w:t>第四部分 名词解释</w:t>
      </w:r>
    </w:p>
    <w:p w14:paraId="18304A20">
      <w:pPr>
        <w:rPr>
          <w:rFonts w:asciiTheme="minorEastAsia" w:hAnsiTheme="minorEastAsia"/>
        </w:rPr>
      </w:pPr>
    </w:p>
    <w:p w14:paraId="44D6A6BD">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一、财政拨款收入：</w:t>
      </w:r>
      <w:r>
        <w:rPr>
          <w:rFonts w:hint="eastAsia" w:cs="TimesNewRoman" w:asciiTheme="minorEastAsia" w:hAnsiTheme="minorEastAsia" w:eastAsiaTheme="minorEastAsia"/>
          <w:sz w:val="32"/>
          <w:szCs w:val="32"/>
        </w:rPr>
        <w:t>指部门或单位从同级财政部门取得的财政预算资金。</w:t>
      </w:r>
    </w:p>
    <w:p w14:paraId="3B6A092D">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二、事业收入：</w:t>
      </w:r>
      <w:r>
        <w:rPr>
          <w:rFonts w:hint="eastAsia" w:cs="TimesNewRoman" w:asciiTheme="minorEastAsia" w:hAnsiTheme="minorEastAsia" w:eastAsiaTheme="minorEastAsia"/>
          <w:sz w:val="32"/>
          <w:szCs w:val="32"/>
        </w:rPr>
        <w:t>指事业单位开展专业业务活动及辅助活动所取得的收入。</w:t>
      </w:r>
    </w:p>
    <w:p w14:paraId="3993E67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三、财政专户管理资金：</w:t>
      </w:r>
      <w:r>
        <w:rPr>
          <w:rFonts w:hint="eastAsia" w:cs="TimesNewRoman" w:asciiTheme="minorEastAsia" w:hAnsiTheme="minorEastAsia" w:eastAsiaTheme="minorEastAsia"/>
          <w:sz w:val="32"/>
          <w:szCs w:val="32"/>
        </w:rPr>
        <w:t>指按照非税收入管理相关规定，纳入财政专户管理的教育收费等。</w:t>
      </w:r>
    </w:p>
    <w:p w14:paraId="6761F7EA">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四、事业单位经营收入：</w:t>
      </w:r>
      <w:r>
        <w:rPr>
          <w:rFonts w:hint="eastAsia" w:cs="TimesNewRoman" w:asciiTheme="minorEastAsia" w:hAnsiTheme="minorEastAsia" w:eastAsiaTheme="minorEastAsia"/>
          <w:sz w:val="32"/>
          <w:szCs w:val="32"/>
        </w:rPr>
        <w:t>指事业单位在专业业务活动及其辅助活动之外开展非独立核算经营活动取得的收入。</w:t>
      </w:r>
    </w:p>
    <w:p w14:paraId="1CBB9B10">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五、附属单位上缴收入：</w:t>
      </w:r>
      <w:r>
        <w:rPr>
          <w:rFonts w:hint="eastAsia" w:cs="TimesNewRoman" w:asciiTheme="minorEastAsia" w:hAnsiTheme="minorEastAsia" w:eastAsiaTheme="minorEastAsia"/>
          <w:sz w:val="32"/>
          <w:szCs w:val="32"/>
        </w:rPr>
        <w:t>本单位所属下级单位上缴给本单位的全部收入。</w:t>
      </w:r>
    </w:p>
    <w:p w14:paraId="4B5B72B8">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六、上年结转：</w:t>
      </w:r>
      <w:r>
        <w:rPr>
          <w:rFonts w:hint="eastAsia" w:cs="TimesNewRoman" w:asciiTheme="minorEastAsia" w:hAnsiTheme="minorEastAsia" w:eastAsiaTheme="minorEastAsia"/>
          <w:sz w:val="32"/>
          <w:szCs w:val="32"/>
        </w:rPr>
        <w:t>指以前年度安排、结转到本年仍按原用途继续使用的资金。</w:t>
      </w:r>
    </w:p>
    <w:p w14:paraId="43449C38">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七、结转下年：</w:t>
      </w:r>
      <w:r>
        <w:rPr>
          <w:rFonts w:hint="eastAsia" w:cs="TimesNewRoman" w:asciiTheme="minorEastAsia" w:hAnsiTheme="minorEastAsia" w:eastAsiaTheme="minorEastAsia"/>
          <w:sz w:val="32"/>
          <w:szCs w:val="32"/>
        </w:rPr>
        <w:t>指以前年度预算安排、因客观条件发生变化无法按原计划实施，需以后年度按原用途继续使用的资金。</w:t>
      </w:r>
    </w:p>
    <w:p w14:paraId="4F8EB77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八、基本支出：</w:t>
      </w:r>
      <w:r>
        <w:rPr>
          <w:rFonts w:hint="eastAsia" w:cs="TimesNewRoman" w:asciiTheme="minorEastAsia" w:hAnsiTheme="minorEastAsia" w:eastAsiaTheme="minorEastAsia"/>
          <w:sz w:val="32"/>
          <w:szCs w:val="32"/>
        </w:rPr>
        <w:t>指为保障机构正常运转、完成日常工作任务而发生的人员支出和公用支出。</w:t>
      </w:r>
    </w:p>
    <w:p w14:paraId="0D2CA0F1">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九、项目支出：</w:t>
      </w:r>
      <w:r>
        <w:rPr>
          <w:rFonts w:hint="eastAsia" w:cs="TimesNewRoman" w:asciiTheme="minorEastAsia" w:hAnsiTheme="minorEastAsia" w:eastAsiaTheme="minorEastAsia"/>
          <w:sz w:val="32"/>
          <w:szCs w:val="32"/>
        </w:rPr>
        <w:t>指在除基本支出之外的支出，主要用于完成特定的工作任务和事业发展目标。</w:t>
      </w:r>
    </w:p>
    <w:p w14:paraId="2A361E6E">
      <w:pPr>
        <w:pStyle w:val="4"/>
        <w:adjustRightInd w:val="0"/>
        <w:snapToGrid w:val="0"/>
        <w:spacing w:line="560" w:lineRule="exact"/>
        <w:ind w:firstLine="630" w:firstLineChars="196"/>
        <w:rPr>
          <w:rFonts w:cs="TimesNewRoman" w:asciiTheme="minorEastAsia" w:hAnsiTheme="minorEastAsia" w:eastAsiaTheme="minorEastAsia"/>
          <w:sz w:val="32"/>
          <w:szCs w:val="32"/>
        </w:rPr>
      </w:pPr>
      <w:r>
        <w:rPr>
          <w:rFonts w:hint="eastAsia" w:cs="TimesNewRoman" w:asciiTheme="minorEastAsia" w:hAnsiTheme="minorEastAsia" w:eastAsiaTheme="minorEastAsia"/>
          <w:b/>
          <w:sz w:val="32"/>
          <w:szCs w:val="32"/>
        </w:rPr>
        <w:t xml:space="preserve">十、机关运行经费: </w:t>
      </w:r>
      <w:r>
        <w:rPr>
          <w:rFonts w:hint="eastAsia" w:cs="TimesNewRoman" w:asciiTheme="minorEastAsia" w:hAnsiTheme="minorEastAsia" w:eastAsiaTheme="minor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592F3D1">
      <w:pPr>
        <w:rPr>
          <w:rFonts w:asciiTheme="minorEastAsia" w:hAnsiTheme="minorEastAsia"/>
        </w:rPr>
      </w:pPr>
    </w:p>
    <w:p w14:paraId="10A3A40E">
      <w:pPr>
        <w:rPr>
          <w:rFonts w:asciiTheme="minorEastAsia" w:hAnsiTheme="minorEastAsia"/>
        </w:rPr>
      </w:pPr>
    </w:p>
    <w:p w14:paraId="0B1FA0AE">
      <w:pPr>
        <w:rPr>
          <w:rFonts w:asciiTheme="minorEastAsia" w:hAnsiTheme="minorEastAsia"/>
        </w:rPr>
      </w:pPr>
    </w:p>
    <w:p w14:paraId="40F33B7C">
      <w:pPr>
        <w:rPr>
          <w:rFonts w:asciiTheme="minorEastAsia" w:hAnsiTheme="minorEastAsia"/>
        </w:rPr>
      </w:pPr>
    </w:p>
    <w:p w14:paraId="48640052">
      <w:pPr>
        <w:rPr>
          <w:rFonts w:asciiTheme="minorEastAsia" w:hAnsiTheme="minorEastAsia"/>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等线">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C4"/>
    <w:rsid w:val="00041300"/>
    <w:rsid w:val="000B2A8B"/>
    <w:rsid w:val="000C2AFE"/>
    <w:rsid w:val="000D2C60"/>
    <w:rsid w:val="000E28EE"/>
    <w:rsid w:val="001356E4"/>
    <w:rsid w:val="001379CB"/>
    <w:rsid w:val="001516A9"/>
    <w:rsid w:val="001739E6"/>
    <w:rsid w:val="00193F3E"/>
    <w:rsid w:val="0023191C"/>
    <w:rsid w:val="00255B42"/>
    <w:rsid w:val="00267E33"/>
    <w:rsid w:val="00271102"/>
    <w:rsid w:val="002D1A7D"/>
    <w:rsid w:val="002E437D"/>
    <w:rsid w:val="0033776B"/>
    <w:rsid w:val="00351023"/>
    <w:rsid w:val="00372BDD"/>
    <w:rsid w:val="003A1F17"/>
    <w:rsid w:val="003A6B38"/>
    <w:rsid w:val="003C503D"/>
    <w:rsid w:val="003F0A74"/>
    <w:rsid w:val="00464DFC"/>
    <w:rsid w:val="004A4DC6"/>
    <w:rsid w:val="0050513F"/>
    <w:rsid w:val="00506B03"/>
    <w:rsid w:val="00564B45"/>
    <w:rsid w:val="0057562B"/>
    <w:rsid w:val="0063712B"/>
    <w:rsid w:val="006546AF"/>
    <w:rsid w:val="00690475"/>
    <w:rsid w:val="00693C54"/>
    <w:rsid w:val="006E0E30"/>
    <w:rsid w:val="00711146"/>
    <w:rsid w:val="00726D96"/>
    <w:rsid w:val="007B1304"/>
    <w:rsid w:val="00803EE9"/>
    <w:rsid w:val="00835BFE"/>
    <w:rsid w:val="008B354D"/>
    <w:rsid w:val="008F5542"/>
    <w:rsid w:val="008F6D1A"/>
    <w:rsid w:val="00914D73"/>
    <w:rsid w:val="0092797D"/>
    <w:rsid w:val="00941810"/>
    <w:rsid w:val="009A03A2"/>
    <w:rsid w:val="009A1595"/>
    <w:rsid w:val="009A3CA3"/>
    <w:rsid w:val="00A538A5"/>
    <w:rsid w:val="00A62B38"/>
    <w:rsid w:val="00AD6441"/>
    <w:rsid w:val="00AE3242"/>
    <w:rsid w:val="00B533A1"/>
    <w:rsid w:val="00BC264B"/>
    <w:rsid w:val="00BD640A"/>
    <w:rsid w:val="00BE7254"/>
    <w:rsid w:val="00C015C4"/>
    <w:rsid w:val="00C415D8"/>
    <w:rsid w:val="00C434C0"/>
    <w:rsid w:val="00CE5012"/>
    <w:rsid w:val="00DB2A5C"/>
    <w:rsid w:val="00E15671"/>
    <w:rsid w:val="00E30D39"/>
    <w:rsid w:val="00E35489"/>
    <w:rsid w:val="00E77594"/>
    <w:rsid w:val="00E907C4"/>
    <w:rsid w:val="00E9743F"/>
    <w:rsid w:val="00EC7755"/>
    <w:rsid w:val="00F042D4"/>
    <w:rsid w:val="00F52257"/>
    <w:rsid w:val="00F974AD"/>
    <w:rsid w:val="00FF47E2"/>
    <w:rsid w:val="0B1338B8"/>
    <w:rsid w:val="1C56155A"/>
    <w:rsid w:val="2FBF1D8B"/>
    <w:rsid w:val="522E4B2D"/>
    <w:rsid w:val="6C6D6EFA"/>
    <w:rsid w:val="6F292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5331</Words>
  <Characters>5992</Characters>
  <Lines>51</Lines>
  <Paragraphs>14</Paragraphs>
  <TotalTime>263</TotalTime>
  <ScaleCrop>false</ScaleCrop>
  <LinksUpToDate>false</LinksUpToDate>
  <CharactersWithSpaces>6115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秋叶黄</cp:lastModifiedBy>
  <dcterms:modified xsi:type="dcterms:W3CDTF">2025-02-27T08:07:49Z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eyJoZGlkIjoiMGZiMzI2OTQwYjJkYzA3MmIzNjk0NTg4ZmRmYWViNzQiLCJ1c2VySWQiOiI4MjgwMzY5OTYifQ==</vt:lpwstr>
  </property>
  <property fmtid="{D5CDD505-2E9C-101B-9397-08002B2CF9AE}" pid="3" name="KSOProductBuildVer">
    <vt:lpwstr>2052-12.1.0.20305</vt:lpwstr>
  </property>
  <property fmtid="{D5CDD505-2E9C-101B-9397-08002B2CF9AE}" pid="4" name="ICV">
    <vt:lpwstr>737910CB606B4DBFB1A8B147A9FB96A9_13</vt:lpwstr>
  </property>
</Properties>
</file>