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34018">
      <w:pPr>
        <w:spacing w:line="560" w:lineRule="exact"/>
        <w:rPr>
          <w:rFonts w:hint="eastAsia" w:ascii="仿宋_GB2312" w:hAnsi="仿宋_GB2312" w:eastAsia="仿宋_GB2312" w:cs="仿宋_GB2312"/>
          <w:szCs w:val="32"/>
        </w:rPr>
      </w:pPr>
      <w:r>
        <w:rPr>
          <w:rFonts w:hint="eastAsia" w:ascii="TimesNewRoman" w:hAnsi="TimesNewRoman" w:eastAsia="黑体" w:cs="TimesNewRoman"/>
          <w:szCs w:val="32"/>
        </w:rPr>
        <w:t>附件</w:t>
      </w:r>
      <w:r>
        <w:rPr>
          <w:rFonts w:hint="eastAsia" w:ascii="仿宋_GB2312" w:hAnsi="仿宋_GB2312" w:eastAsia="仿宋_GB2312" w:cs="仿宋_GB2312"/>
          <w:szCs w:val="32"/>
        </w:rPr>
        <w:t>1-1</w:t>
      </w:r>
    </w:p>
    <w:p w14:paraId="6560D659"/>
    <w:p w14:paraId="3B8DA29D"/>
    <w:p w14:paraId="613FAC41"/>
    <w:p w14:paraId="01D7FA32"/>
    <w:p w14:paraId="370ABF76"/>
    <w:p w14:paraId="15AF5247"/>
    <w:p w14:paraId="115BB2CC"/>
    <w:p w14:paraId="62EC6955"/>
    <w:p w14:paraId="10F180B0">
      <w:pPr>
        <w:spacing w:line="560" w:lineRule="exact"/>
        <w:jc w:val="center"/>
        <w:rPr>
          <w:rFonts w:hint="eastAsia" w:ascii="TimesNewRoman" w:hAnsi="TimesNewRoman" w:eastAsia="华文中宋" w:cs="TimesNewRoman"/>
          <w:b/>
          <w:sz w:val="44"/>
          <w:szCs w:val="44"/>
          <w:lang w:eastAsia="zh-CN"/>
        </w:rPr>
      </w:pPr>
      <w:r>
        <w:rPr>
          <w:rFonts w:hint="eastAsia" w:ascii="TimesNewRoman" w:hAnsi="TimesNewRoman" w:eastAsia="华文中宋" w:cs="TimesNewRoman"/>
          <w:b/>
          <w:sz w:val="44"/>
          <w:szCs w:val="44"/>
          <w:lang w:eastAsia="zh-CN"/>
        </w:rPr>
        <w:t>烈山区教育局本级</w:t>
      </w:r>
      <w:r>
        <w:rPr>
          <w:rFonts w:hint="eastAsia" w:asciiTheme="minorEastAsia" w:hAnsiTheme="minorEastAsia" w:eastAsiaTheme="minorEastAsia" w:cstheme="minorEastAsia"/>
          <w:b/>
          <w:sz w:val="44"/>
          <w:szCs w:val="44"/>
          <w:lang w:val="en-US" w:eastAsia="zh-CN"/>
        </w:rPr>
        <w:t>2025</w:t>
      </w:r>
      <w:r>
        <w:rPr>
          <w:rFonts w:hint="eastAsia" w:ascii="TimesNewRoman" w:hAnsi="TimesNewRoman" w:eastAsia="华文中宋" w:cs="TimesNewRoman"/>
          <w:b/>
          <w:sz w:val="44"/>
          <w:szCs w:val="44"/>
          <w:lang w:eastAsia="zh-CN"/>
        </w:rPr>
        <w:t>年部门预算</w:t>
      </w:r>
    </w:p>
    <w:p w14:paraId="17100FB7">
      <w:pPr>
        <w:spacing w:line="560" w:lineRule="exact"/>
        <w:jc w:val="center"/>
        <w:rPr>
          <w:rFonts w:hint="eastAsia" w:ascii="TimesNewRoman" w:hAnsi="TimesNewRoman" w:eastAsia="华文中宋" w:cs="TimesNewRoman"/>
          <w:b/>
          <w:sz w:val="44"/>
          <w:szCs w:val="44"/>
          <w:lang w:eastAsia="zh-CN"/>
        </w:rPr>
      </w:pPr>
    </w:p>
    <w:p w14:paraId="5956E314"/>
    <w:p w14:paraId="54E43E0C"/>
    <w:p w14:paraId="47217761"/>
    <w:p w14:paraId="53BE978F"/>
    <w:p w14:paraId="5860DBB3"/>
    <w:p w14:paraId="77E95CD0"/>
    <w:p w14:paraId="0F2A162A"/>
    <w:p w14:paraId="1F0A3EA0"/>
    <w:p w14:paraId="71FA3057"/>
    <w:p w14:paraId="13C44169"/>
    <w:p w14:paraId="13DC2AAD"/>
    <w:p w14:paraId="442109A9"/>
    <w:p w14:paraId="3FA1FA84"/>
    <w:p w14:paraId="13D8B08C"/>
    <w:p w14:paraId="3E92E8E6"/>
    <w:p w14:paraId="4DE650B1"/>
    <w:p w14:paraId="5BEF4A73"/>
    <w:p w14:paraId="13C1A66E"/>
    <w:p w14:paraId="55EC5055"/>
    <w:p w14:paraId="556E66D0"/>
    <w:p w14:paraId="6170E8DC"/>
    <w:p w14:paraId="3F205055">
      <w:pPr>
        <w:pStyle w:val="5"/>
        <w:adjustRightInd w:val="0"/>
        <w:snapToGrid w:val="0"/>
        <w:spacing w:line="560" w:lineRule="exact"/>
        <w:jc w:val="center"/>
        <w:rPr>
          <w:rFonts w:ascii="TimesNewRoman" w:hAnsi="TimesNewRoman" w:eastAsia="黑体" w:cs="TimesNewRoman"/>
          <w:bCs/>
          <w:sz w:val="44"/>
          <w:szCs w:val="44"/>
        </w:rPr>
      </w:pPr>
    </w:p>
    <w:p w14:paraId="4B5606AC">
      <w:pPr>
        <w:pStyle w:val="5"/>
        <w:adjustRightInd w:val="0"/>
        <w:snapToGrid w:val="0"/>
        <w:spacing w:line="560" w:lineRule="exact"/>
        <w:jc w:val="center"/>
        <w:rPr>
          <w:rFonts w:ascii="TimesNewRoman" w:hAnsi="TimesNewRoman" w:eastAsia="黑体" w:cs="TimesNewRoman"/>
          <w:bCs/>
          <w:sz w:val="44"/>
          <w:szCs w:val="44"/>
        </w:rPr>
      </w:pPr>
      <w:r>
        <w:rPr>
          <w:rFonts w:hint="eastAsia" w:asciiTheme="minorEastAsia" w:hAnsiTheme="minorEastAsia" w:eastAsiaTheme="minorEastAsia" w:cstheme="minorEastAsia"/>
          <w:b/>
          <w:kern w:val="2"/>
          <w:sz w:val="44"/>
          <w:szCs w:val="44"/>
          <w:lang w:val="en-US" w:eastAsia="zh-CN" w:bidi="ar-SA"/>
        </w:rPr>
        <w:t>2025年1月</w:t>
      </w:r>
    </w:p>
    <w:p w14:paraId="47E79988"/>
    <w:p w14:paraId="68367EE5"/>
    <w:p w14:paraId="173D09E4">
      <w:pPr>
        <w:pStyle w:val="5"/>
        <w:adjustRightInd w:val="0"/>
        <w:snapToGrid w:val="0"/>
        <w:spacing w:line="560" w:lineRule="exact"/>
        <w:jc w:val="center"/>
        <w:rPr>
          <w:rFonts w:hint="eastAsia" w:ascii="仿宋_GB2312" w:hAnsi="仿宋_GB2312" w:eastAsia="仿宋_GB2312" w:cs="仿宋_GB2312"/>
          <w:bCs/>
          <w:sz w:val="44"/>
          <w:szCs w:val="44"/>
        </w:rPr>
      </w:pPr>
    </w:p>
    <w:p w14:paraId="7BC613AF">
      <w:pPr>
        <w:pStyle w:val="5"/>
        <w:adjustRightInd w:val="0"/>
        <w:snapToGrid w:val="0"/>
        <w:spacing w:line="560" w:lineRule="exact"/>
        <w:jc w:val="center"/>
        <w:rPr>
          <w:rFonts w:hint="eastAsia" w:ascii="仿宋_GB2312" w:hAnsi="仿宋_GB2312" w:eastAsia="仿宋_GB2312" w:cs="仿宋_GB2312"/>
          <w:bCs/>
          <w:sz w:val="44"/>
          <w:szCs w:val="44"/>
        </w:rPr>
      </w:pPr>
      <w:r>
        <w:rPr>
          <w:rFonts w:hint="eastAsia" w:ascii="仿宋_GB2312" w:hAnsi="仿宋_GB2312" w:eastAsia="仿宋_GB2312" w:cs="仿宋_GB2312"/>
          <w:bCs/>
          <w:sz w:val="44"/>
          <w:szCs w:val="44"/>
        </w:rPr>
        <w:t>目  录</w:t>
      </w:r>
    </w:p>
    <w:p w14:paraId="30F6CECA">
      <w:pPr>
        <w:rPr>
          <w:rFonts w:hint="eastAsia" w:ascii="仿宋_GB2312" w:hAnsi="仿宋_GB2312" w:eastAsia="仿宋_GB2312" w:cs="仿宋_GB2312"/>
        </w:rPr>
      </w:pPr>
    </w:p>
    <w:p w14:paraId="46B8BE30">
      <w:pPr>
        <w:pStyle w:val="5"/>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第一部分 </w:t>
      </w:r>
      <w:r>
        <w:rPr>
          <w:rFonts w:hint="eastAsia" w:ascii="仿宋_GB2312" w:hAnsi="仿宋_GB2312" w:eastAsia="仿宋_GB2312" w:cs="仿宋_GB2312"/>
          <w:b/>
          <w:sz w:val="32"/>
          <w:szCs w:val="32"/>
          <w:lang w:eastAsia="zh-CN"/>
        </w:rPr>
        <w:t>烈山区教育局本级部门</w:t>
      </w:r>
      <w:r>
        <w:rPr>
          <w:rFonts w:hint="eastAsia" w:ascii="仿宋_GB2312" w:hAnsi="仿宋_GB2312" w:eastAsia="仿宋_GB2312" w:cs="仿宋_GB2312"/>
          <w:b/>
          <w:sz w:val="32"/>
          <w:szCs w:val="32"/>
        </w:rPr>
        <w:t>概况</w:t>
      </w:r>
    </w:p>
    <w:p w14:paraId="37308745">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1、主要职责</w:t>
      </w:r>
    </w:p>
    <w:p w14:paraId="0D2722F7">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烈山区教育局本级</w:t>
      </w:r>
      <w:r>
        <w:rPr>
          <w:rFonts w:hint="eastAsia" w:ascii="仿宋_GB2312" w:hAnsi="仿宋_GB2312" w:eastAsia="仿宋_GB2312" w:cs="仿宋_GB2312"/>
          <w:bCs/>
          <w:sz w:val="32"/>
          <w:szCs w:val="32"/>
        </w:rPr>
        <w:t>部门预算构成</w:t>
      </w:r>
    </w:p>
    <w:p w14:paraId="2AB5B4E2">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 、</w:t>
      </w:r>
      <w:r>
        <w:rPr>
          <w:rFonts w:hint="eastAsia" w:ascii="仿宋_GB2312" w:hAnsi="仿宋_GB2312" w:eastAsia="仿宋_GB2312" w:cs="仿宋_GB2312"/>
          <w:bCs/>
          <w:sz w:val="32"/>
          <w:szCs w:val="32"/>
          <w:lang w:eastAsia="zh-CN"/>
        </w:rPr>
        <w:t>2025</w:t>
      </w:r>
      <w:r>
        <w:rPr>
          <w:rFonts w:hint="eastAsia" w:ascii="仿宋_GB2312" w:hAnsi="仿宋_GB2312" w:eastAsia="仿宋_GB2312" w:cs="仿宋_GB2312"/>
          <w:bCs/>
          <w:sz w:val="32"/>
          <w:szCs w:val="32"/>
        </w:rPr>
        <w:t>年度主要工作任务</w:t>
      </w:r>
    </w:p>
    <w:p w14:paraId="0A753956">
      <w:pPr>
        <w:pStyle w:val="5"/>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第二部分 </w:t>
      </w:r>
      <w:r>
        <w:rPr>
          <w:rFonts w:hint="eastAsia" w:ascii="仿宋_GB2312" w:hAnsi="仿宋_GB2312" w:eastAsia="仿宋_GB2312" w:cs="仿宋_GB2312"/>
          <w:b/>
          <w:sz w:val="32"/>
          <w:szCs w:val="32"/>
          <w:lang w:eastAsia="zh-CN"/>
        </w:rPr>
        <w:t>烈山区教育局本级2025</w:t>
      </w:r>
      <w:r>
        <w:rPr>
          <w:rFonts w:hint="eastAsia" w:ascii="仿宋_GB2312" w:hAnsi="仿宋_GB2312" w:eastAsia="仿宋_GB2312" w:cs="仿宋_GB2312"/>
          <w:b/>
          <w:sz w:val="32"/>
          <w:szCs w:val="32"/>
        </w:rPr>
        <w:t>年部门预算表</w:t>
      </w:r>
    </w:p>
    <w:p w14:paraId="7EBE54D9">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eastAsia="zh-CN"/>
        </w:rPr>
        <w:t>烈山区教育局本级2025</w:t>
      </w:r>
      <w:r>
        <w:rPr>
          <w:rFonts w:hint="eastAsia" w:ascii="仿宋_GB2312" w:hAnsi="仿宋_GB2312" w:eastAsia="仿宋_GB2312" w:cs="仿宋_GB2312"/>
          <w:bCs/>
          <w:sz w:val="32"/>
          <w:szCs w:val="32"/>
        </w:rPr>
        <w:t>年收支总表</w:t>
      </w:r>
    </w:p>
    <w:p w14:paraId="7DDF5B2E">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烈山区教育局本级2025</w:t>
      </w:r>
      <w:r>
        <w:rPr>
          <w:rFonts w:hint="eastAsia" w:ascii="仿宋_GB2312" w:hAnsi="仿宋_GB2312" w:eastAsia="仿宋_GB2312" w:cs="仿宋_GB2312"/>
          <w:bCs/>
          <w:sz w:val="32"/>
          <w:szCs w:val="32"/>
        </w:rPr>
        <w:t>年收入总表</w:t>
      </w:r>
    </w:p>
    <w:p w14:paraId="69DC67B9">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eastAsia="zh-CN"/>
        </w:rPr>
        <w:t>烈山区教育局本级2025</w:t>
      </w:r>
      <w:r>
        <w:rPr>
          <w:rFonts w:hint="eastAsia" w:ascii="仿宋_GB2312" w:hAnsi="仿宋_GB2312" w:eastAsia="仿宋_GB2312" w:cs="仿宋_GB2312"/>
          <w:bCs/>
          <w:sz w:val="32"/>
          <w:szCs w:val="32"/>
        </w:rPr>
        <w:t>年支出总表</w:t>
      </w:r>
    </w:p>
    <w:p w14:paraId="6BE30C77">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w:t>
      </w:r>
      <w:r>
        <w:rPr>
          <w:rFonts w:hint="eastAsia" w:ascii="仿宋_GB2312" w:hAnsi="仿宋_GB2312" w:eastAsia="仿宋_GB2312" w:cs="仿宋_GB2312"/>
          <w:bCs/>
          <w:sz w:val="32"/>
          <w:szCs w:val="32"/>
          <w:lang w:eastAsia="zh-CN"/>
        </w:rPr>
        <w:t>烈山区教育局本级2025</w:t>
      </w:r>
      <w:r>
        <w:rPr>
          <w:rFonts w:hint="eastAsia" w:ascii="仿宋_GB2312" w:hAnsi="仿宋_GB2312" w:eastAsia="仿宋_GB2312" w:cs="仿宋_GB2312"/>
          <w:bCs/>
          <w:sz w:val="32"/>
          <w:szCs w:val="32"/>
        </w:rPr>
        <w:t>年财政拨款收支总表</w:t>
      </w:r>
    </w:p>
    <w:p w14:paraId="397CD6A2">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w:t>
      </w:r>
      <w:r>
        <w:rPr>
          <w:rFonts w:hint="eastAsia" w:ascii="仿宋_GB2312" w:hAnsi="仿宋_GB2312" w:eastAsia="仿宋_GB2312" w:cs="仿宋_GB2312"/>
          <w:bCs/>
          <w:sz w:val="32"/>
          <w:szCs w:val="32"/>
          <w:lang w:eastAsia="zh-CN"/>
        </w:rPr>
        <w:t>烈山区教育局本级2025</w:t>
      </w:r>
      <w:r>
        <w:rPr>
          <w:rFonts w:hint="eastAsia" w:ascii="仿宋_GB2312" w:hAnsi="仿宋_GB2312" w:eastAsia="仿宋_GB2312" w:cs="仿宋_GB2312"/>
          <w:bCs/>
          <w:sz w:val="32"/>
          <w:szCs w:val="32"/>
        </w:rPr>
        <w:t>年一般公共预算支出表</w:t>
      </w:r>
    </w:p>
    <w:p w14:paraId="5235B3D5">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w:t>
      </w:r>
      <w:r>
        <w:rPr>
          <w:rFonts w:hint="eastAsia" w:ascii="仿宋_GB2312" w:hAnsi="仿宋_GB2312" w:eastAsia="仿宋_GB2312" w:cs="仿宋_GB2312"/>
          <w:bCs/>
          <w:sz w:val="32"/>
          <w:szCs w:val="32"/>
          <w:lang w:eastAsia="zh-CN"/>
        </w:rPr>
        <w:t>烈山区教育局本级2025</w:t>
      </w:r>
      <w:r>
        <w:rPr>
          <w:rFonts w:hint="eastAsia" w:ascii="仿宋_GB2312" w:hAnsi="仿宋_GB2312" w:eastAsia="仿宋_GB2312" w:cs="仿宋_GB2312"/>
          <w:bCs/>
          <w:sz w:val="32"/>
          <w:szCs w:val="32"/>
        </w:rPr>
        <w:t>年一般公共预算基本支出表</w:t>
      </w:r>
    </w:p>
    <w:p w14:paraId="5FC89A5E">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w:t>
      </w:r>
      <w:r>
        <w:rPr>
          <w:rFonts w:hint="eastAsia" w:ascii="仿宋_GB2312" w:hAnsi="仿宋_GB2312" w:eastAsia="仿宋_GB2312" w:cs="仿宋_GB2312"/>
          <w:bCs/>
          <w:sz w:val="32"/>
          <w:szCs w:val="32"/>
          <w:lang w:eastAsia="zh-CN"/>
        </w:rPr>
        <w:t>烈山区教育局本级2025</w:t>
      </w:r>
      <w:r>
        <w:rPr>
          <w:rFonts w:hint="eastAsia" w:ascii="仿宋_GB2312" w:hAnsi="仿宋_GB2312" w:eastAsia="仿宋_GB2312" w:cs="仿宋_GB2312"/>
          <w:bCs/>
          <w:sz w:val="32"/>
          <w:szCs w:val="32"/>
        </w:rPr>
        <w:t>年政府性基金预算支出表</w:t>
      </w:r>
    </w:p>
    <w:p w14:paraId="603E418A">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w:t>
      </w:r>
      <w:r>
        <w:rPr>
          <w:rFonts w:hint="eastAsia" w:ascii="仿宋_GB2312" w:hAnsi="仿宋_GB2312" w:eastAsia="仿宋_GB2312" w:cs="仿宋_GB2312"/>
          <w:bCs/>
          <w:sz w:val="32"/>
          <w:szCs w:val="32"/>
          <w:lang w:eastAsia="zh-CN"/>
        </w:rPr>
        <w:t>烈山区教育局本级2025</w:t>
      </w:r>
      <w:r>
        <w:rPr>
          <w:rFonts w:hint="eastAsia" w:ascii="仿宋_GB2312" w:hAnsi="仿宋_GB2312" w:eastAsia="仿宋_GB2312" w:cs="仿宋_GB2312"/>
          <w:bCs/>
          <w:sz w:val="32"/>
          <w:szCs w:val="32"/>
        </w:rPr>
        <w:t>年国有资本经营预算支出表</w:t>
      </w:r>
    </w:p>
    <w:p w14:paraId="13E37BFE">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w:t>
      </w:r>
      <w:r>
        <w:rPr>
          <w:rFonts w:hint="eastAsia" w:ascii="仿宋_GB2312" w:hAnsi="仿宋_GB2312" w:eastAsia="仿宋_GB2312" w:cs="仿宋_GB2312"/>
          <w:bCs/>
          <w:sz w:val="32"/>
          <w:szCs w:val="32"/>
          <w:lang w:eastAsia="zh-CN"/>
        </w:rPr>
        <w:t>烈山区教育局本级2025</w:t>
      </w:r>
      <w:r>
        <w:rPr>
          <w:rFonts w:hint="eastAsia" w:ascii="仿宋_GB2312" w:hAnsi="仿宋_GB2312" w:eastAsia="仿宋_GB2312" w:cs="仿宋_GB2312"/>
          <w:bCs/>
          <w:sz w:val="32"/>
          <w:szCs w:val="32"/>
        </w:rPr>
        <w:t>年项目支出表</w:t>
      </w:r>
    </w:p>
    <w:p w14:paraId="24D625FD">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w:t>
      </w:r>
      <w:r>
        <w:rPr>
          <w:rFonts w:hint="eastAsia" w:ascii="仿宋_GB2312" w:hAnsi="仿宋_GB2312" w:eastAsia="仿宋_GB2312" w:cs="仿宋_GB2312"/>
          <w:bCs/>
          <w:sz w:val="32"/>
          <w:szCs w:val="32"/>
          <w:lang w:eastAsia="zh-CN"/>
        </w:rPr>
        <w:t>烈山区教育局本级2025</w:t>
      </w:r>
      <w:r>
        <w:rPr>
          <w:rFonts w:hint="eastAsia" w:ascii="仿宋_GB2312" w:hAnsi="仿宋_GB2312" w:eastAsia="仿宋_GB2312" w:cs="仿宋_GB2312"/>
          <w:bCs/>
          <w:sz w:val="32"/>
          <w:szCs w:val="32"/>
        </w:rPr>
        <w:t>年政府采购支出表</w:t>
      </w:r>
    </w:p>
    <w:p w14:paraId="5AF4BBD1">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w:t>
      </w:r>
      <w:r>
        <w:rPr>
          <w:rFonts w:hint="eastAsia" w:ascii="仿宋_GB2312" w:hAnsi="仿宋_GB2312" w:eastAsia="仿宋_GB2312" w:cs="仿宋_GB2312"/>
          <w:bCs/>
          <w:sz w:val="32"/>
          <w:szCs w:val="32"/>
          <w:lang w:eastAsia="zh-CN"/>
        </w:rPr>
        <w:t>烈山区教育局本级2025</w:t>
      </w:r>
      <w:r>
        <w:rPr>
          <w:rFonts w:hint="eastAsia" w:ascii="仿宋_GB2312" w:hAnsi="仿宋_GB2312" w:eastAsia="仿宋_GB2312" w:cs="仿宋_GB2312"/>
          <w:bCs/>
          <w:sz w:val="32"/>
          <w:szCs w:val="32"/>
        </w:rPr>
        <w:t>年政府购买服务支出表</w:t>
      </w:r>
    </w:p>
    <w:p w14:paraId="08BE54A5">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w:t>
      </w:r>
      <w:r>
        <w:rPr>
          <w:rFonts w:hint="eastAsia" w:ascii="仿宋_GB2312" w:hAnsi="仿宋_GB2312" w:eastAsia="仿宋_GB2312" w:cs="仿宋_GB2312"/>
          <w:bCs/>
          <w:sz w:val="32"/>
          <w:szCs w:val="32"/>
          <w:lang w:eastAsia="zh-CN"/>
        </w:rPr>
        <w:t>烈山区教育局本级2025</w:t>
      </w:r>
      <w:r>
        <w:rPr>
          <w:rFonts w:hint="eastAsia" w:ascii="仿宋_GB2312" w:hAnsi="仿宋_GB2312" w:eastAsia="仿宋_GB2312" w:cs="仿宋_GB2312"/>
          <w:bCs/>
          <w:sz w:val="32"/>
          <w:szCs w:val="32"/>
        </w:rPr>
        <w:t>年通用资产配置支出表</w:t>
      </w:r>
    </w:p>
    <w:p w14:paraId="6857293F">
      <w:pPr>
        <w:pStyle w:val="5"/>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第三部分 </w:t>
      </w:r>
      <w:r>
        <w:rPr>
          <w:rFonts w:hint="eastAsia" w:ascii="仿宋_GB2312" w:hAnsi="仿宋_GB2312" w:eastAsia="仿宋_GB2312" w:cs="仿宋_GB2312"/>
          <w:b/>
          <w:sz w:val="32"/>
          <w:szCs w:val="32"/>
          <w:lang w:eastAsia="zh-CN"/>
        </w:rPr>
        <w:t>2025</w:t>
      </w:r>
      <w:r>
        <w:rPr>
          <w:rFonts w:hint="eastAsia" w:ascii="仿宋_GB2312" w:hAnsi="仿宋_GB2312" w:eastAsia="仿宋_GB2312" w:cs="仿宋_GB2312"/>
          <w:b/>
          <w:sz w:val="32"/>
          <w:szCs w:val="32"/>
        </w:rPr>
        <w:t>年部门预算情况说明</w:t>
      </w:r>
    </w:p>
    <w:p w14:paraId="6E53917A">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1、关于</w:t>
      </w:r>
      <w:r>
        <w:rPr>
          <w:rFonts w:hint="eastAsia" w:ascii="仿宋_GB2312" w:hAnsi="仿宋_GB2312" w:eastAsia="仿宋_GB2312" w:cs="仿宋_GB2312"/>
          <w:bCs/>
          <w:sz w:val="32"/>
          <w:szCs w:val="32"/>
          <w:lang w:eastAsia="zh-CN"/>
        </w:rPr>
        <w:t>2025</w:t>
      </w:r>
      <w:r>
        <w:rPr>
          <w:rFonts w:hint="eastAsia" w:ascii="仿宋_GB2312" w:hAnsi="仿宋_GB2312" w:eastAsia="仿宋_GB2312" w:cs="仿宋_GB2312"/>
          <w:bCs/>
          <w:sz w:val="32"/>
          <w:szCs w:val="32"/>
        </w:rPr>
        <w:t>年收支总表的说明</w:t>
      </w:r>
    </w:p>
    <w:p w14:paraId="3C63C286">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2、关于</w:t>
      </w:r>
      <w:r>
        <w:rPr>
          <w:rFonts w:hint="eastAsia" w:ascii="仿宋_GB2312" w:hAnsi="仿宋_GB2312" w:eastAsia="仿宋_GB2312" w:cs="仿宋_GB2312"/>
          <w:bCs/>
          <w:sz w:val="32"/>
          <w:szCs w:val="32"/>
          <w:lang w:eastAsia="zh-CN"/>
        </w:rPr>
        <w:t>2025</w:t>
      </w:r>
      <w:r>
        <w:rPr>
          <w:rFonts w:hint="eastAsia" w:ascii="仿宋_GB2312" w:hAnsi="仿宋_GB2312" w:eastAsia="仿宋_GB2312" w:cs="仿宋_GB2312"/>
          <w:bCs/>
          <w:sz w:val="32"/>
          <w:szCs w:val="32"/>
        </w:rPr>
        <w:t>年收入总表的说明</w:t>
      </w:r>
    </w:p>
    <w:p w14:paraId="7F642AA6">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3、关于</w:t>
      </w:r>
      <w:r>
        <w:rPr>
          <w:rFonts w:hint="eastAsia" w:ascii="仿宋_GB2312" w:hAnsi="仿宋_GB2312" w:eastAsia="仿宋_GB2312" w:cs="仿宋_GB2312"/>
          <w:bCs/>
          <w:sz w:val="32"/>
          <w:szCs w:val="32"/>
          <w:lang w:eastAsia="zh-CN"/>
        </w:rPr>
        <w:t>2025</w:t>
      </w:r>
      <w:r>
        <w:rPr>
          <w:rFonts w:hint="eastAsia" w:ascii="仿宋_GB2312" w:hAnsi="仿宋_GB2312" w:eastAsia="仿宋_GB2312" w:cs="仿宋_GB2312"/>
          <w:bCs/>
          <w:sz w:val="32"/>
          <w:szCs w:val="32"/>
        </w:rPr>
        <w:t>年支出总表的说明</w:t>
      </w:r>
    </w:p>
    <w:p w14:paraId="180F3793">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4、关于</w:t>
      </w:r>
      <w:r>
        <w:rPr>
          <w:rFonts w:hint="eastAsia" w:ascii="仿宋_GB2312" w:hAnsi="仿宋_GB2312" w:eastAsia="仿宋_GB2312" w:cs="仿宋_GB2312"/>
          <w:bCs/>
          <w:sz w:val="32"/>
          <w:szCs w:val="32"/>
          <w:lang w:eastAsia="zh-CN"/>
        </w:rPr>
        <w:t>2025</w:t>
      </w:r>
      <w:r>
        <w:rPr>
          <w:rFonts w:hint="eastAsia" w:ascii="仿宋_GB2312" w:hAnsi="仿宋_GB2312" w:eastAsia="仿宋_GB2312" w:cs="仿宋_GB2312"/>
          <w:bCs/>
          <w:sz w:val="32"/>
          <w:szCs w:val="32"/>
        </w:rPr>
        <w:t>年财政拨款收支总表的说明</w:t>
      </w:r>
    </w:p>
    <w:p w14:paraId="15088242">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5、关于</w:t>
      </w:r>
      <w:r>
        <w:rPr>
          <w:rFonts w:hint="eastAsia" w:ascii="仿宋_GB2312" w:hAnsi="仿宋_GB2312" w:eastAsia="仿宋_GB2312" w:cs="仿宋_GB2312"/>
          <w:bCs/>
          <w:sz w:val="32"/>
          <w:szCs w:val="32"/>
          <w:lang w:eastAsia="zh-CN"/>
        </w:rPr>
        <w:t>2025</w:t>
      </w:r>
      <w:r>
        <w:rPr>
          <w:rFonts w:hint="eastAsia" w:ascii="仿宋_GB2312" w:hAnsi="仿宋_GB2312" w:eastAsia="仿宋_GB2312" w:cs="仿宋_GB2312"/>
          <w:bCs/>
          <w:sz w:val="32"/>
          <w:szCs w:val="32"/>
        </w:rPr>
        <w:t>年一般公共预算支出表的说明</w:t>
      </w:r>
    </w:p>
    <w:p w14:paraId="44B5FB48">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6、关于</w:t>
      </w:r>
      <w:r>
        <w:rPr>
          <w:rFonts w:hint="eastAsia" w:ascii="仿宋_GB2312" w:hAnsi="仿宋_GB2312" w:eastAsia="仿宋_GB2312" w:cs="仿宋_GB2312"/>
          <w:bCs/>
          <w:sz w:val="32"/>
          <w:szCs w:val="32"/>
          <w:lang w:eastAsia="zh-CN"/>
        </w:rPr>
        <w:t>2025</w:t>
      </w:r>
      <w:r>
        <w:rPr>
          <w:rFonts w:hint="eastAsia" w:ascii="仿宋_GB2312" w:hAnsi="仿宋_GB2312" w:eastAsia="仿宋_GB2312" w:cs="仿宋_GB2312"/>
          <w:bCs/>
          <w:sz w:val="32"/>
          <w:szCs w:val="32"/>
        </w:rPr>
        <w:t>年一般公共预算基本支出表的说明</w:t>
      </w:r>
    </w:p>
    <w:p w14:paraId="2C8DE953">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7、关于</w:t>
      </w:r>
      <w:r>
        <w:rPr>
          <w:rFonts w:hint="eastAsia" w:ascii="仿宋_GB2312" w:hAnsi="仿宋_GB2312" w:eastAsia="仿宋_GB2312" w:cs="仿宋_GB2312"/>
          <w:bCs/>
          <w:sz w:val="32"/>
          <w:szCs w:val="32"/>
          <w:lang w:eastAsia="zh-CN"/>
        </w:rPr>
        <w:t>2025</w:t>
      </w:r>
      <w:r>
        <w:rPr>
          <w:rFonts w:hint="eastAsia" w:ascii="仿宋_GB2312" w:hAnsi="仿宋_GB2312" w:eastAsia="仿宋_GB2312" w:cs="仿宋_GB2312"/>
          <w:bCs/>
          <w:sz w:val="32"/>
          <w:szCs w:val="32"/>
        </w:rPr>
        <w:t>年政府性基金预算支出表的说明</w:t>
      </w:r>
    </w:p>
    <w:p w14:paraId="1CE92398">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8、关于</w:t>
      </w:r>
      <w:r>
        <w:rPr>
          <w:rFonts w:hint="eastAsia" w:ascii="仿宋_GB2312" w:hAnsi="仿宋_GB2312" w:eastAsia="仿宋_GB2312" w:cs="仿宋_GB2312"/>
          <w:bCs/>
          <w:sz w:val="32"/>
          <w:szCs w:val="32"/>
          <w:lang w:eastAsia="zh-CN"/>
        </w:rPr>
        <w:t>2025</w:t>
      </w:r>
      <w:r>
        <w:rPr>
          <w:rFonts w:hint="eastAsia" w:ascii="仿宋_GB2312" w:hAnsi="仿宋_GB2312" w:eastAsia="仿宋_GB2312" w:cs="仿宋_GB2312"/>
          <w:bCs/>
          <w:sz w:val="32"/>
          <w:szCs w:val="32"/>
        </w:rPr>
        <w:t>年国有资本经营预算支出表的说明</w:t>
      </w:r>
    </w:p>
    <w:p w14:paraId="5103C2AE">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9、关于</w:t>
      </w:r>
      <w:r>
        <w:rPr>
          <w:rFonts w:hint="eastAsia" w:ascii="仿宋_GB2312" w:hAnsi="仿宋_GB2312" w:eastAsia="仿宋_GB2312" w:cs="仿宋_GB2312"/>
          <w:bCs/>
          <w:sz w:val="32"/>
          <w:szCs w:val="32"/>
          <w:lang w:eastAsia="zh-CN"/>
        </w:rPr>
        <w:t>2025</w:t>
      </w:r>
      <w:r>
        <w:rPr>
          <w:rFonts w:hint="eastAsia" w:ascii="仿宋_GB2312" w:hAnsi="仿宋_GB2312" w:eastAsia="仿宋_GB2312" w:cs="仿宋_GB2312"/>
          <w:bCs/>
          <w:sz w:val="32"/>
          <w:szCs w:val="32"/>
        </w:rPr>
        <w:t>年项目支出表的说明</w:t>
      </w:r>
    </w:p>
    <w:p w14:paraId="6CCC003E">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10、关于</w:t>
      </w:r>
      <w:r>
        <w:rPr>
          <w:rFonts w:hint="eastAsia" w:ascii="仿宋_GB2312" w:hAnsi="仿宋_GB2312" w:eastAsia="仿宋_GB2312" w:cs="仿宋_GB2312"/>
          <w:bCs/>
          <w:sz w:val="32"/>
          <w:szCs w:val="32"/>
          <w:lang w:eastAsia="zh-CN"/>
        </w:rPr>
        <w:t>2025</w:t>
      </w:r>
      <w:r>
        <w:rPr>
          <w:rFonts w:hint="eastAsia" w:ascii="仿宋_GB2312" w:hAnsi="仿宋_GB2312" w:eastAsia="仿宋_GB2312" w:cs="仿宋_GB2312"/>
          <w:bCs/>
          <w:sz w:val="32"/>
          <w:szCs w:val="32"/>
        </w:rPr>
        <w:t>年政府采购支出表的说明</w:t>
      </w:r>
    </w:p>
    <w:p w14:paraId="0FF0788E">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11、关于</w:t>
      </w:r>
      <w:r>
        <w:rPr>
          <w:rFonts w:hint="eastAsia" w:ascii="仿宋_GB2312" w:hAnsi="仿宋_GB2312" w:eastAsia="仿宋_GB2312" w:cs="仿宋_GB2312"/>
          <w:bCs/>
          <w:sz w:val="32"/>
          <w:szCs w:val="32"/>
          <w:lang w:eastAsia="zh-CN"/>
        </w:rPr>
        <w:t>2025</w:t>
      </w:r>
      <w:r>
        <w:rPr>
          <w:rFonts w:hint="eastAsia" w:ascii="仿宋_GB2312" w:hAnsi="仿宋_GB2312" w:eastAsia="仿宋_GB2312" w:cs="仿宋_GB2312"/>
          <w:bCs/>
          <w:sz w:val="32"/>
          <w:szCs w:val="32"/>
        </w:rPr>
        <w:t>年政府购买服务支出表的说明</w:t>
      </w:r>
    </w:p>
    <w:p w14:paraId="62E3CE52">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12、其他重要事项情况说明</w:t>
      </w:r>
    </w:p>
    <w:p w14:paraId="3209ACF0">
      <w:pPr>
        <w:pStyle w:val="5"/>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第四部分 名词解释</w:t>
      </w:r>
    </w:p>
    <w:p w14:paraId="6DC380C0">
      <w:pPr>
        <w:pStyle w:val="5"/>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第五部分 其它公开事项</w:t>
      </w:r>
    </w:p>
    <w:p w14:paraId="55EC524D">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eastAsia="zh-CN"/>
        </w:rPr>
        <w:t>烈山区教育局本级2025</w:t>
      </w:r>
      <w:r>
        <w:rPr>
          <w:rFonts w:hint="eastAsia" w:ascii="仿宋_GB2312" w:hAnsi="仿宋_GB2312" w:eastAsia="仿宋_GB2312" w:cs="仿宋_GB2312"/>
          <w:bCs/>
          <w:sz w:val="32"/>
          <w:szCs w:val="32"/>
        </w:rPr>
        <w:t>年部门预算纳入绩效考评项目表</w:t>
      </w:r>
    </w:p>
    <w:p w14:paraId="46959CAF">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烈山区教育局本级2025</w:t>
      </w:r>
      <w:r>
        <w:rPr>
          <w:rFonts w:hint="eastAsia" w:ascii="仿宋_GB2312" w:hAnsi="仿宋_GB2312" w:eastAsia="仿宋_GB2312" w:cs="仿宋_GB2312"/>
          <w:bCs/>
          <w:sz w:val="32"/>
          <w:szCs w:val="32"/>
        </w:rPr>
        <w:t>年部门预算专项资金管理清单（专栏公开）</w:t>
      </w:r>
    </w:p>
    <w:p w14:paraId="7E456C19">
      <w:pPr>
        <w:pStyle w:val="5"/>
        <w:adjustRightInd w:val="0"/>
        <w:snapToGrid w:val="0"/>
        <w:spacing w:line="400" w:lineRule="exact"/>
        <w:ind w:firstLine="800" w:firstLineChars="250"/>
        <w:rPr>
          <w:rFonts w:hint="eastAsia" w:ascii="仿宋_GB2312" w:hAnsi="仿宋_GB2312" w:eastAsia="仿宋_GB2312" w:cs="仿宋_GB2312"/>
          <w:bCs/>
          <w:sz w:val="32"/>
          <w:szCs w:val="32"/>
        </w:rPr>
      </w:pPr>
    </w:p>
    <w:p w14:paraId="42273331">
      <w:pPr>
        <w:pStyle w:val="5"/>
        <w:adjustRightInd w:val="0"/>
        <w:snapToGrid w:val="0"/>
        <w:spacing w:line="560" w:lineRule="exact"/>
        <w:jc w:val="center"/>
        <w:rPr>
          <w:rFonts w:hint="eastAsia" w:ascii="仿宋_GB2312" w:hAnsi="仿宋_GB2312" w:eastAsia="仿宋_GB2312" w:cs="仿宋_GB2312"/>
          <w:bCs/>
          <w:sz w:val="36"/>
          <w:szCs w:val="36"/>
        </w:rPr>
      </w:pPr>
    </w:p>
    <w:p w14:paraId="2E61F4B1">
      <w:pPr>
        <w:pStyle w:val="5"/>
        <w:adjustRightInd w:val="0"/>
        <w:snapToGrid w:val="0"/>
        <w:spacing w:line="560" w:lineRule="exact"/>
        <w:jc w:val="center"/>
        <w:rPr>
          <w:rFonts w:hint="eastAsia" w:ascii="仿宋_GB2312" w:hAnsi="仿宋_GB2312" w:eastAsia="仿宋_GB2312" w:cs="仿宋_GB2312"/>
          <w:bCs/>
          <w:sz w:val="36"/>
          <w:szCs w:val="36"/>
        </w:rPr>
      </w:pPr>
    </w:p>
    <w:p w14:paraId="6D975046">
      <w:pPr>
        <w:pStyle w:val="5"/>
        <w:adjustRightInd w:val="0"/>
        <w:snapToGrid w:val="0"/>
        <w:spacing w:line="560" w:lineRule="exact"/>
        <w:jc w:val="center"/>
        <w:rPr>
          <w:rFonts w:hint="eastAsia" w:ascii="仿宋_GB2312" w:hAnsi="仿宋_GB2312" w:eastAsia="仿宋_GB2312" w:cs="仿宋_GB2312"/>
          <w:bCs/>
          <w:sz w:val="36"/>
          <w:szCs w:val="36"/>
        </w:rPr>
      </w:pPr>
    </w:p>
    <w:p w14:paraId="3A6D182F">
      <w:pPr>
        <w:pStyle w:val="5"/>
        <w:adjustRightInd w:val="0"/>
        <w:snapToGrid w:val="0"/>
        <w:spacing w:line="560" w:lineRule="exact"/>
        <w:jc w:val="center"/>
        <w:rPr>
          <w:rFonts w:hint="eastAsia" w:ascii="仿宋_GB2312" w:hAnsi="仿宋_GB2312" w:eastAsia="仿宋_GB2312" w:cs="仿宋_GB2312"/>
          <w:bCs/>
          <w:sz w:val="36"/>
          <w:szCs w:val="36"/>
        </w:rPr>
      </w:pPr>
      <w:r>
        <w:rPr>
          <w:rFonts w:hint="eastAsia" w:ascii="仿宋_GB2312" w:hAnsi="仿宋_GB2312" w:eastAsia="仿宋_GB2312" w:cs="仿宋_GB2312"/>
          <w:bCs/>
          <w:sz w:val="36"/>
          <w:szCs w:val="36"/>
        </w:rPr>
        <w:t>第一部分 部门概况</w:t>
      </w:r>
    </w:p>
    <w:p w14:paraId="5D26A40D">
      <w:pPr>
        <w:rPr>
          <w:rFonts w:hint="eastAsia" w:ascii="仿宋_GB2312" w:hAnsi="仿宋_GB2312" w:eastAsia="仿宋_GB2312" w:cs="仿宋_GB2312"/>
        </w:rPr>
      </w:pPr>
    </w:p>
    <w:p w14:paraId="6C8BCE8E">
      <w:pPr>
        <w:pStyle w:val="5"/>
        <w:adjustRightInd w:val="0"/>
        <w:snapToGrid w:val="0"/>
        <w:spacing w:line="560" w:lineRule="exact"/>
        <w:ind w:firstLine="627" w:firstLineChars="196"/>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一、主要职责</w:t>
      </w:r>
    </w:p>
    <w:p w14:paraId="15402FF3">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1、负责党和国家的教育方针、政策的贯彻执行；负责区委、区政府对全区教育工作的指示决定的贯彻、落实。检查、监督中小学、幼儿园贯彻执行党和国家关于教育工作方针、政策以及有关法规的情况。 </w:t>
      </w:r>
    </w:p>
    <w:p w14:paraId="507CB9B9">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2、协调、指导教育体制和办学体制的改革；研究拟定本区基础教育事业发展规划、计划以及发展重点、规模、速度和步骤，指导、协调教育规划、计划的实施。 </w:t>
      </w:r>
    </w:p>
    <w:p w14:paraId="435F89BE">
      <w:pPr>
        <w:spacing w:line="480" w:lineRule="exact"/>
        <w:ind w:firstLine="640" w:firstLineChars="200"/>
        <w:rPr>
          <w:rFonts w:ascii="仿宋_GB2312" w:eastAsia="仿宋_GB2312"/>
          <w:sz w:val="32"/>
          <w:szCs w:val="32"/>
        </w:rPr>
      </w:pPr>
      <w:r>
        <w:rPr>
          <w:rFonts w:hint="eastAsia" w:ascii="仿宋_GB2312" w:eastAsia="仿宋_GB2312"/>
          <w:sz w:val="32"/>
          <w:szCs w:val="32"/>
        </w:rPr>
        <w:t>3、综合管理和指导全区基础教育教学工作；规划、指导扫除青壮年文盲工作。</w:t>
      </w:r>
    </w:p>
    <w:p w14:paraId="413DE0E3">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 4、主管区属学校党的组织建设、领导班子建设，按照干部管理权限和程序，做好区属学校领导干部的考察、配备、考核、任免等管理工作；做好教育系统党的统战工作、知识分子工作。 </w:t>
      </w:r>
    </w:p>
    <w:p w14:paraId="5C759766">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5、负责并指导区属学校的纪检、监察工作和教育审计工作。 </w:t>
      </w:r>
    </w:p>
    <w:p w14:paraId="072E303C">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6、负责学校的思想政治教育工作、德育工作、体育卫生、艺术教育、国防教育。 </w:t>
      </w:r>
    </w:p>
    <w:p w14:paraId="701F3F41">
      <w:pPr>
        <w:spacing w:line="480" w:lineRule="exact"/>
        <w:ind w:firstLine="640" w:firstLineChars="200"/>
        <w:rPr>
          <w:rFonts w:ascii="仿宋_GB2312" w:eastAsia="仿宋_GB2312"/>
          <w:sz w:val="32"/>
          <w:szCs w:val="32"/>
        </w:rPr>
      </w:pPr>
      <w:r>
        <w:rPr>
          <w:rFonts w:hint="eastAsia" w:ascii="仿宋_GB2312" w:eastAsia="仿宋_GB2312"/>
          <w:sz w:val="32"/>
          <w:szCs w:val="32"/>
        </w:rPr>
        <w:t>7、做好中小学、幼儿园招生计划的协调和指导工作；编制全区初级中学、小学、幼儿园招生计划并组织实施；负责全区小学教育的学籍管理、毕业证书核发等工作。</w:t>
      </w:r>
    </w:p>
    <w:p w14:paraId="475267F9">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8、负责区属学校及下属事业单位的人事管理、劳动工资工作；做好教师的职称评聘、师资队伍建设、学校内部管理体制改革工作；会同有关部门组织实施大中专学校毕业生就业分配计划。 </w:t>
      </w:r>
    </w:p>
    <w:p w14:paraId="77D1BD29">
      <w:pPr>
        <w:spacing w:line="480" w:lineRule="exact"/>
        <w:ind w:firstLine="640" w:firstLineChars="200"/>
        <w:rPr>
          <w:rFonts w:ascii="仿宋_GB2312" w:eastAsia="仿宋_GB2312"/>
          <w:sz w:val="32"/>
          <w:szCs w:val="32"/>
        </w:rPr>
      </w:pPr>
      <w:r>
        <w:rPr>
          <w:rFonts w:hint="eastAsia" w:ascii="仿宋_GB2312" w:eastAsia="仿宋_GB2312"/>
          <w:sz w:val="32"/>
          <w:szCs w:val="32"/>
        </w:rPr>
        <w:t>9、会同有关部门拟定教育基建投资、事业经费计划及本部门教育经费和局属单位教育统计、国有资产监管、教育收费项目、基本建设项目立项等工作；负责学生资助工作；指导和检查全区教育系统财务管理情况等工作。</w:t>
      </w:r>
    </w:p>
    <w:p w14:paraId="01F6A280">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10、指导区级教育学会等社团组织的工作。 </w:t>
      </w:r>
    </w:p>
    <w:p w14:paraId="3123319E">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11、受区政府委托，管理全区语言文字工作。 </w:t>
      </w:r>
    </w:p>
    <w:p w14:paraId="5C4F12F9">
      <w:pPr>
        <w:spacing w:line="480" w:lineRule="exact"/>
        <w:ind w:firstLine="640" w:firstLineChars="200"/>
        <w:rPr>
          <w:rFonts w:ascii="仿宋_GB2312" w:eastAsia="仿宋_GB2312"/>
          <w:sz w:val="32"/>
          <w:szCs w:val="32"/>
        </w:rPr>
      </w:pPr>
      <w:r>
        <w:rPr>
          <w:rFonts w:hint="eastAsia" w:ascii="仿宋_GB2312" w:eastAsia="仿宋_GB2312"/>
          <w:sz w:val="32"/>
          <w:szCs w:val="32"/>
        </w:rPr>
        <w:t>12、承办区政府交办的其他事项。</w:t>
      </w:r>
    </w:p>
    <w:p w14:paraId="02F46E05">
      <w:pPr>
        <w:pStyle w:val="5"/>
        <w:keepNext w:val="0"/>
        <w:keepLines w:val="0"/>
        <w:pageBreakBefore w:val="0"/>
        <w:widowControl/>
        <w:numPr>
          <w:ilvl w:val="0"/>
          <w:numId w:val="1"/>
        </w:numPr>
        <w:kinsoku/>
        <w:overflowPunct/>
        <w:topLinePunct w:val="0"/>
        <w:autoSpaceDE/>
        <w:autoSpaceDN/>
        <w:bidi w:val="0"/>
        <w:adjustRightInd w:val="0"/>
        <w:snapToGrid w:val="0"/>
        <w:spacing w:line="560" w:lineRule="exact"/>
        <w:ind w:firstLine="627" w:firstLineChars="196"/>
        <w:rPr>
          <w:rFonts w:hint="default" w:ascii="TimesNewRoman" w:hAnsi="TimesNewRoman" w:eastAsia="黑体" w:cs="TimesNewRoman"/>
          <w:bCs/>
          <w:sz w:val="32"/>
          <w:szCs w:val="32"/>
        </w:rPr>
      </w:pPr>
      <w:r>
        <w:rPr>
          <w:rFonts w:hint="eastAsia" w:ascii="TimesNewRoman" w:hAnsi="TimesNewRoman" w:eastAsia="黑体" w:cs="TimesNewRoman"/>
          <w:bCs/>
          <w:sz w:val="32"/>
          <w:szCs w:val="32"/>
          <w:u w:val="none"/>
          <w:lang w:eastAsia="zh-CN"/>
        </w:rPr>
        <w:t>烈山区教育局本级</w:t>
      </w:r>
      <w:r>
        <w:rPr>
          <w:rFonts w:hint="default" w:ascii="TimesNewRoman" w:hAnsi="TimesNewRoman" w:eastAsia="黑体" w:cs="TimesNewRoman"/>
          <w:bCs/>
          <w:sz w:val="32"/>
          <w:szCs w:val="32"/>
        </w:rPr>
        <w:t>部门预算构成</w:t>
      </w:r>
    </w:p>
    <w:p w14:paraId="1C734249">
      <w:pPr>
        <w:pStyle w:val="5"/>
        <w:adjustRightInd w:val="0"/>
        <w:snapToGrid w:val="0"/>
        <w:spacing w:before="0" w:beforeAutospacing="0" w:after="0" w:afterAutospacing="0" w:line="360" w:lineRule="auto"/>
        <w:ind w:firstLine="627" w:firstLineChars="196"/>
        <w:jc w:val="both"/>
        <w:rPr>
          <w:rFonts w:hint="eastAsia" w:ascii="仿宋_GB2312" w:hAnsi="仿宋" w:eastAsia="仿宋_GB2312"/>
          <w:sz w:val="32"/>
          <w:szCs w:val="32"/>
        </w:rPr>
      </w:pPr>
      <w:r>
        <w:rPr>
          <w:rFonts w:hint="eastAsia" w:ascii="仿宋_GB2312" w:hAnsi="仿宋" w:eastAsia="仿宋_GB2312"/>
          <w:sz w:val="32"/>
          <w:szCs w:val="32"/>
        </w:rPr>
        <w:t>从预算单位构成看，</w:t>
      </w:r>
      <w:r>
        <w:rPr>
          <w:rFonts w:hint="eastAsia" w:ascii="仿宋_GB2312" w:hAnsi="仿宋" w:eastAsia="仿宋_GB2312" w:cs="仿宋"/>
          <w:bCs/>
          <w:sz w:val="32"/>
          <w:szCs w:val="32"/>
          <w:lang w:eastAsia="zh-CN"/>
        </w:rPr>
        <w:t>烈山区教育局本级</w:t>
      </w:r>
      <w:r>
        <w:rPr>
          <w:rFonts w:hint="eastAsia" w:ascii="仿宋_GB2312" w:hAnsi="仿宋" w:eastAsia="仿宋_GB2312"/>
          <w:sz w:val="32"/>
          <w:szCs w:val="32"/>
          <w:lang w:eastAsia="zh-CN"/>
        </w:rPr>
        <w:t>2024</w:t>
      </w:r>
      <w:r>
        <w:rPr>
          <w:rFonts w:hint="eastAsia" w:ascii="仿宋_GB2312" w:hAnsi="仿宋" w:eastAsia="仿宋_GB2312"/>
          <w:sz w:val="32"/>
          <w:szCs w:val="32"/>
        </w:rPr>
        <w:t>年度部门预算包括局本级预算，纳入部门预算编制范围的单位共1个，具体情况见下表。</w:t>
      </w:r>
    </w:p>
    <w:tbl>
      <w:tblPr>
        <w:tblStyle w:val="7"/>
        <w:tblW w:w="9000" w:type="dxa"/>
        <w:tblInd w:w="288" w:type="dxa"/>
        <w:shd w:val="clear" w:color="auto" w:fill="FFFFFF"/>
        <w:tblLayout w:type="fixed"/>
        <w:tblCellMar>
          <w:top w:w="0" w:type="dxa"/>
          <w:left w:w="0" w:type="dxa"/>
          <w:bottom w:w="0" w:type="dxa"/>
          <w:right w:w="0" w:type="dxa"/>
        </w:tblCellMar>
      </w:tblPr>
      <w:tblGrid>
        <w:gridCol w:w="900"/>
        <w:gridCol w:w="3600"/>
        <w:gridCol w:w="4500"/>
      </w:tblGrid>
      <w:tr w14:paraId="7597F6F7">
        <w:tblPrEx>
          <w:shd w:val="clear" w:color="auto" w:fill="FFFFFF"/>
          <w:tblCellMar>
            <w:top w:w="0" w:type="dxa"/>
            <w:left w:w="0" w:type="dxa"/>
            <w:bottom w:w="0" w:type="dxa"/>
            <w:right w:w="0" w:type="dxa"/>
          </w:tblCellMar>
        </w:tblPrEx>
        <w:trPr>
          <w:trHeight w:val="397" w:hRule="exact"/>
        </w:trPr>
        <w:tc>
          <w:tcPr>
            <w:tcW w:w="9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B16FC8F">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序号</w:t>
            </w:r>
          </w:p>
        </w:tc>
        <w:tc>
          <w:tcPr>
            <w:tcW w:w="360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5AC803F">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单位名称</w:t>
            </w:r>
          </w:p>
        </w:tc>
        <w:tc>
          <w:tcPr>
            <w:tcW w:w="4500" w:type="dxa"/>
            <w:tcBorders>
              <w:top w:val="single" w:color="auto" w:sz="8" w:space="0"/>
              <w:left w:val="nil"/>
              <w:bottom w:val="single" w:color="auto" w:sz="8" w:space="0"/>
              <w:right w:val="single" w:color="auto" w:sz="8" w:space="0"/>
            </w:tcBorders>
            <w:shd w:val="clear" w:color="auto" w:fill="FFFFFF"/>
            <w:noWrap w:val="0"/>
            <w:vAlign w:val="top"/>
          </w:tcPr>
          <w:p w14:paraId="60310F23">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单位性质</w:t>
            </w:r>
          </w:p>
        </w:tc>
      </w:tr>
      <w:tr w14:paraId="4838EC1A">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84624BF">
            <w:pPr>
              <w:adjustRightInd w:val="0"/>
              <w:snapToGrid w:val="0"/>
              <w:spacing w:line="360" w:lineRule="auto"/>
              <w:jc w:val="center"/>
              <w:rPr>
                <w:rFonts w:hint="eastAsia" w:ascii="仿宋_GB2312" w:hAnsi="宋体" w:eastAsia="仿宋_GB2312" w:cs="宋体"/>
                <w:sz w:val="24"/>
              </w:rPr>
            </w:pPr>
            <w:r>
              <w:rPr>
                <w:rFonts w:hint="eastAsia" w:ascii="仿宋_GB2312" w:hAnsi="宋体" w:eastAsia="仿宋_GB2312"/>
                <w:sz w:val="24"/>
              </w:rPr>
              <w:t>1</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3286299">
            <w:pPr>
              <w:adjustRightInd w:val="0"/>
              <w:snapToGrid w:val="0"/>
              <w:spacing w:line="360" w:lineRule="auto"/>
              <w:rPr>
                <w:rFonts w:hint="eastAsia" w:ascii="仿宋_GB2312" w:hAnsi="仿宋" w:eastAsia="仿宋_GB2312" w:cs="仿宋"/>
                <w:bCs/>
                <w:sz w:val="24"/>
                <w:lang w:eastAsia="zh-CN"/>
              </w:rPr>
            </w:pPr>
            <w:r>
              <w:rPr>
                <w:rFonts w:hint="eastAsia" w:ascii="仿宋_GB2312" w:hAnsi="仿宋" w:eastAsia="仿宋_GB2312" w:cs="仿宋"/>
                <w:bCs/>
                <w:sz w:val="24"/>
                <w:lang w:val="en-US" w:eastAsia="zh-CN"/>
              </w:rPr>
              <w:t xml:space="preserve">  烈山区教育局本级</w:t>
            </w:r>
          </w:p>
        </w:tc>
        <w:tc>
          <w:tcPr>
            <w:tcW w:w="4500" w:type="dxa"/>
            <w:tcBorders>
              <w:top w:val="nil"/>
              <w:left w:val="nil"/>
              <w:bottom w:val="single" w:color="auto" w:sz="8" w:space="0"/>
              <w:right w:val="single" w:color="auto" w:sz="8" w:space="0"/>
            </w:tcBorders>
            <w:shd w:val="clear" w:color="auto" w:fill="FFFFFF"/>
            <w:noWrap w:val="0"/>
            <w:vAlign w:val="top"/>
          </w:tcPr>
          <w:p w14:paraId="1A9CAEC7">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行政单位</w:t>
            </w:r>
          </w:p>
        </w:tc>
      </w:tr>
    </w:tbl>
    <w:p w14:paraId="4D505D65">
      <w:pPr>
        <w:pStyle w:val="5"/>
        <w:adjustRightInd w:val="0"/>
        <w:snapToGrid w:val="0"/>
        <w:spacing w:line="560" w:lineRule="exact"/>
        <w:ind w:firstLine="627" w:firstLineChars="196"/>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三、</w:t>
      </w:r>
      <w:r>
        <w:rPr>
          <w:rFonts w:hint="eastAsia" w:ascii="仿宋_GB2312" w:hAnsi="仿宋_GB2312" w:eastAsia="仿宋_GB2312" w:cs="仿宋_GB2312"/>
          <w:bCs/>
          <w:color w:val="auto"/>
          <w:sz w:val="32"/>
          <w:szCs w:val="32"/>
          <w:lang w:eastAsia="zh-CN"/>
        </w:rPr>
        <w:t>2025</w:t>
      </w:r>
      <w:r>
        <w:rPr>
          <w:rFonts w:hint="eastAsia" w:ascii="仿宋_GB2312" w:hAnsi="仿宋_GB2312" w:eastAsia="仿宋_GB2312" w:cs="仿宋_GB2312"/>
          <w:bCs/>
          <w:color w:val="auto"/>
          <w:sz w:val="32"/>
          <w:szCs w:val="32"/>
        </w:rPr>
        <w:t>年度主要工作任务</w:t>
      </w:r>
    </w:p>
    <w:p w14:paraId="232510C5">
      <w:pPr>
        <w:pStyle w:val="5"/>
        <w:wordWrap w:val="0"/>
        <w:spacing w:before="0" w:beforeAutospacing="0" w:after="150" w:afterAutospacing="0"/>
        <w:ind w:firstLine="640" w:firstLineChars="200"/>
        <w:rPr>
          <w:rFonts w:hint="eastAsia" w:ascii="Helvetica" w:hAnsi="Helvetica"/>
          <w:color w:val="auto"/>
          <w:sz w:val="21"/>
          <w:szCs w:val="21"/>
        </w:rPr>
      </w:pPr>
      <w:r>
        <w:rPr>
          <w:rFonts w:ascii="仿宋" w:hAnsi="仿宋" w:eastAsia="仿宋" w:cs="仿宋"/>
          <w:color w:val="auto"/>
          <w:sz w:val="32"/>
          <w:szCs w:val="32"/>
        </w:rPr>
        <w:t>教育系统将紧扣办人民满意教育目标，全面贯彻新发展理念，加快建设高质量教育体系，努力把党的二十大作出的重大决策部署变成教育系统的具体行动和实际成效，</w:t>
      </w:r>
      <w:r>
        <w:rPr>
          <w:rFonts w:ascii="Helvetica" w:hAnsi="Helvetica"/>
          <w:color w:val="auto"/>
          <w:sz w:val="21"/>
          <w:szCs w:val="21"/>
        </w:rPr>
        <w:t xml:space="preserve"> </w:t>
      </w:r>
    </w:p>
    <w:p w14:paraId="561B7C78">
      <w:pPr>
        <w:pStyle w:val="5"/>
        <w:wordWrap w:val="0"/>
        <w:spacing w:before="0" w:beforeAutospacing="0" w:after="150" w:afterAutospacing="0"/>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1.</w:t>
      </w:r>
      <w:r>
        <w:rPr>
          <w:rFonts w:ascii="仿宋" w:hAnsi="仿宋" w:eastAsia="仿宋" w:cs="仿宋"/>
          <w:b/>
          <w:color w:val="auto"/>
          <w:sz w:val="32"/>
          <w:szCs w:val="32"/>
        </w:rPr>
        <w:t>聚焦党建引领，提高政治站位。</w:t>
      </w:r>
      <w:r>
        <w:rPr>
          <w:rFonts w:ascii="仿宋" w:hAnsi="仿宋" w:eastAsia="仿宋" w:cs="仿宋"/>
          <w:color w:val="auto"/>
          <w:sz w:val="32"/>
          <w:szCs w:val="32"/>
        </w:rPr>
        <w:t>坚持用习近平新时代中国特色社会主义思想凝心铸魂，稳妥推进党组织领导的校长负责制，开展专题培训和专项督察，全面平稳完成中小学领导体制改革任务</w:t>
      </w:r>
      <w:r>
        <w:rPr>
          <w:rFonts w:hint="eastAsia" w:ascii="仿宋" w:hAnsi="仿宋" w:eastAsia="仿宋" w:cs="仿宋"/>
          <w:color w:val="auto"/>
          <w:sz w:val="32"/>
          <w:szCs w:val="32"/>
          <w:lang w:eastAsia="zh-CN"/>
        </w:rPr>
        <w:t>，</w:t>
      </w:r>
      <w:r>
        <w:rPr>
          <w:rFonts w:ascii="仿宋" w:hAnsi="仿宋" w:eastAsia="仿宋" w:cs="仿宋"/>
          <w:color w:val="auto"/>
          <w:sz w:val="32"/>
          <w:szCs w:val="32"/>
        </w:rPr>
        <w:t>严格落实意识形态工作责任制</w:t>
      </w:r>
      <w:r>
        <w:rPr>
          <w:rFonts w:hint="eastAsia" w:ascii="仿宋" w:hAnsi="仿宋" w:eastAsia="仿宋" w:cs="仿宋"/>
          <w:color w:val="auto"/>
          <w:sz w:val="32"/>
          <w:szCs w:val="32"/>
        </w:rPr>
        <w:t>。</w:t>
      </w:r>
      <w:r>
        <w:rPr>
          <w:rFonts w:ascii="仿宋" w:hAnsi="仿宋" w:eastAsia="仿宋" w:cs="仿宋"/>
          <w:color w:val="auto"/>
          <w:sz w:val="32"/>
          <w:szCs w:val="32"/>
        </w:rPr>
        <w:t>一体推动贯彻落实党的二十大精神、教育评价改革、清廉学校建设、师德师风建设、义务教育优质均衡发展等党中央和省市区委部署的重点工作。</w:t>
      </w:r>
    </w:p>
    <w:p w14:paraId="05328EBF">
      <w:pPr>
        <w:pBdr>
          <w:top w:val="none" w:color="000000" w:sz="0" w:space="1"/>
          <w:left w:val="none" w:color="000000" w:sz="0" w:space="0"/>
          <w:bottom w:val="none" w:color="000000" w:sz="0" w:space="26"/>
          <w:right w:val="none" w:color="000000" w:sz="0" w:space="29"/>
        </w:pBdr>
        <w:autoSpaceDN w:val="0"/>
        <w:snapToGrid w:val="0"/>
        <w:spacing w:line="580" w:lineRule="exact"/>
        <w:ind w:firstLine="643" w:firstLineChars="200"/>
        <w:rPr>
          <w:rFonts w:hint="eastAsia" w:eastAsia="仿宋_GB2312"/>
          <w:color w:val="auto"/>
          <w:sz w:val="32"/>
          <w:szCs w:val="32"/>
        </w:rPr>
      </w:pPr>
      <w:r>
        <w:rPr>
          <w:rFonts w:hint="eastAsia" w:ascii="仿宋" w:hAnsi="仿宋" w:eastAsia="仿宋" w:cs="仿宋"/>
          <w:b/>
          <w:color w:val="auto"/>
          <w:sz w:val="32"/>
          <w:szCs w:val="32"/>
        </w:rPr>
        <w:t>2.深入实施德智体美劳“五大行动”。</w:t>
      </w:r>
      <w:r>
        <w:rPr>
          <w:rFonts w:hint="eastAsia" w:ascii="仿宋" w:hAnsi="仿宋" w:eastAsia="仿宋" w:cs="仿宋"/>
          <w:color w:val="auto"/>
          <w:sz w:val="32"/>
          <w:szCs w:val="32"/>
        </w:rPr>
        <w:t>加大市级首批“五大行动”实验校（淮北七中、区一实小）建设扶持力度。</w:t>
      </w:r>
      <w:r>
        <w:rPr>
          <w:rFonts w:eastAsia="仿宋_GB2312"/>
          <w:color w:val="auto"/>
          <w:sz w:val="32"/>
          <w:szCs w:val="32"/>
        </w:rPr>
        <w:t>积极争创省级“五大行动”实验区</w:t>
      </w:r>
      <w:r>
        <w:rPr>
          <w:rFonts w:hint="eastAsia" w:eastAsia="仿宋_GB2312"/>
          <w:color w:val="auto"/>
          <w:sz w:val="32"/>
          <w:szCs w:val="32"/>
        </w:rPr>
        <w:t>。</w:t>
      </w:r>
      <w:r>
        <w:rPr>
          <w:rFonts w:eastAsia="仿宋_GB2312"/>
          <w:color w:val="auto"/>
          <w:sz w:val="32"/>
          <w:szCs w:val="32"/>
        </w:rPr>
        <w:t>持续开展校园读书创作活动</w:t>
      </w:r>
      <w:r>
        <w:rPr>
          <w:rFonts w:hint="eastAsia" w:eastAsia="仿宋_GB2312"/>
          <w:color w:val="auto"/>
          <w:sz w:val="32"/>
          <w:szCs w:val="32"/>
        </w:rPr>
        <w:t>，</w:t>
      </w:r>
      <w:r>
        <w:rPr>
          <w:rFonts w:eastAsia="仿宋_GB2312"/>
          <w:color w:val="auto"/>
          <w:sz w:val="32"/>
          <w:szCs w:val="32"/>
        </w:rPr>
        <w:t>开展爱国卫生运动，</w:t>
      </w:r>
      <w:r>
        <w:rPr>
          <w:rFonts w:hint="eastAsia" w:eastAsia="仿宋_GB2312"/>
          <w:color w:val="auto"/>
          <w:sz w:val="32"/>
          <w:szCs w:val="32"/>
        </w:rPr>
        <w:t>开展健康校园创建活动，</w:t>
      </w:r>
      <w:r>
        <w:rPr>
          <w:rFonts w:eastAsia="仿宋_GB2312"/>
          <w:color w:val="auto"/>
          <w:sz w:val="32"/>
          <w:szCs w:val="32"/>
        </w:rPr>
        <w:t>加强学生心理健康教育管理，</w:t>
      </w:r>
      <w:r>
        <w:rPr>
          <w:rFonts w:hint="eastAsia" w:eastAsia="仿宋_GB2312"/>
          <w:color w:val="auto"/>
          <w:sz w:val="32"/>
          <w:szCs w:val="32"/>
        </w:rPr>
        <w:t>不断完善学生体质健康监测体系，确保95%以上学生体质达到合格标准。</w:t>
      </w:r>
      <w:r>
        <w:rPr>
          <w:rFonts w:eastAsia="仿宋_GB2312"/>
          <w:color w:val="auto"/>
          <w:sz w:val="32"/>
          <w:szCs w:val="32"/>
        </w:rPr>
        <w:t>加强和改进学校美育工作，开展艺术展演展示、</w:t>
      </w:r>
      <w:r>
        <w:rPr>
          <w:rFonts w:hint="eastAsia" w:eastAsia="仿宋_GB2312"/>
          <w:color w:val="auto"/>
          <w:sz w:val="32"/>
          <w:szCs w:val="32"/>
        </w:rPr>
        <w:t>高雅艺术</w:t>
      </w:r>
      <w:r>
        <w:rPr>
          <w:rFonts w:eastAsia="仿宋_GB2312"/>
          <w:color w:val="auto"/>
          <w:sz w:val="32"/>
          <w:szCs w:val="32"/>
        </w:rPr>
        <w:t>进校园等活动。加强劳动教育指导，建设一批市、区级中小学生研学实践教育基（营）地，推选一批劳动教育实践活动典型案例</w:t>
      </w:r>
      <w:r>
        <w:rPr>
          <w:rFonts w:hint="eastAsia" w:eastAsia="仿宋_GB2312"/>
          <w:color w:val="auto"/>
          <w:sz w:val="32"/>
          <w:szCs w:val="32"/>
        </w:rPr>
        <w:t>。</w:t>
      </w:r>
    </w:p>
    <w:p w14:paraId="31258A43">
      <w:pPr>
        <w:pBdr>
          <w:top w:val="none" w:color="000000" w:sz="0" w:space="1"/>
          <w:left w:val="none" w:color="000000" w:sz="0" w:space="0"/>
          <w:bottom w:val="none" w:color="000000" w:sz="0" w:space="26"/>
          <w:right w:val="none" w:color="000000" w:sz="0" w:space="29"/>
        </w:pBdr>
        <w:autoSpaceDN w:val="0"/>
        <w:snapToGrid w:val="0"/>
        <w:spacing w:line="580" w:lineRule="exact"/>
        <w:ind w:firstLine="803" w:firstLineChars="250"/>
        <w:rPr>
          <w:rFonts w:hint="eastAsia" w:ascii="仿宋_GB2312" w:hAnsi="仿宋_GB2312" w:eastAsia="仿宋_GB2312" w:cs="仿宋_GB2312"/>
          <w:color w:val="auto"/>
          <w:sz w:val="32"/>
          <w:szCs w:val="32"/>
        </w:rPr>
      </w:pPr>
      <w:r>
        <w:rPr>
          <w:rFonts w:hint="eastAsia" w:ascii="仿宋" w:hAnsi="仿宋" w:eastAsia="仿宋" w:cs="仿宋"/>
          <w:b/>
          <w:color w:val="auto"/>
          <w:sz w:val="32"/>
          <w:szCs w:val="32"/>
        </w:rPr>
        <w:t>3.</w:t>
      </w:r>
      <w:r>
        <w:rPr>
          <w:rFonts w:hint="eastAsia" w:ascii="仿宋" w:hAnsi="仿宋" w:eastAsia="仿宋" w:cs="仿宋"/>
          <w:b/>
          <w:color w:val="auto"/>
          <w:sz w:val="32"/>
          <w:szCs w:val="32"/>
          <w:lang w:val="zh-CN"/>
        </w:rPr>
        <w:t>进一步巩固“双减”工作成果。</w:t>
      </w:r>
      <w:r>
        <w:rPr>
          <w:rFonts w:hint="eastAsia" w:ascii="仿宋_GB2312" w:hAnsi="仿宋_GB2312" w:eastAsia="仿宋_GB2312" w:cs="仿宋_GB2312"/>
          <w:color w:val="auto"/>
          <w:sz w:val="32"/>
          <w:szCs w:val="32"/>
        </w:rPr>
        <w:t>持续提高课堂教学水平，强化教学管理，完善教学基本规范，开齐开足开好国家规定课程，严格依标教学，做到应教尽教。持续提高作业设计水平，在实现“压总量、控时间”基础上，更加注重“调结构、提质量”，探索分层作业，增强作业的针对性、有效性，切实增强课后服务吸引力。加大对“五项管理”、课后服务等工作落实的监督检查力度，充分发挥“双减”专班、责任督学和社区、街道网格员的作用。落实校外培训机构包保巡查制度责任，督促非学科类培训机构的申报工作，规范化认证非学科类校外培训机构。</w:t>
      </w:r>
    </w:p>
    <w:p w14:paraId="34E377BC">
      <w:pPr>
        <w:pBdr>
          <w:top w:val="none" w:color="000000" w:sz="0" w:space="1"/>
          <w:left w:val="none" w:color="000000" w:sz="0" w:space="0"/>
          <w:bottom w:val="none" w:color="000000" w:sz="0" w:space="26"/>
          <w:right w:val="none" w:color="000000" w:sz="0" w:space="29"/>
        </w:pBdr>
        <w:autoSpaceDN w:val="0"/>
        <w:snapToGrid w:val="0"/>
        <w:spacing w:line="580" w:lineRule="exact"/>
        <w:ind w:firstLine="803" w:firstLineChars="250"/>
        <w:rPr>
          <w:rFonts w:hint="eastAsia" w:ascii="仿宋" w:hAnsi="仿宋" w:eastAsia="仿宋" w:cs="仿宋"/>
          <w:color w:val="auto"/>
          <w:sz w:val="32"/>
          <w:szCs w:val="32"/>
        </w:rPr>
      </w:pPr>
      <w:r>
        <w:rPr>
          <w:rFonts w:hint="eastAsia" w:ascii="仿宋" w:hAnsi="仿宋" w:eastAsia="仿宋" w:cs="仿宋"/>
          <w:b/>
          <w:color w:val="auto"/>
          <w:sz w:val="32"/>
          <w:szCs w:val="32"/>
        </w:rPr>
        <w:t>4.认真落实教师补充与优化长效机制。</w:t>
      </w:r>
      <w:r>
        <w:rPr>
          <w:rFonts w:hint="eastAsia" w:ascii="仿宋" w:hAnsi="仿宋" w:eastAsia="仿宋" w:cs="仿宋"/>
          <w:color w:val="auto"/>
          <w:sz w:val="32"/>
          <w:szCs w:val="32"/>
        </w:rPr>
        <w:t>重点推进城乡学校之间、优质学校与薄弱学校之间的校长、教师交流，促进优质师资的均衡配置。实行区域内教师“区管校聘”无校籍管理。2024年将继续推进教师资源在校际、区域、城乡间的合理调配。推进教师职称制度改革，健全事业单位岗位设置，严格把握比例，科学设岗，完善制度，积极推进教师职称竞聘工作。完善教师招聘补充机制，严格执行教师编制标准，加快农村教师更新充实步伐，尽可能配足配齐教师，着力优化农村学校教师队伍的年龄、学科结构。</w:t>
      </w:r>
    </w:p>
    <w:p w14:paraId="178A6721">
      <w:pPr>
        <w:keepNext w:val="0"/>
        <w:keepLines w:val="0"/>
        <w:pageBreakBefore w:val="0"/>
        <w:pBdr>
          <w:top w:val="none" w:color="000000" w:sz="0" w:space="1"/>
          <w:left w:val="none" w:color="000000" w:sz="0" w:space="0"/>
          <w:bottom w:val="none" w:color="000000" w:sz="0" w:space="26"/>
          <w:right w:val="none" w:color="000000" w:sz="0" w:space="29"/>
        </w:pBdr>
        <w:kinsoku/>
        <w:wordWrap/>
        <w:overflowPunct/>
        <w:topLinePunct w:val="0"/>
        <w:autoSpaceDE/>
        <w:autoSpaceDN w:val="0"/>
        <w:bidi w:val="0"/>
        <w:adjustRightInd/>
        <w:snapToGrid w:val="0"/>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 w:hAnsi="仿宋" w:eastAsia="仿宋" w:cs="仿宋"/>
          <w:b/>
          <w:color w:val="auto"/>
          <w:sz w:val="32"/>
          <w:szCs w:val="32"/>
        </w:rPr>
        <w:t>5.推进学前教育普及普惠。</w:t>
      </w:r>
      <w:r>
        <w:rPr>
          <w:rFonts w:hint="eastAsia" w:ascii="Times New Roman" w:hAnsi="Times New Roman" w:eastAsia="仿宋_GB2312" w:cs="Times New Roman"/>
          <w:b w:val="0"/>
          <w:bCs w:val="0"/>
          <w:color w:val="auto"/>
          <w:kern w:val="2"/>
          <w:sz w:val="32"/>
          <w:szCs w:val="32"/>
          <w:lang w:val="en-US" w:eastAsia="zh-CN" w:bidi="ar-SA"/>
        </w:rPr>
        <w:t>全力推动全国学前教育普及普惠区创建工作，在资金投入、要素保障、健全机制、精细化管理等各方面加大工作力度。对照创建工作指标体系，逐条完善，逐项做实，逐个突破，确保创建工作取得实效。切实提高我区幼儿园普及普惠水平；</w:t>
      </w:r>
      <w:r>
        <w:rPr>
          <w:rFonts w:hint="eastAsia" w:ascii="仿宋" w:hAnsi="仿宋" w:eastAsia="仿宋" w:cs="仿宋"/>
          <w:color w:val="auto"/>
          <w:sz w:val="32"/>
          <w:szCs w:val="32"/>
        </w:rPr>
        <w:t>落实</w:t>
      </w:r>
      <w:r>
        <w:rPr>
          <w:rFonts w:hint="eastAsia" w:ascii="仿宋_GB2312" w:hAnsi="仿宋_GB2312" w:eastAsia="仿宋_GB2312" w:cs="仿宋_GB2312"/>
          <w:color w:val="auto"/>
          <w:sz w:val="32"/>
          <w:szCs w:val="32"/>
        </w:rPr>
        <w:t>《淮北市“十四五”学前教育提升计划》，持续增加公办园学位供给，不断提高普惠性幼儿园覆盖率，公办园在园幼儿占比达到60%以上，普惠性幼儿园覆盖率达到95%以上</w:t>
      </w:r>
      <w:r>
        <w:rPr>
          <w:rFonts w:hint="eastAsia" w:ascii="仿宋_GB2312" w:hAnsi="仿宋_GB2312" w:cs="仿宋_GB2312"/>
          <w:color w:val="auto"/>
          <w:sz w:val="32"/>
          <w:szCs w:val="32"/>
        </w:rPr>
        <w:t>。</w:t>
      </w:r>
      <w:r>
        <w:rPr>
          <w:rFonts w:hint="eastAsia" w:ascii="仿宋_GB2312" w:hAnsi="仿宋_GB2312" w:eastAsia="仿宋_GB2312" w:cs="仿宋_GB2312"/>
          <w:color w:val="auto"/>
          <w:sz w:val="32"/>
          <w:szCs w:val="32"/>
        </w:rPr>
        <w:t>注重学段统筹，做好幼小科学衔接，尤其要坚持小学零起点教学，优化活动化、游戏化、生活化教学设计。</w:t>
      </w:r>
      <w:r>
        <w:rPr>
          <w:rFonts w:hint="eastAsia" w:ascii="仿宋_GB2312" w:hAnsi="仿宋_GB2312" w:eastAsia="仿宋_GB2312" w:cs="仿宋_GB2312"/>
          <w:color w:val="auto"/>
          <w:sz w:val="32"/>
          <w:szCs w:val="32"/>
          <w:lang w:val="en-US" w:eastAsia="zh-CN"/>
        </w:rPr>
        <w:t>明年继续巩固提高公办园占比，增加公办托位建设力度，做好市级一类园申报工作。</w:t>
      </w:r>
    </w:p>
    <w:p w14:paraId="4278D707">
      <w:pPr>
        <w:pBdr>
          <w:top w:val="none" w:color="000000" w:sz="0" w:space="1"/>
          <w:left w:val="none" w:color="000000" w:sz="0" w:space="0"/>
          <w:bottom w:val="none" w:color="000000" w:sz="0" w:space="26"/>
          <w:right w:val="none" w:color="000000" w:sz="0" w:space="29"/>
        </w:pBdr>
        <w:autoSpaceDN w:val="0"/>
        <w:snapToGrid w:val="0"/>
        <w:spacing w:line="580" w:lineRule="exact"/>
        <w:ind w:firstLine="803" w:firstLineChars="250"/>
        <w:rPr>
          <w:rFonts w:hint="default" w:ascii="仿宋_GB2312" w:eastAsia="仿宋"/>
          <w:color w:val="auto"/>
          <w:sz w:val="32"/>
          <w:szCs w:val="32"/>
          <w:lang w:val="en-US" w:eastAsia="zh-CN"/>
        </w:rPr>
      </w:pPr>
      <w:r>
        <w:rPr>
          <w:rFonts w:hint="eastAsia" w:ascii="仿宋" w:hAnsi="仿宋" w:eastAsia="仿宋" w:cs="仿宋"/>
          <w:b/>
          <w:color w:val="auto"/>
          <w:sz w:val="32"/>
          <w:szCs w:val="32"/>
          <w:lang w:val="en-US" w:eastAsia="zh-CN"/>
        </w:rPr>
        <w:t>6</w:t>
      </w:r>
      <w:r>
        <w:rPr>
          <w:rFonts w:hint="eastAsia" w:ascii="仿宋" w:hAnsi="仿宋" w:eastAsia="仿宋" w:cs="仿宋"/>
          <w:b/>
          <w:color w:val="auto"/>
          <w:sz w:val="32"/>
          <w:szCs w:val="32"/>
        </w:rPr>
        <w:t>.</w:t>
      </w:r>
      <w:r>
        <w:rPr>
          <w:rFonts w:hint="eastAsia" w:ascii="仿宋_GB2312" w:eastAsia="仿宋_GB2312"/>
          <w:b/>
          <w:color w:val="auto"/>
          <w:sz w:val="32"/>
          <w:szCs w:val="32"/>
        </w:rPr>
        <w:t>规范民办义务教育发展。</w:t>
      </w:r>
      <w:r>
        <w:rPr>
          <w:rFonts w:hint="eastAsia" w:ascii="仿宋_GB2312" w:eastAsia="仿宋_GB2312"/>
          <w:color w:val="auto"/>
          <w:sz w:val="32"/>
          <w:szCs w:val="32"/>
        </w:rPr>
        <w:t>依据《烈山区规范民办义务教育发展专项工作初步实施方案》，科学核减民办义务教育学校小学、初中起始年级招生计划。</w:t>
      </w:r>
      <w:r>
        <w:rPr>
          <w:rFonts w:hint="eastAsia" w:ascii="仿宋" w:hAnsi="仿宋" w:eastAsia="仿宋" w:cs="仿宋"/>
          <w:color w:val="auto"/>
          <w:sz w:val="32"/>
          <w:szCs w:val="32"/>
        </w:rPr>
        <w:t>持续降低民办义务教育在校生占比。</w:t>
      </w:r>
      <w:r>
        <w:rPr>
          <w:rFonts w:hint="eastAsia" w:ascii="仿宋" w:hAnsi="仿宋" w:eastAsia="仿宋" w:cs="仿宋"/>
          <w:color w:val="auto"/>
          <w:sz w:val="32"/>
          <w:szCs w:val="32"/>
          <w:lang w:val="en-US" w:eastAsia="zh-CN"/>
        </w:rPr>
        <w:t>利用招商引资项目，引进湖南长沙市望城区睿智教育专门学校，积极筹设烈山区新起点教育专门学校，帮助更多边缘青少年回归教育正轨。</w:t>
      </w:r>
    </w:p>
    <w:p w14:paraId="23C2F6E5">
      <w:pPr>
        <w:pBdr>
          <w:top w:val="none" w:color="000000" w:sz="0" w:space="1"/>
          <w:left w:val="none" w:color="000000" w:sz="0" w:space="0"/>
          <w:bottom w:val="none" w:color="000000" w:sz="0" w:space="26"/>
          <w:right w:val="none" w:color="000000" w:sz="0" w:space="29"/>
        </w:pBdr>
        <w:autoSpaceDN w:val="0"/>
        <w:snapToGrid w:val="0"/>
        <w:spacing w:line="580" w:lineRule="exact"/>
        <w:ind w:firstLine="643" w:firstLineChars="200"/>
        <w:rPr>
          <w:rFonts w:hint="eastAsia" w:ascii="仿宋_GB2312" w:eastAsia="仿宋_GB2312"/>
          <w:color w:val="auto"/>
          <w:sz w:val="32"/>
          <w:szCs w:val="32"/>
        </w:rPr>
      </w:pPr>
      <w:r>
        <w:rPr>
          <w:rFonts w:hint="eastAsia" w:ascii="仿宋_GB2312" w:hAnsi="仿宋_GB2312" w:cs="仿宋_GB2312"/>
          <w:b/>
          <w:color w:val="auto"/>
          <w:sz w:val="32"/>
          <w:szCs w:val="32"/>
          <w:lang w:val="en-US" w:eastAsia="zh-CN"/>
        </w:rPr>
        <w:t>7</w:t>
      </w:r>
      <w:r>
        <w:rPr>
          <w:rFonts w:hint="eastAsia" w:ascii="仿宋_GB2312" w:hAnsi="仿宋_GB2312" w:cs="仿宋_GB2312"/>
          <w:b/>
          <w:color w:val="auto"/>
          <w:sz w:val="32"/>
          <w:szCs w:val="32"/>
        </w:rPr>
        <w:t>.</w:t>
      </w:r>
      <w:r>
        <w:rPr>
          <w:rFonts w:hint="eastAsia" w:ascii="仿宋" w:hAnsi="仿宋" w:eastAsia="仿宋" w:cs="仿宋"/>
          <w:b/>
          <w:color w:val="auto"/>
          <w:sz w:val="32"/>
          <w:szCs w:val="32"/>
        </w:rPr>
        <w:t>推动中职教育提质培优</w:t>
      </w:r>
      <w:r>
        <w:rPr>
          <w:rFonts w:hint="eastAsia" w:ascii="仿宋" w:hAnsi="仿宋" w:eastAsia="仿宋" w:cs="仿宋"/>
          <w:b/>
          <w:bCs/>
          <w:color w:val="auto"/>
          <w:sz w:val="32"/>
          <w:szCs w:val="32"/>
        </w:rPr>
        <w:t>。</w:t>
      </w:r>
      <w:r>
        <w:rPr>
          <w:rFonts w:hint="eastAsia" w:ascii="仿宋_GB2312" w:eastAsia="仿宋_GB2312"/>
          <w:color w:val="auto"/>
          <w:sz w:val="32"/>
          <w:szCs w:val="32"/>
          <w:lang w:val="en-US" w:eastAsia="zh-CN"/>
        </w:rPr>
        <w:t>烈山区</w:t>
      </w:r>
      <w:r>
        <w:rPr>
          <w:rFonts w:hint="eastAsia" w:ascii="仿宋_GB2312" w:eastAsia="仿宋_GB2312"/>
          <w:color w:val="auto"/>
          <w:sz w:val="32"/>
          <w:szCs w:val="32"/>
        </w:rPr>
        <w:t>职教中心将同时面向就业和升学两个方向合理设置专业，提高育人质量。同时，职教中心将积极拓展校企合作新路径，加强与淮北盛大建设投资有限公司精诚合作，结合区内外企业用人需求，开展订单式人才培养，为企业提供优质的专业技术工人，为学生提供心仪的就业岗位。</w:t>
      </w:r>
    </w:p>
    <w:p w14:paraId="1CD3AE38">
      <w:pPr>
        <w:pBdr>
          <w:top w:val="none" w:color="000000" w:sz="0" w:space="1"/>
          <w:left w:val="none" w:color="000000" w:sz="0" w:space="0"/>
          <w:bottom w:val="none" w:color="000000" w:sz="0" w:space="26"/>
          <w:right w:val="none" w:color="000000" w:sz="0" w:space="29"/>
        </w:pBdr>
        <w:autoSpaceDN w:val="0"/>
        <w:snapToGrid w:val="0"/>
        <w:spacing w:line="580" w:lineRule="exact"/>
        <w:ind w:firstLine="803" w:firstLineChars="250"/>
        <w:rPr>
          <w:rFonts w:hint="eastAsia" w:ascii="仿宋" w:hAnsi="仿宋" w:eastAsia="仿宋" w:cs="仿宋"/>
          <w:color w:val="auto"/>
          <w:sz w:val="32"/>
          <w:szCs w:val="32"/>
        </w:rPr>
      </w:pPr>
      <w:r>
        <w:rPr>
          <w:rFonts w:hint="eastAsia" w:ascii="仿宋_GB2312"/>
          <w:b/>
          <w:color w:val="auto"/>
          <w:sz w:val="32"/>
          <w:szCs w:val="32"/>
          <w:lang w:val="en-US" w:eastAsia="zh-CN"/>
        </w:rPr>
        <w:t>8</w:t>
      </w:r>
      <w:r>
        <w:rPr>
          <w:rFonts w:hint="eastAsia" w:ascii="仿宋_GB2312"/>
          <w:b/>
          <w:color w:val="auto"/>
          <w:sz w:val="32"/>
          <w:szCs w:val="32"/>
        </w:rPr>
        <w:t>.</w:t>
      </w:r>
      <w:r>
        <w:rPr>
          <w:rFonts w:hint="eastAsia" w:ascii="仿宋_GB2312" w:eastAsia="仿宋_GB2312"/>
          <w:b/>
          <w:color w:val="auto"/>
          <w:sz w:val="32"/>
          <w:szCs w:val="32"/>
        </w:rPr>
        <w:t>优化教育布局，并撤小规模学校。</w:t>
      </w:r>
      <w:r>
        <w:rPr>
          <w:rFonts w:hint="eastAsia" w:ascii="仿宋_GB2312" w:eastAsia="仿宋_GB2312"/>
          <w:color w:val="auto"/>
          <w:sz w:val="32"/>
          <w:szCs w:val="32"/>
        </w:rPr>
        <w:t>合理谋划教育布局，充分听取当地家长、学生、村组意见，尊重人民群众对教育的需求。整合小规模学校，优化教育资源配置，缓解教师机构性缺编难题，逐步构建以优质促均衡，以均衡助力高质量发展的教育新格局。</w:t>
      </w:r>
      <w:r>
        <w:rPr>
          <w:rFonts w:hint="eastAsia" w:ascii="仿宋_GB2312" w:eastAsia="仿宋_GB2312"/>
          <w:color w:val="auto"/>
          <w:sz w:val="32"/>
          <w:szCs w:val="32"/>
          <w:lang w:val="en-US" w:eastAsia="zh-CN"/>
        </w:rPr>
        <w:t>同时，</w:t>
      </w:r>
      <w:r>
        <w:rPr>
          <w:rFonts w:hint="eastAsia" w:ascii="仿宋" w:hAnsi="仿宋" w:eastAsia="仿宋" w:cs="仿宋"/>
          <w:color w:val="auto"/>
          <w:sz w:val="32"/>
          <w:szCs w:val="32"/>
        </w:rPr>
        <w:t>培育一批义务教育区域特色品牌学校，例如，烈山区实验学校、安师大附属烈山学校、烈山区第一实验小学。以</w:t>
      </w:r>
      <w:bookmarkStart w:id="0" w:name="_GoBack"/>
      <w:bookmarkEnd w:id="0"/>
      <w:r>
        <w:rPr>
          <w:rFonts w:hint="eastAsia" w:ascii="仿宋" w:hAnsi="仿宋" w:eastAsia="仿宋" w:cs="仿宋"/>
          <w:color w:val="auto"/>
          <w:sz w:val="32"/>
          <w:szCs w:val="32"/>
        </w:rPr>
        <w:t>优质促均衡，带动辖区教育质量整体提档升级。</w:t>
      </w:r>
    </w:p>
    <w:p w14:paraId="0F0E2D76">
      <w:pPr>
        <w:rPr>
          <w:rFonts w:hint="eastAsia" w:ascii="仿宋_GB2312" w:hAnsi="仿宋_GB2312" w:eastAsia="仿宋_GB2312" w:cs="仿宋_GB2312"/>
        </w:rPr>
      </w:pPr>
    </w:p>
    <w:p w14:paraId="71AE7C65">
      <w:pPr>
        <w:rPr>
          <w:rFonts w:hint="eastAsia" w:ascii="仿宋_GB2312" w:hAnsi="仿宋_GB2312" w:eastAsia="仿宋_GB2312" w:cs="仿宋_GB2312"/>
        </w:rPr>
      </w:pPr>
    </w:p>
    <w:p w14:paraId="34320DA3">
      <w:pPr>
        <w:rPr>
          <w:rFonts w:hint="eastAsia" w:ascii="仿宋_GB2312" w:hAnsi="仿宋_GB2312" w:eastAsia="仿宋_GB2312" w:cs="仿宋_GB2312"/>
        </w:rPr>
      </w:pPr>
    </w:p>
    <w:p w14:paraId="2076D2E5">
      <w:pPr>
        <w:rPr>
          <w:rFonts w:hint="eastAsia" w:ascii="仿宋_GB2312" w:hAnsi="仿宋_GB2312" w:eastAsia="仿宋_GB2312" w:cs="仿宋_GB2312"/>
        </w:rPr>
      </w:pPr>
    </w:p>
    <w:p w14:paraId="40E8F4BF">
      <w:pPr>
        <w:rPr>
          <w:rFonts w:hint="eastAsia" w:ascii="仿宋_GB2312" w:hAnsi="仿宋_GB2312" w:eastAsia="仿宋_GB2312" w:cs="仿宋_GB2312"/>
        </w:rPr>
      </w:pPr>
    </w:p>
    <w:p w14:paraId="77A923F1">
      <w:pPr>
        <w:rPr>
          <w:rFonts w:hint="eastAsia" w:ascii="仿宋_GB2312" w:hAnsi="仿宋_GB2312" w:eastAsia="仿宋_GB2312" w:cs="仿宋_GB2312"/>
        </w:rPr>
      </w:pPr>
    </w:p>
    <w:p w14:paraId="0982A598">
      <w:pPr>
        <w:rPr>
          <w:rFonts w:hint="eastAsia" w:ascii="仿宋_GB2312" w:hAnsi="仿宋_GB2312" w:eastAsia="仿宋_GB2312" w:cs="仿宋_GB2312"/>
        </w:rPr>
      </w:pPr>
    </w:p>
    <w:p w14:paraId="3695C574">
      <w:pPr>
        <w:rPr>
          <w:rFonts w:hint="eastAsia" w:ascii="仿宋_GB2312" w:hAnsi="仿宋_GB2312" w:eastAsia="仿宋_GB2312" w:cs="仿宋_GB2312"/>
        </w:rPr>
      </w:pPr>
    </w:p>
    <w:p w14:paraId="0FFB471D">
      <w:pPr>
        <w:rPr>
          <w:rFonts w:hint="eastAsia" w:ascii="仿宋_GB2312" w:hAnsi="仿宋_GB2312" w:eastAsia="仿宋_GB2312" w:cs="仿宋_GB2312"/>
        </w:rPr>
      </w:pPr>
    </w:p>
    <w:p w14:paraId="17F53E54">
      <w:pPr>
        <w:rPr>
          <w:rFonts w:hint="eastAsia" w:ascii="仿宋_GB2312" w:hAnsi="仿宋_GB2312" w:eastAsia="仿宋_GB2312" w:cs="仿宋_GB2312"/>
        </w:rPr>
      </w:pPr>
    </w:p>
    <w:p w14:paraId="21342999">
      <w:pPr>
        <w:rPr>
          <w:rFonts w:hint="eastAsia" w:ascii="仿宋_GB2312" w:hAnsi="仿宋_GB2312" w:eastAsia="仿宋_GB2312" w:cs="仿宋_GB2312"/>
        </w:rPr>
      </w:pPr>
    </w:p>
    <w:p w14:paraId="236828E9">
      <w:pPr>
        <w:rPr>
          <w:rFonts w:hint="eastAsia" w:ascii="仿宋_GB2312" w:hAnsi="仿宋_GB2312" w:eastAsia="仿宋_GB2312" w:cs="仿宋_GB2312"/>
        </w:rPr>
      </w:pPr>
    </w:p>
    <w:p w14:paraId="7FF95423">
      <w:pPr>
        <w:rPr>
          <w:rFonts w:hint="eastAsia" w:ascii="仿宋_GB2312" w:hAnsi="仿宋_GB2312" w:eastAsia="仿宋_GB2312" w:cs="仿宋_GB2312"/>
        </w:rPr>
      </w:pPr>
    </w:p>
    <w:p w14:paraId="598FAB58">
      <w:pPr>
        <w:rPr>
          <w:rFonts w:hint="eastAsia" w:ascii="仿宋_GB2312" w:hAnsi="仿宋_GB2312" w:eastAsia="仿宋_GB2312" w:cs="仿宋_GB2312"/>
        </w:rPr>
      </w:pPr>
    </w:p>
    <w:p w14:paraId="70079946">
      <w:pPr>
        <w:rPr>
          <w:rFonts w:hint="eastAsia" w:ascii="仿宋_GB2312" w:hAnsi="仿宋_GB2312" w:eastAsia="仿宋_GB2312" w:cs="仿宋_GB2312"/>
        </w:rPr>
      </w:pPr>
    </w:p>
    <w:p w14:paraId="7AA24164">
      <w:pPr>
        <w:rPr>
          <w:rFonts w:hint="eastAsia" w:ascii="仿宋_GB2312" w:hAnsi="仿宋_GB2312" w:eastAsia="仿宋_GB2312" w:cs="仿宋_GB2312"/>
        </w:rPr>
      </w:pPr>
    </w:p>
    <w:p w14:paraId="2967B95B">
      <w:pPr>
        <w:rPr>
          <w:rFonts w:hint="eastAsia" w:ascii="仿宋_GB2312" w:hAnsi="仿宋_GB2312" w:eastAsia="仿宋_GB2312" w:cs="仿宋_GB2312"/>
        </w:rPr>
      </w:pPr>
    </w:p>
    <w:p w14:paraId="3BBBDA12">
      <w:pPr>
        <w:rPr>
          <w:rFonts w:hint="eastAsia" w:ascii="仿宋_GB2312" w:hAnsi="仿宋_GB2312" w:eastAsia="仿宋_GB2312" w:cs="仿宋_GB2312"/>
        </w:rPr>
      </w:pPr>
    </w:p>
    <w:p w14:paraId="6D1F97CE">
      <w:pPr>
        <w:rPr>
          <w:rFonts w:hint="eastAsia" w:ascii="仿宋_GB2312" w:hAnsi="仿宋_GB2312" w:eastAsia="仿宋_GB2312" w:cs="仿宋_GB2312"/>
        </w:rPr>
      </w:pPr>
    </w:p>
    <w:p w14:paraId="5AB64775">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rPr>
          <w:rFonts w:hint="eastAsia" w:ascii="TimesNewRoman" w:hAnsi="TimesNewRoman" w:eastAsia="黑体" w:cs="TimesNewRoman"/>
          <w:bCs/>
          <w:kern w:val="2"/>
          <w:sz w:val="36"/>
          <w:szCs w:val="36"/>
        </w:rPr>
      </w:pPr>
    </w:p>
    <w:p w14:paraId="6D5BEC8A">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rPr>
          <w:rFonts w:hint="eastAsia" w:ascii="TimesNewRoman" w:hAnsi="TimesNewRoman" w:eastAsia="黑体" w:cs="TimesNewRoman"/>
          <w:bCs/>
          <w:kern w:val="2"/>
          <w:sz w:val="36"/>
          <w:szCs w:val="36"/>
        </w:rPr>
      </w:pPr>
    </w:p>
    <w:p w14:paraId="1C5A2E92">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rPr>
          <w:rFonts w:hint="eastAsia" w:ascii="TimesNewRoman" w:hAnsi="TimesNewRoman" w:eastAsia="黑体" w:cs="TimesNewRoman"/>
          <w:bCs/>
          <w:kern w:val="2"/>
          <w:sz w:val="36"/>
          <w:szCs w:val="36"/>
        </w:rPr>
      </w:pPr>
    </w:p>
    <w:p w14:paraId="40BDE939">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rPr>
          <w:rFonts w:hint="eastAsia" w:ascii="TimesNewRoman" w:hAnsi="TimesNewRoman" w:eastAsia="黑体" w:cs="TimesNewRoman"/>
          <w:bCs/>
          <w:kern w:val="2"/>
          <w:sz w:val="36"/>
          <w:szCs w:val="36"/>
        </w:rPr>
      </w:pPr>
    </w:p>
    <w:p w14:paraId="6C74095B">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rPr>
          <w:rFonts w:hint="eastAsia" w:ascii="TimesNewRoman" w:hAnsi="TimesNewRoman" w:eastAsia="黑体" w:cs="TimesNewRoman"/>
          <w:bCs/>
          <w:kern w:val="2"/>
          <w:sz w:val="36"/>
          <w:szCs w:val="36"/>
        </w:rPr>
      </w:pPr>
    </w:p>
    <w:p w14:paraId="01BBDB77">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rPr>
          <w:rFonts w:hint="eastAsia" w:ascii="TimesNewRoman" w:hAnsi="TimesNewRoman" w:eastAsia="黑体" w:cs="TimesNewRoman"/>
          <w:bCs/>
          <w:kern w:val="2"/>
          <w:sz w:val="36"/>
          <w:szCs w:val="36"/>
        </w:rPr>
      </w:pPr>
    </w:p>
    <w:p w14:paraId="77968FA2">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rPr>
          <w:rFonts w:hint="eastAsia" w:ascii="TimesNewRoman" w:hAnsi="TimesNewRoman" w:eastAsia="黑体" w:cs="TimesNewRoman"/>
          <w:bCs/>
          <w:kern w:val="2"/>
          <w:sz w:val="36"/>
          <w:szCs w:val="36"/>
        </w:rPr>
      </w:pPr>
    </w:p>
    <w:p w14:paraId="11C6850E">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rPr>
          <w:rFonts w:hint="eastAsia" w:ascii="TimesNewRoman" w:hAnsi="TimesNewRoman" w:eastAsia="黑体" w:cs="TimesNewRoman"/>
          <w:bCs/>
          <w:kern w:val="2"/>
          <w:sz w:val="36"/>
          <w:szCs w:val="36"/>
        </w:rPr>
      </w:pPr>
    </w:p>
    <w:p w14:paraId="2C582978">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rPr>
          <w:rFonts w:hint="eastAsia" w:ascii="TimesNewRoman" w:hAnsi="TimesNewRoman" w:eastAsia="黑体" w:cs="TimesNewRoman"/>
          <w:bCs/>
          <w:kern w:val="2"/>
          <w:sz w:val="36"/>
          <w:szCs w:val="36"/>
        </w:rPr>
      </w:pPr>
    </w:p>
    <w:p w14:paraId="126FADCB">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rPr>
          <w:rFonts w:hint="eastAsia" w:ascii="TimesNewRoman" w:hAnsi="TimesNewRoman" w:eastAsia="黑体" w:cs="TimesNewRoman"/>
          <w:bCs/>
          <w:kern w:val="2"/>
          <w:sz w:val="36"/>
          <w:szCs w:val="36"/>
        </w:rPr>
      </w:pPr>
    </w:p>
    <w:p w14:paraId="1D252C2E">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rPr>
          <w:rFonts w:hint="eastAsia" w:ascii="TimesNewRoman" w:hAnsi="TimesNewRoman" w:eastAsia="黑体" w:cs="TimesNewRoman"/>
          <w:bCs/>
          <w:kern w:val="2"/>
          <w:sz w:val="36"/>
          <w:szCs w:val="36"/>
        </w:rPr>
      </w:pPr>
    </w:p>
    <w:p w14:paraId="52F0EA3D">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rPr>
          <w:rFonts w:hint="eastAsia" w:ascii="TimesNewRoman" w:hAnsi="TimesNewRoman" w:eastAsia="黑体" w:cs="TimesNewRoman"/>
          <w:bCs/>
          <w:kern w:val="2"/>
          <w:sz w:val="36"/>
          <w:szCs w:val="36"/>
        </w:rPr>
      </w:pPr>
      <w:r>
        <w:rPr>
          <w:rFonts w:hint="eastAsia" w:ascii="TimesNewRoman" w:hAnsi="TimesNewRoman" w:eastAsia="黑体" w:cs="TimesNewRoman"/>
          <w:bCs/>
          <w:kern w:val="2"/>
          <w:sz w:val="36"/>
          <w:szCs w:val="36"/>
        </w:rPr>
        <w:t>第二部分</w:t>
      </w:r>
      <w:r>
        <w:rPr>
          <w:rFonts w:hint="eastAsia" w:ascii="仿宋_GB2312" w:hAnsi="仿宋_GB2312" w:eastAsia="仿宋_GB2312" w:cs="仿宋_GB2312"/>
          <w:bCs/>
          <w:kern w:val="2"/>
          <w:sz w:val="36"/>
          <w:szCs w:val="36"/>
        </w:rPr>
        <w:t xml:space="preserve"> </w:t>
      </w:r>
      <w:r>
        <w:rPr>
          <w:rFonts w:hint="eastAsia" w:ascii="仿宋_GB2312" w:hAnsi="仿宋_GB2312" w:eastAsia="仿宋_GB2312" w:cs="仿宋_GB2312"/>
          <w:bCs/>
          <w:kern w:val="2"/>
          <w:sz w:val="36"/>
          <w:szCs w:val="36"/>
          <w:lang w:eastAsia="zh-CN"/>
        </w:rPr>
        <w:t>2025</w:t>
      </w:r>
      <w:r>
        <w:rPr>
          <w:rFonts w:hint="eastAsia" w:ascii="TimesNewRoman" w:hAnsi="TimesNewRoman" w:eastAsia="黑体" w:cs="TimesNewRoman"/>
          <w:bCs/>
          <w:kern w:val="2"/>
          <w:sz w:val="36"/>
          <w:szCs w:val="36"/>
        </w:rPr>
        <w:t>年部门预算表</w:t>
      </w:r>
    </w:p>
    <w:p w14:paraId="4A22B434">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rPr>
          <w:rFonts w:hint="eastAsia" w:ascii="仿宋_GB2312" w:hAnsi="仿宋_GB2312" w:eastAsia="仿宋_GB2312" w:cs="仿宋_GB2312"/>
          <w:bCs/>
          <w:kern w:val="2"/>
          <w:sz w:val="36"/>
          <w:szCs w:val="36"/>
        </w:rPr>
      </w:pPr>
      <w:r>
        <w:rPr>
          <w:rFonts w:hint="eastAsia" w:ascii="TimesNewRoman" w:hAnsi="TimesNewRoman" w:eastAsia="黑体" w:cs="TimesNewRoman"/>
          <w:bCs/>
          <w:kern w:val="2"/>
          <w:sz w:val="36"/>
          <w:szCs w:val="36"/>
        </w:rPr>
        <w:t>见附件</w:t>
      </w:r>
      <w:r>
        <w:rPr>
          <w:rFonts w:hint="eastAsia" w:ascii="仿宋_GB2312" w:hAnsi="仿宋_GB2312" w:eastAsia="仿宋_GB2312" w:cs="仿宋_GB2312"/>
          <w:bCs/>
          <w:kern w:val="2"/>
          <w:sz w:val="36"/>
          <w:szCs w:val="36"/>
        </w:rPr>
        <w:t>1-2</w:t>
      </w:r>
    </w:p>
    <w:p w14:paraId="2D0C2C7F">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rPr>
          <w:rFonts w:hint="eastAsia" w:ascii="TimesNewRoman" w:hAnsi="TimesNewRoman" w:eastAsia="黑体" w:cs="TimesNewRoman"/>
          <w:bCs/>
          <w:kern w:val="2"/>
          <w:sz w:val="36"/>
          <w:szCs w:val="36"/>
        </w:rPr>
      </w:pPr>
      <w:r>
        <w:rPr>
          <w:rFonts w:hint="eastAsia" w:ascii="TimesNewRoman" w:hAnsi="TimesNewRoman" w:eastAsia="黑体" w:cs="TimesNewRoman"/>
          <w:bCs/>
          <w:kern w:val="2"/>
          <w:sz w:val="36"/>
          <w:szCs w:val="36"/>
        </w:rPr>
        <w:t xml:space="preserve">                                        </w:t>
      </w:r>
    </w:p>
    <w:p w14:paraId="2CEFCEE0">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rPr>
          <w:rFonts w:hint="eastAsia" w:ascii="TimesNewRoman" w:hAnsi="TimesNewRoman" w:eastAsia="黑体" w:cs="TimesNewRoman"/>
          <w:bCs/>
          <w:kern w:val="2"/>
          <w:sz w:val="36"/>
          <w:szCs w:val="36"/>
        </w:rPr>
      </w:pPr>
      <w:r>
        <w:rPr>
          <w:rFonts w:hint="eastAsia" w:ascii="TimesNewRoman" w:hAnsi="TimesNewRoman" w:eastAsia="黑体" w:cs="TimesNewRoman"/>
          <w:bCs/>
          <w:kern w:val="2"/>
          <w:sz w:val="36"/>
          <w:szCs w:val="36"/>
          <w:lang w:val="en-US" w:eastAsia="zh-CN"/>
        </w:rPr>
        <w:t xml:space="preserve">   </w:t>
      </w:r>
      <w:r>
        <w:rPr>
          <w:rFonts w:hint="eastAsia" w:ascii="TimesNewRoman" w:hAnsi="TimesNewRoman" w:eastAsia="黑体" w:cs="TimesNewRoman"/>
          <w:bCs/>
          <w:kern w:val="2"/>
          <w:sz w:val="36"/>
          <w:szCs w:val="36"/>
        </w:rPr>
        <w:t xml:space="preserve">第三部分 </w:t>
      </w:r>
      <w:r>
        <w:rPr>
          <w:rFonts w:hint="eastAsia" w:ascii="仿宋_GB2312" w:hAnsi="仿宋_GB2312" w:eastAsia="仿宋_GB2312" w:cs="仿宋_GB2312"/>
          <w:bCs/>
          <w:kern w:val="2"/>
          <w:sz w:val="36"/>
          <w:szCs w:val="36"/>
          <w:lang w:eastAsia="zh-CN"/>
        </w:rPr>
        <w:t>2025</w:t>
      </w:r>
      <w:r>
        <w:rPr>
          <w:rFonts w:hint="eastAsia" w:ascii="TimesNewRoman" w:hAnsi="TimesNewRoman" w:eastAsia="黑体" w:cs="TimesNewRoman"/>
          <w:bCs/>
          <w:kern w:val="2"/>
          <w:sz w:val="36"/>
          <w:szCs w:val="36"/>
        </w:rPr>
        <w:t>年部门预算情况说明</w:t>
      </w:r>
    </w:p>
    <w:p w14:paraId="387E301D">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rPr>
          <w:rFonts w:hint="eastAsia" w:ascii="TimesNewRoman" w:hAnsi="TimesNewRoman" w:eastAsia="黑体" w:cs="TimesNewRoman"/>
          <w:bCs/>
          <w:kern w:val="2"/>
          <w:sz w:val="36"/>
          <w:szCs w:val="36"/>
        </w:rPr>
      </w:pPr>
    </w:p>
    <w:p w14:paraId="437BF887">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left"/>
        <w:rPr>
          <w:rFonts w:hint="eastAsia" w:ascii="TimesNewRoman" w:hAnsi="TimesNewRoman" w:eastAsia="黑体" w:cs="TimesNewRoman"/>
          <w:bCs/>
          <w:kern w:val="2"/>
          <w:sz w:val="36"/>
          <w:szCs w:val="36"/>
        </w:rPr>
      </w:pPr>
      <w:r>
        <w:rPr>
          <w:rFonts w:hint="eastAsia" w:ascii="TimesNewRoman" w:hAnsi="TimesNewRoman" w:eastAsia="黑体" w:cs="TimesNewRoman"/>
          <w:bCs/>
          <w:kern w:val="2"/>
          <w:sz w:val="36"/>
          <w:szCs w:val="36"/>
        </w:rPr>
        <w:t>一、关于</w:t>
      </w:r>
      <w:r>
        <w:rPr>
          <w:rFonts w:hint="eastAsia" w:ascii="仿宋_GB2312" w:hAnsi="仿宋_GB2312" w:eastAsia="仿宋_GB2312" w:cs="仿宋_GB2312"/>
          <w:bCs/>
          <w:kern w:val="2"/>
          <w:sz w:val="36"/>
          <w:szCs w:val="36"/>
          <w:lang w:eastAsia="zh-CN"/>
        </w:rPr>
        <w:t>2025</w:t>
      </w:r>
      <w:r>
        <w:rPr>
          <w:rFonts w:hint="eastAsia" w:ascii="TimesNewRoman" w:hAnsi="TimesNewRoman" w:eastAsia="黑体" w:cs="TimesNewRoman"/>
          <w:bCs/>
          <w:kern w:val="2"/>
          <w:sz w:val="36"/>
          <w:szCs w:val="36"/>
        </w:rPr>
        <w:t>年收支总表的说明</w:t>
      </w:r>
    </w:p>
    <w:p w14:paraId="60FD10A1">
      <w:pPr>
        <w:pStyle w:val="5"/>
        <w:adjustRightInd w:val="0"/>
        <w:snapToGrid w:val="0"/>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w:t>
      </w:r>
      <w:r>
        <w:rPr>
          <w:rFonts w:hint="eastAsia" w:ascii="仿宋_GB2312" w:hAnsi="仿宋_GB2312" w:eastAsia="仿宋_GB2312" w:cs="仿宋_GB2312"/>
          <w:sz w:val="32"/>
          <w:szCs w:val="32"/>
          <w:lang w:eastAsia="zh-CN"/>
        </w:rPr>
        <w:t>烈山区教育局本级</w:t>
      </w:r>
      <w:r>
        <w:rPr>
          <w:rFonts w:hint="eastAsia" w:ascii="仿宋_GB2312" w:hAnsi="仿宋_GB2312" w:eastAsia="仿宋_GB2312" w:cs="仿宋_GB2312"/>
          <w:sz w:val="32"/>
          <w:szCs w:val="32"/>
        </w:rPr>
        <w:t>所有收入和支出均纳入部门（单位）预算管理。</w:t>
      </w:r>
      <w:r>
        <w:rPr>
          <w:rFonts w:hint="eastAsia" w:ascii="仿宋_GB2312" w:hAnsi="仿宋_GB2312" w:eastAsia="仿宋_GB2312" w:cs="仿宋_GB2312"/>
          <w:sz w:val="32"/>
          <w:szCs w:val="32"/>
          <w:lang w:eastAsia="zh-CN"/>
        </w:rPr>
        <w:t>烈山区教育局本级2025</w:t>
      </w:r>
      <w:r>
        <w:rPr>
          <w:rFonts w:hint="eastAsia" w:ascii="仿宋_GB2312" w:hAnsi="仿宋_GB2312" w:eastAsia="仿宋_GB2312" w:cs="仿宋_GB2312"/>
          <w:sz w:val="32"/>
          <w:szCs w:val="32"/>
        </w:rPr>
        <w:t>年收支总预算</w:t>
      </w:r>
      <w:r>
        <w:rPr>
          <w:rFonts w:hint="eastAsia" w:ascii="仿宋_GB2312" w:hAnsi="仿宋_GB2312" w:eastAsia="仿宋_GB2312" w:cs="仿宋_GB2312"/>
          <w:sz w:val="32"/>
          <w:szCs w:val="32"/>
          <w:lang w:val="en-US" w:eastAsia="zh-CN"/>
        </w:rPr>
        <w:t>2605.81</w:t>
      </w:r>
      <w:r>
        <w:rPr>
          <w:rFonts w:hint="eastAsia" w:ascii="仿宋_GB2312" w:hAnsi="仿宋_GB2312" w:eastAsia="仿宋_GB2312" w:cs="仿宋_GB2312"/>
          <w:sz w:val="32"/>
          <w:szCs w:val="32"/>
        </w:rPr>
        <w:t>万元，收入包括一般公共预算拨款收入，支出包括：</w:t>
      </w:r>
      <w:r>
        <w:rPr>
          <w:rFonts w:hint="eastAsia" w:ascii="仿宋_GB2312" w:hAnsi="仿宋_GB2312" w:eastAsia="仿宋_GB2312" w:cs="仿宋_GB2312"/>
          <w:sz w:val="32"/>
          <w:szCs w:val="32"/>
          <w:lang w:eastAsia="zh-CN"/>
        </w:rPr>
        <w:t>教育支出</w:t>
      </w:r>
      <w:r>
        <w:rPr>
          <w:rFonts w:hint="eastAsia" w:ascii="仿宋_GB2312" w:hAnsi="仿宋_GB2312" w:eastAsia="仿宋_GB2312" w:cs="仿宋_GB2312"/>
          <w:sz w:val="32"/>
          <w:szCs w:val="32"/>
        </w:rPr>
        <w:t>、社会保障和就业支出、卫生健康支出、住房保障支出。</w:t>
      </w:r>
    </w:p>
    <w:p w14:paraId="25CF77ED">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left"/>
        <w:rPr>
          <w:rFonts w:hint="eastAsia" w:ascii="TimesNewRoman" w:hAnsi="TimesNewRoman" w:eastAsia="黑体" w:cs="TimesNewRoman"/>
          <w:bCs/>
          <w:kern w:val="2"/>
          <w:sz w:val="36"/>
          <w:szCs w:val="36"/>
        </w:rPr>
      </w:pPr>
      <w:r>
        <w:rPr>
          <w:rFonts w:hint="eastAsia" w:ascii="TimesNewRoman" w:hAnsi="TimesNewRoman" w:eastAsia="黑体" w:cs="TimesNewRoman"/>
          <w:bCs/>
          <w:kern w:val="2"/>
          <w:sz w:val="36"/>
          <w:szCs w:val="36"/>
        </w:rPr>
        <w:t>二、关于</w:t>
      </w:r>
      <w:r>
        <w:rPr>
          <w:rFonts w:hint="eastAsia" w:ascii="仿宋_GB2312" w:hAnsi="仿宋_GB2312" w:eastAsia="仿宋_GB2312" w:cs="仿宋_GB2312"/>
          <w:bCs/>
          <w:kern w:val="2"/>
          <w:sz w:val="36"/>
          <w:szCs w:val="36"/>
          <w:lang w:eastAsia="zh-CN"/>
        </w:rPr>
        <w:t>2025</w:t>
      </w:r>
      <w:r>
        <w:rPr>
          <w:rFonts w:hint="eastAsia" w:ascii="TimesNewRoman" w:hAnsi="TimesNewRoman" w:eastAsia="黑体" w:cs="TimesNewRoman"/>
          <w:bCs/>
          <w:kern w:val="2"/>
          <w:sz w:val="36"/>
          <w:szCs w:val="36"/>
        </w:rPr>
        <w:t>年收入总表的说明</w:t>
      </w:r>
    </w:p>
    <w:p w14:paraId="4B342A25">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烈山区教育局本级2025</w:t>
      </w:r>
      <w:r>
        <w:rPr>
          <w:rFonts w:hint="eastAsia" w:ascii="仿宋_GB2312" w:hAnsi="仿宋_GB2312" w:eastAsia="仿宋_GB2312" w:cs="仿宋_GB2312"/>
          <w:kern w:val="0"/>
          <w:sz w:val="32"/>
          <w:szCs w:val="32"/>
        </w:rPr>
        <w:t>年收入预算</w:t>
      </w:r>
      <w:r>
        <w:rPr>
          <w:rFonts w:hint="eastAsia" w:ascii="仿宋_GB2312" w:hAnsi="仿宋_GB2312" w:eastAsia="仿宋_GB2312" w:cs="仿宋_GB2312"/>
          <w:kern w:val="0"/>
          <w:sz w:val="32"/>
          <w:szCs w:val="32"/>
          <w:lang w:val="en-US" w:eastAsia="zh-CN"/>
        </w:rPr>
        <w:t>2605.81</w:t>
      </w:r>
      <w:r>
        <w:rPr>
          <w:rFonts w:hint="eastAsia" w:ascii="仿宋_GB2312" w:hAnsi="仿宋_GB2312" w:eastAsia="仿宋_GB2312" w:cs="仿宋_GB2312"/>
          <w:kern w:val="0"/>
          <w:sz w:val="32"/>
          <w:szCs w:val="32"/>
        </w:rPr>
        <w:t>万元，其中，本年收入</w:t>
      </w:r>
      <w:r>
        <w:rPr>
          <w:rFonts w:hint="eastAsia" w:ascii="仿宋_GB2312" w:hAnsi="仿宋_GB2312" w:eastAsia="仿宋_GB2312" w:cs="仿宋_GB2312"/>
          <w:kern w:val="0"/>
          <w:sz w:val="32"/>
          <w:szCs w:val="32"/>
          <w:lang w:val="en-US" w:eastAsia="zh-CN"/>
        </w:rPr>
        <w:t>2605.81</w:t>
      </w:r>
      <w:r>
        <w:rPr>
          <w:rFonts w:hint="eastAsia" w:ascii="仿宋_GB2312" w:hAnsi="仿宋_GB2312" w:eastAsia="仿宋_GB2312" w:cs="仿宋_GB2312"/>
          <w:kern w:val="0"/>
          <w:sz w:val="32"/>
          <w:szCs w:val="32"/>
        </w:rPr>
        <w:t>万元。</w:t>
      </w:r>
    </w:p>
    <w:p w14:paraId="37EFE494">
      <w:pPr>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（一）本年收入</w:t>
      </w:r>
      <w:r>
        <w:rPr>
          <w:rFonts w:hint="eastAsia" w:ascii="仿宋_GB2312" w:hAnsi="仿宋_GB2312" w:eastAsia="仿宋_GB2312" w:cs="仿宋_GB2312"/>
          <w:b/>
          <w:kern w:val="0"/>
          <w:sz w:val="32"/>
          <w:szCs w:val="32"/>
          <w:lang w:val="en-US" w:eastAsia="zh-CN"/>
        </w:rPr>
        <w:t>2605.81</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主要包括：一般公共预算拨款收入</w:t>
      </w:r>
      <w:r>
        <w:rPr>
          <w:rFonts w:hint="eastAsia" w:ascii="仿宋_GB2312" w:hAnsi="仿宋_GB2312" w:eastAsia="仿宋_GB2312" w:cs="仿宋_GB2312"/>
          <w:kern w:val="0"/>
          <w:sz w:val="32"/>
          <w:szCs w:val="32"/>
          <w:lang w:val="en-US" w:eastAsia="zh-CN"/>
        </w:rPr>
        <w:t>2605.81</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%，比</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年预算减少</w:t>
      </w:r>
      <w:r>
        <w:rPr>
          <w:rFonts w:hint="eastAsia" w:ascii="仿宋_GB2312" w:hAnsi="仿宋_GB2312" w:eastAsia="仿宋_GB2312" w:cs="仿宋_GB2312"/>
          <w:kern w:val="0"/>
          <w:sz w:val="32"/>
          <w:szCs w:val="32"/>
          <w:lang w:val="en-US" w:eastAsia="zh-CN"/>
        </w:rPr>
        <w:t>221.24</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7.83</w:t>
      </w:r>
      <w:r>
        <w:rPr>
          <w:rFonts w:hint="eastAsia" w:ascii="仿宋_GB2312" w:hAnsi="仿宋_GB2312" w:eastAsia="仿宋_GB2312" w:cs="仿宋_GB2312"/>
          <w:kern w:val="0"/>
          <w:sz w:val="32"/>
          <w:szCs w:val="32"/>
        </w:rPr>
        <w:t>%，原因主要</w:t>
      </w:r>
      <w:r>
        <w:rPr>
          <w:rFonts w:hint="eastAsia" w:ascii="仿宋_GB2312" w:hAnsi="仿宋_GB2312" w:eastAsia="仿宋_GB2312" w:cs="仿宋_GB2312"/>
          <w:kern w:val="0"/>
          <w:sz w:val="32"/>
          <w:szCs w:val="32"/>
          <w:lang w:eastAsia="zh-CN"/>
        </w:rPr>
        <w:t>是厉行节约、压缩开支</w:t>
      </w:r>
      <w:r>
        <w:rPr>
          <w:rFonts w:hint="eastAsia" w:ascii="仿宋_GB2312" w:hAnsi="仿宋_GB2312" w:eastAsia="仿宋_GB2312" w:cs="仿宋_GB2312"/>
          <w:kern w:val="0"/>
          <w:sz w:val="32"/>
          <w:szCs w:val="32"/>
        </w:rPr>
        <w:t>；财政专户管理资金收入</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万元，比</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年预算减少</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eastAsia="zh-CN"/>
        </w:rPr>
        <w:t>没有财政专户资金收入</w:t>
      </w:r>
      <w:r>
        <w:rPr>
          <w:rFonts w:hint="eastAsia" w:ascii="仿宋_GB2312" w:hAnsi="仿宋_GB2312" w:eastAsia="仿宋_GB2312" w:cs="仿宋_GB2312"/>
          <w:kern w:val="0"/>
          <w:sz w:val="32"/>
          <w:szCs w:val="32"/>
        </w:rPr>
        <w:t>。</w:t>
      </w:r>
    </w:p>
    <w:p w14:paraId="0F1AB234">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left"/>
        <w:rPr>
          <w:rFonts w:hint="eastAsia" w:ascii="仿宋_GB2312" w:hAnsi="仿宋_GB2312" w:eastAsia="仿宋_GB2312" w:cs="仿宋_GB2312"/>
          <w:b/>
          <w:bCs w:val="0"/>
          <w:kern w:val="2"/>
          <w:sz w:val="36"/>
          <w:szCs w:val="36"/>
          <w:lang w:eastAsia="zh-CN"/>
        </w:rPr>
      </w:pPr>
      <w:r>
        <w:rPr>
          <w:rFonts w:hint="eastAsia" w:ascii="仿宋_GB2312" w:hAnsi="仿宋_GB2312" w:eastAsia="仿宋_GB2312" w:cs="仿宋_GB2312"/>
          <w:b/>
          <w:bCs w:val="0"/>
          <w:kern w:val="2"/>
          <w:sz w:val="36"/>
          <w:szCs w:val="36"/>
          <w:lang w:eastAsia="zh-CN"/>
        </w:rPr>
        <w:t>三、关于2025年支出总表的说明</w:t>
      </w:r>
    </w:p>
    <w:p w14:paraId="0A50B16C">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烈山区教育局本级2025</w:t>
      </w:r>
      <w:r>
        <w:rPr>
          <w:rFonts w:hint="eastAsia" w:ascii="仿宋_GB2312" w:hAnsi="仿宋_GB2312" w:eastAsia="仿宋_GB2312" w:cs="仿宋_GB2312"/>
          <w:kern w:val="0"/>
          <w:sz w:val="32"/>
          <w:szCs w:val="32"/>
        </w:rPr>
        <w:t>年支出预算</w:t>
      </w:r>
      <w:r>
        <w:rPr>
          <w:rFonts w:hint="eastAsia" w:ascii="仿宋_GB2312" w:hAnsi="仿宋_GB2312" w:eastAsia="仿宋_GB2312" w:cs="仿宋_GB2312"/>
          <w:kern w:val="0"/>
          <w:sz w:val="32"/>
          <w:szCs w:val="32"/>
          <w:lang w:val="en-US" w:eastAsia="zh-CN"/>
        </w:rPr>
        <w:t>2605.81</w:t>
      </w:r>
      <w:r>
        <w:rPr>
          <w:rFonts w:hint="eastAsia" w:ascii="仿宋_GB2312" w:hAnsi="仿宋_GB2312" w:eastAsia="仿宋_GB2312" w:cs="仿宋_GB2312"/>
          <w:kern w:val="0"/>
          <w:sz w:val="32"/>
          <w:szCs w:val="32"/>
        </w:rPr>
        <w:t>万元，比</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年预算减少</w:t>
      </w:r>
      <w:r>
        <w:rPr>
          <w:rFonts w:hint="eastAsia" w:ascii="仿宋_GB2312" w:hAnsi="仿宋_GB2312" w:eastAsia="仿宋_GB2312" w:cs="仿宋_GB2312"/>
          <w:kern w:val="0"/>
          <w:sz w:val="32"/>
          <w:szCs w:val="32"/>
          <w:lang w:val="en-US" w:eastAsia="zh-CN"/>
        </w:rPr>
        <w:t>221.24</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7.83</w:t>
      </w:r>
      <w:r>
        <w:rPr>
          <w:rFonts w:hint="eastAsia" w:ascii="仿宋_GB2312" w:hAnsi="仿宋_GB2312" w:eastAsia="仿宋_GB2312" w:cs="仿宋_GB2312"/>
          <w:kern w:val="0"/>
          <w:sz w:val="32"/>
          <w:szCs w:val="32"/>
        </w:rPr>
        <w:t>%，原因主要</w:t>
      </w:r>
      <w:r>
        <w:rPr>
          <w:rFonts w:hint="eastAsia" w:ascii="仿宋_GB2312" w:hAnsi="仿宋_GB2312" w:eastAsia="仿宋_GB2312" w:cs="仿宋_GB2312"/>
          <w:kern w:val="0"/>
          <w:sz w:val="32"/>
          <w:szCs w:val="32"/>
          <w:lang w:eastAsia="zh-CN"/>
        </w:rPr>
        <w:t>是厉行节约、压缩开支</w:t>
      </w:r>
      <w:r>
        <w:rPr>
          <w:rFonts w:hint="eastAsia" w:ascii="仿宋_GB2312" w:hAnsi="仿宋_GB2312" w:eastAsia="仿宋_GB2312" w:cs="仿宋_GB2312"/>
          <w:kern w:val="0"/>
          <w:sz w:val="32"/>
          <w:szCs w:val="32"/>
        </w:rPr>
        <w:t>。其中，基本支出</w:t>
      </w:r>
      <w:r>
        <w:rPr>
          <w:rFonts w:hint="eastAsia" w:ascii="仿宋_GB2312" w:hAnsi="仿宋_GB2312" w:eastAsia="仿宋_GB2312" w:cs="仿宋_GB2312"/>
          <w:kern w:val="0"/>
          <w:sz w:val="32"/>
          <w:szCs w:val="32"/>
          <w:lang w:val="en-US" w:eastAsia="zh-CN"/>
        </w:rPr>
        <w:t>277.52</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10.65</w:t>
      </w:r>
      <w:r>
        <w:rPr>
          <w:rFonts w:hint="eastAsia" w:ascii="仿宋_GB2312" w:hAnsi="仿宋_GB2312" w:eastAsia="仿宋_GB2312" w:cs="仿宋_GB2312"/>
          <w:kern w:val="0"/>
          <w:sz w:val="32"/>
          <w:szCs w:val="32"/>
        </w:rPr>
        <w:t>%，主要用于保障机构日常运转、完成日常工作任务；项目支出</w:t>
      </w:r>
      <w:r>
        <w:rPr>
          <w:rFonts w:hint="eastAsia" w:ascii="仿宋_GB2312" w:hAnsi="仿宋_GB2312" w:eastAsia="仿宋_GB2312" w:cs="仿宋_GB2312"/>
          <w:kern w:val="0"/>
          <w:sz w:val="32"/>
          <w:szCs w:val="32"/>
          <w:lang w:val="en-US" w:eastAsia="zh-CN"/>
        </w:rPr>
        <w:t>2328.29</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89.35</w:t>
      </w:r>
      <w:r>
        <w:rPr>
          <w:rFonts w:hint="eastAsia" w:ascii="仿宋_GB2312" w:hAnsi="仿宋_GB2312" w:eastAsia="仿宋_GB2312" w:cs="仿宋_GB2312"/>
          <w:kern w:val="0"/>
          <w:sz w:val="32"/>
          <w:szCs w:val="32"/>
        </w:rPr>
        <w:t>%，</w:t>
      </w:r>
      <w:r>
        <w:rPr>
          <w:rFonts w:hint="default" w:ascii="仿宋_GB2312" w:hAnsi="仿宋_GB2312" w:eastAsia="仿宋_GB2312" w:cs="仿宋_GB2312"/>
          <w:kern w:val="0"/>
          <w:sz w:val="32"/>
          <w:szCs w:val="32"/>
        </w:rPr>
        <w:t>主要用于</w:t>
      </w:r>
      <w:r>
        <w:rPr>
          <w:rFonts w:hint="eastAsia" w:ascii="仿宋_GB2312" w:hAnsi="仿宋_GB2312" w:eastAsia="仿宋_GB2312" w:cs="仿宋_GB2312"/>
          <w:kern w:val="0"/>
          <w:sz w:val="32"/>
          <w:szCs w:val="32"/>
          <w:lang w:eastAsia="zh-CN"/>
        </w:rPr>
        <w:t>学校正常运转、学前教育和义务教育阶段、普通高中资助和中等职业学校助学金的发放和民办学校免费教科书的发放等</w:t>
      </w:r>
      <w:r>
        <w:rPr>
          <w:rFonts w:hint="eastAsia" w:ascii="仿宋_GB2312" w:hAnsi="仿宋_GB2312" w:eastAsia="仿宋_GB2312" w:cs="仿宋_GB2312"/>
          <w:kern w:val="0"/>
          <w:sz w:val="32"/>
          <w:szCs w:val="32"/>
        </w:rPr>
        <w:t>。</w:t>
      </w:r>
    </w:p>
    <w:p w14:paraId="1122B573">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left"/>
        <w:rPr>
          <w:rFonts w:hint="eastAsia" w:ascii="仿宋_GB2312" w:hAnsi="仿宋_GB2312" w:eastAsia="仿宋_GB2312" w:cs="仿宋_GB2312"/>
          <w:b/>
          <w:bCs w:val="0"/>
          <w:kern w:val="2"/>
          <w:sz w:val="36"/>
          <w:szCs w:val="36"/>
          <w:lang w:eastAsia="zh-CN"/>
        </w:rPr>
      </w:pPr>
      <w:r>
        <w:rPr>
          <w:rFonts w:hint="eastAsia" w:ascii="仿宋_GB2312" w:hAnsi="仿宋_GB2312" w:eastAsia="仿宋_GB2312" w:cs="仿宋_GB2312"/>
          <w:b/>
          <w:bCs w:val="0"/>
          <w:kern w:val="2"/>
          <w:sz w:val="36"/>
          <w:szCs w:val="36"/>
          <w:lang w:eastAsia="zh-CN"/>
        </w:rPr>
        <w:t>四、关于2025年财政拨款收支总表的说明</w:t>
      </w:r>
    </w:p>
    <w:p w14:paraId="20AF9EDB">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烈山区教育局本级2025</w:t>
      </w:r>
      <w:r>
        <w:rPr>
          <w:rFonts w:hint="eastAsia" w:ascii="仿宋_GB2312" w:hAnsi="仿宋_GB2312" w:eastAsia="仿宋_GB2312" w:cs="仿宋_GB2312"/>
          <w:kern w:val="0"/>
          <w:sz w:val="32"/>
          <w:szCs w:val="32"/>
        </w:rPr>
        <w:t>年财政拨款收支预算</w:t>
      </w:r>
      <w:r>
        <w:rPr>
          <w:rFonts w:hint="eastAsia" w:ascii="仿宋_GB2312" w:hAnsi="仿宋_GB2312" w:eastAsia="仿宋_GB2312" w:cs="仿宋_GB2312"/>
          <w:kern w:val="0"/>
          <w:sz w:val="32"/>
          <w:szCs w:val="32"/>
          <w:lang w:val="en-US" w:eastAsia="zh-CN"/>
        </w:rPr>
        <w:t>2605.81</w:t>
      </w:r>
      <w:r>
        <w:rPr>
          <w:rFonts w:hint="eastAsia" w:ascii="仿宋_GB2312" w:hAnsi="仿宋_GB2312" w:eastAsia="仿宋_GB2312" w:cs="仿宋_GB2312"/>
          <w:kern w:val="0"/>
          <w:sz w:val="32"/>
          <w:szCs w:val="32"/>
        </w:rPr>
        <w:t>万元。收入按资金来源分为：一般公共预算拨款</w:t>
      </w:r>
      <w:r>
        <w:rPr>
          <w:rFonts w:hint="eastAsia" w:ascii="仿宋_GB2312" w:hAnsi="仿宋_GB2312" w:eastAsia="仿宋_GB2312" w:cs="仿宋_GB2312"/>
          <w:kern w:val="0"/>
          <w:sz w:val="32"/>
          <w:szCs w:val="32"/>
          <w:lang w:val="en-US" w:eastAsia="zh-CN"/>
        </w:rPr>
        <w:t>2605.81</w:t>
      </w:r>
      <w:r>
        <w:rPr>
          <w:rFonts w:hint="eastAsia" w:ascii="仿宋_GB2312" w:hAnsi="仿宋_GB2312" w:eastAsia="仿宋_GB2312" w:cs="仿宋_GB2312"/>
          <w:kern w:val="0"/>
          <w:sz w:val="32"/>
          <w:szCs w:val="32"/>
        </w:rPr>
        <w:t>万元。支出按功能分类分为：</w:t>
      </w:r>
      <w:r>
        <w:rPr>
          <w:rFonts w:hint="eastAsia" w:ascii="仿宋_GB2312" w:hAnsi="仿宋_GB2312" w:eastAsia="仿宋_GB2312" w:cs="仿宋_GB2312"/>
          <w:kern w:val="0"/>
          <w:sz w:val="32"/>
          <w:szCs w:val="32"/>
          <w:lang w:eastAsia="zh-CN"/>
        </w:rPr>
        <w:t>教育支出</w:t>
      </w:r>
      <w:r>
        <w:rPr>
          <w:rFonts w:hint="eastAsia" w:ascii="仿宋_GB2312" w:hAnsi="仿宋_GB2312" w:eastAsia="仿宋_GB2312" w:cs="仿宋_GB2312"/>
          <w:kern w:val="0"/>
          <w:sz w:val="32"/>
          <w:szCs w:val="32"/>
          <w:lang w:val="en-US" w:eastAsia="zh-CN"/>
        </w:rPr>
        <w:t>2483.98</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95.32</w:t>
      </w:r>
      <w:r>
        <w:rPr>
          <w:rFonts w:hint="eastAsia" w:ascii="仿宋_GB2312" w:hAnsi="仿宋_GB2312" w:eastAsia="仿宋_GB2312" w:cs="仿宋_GB2312"/>
          <w:kern w:val="0"/>
          <w:sz w:val="32"/>
          <w:szCs w:val="32"/>
        </w:rPr>
        <w:t>%；社会保障和就业支出</w:t>
      </w:r>
      <w:r>
        <w:rPr>
          <w:rFonts w:hint="eastAsia" w:ascii="仿宋_GB2312" w:hAnsi="仿宋_GB2312" w:eastAsia="仿宋_GB2312" w:cs="仿宋_GB2312"/>
          <w:kern w:val="0"/>
          <w:sz w:val="32"/>
          <w:szCs w:val="32"/>
          <w:lang w:val="en-US" w:eastAsia="zh-CN"/>
        </w:rPr>
        <w:t>79.07</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3.03</w:t>
      </w:r>
      <w:r>
        <w:rPr>
          <w:rFonts w:hint="eastAsia" w:ascii="仿宋_GB2312" w:hAnsi="仿宋_GB2312" w:eastAsia="仿宋_GB2312" w:cs="仿宋_GB2312"/>
          <w:kern w:val="0"/>
          <w:sz w:val="32"/>
          <w:szCs w:val="32"/>
        </w:rPr>
        <w:t>%；卫生健康支出</w:t>
      </w:r>
      <w:r>
        <w:rPr>
          <w:rFonts w:hint="eastAsia" w:ascii="仿宋_GB2312" w:hAnsi="仿宋_GB2312" w:eastAsia="仿宋_GB2312" w:cs="仿宋_GB2312"/>
          <w:kern w:val="0"/>
          <w:sz w:val="32"/>
          <w:szCs w:val="32"/>
          <w:lang w:val="en-US" w:eastAsia="zh-CN"/>
        </w:rPr>
        <w:t>10.83</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0.42</w:t>
      </w:r>
      <w:r>
        <w:rPr>
          <w:rFonts w:hint="eastAsia" w:ascii="仿宋_GB2312" w:hAnsi="仿宋_GB2312" w:eastAsia="仿宋_GB2312" w:cs="仿宋_GB2312"/>
          <w:kern w:val="0"/>
          <w:sz w:val="32"/>
          <w:szCs w:val="32"/>
        </w:rPr>
        <w:t>%；住房保障支出</w:t>
      </w:r>
      <w:r>
        <w:rPr>
          <w:rFonts w:hint="eastAsia" w:ascii="仿宋_GB2312" w:hAnsi="仿宋_GB2312" w:eastAsia="仿宋_GB2312" w:cs="仿宋_GB2312"/>
          <w:kern w:val="0"/>
          <w:sz w:val="32"/>
          <w:szCs w:val="32"/>
          <w:lang w:val="en-US" w:eastAsia="zh-CN"/>
        </w:rPr>
        <w:t>31.93</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1.23%</w:t>
      </w:r>
      <w:r>
        <w:rPr>
          <w:rFonts w:hint="eastAsia" w:ascii="仿宋_GB2312" w:hAnsi="仿宋_GB2312" w:eastAsia="仿宋_GB2312" w:cs="仿宋_GB2312"/>
          <w:kern w:val="0"/>
          <w:sz w:val="32"/>
          <w:szCs w:val="32"/>
        </w:rPr>
        <w:t>。</w:t>
      </w:r>
    </w:p>
    <w:p w14:paraId="0F14C648">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left"/>
        <w:rPr>
          <w:rFonts w:hint="eastAsia" w:ascii="仿宋_GB2312" w:hAnsi="仿宋_GB2312" w:eastAsia="仿宋_GB2312" w:cs="仿宋_GB2312"/>
          <w:b/>
          <w:bCs w:val="0"/>
          <w:kern w:val="2"/>
          <w:sz w:val="36"/>
          <w:szCs w:val="36"/>
          <w:lang w:eastAsia="zh-CN"/>
        </w:rPr>
      </w:pPr>
      <w:r>
        <w:rPr>
          <w:rFonts w:hint="eastAsia" w:ascii="仿宋_GB2312" w:hAnsi="仿宋_GB2312" w:eastAsia="仿宋_GB2312" w:cs="仿宋_GB2312"/>
          <w:b/>
          <w:bCs w:val="0"/>
          <w:kern w:val="2"/>
          <w:sz w:val="36"/>
          <w:szCs w:val="36"/>
          <w:lang w:eastAsia="zh-CN"/>
        </w:rPr>
        <w:t>五、关于2025年一般公共预算支出表的说明</w:t>
      </w:r>
    </w:p>
    <w:p w14:paraId="294C8715">
      <w:pPr>
        <w:pStyle w:val="5"/>
        <w:adjustRightInd w:val="0"/>
        <w:snapToGrid w:val="0"/>
        <w:spacing w:line="560" w:lineRule="exact"/>
        <w:ind w:firstLine="630" w:firstLineChars="19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（一）一般公共预算支出规模变化情况。</w:t>
      </w:r>
    </w:p>
    <w:p w14:paraId="672F822B">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烈山区教育局本级2025</w:t>
      </w:r>
      <w:r>
        <w:rPr>
          <w:rFonts w:hint="eastAsia" w:ascii="仿宋_GB2312" w:hAnsi="仿宋_GB2312" w:eastAsia="仿宋_GB2312" w:cs="仿宋_GB2312"/>
          <w:kern w:val="0"/>
          <w:sz w:val="32"/>
          <w:szCs w:val="32"/>
        </w:rPr>
        <w:t>年一般公共预算支出</w:t>
      </w:r>
      <w:r>
        <w:rPr>
          <w:rFonts w:hint="eastAsia" w:ascii="仿宋_GB2312" w:hAnsi="仿宋_GB2312" w:eastAsia="仿宋_GB2312" w:cs="仿宋_GB2312"/>
          <w:kern w:val="0"/>
          <w:sz w:val="32"/>
          <w:szCs w:val="32"/>
          <w:lang w:val="en-US" w:eastAsia="zh-CN"/>
        </w:rPr>
        <w:t>2605.81</w:t>
      </w:r>
      <w:r>
        <w:rPr>
          <w:rFonts w:hint="eastAsia" w:ascii="仿宋_GB2312" w:hAnsi="仿宋_GB2312" w:eastAsia="仿宋_GB2312" w:cs="仿宋_GB2312"/>
          <w:kern w:val="0"/>
          <w:sz w:val="32"/>
          <w:szCs w:val="32"/>
        </w:rPr>
        <w:t>万元，比</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年预算减少</w:t>
      </w:r>
      <w:r>
        <w:rPr>
          <w:rFonts w:hint="eastAsia" w:ascii="仿宋_GB2312" w:hAnsi="仿宋_GB2312" w:eastAsia="仿宋_GB2312" w:cs="仿宋_GB2312"/>
          <w:kern w:val="0"/>
          <w:sz w:val="32"/>
          <w:szCs w:val="32"/>
          <w:lang w:val="en-US" w:eastAsia="zh-CN"/>
        </w:rPr>
        <w:t>221.24</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7.83</w:t>
      </w:r>
      <w:r>
        <w:rPr>
          <w:rFonts w:hint="eastAsia" w:ascii="仿宋_GB2312" w:hAnsi="仿宋_GB2312" w:eastAsia="仿宋_GB2312" w:cs="仿宋_GB2312"/>
          <w:kern w:val="0"/>
          <w:sz w:val="32"/>
          <w:szCs w:val="32"/>
        </w:rPr>
        <w:t>%，原因主要</w:t>
      </w:r>
      <w:r>
        <w:rPr>
          <w:rFonts w:hint="eastAsia" w:ascii="仿宋_GB2312" w:hAnsi="仿宋_GB2312" w:eastAsia="仿宋_GB2312" w:cs="仿宋_GB2312"/>
          <w:kern w:val="0"/>
          <w:sz w:val="32"/>
          <w:szCs w:val="32"/>
          <w:lang w:eastAsia="zh-CN"/>
        </w:rPr>
        <w:t>是厉行节约、压缩开支</w:t>
      </w:r>
      <w:r>
        <w:rPr>
          <w:rFonts w:hint="eastAsia" w:ascii="仿宋_GB2312" w:hAnsi="仿宋_GB2312" w:eastAsia="仿宋_GB2312" w:cs="仿宋_GB2312"/>
          <w:kern w:val="0"/>
          <w:sz w:val="32"/>
          <w:szCs w:val="32"/>
        </w:rPr>
        <w:t>。</w:t>
      </w:r>
    </w:p>
    <w:p w14:paraId="0BD2EE82">
      <w:pPr>
        <w:pStyle w:val="5"/>
        <w:adjustRightInd w:val="0"/>
        <w:snapToGrid w:val="0"/>
        <w:spacing w:line="560" w:lineRule="exact"/>
        <w:ind w:firstLine="630" w:firstLineChars="19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（二）一般公共预算支出结构情况。</w:t>
      </w:r>
    </w:p>
    <w:p w14:paraId="5A13995C">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教育支出</w:t>
      </w:r>
      <w:r>
        <w:rPr>
          <w:rFonts w:hint="eastAsia" w:ascii="仿宋_GB2312" w:hAnsi="仿宋_GB2312" w:eastAsia="仿宋_GB2312" w:cs="仿宋_GB2312"/>
          <w:kern w:val="0"/>
          <w:sz w:val="32"/>
          <w:szCs w:val="32"/>
          <w:lang w:val="en-US" w:eastAsia="zh-CN"/>
        </w:rPr>
        <w:t>2483.98</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95.32</w:t>
      </w:r>
      <w:r>
        <w:rPr>
          <w:rFonts w:hint="eastAsia" w:ascii="仿宋_GB2312" w:hAnsi="仿宋_GB2312" w:eastAsia="仿宋_GB2312" w:cs="仿宋_GB2312"/>
          <w:kern w:val="0"/>
          <w:sz w:val="32"/>
          <w:szCs w:val="32"/>
        </w:rPr>
        <w:t>%；社会保障和就业支出</w:t>
      </w:r>
      <w:r>
        <w:rPr>
          <w:rFonts w:hint="eastAsia" w:ascii="仿宋_GB2312" w:hAnsi="仿宋_GB2312" w:eastAsia="仿宋_GB2312" w:cs="仿宋_GB2312"/>
          <w:kern w:val="0"/>
          <w:sz w:val="32"/>
          <w:szCs w:val="32"/>
          <w:lang w:val="en-US" w:eastAsia="zh-CN"/>
        </w:rPr>
        <w:t>79.07</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3.03</w:t>
      </w:r>
      <w:r>
        <w:rPr>
          <w:rFonts w:hint="eastAsia" w:ascii="仿宋_GB2312" w:hAnsi="仿宋_GB2312" w:eastAsia="仿宋_GB2312" w:cs="仿宋_GB2312"/>
          <w:kern w:val="0"/>
          <w:sz w:val="32"/>
          <w:szCs w:val="32"/>
        </w:rPr>
        <w:t>%；卫生健康支出</w:t>
      </w:r>
      <w:r>
        <w:rPr>
          <w:rFonts w:hint="eastAsia" w:ascii="仿宋_GB2312" w:hAnsi="仿宋_GB2312" w:eastAsia="仿宋_GB2312" w:cs="仿宋_GB2312"/>
          <w:kern w:val="0"/>
          <w:sz w:val="32"/>
          <w:szCs w:val="32"/>
          <w:lang w:val="en-US" w:eastAsia="zh-CN"/>
        </w:rPr>
        <w:t>10.83</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0.42</w:t>
      </w:r>
      <w:r>
        <w:rPr>
          <w:rFonts w:hint="eastAsia" w:ascii="仿宋_GB2312" w:hAnsi="仿宋_GB2312" w:eastAsia="仿宋_GB2312" w:cs="仿宋_GB2312"/>
          <w:kern w:val="0"/>
          <w:sz w:val="32"/>
          <w:szCs w:val="32"/>
        </w:rPr>
        <w:t>%；住房保障支出</w:t>
      </w:r>
      <w:r>
        <w:rPr>
          <w:rFonts w:hint="eastAsia" w:ascii="仿宋_GB2312" w:hAnsi="仿宋_GB2312" w:eastAsia="仿宋_GB2312" w:cs="仿宋_GB2312"/>
          <w:kern w:val="0"/>
          <w:sz w:val="32"/>
          <w:szCs w:val="32"/>
          <w:lang w:val="en-US" w:eastAsia="zh-CN"/>
        </w:rPr>
        <w:t>31.93</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1.23%</w:t>
      </w:r>
      <w:r>
        <w:rPr>
          <w:rFonts w:hint="eastAsia" w:ascii="仿宋_GB2312" w:hAnsi="仿宋_GB2312" w:eastAsia="仿宋_GB2312" w:cs="仿宋_GB2312"/>
          <w:kern w:val="0"/>
          <w:sz w:val="32"/>
          <w:szCs w:val="32"/>
        </w:rPr>
        <w:t>。</w:t>
      </w:r>
    </w:p>
    <w:p w14:paraId="458E2EC2">
      <w:pPr>
        <w:pStyle w:val="5"/>
        <w:adjustRightInd w:val="0"/>
        <w:snapToGrid w:val="0"/>
        <w:spacing w:line="560" w:lineRule="exact"/>
        <w:ind w:firstLine="630" w:firstLineChars="19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（三）一般公共预算支出具体使用情况。</w:t>
      </w:r>
    </w:p>
    <w:p w14:paraId="148608F3">
      <w:pPr>
        <w:ind w:firstLine="643" w:firstLineChars="200"/>
        <w:rPr>
          <w:rFonts w:hint="default"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lang w:eastAsia="zh-CN"/>
        </w:rPr>
        <w:t>教育</w:t>
      </w:r>
      <w:r>
        <w:rPr>
          <w:rFonts w:hint="default" w:ascii="仿宋_GB2312" w:hAnsi="仿宋_GB2312" w:eastAsia="仿宋_GB2312" w:cs="仿宋_GB2312"/>
          <w:b/>
          <w:bCs/>
          <w:kern w:val="0"/>
          <w:sz w:val="32"/>
          <w:szCs w:val="32"/>
          <w:lang w:eastAsia="zh-CN"/>
        </w:rPr>
        <w:t>支出（类）</w:t>
      </w:r>
      <w:r>
        <w:rPr>
          <w:rFonts w:hint="eastAsia" w:ascii="仿宋_GB2312" w:hAnsi="仿宋_GB2312" w:eastAsia="仿宋_GB2312" w:cs="仿宋_GB2312"/>
          <w:b/>
          <w:bCs/>
          <w:kern w:val="0"/>
          <w:sz w:val="32"/>
          <w:szCs w:val="32"/>
          <w:lang w:eastAsia="zh-CN"/>
        </w:rPr>
        <w:t>教育管理事务</w:t>
      </w:r>
      <w:r>
        <w:rPr>
          <w:rFonts w:hint="default" w:ascii="仿宋_GB2312" w:hAnsi="仿宋_GB2312" w:eastAsia="仿宋_GB2312" w:cs="仿宋_GB2312"/>
          <w:b/>
          <w:bCs/>
          <w:kern w:val="0"/>
          <w:sz w:val="32"/>
          <w:szCs w:val="32"/>
          <w:lang w:eastAsia="zh-CN"/>
        </w:rPr>
        <w:t>（款）行政运行（项）</w:t>
      </w:r>
    </w:p>
    <w:p w14:paraId="5C8C6C8A">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2025</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155.70</w:t>
      </w:r>
      <w:r>
        <w:rPr>
          <w:rFonts w:hint="eastAsia" w:ascii="仿宋_GB2312" w:hAnsi="仿宋_GB2312" w:eastAsia="仿宋_GB2312" w:cs="仿宋_GB2312"/>
          <w:kern w:val="0"/>
          <w:sz w:val="32"/>
          <w:szCs w:val="32"/>
        </w:rPr>
        <w:t>万元，比</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年预算增加</w:t>
      </w:r>
      <w:r>
        <w:rPr>
          <w:rFonts w:hint="eastAsia" w:ascii="仿宋_GB2312" w:hAnsi="仿宋_GB2312" w:eastAsia="仿宋_GB2312" w:cs="仿宋_GB2312"/>
          <w:kern w:val="0"/>
          <w:sz w:val="32"/>
          <w:szCs w:val="32"/>
          <w:lang w:val="en-US" w:eastAsia="zh-CN"/>
        </w:rPr>
        <w:t>44.60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40.14</w:t>
      </w:r>
      <w:r>
        <w:rPr>
          <w:rFonts w:hint="eastAsia" w:ascii="仿宋_GB2312" w:hAnsi="仿宋_GB2312" w:eastAsia="仿宋_GB2312" w:cs="仿宋_GB2312"/>
          <w:kern w:val="0"/>
          <w:sz w:val="32"/>
          <w:szCs w:val="32"/>
        </w:rPr>
        <w:t>%，原因主要</w:t>
      </w:r>
      <w:r>
        <w:rPr>
          <w:rFonts w:hint="eastAsia" w:ascii="仿宋_GB2312" w:hAnsi="仿宋_GB2312" w:eastAsia="仿宋_GB2312" w:cs="仿宋_GB2312"/>
          <w:kern w:val="0"/>
          <w:sz w:val="32"/>
          <w:szCs w:val="32"/>
          <w:lang w:eastAsia="zh-CN"/>
        </w:rPr>
        <w:t>是调入人员和工资的调资</w:t>
      </w:r>
      <w:r>
        <w:rPr>
          <w:rFonts w:hint="eastAsia" w:ascii="仿宋_GB2312" w:hAnsi="仿宋_GB2312" w:eastAsia="仿宋_GB2312" w:cs="仿宋_GB2312"/>
          <w:kern w:val="0"/>
          <w:sz w:val="32"/>
          <w:szCs w:val="32"/>
        </w:rPr>
        <w:t>。</w:t>
      </w:r>
    </w:p>
    <w:p w14:paraId="66667FCA">
      <w:pPr>
        <w:numPr>
          <w:ilvl w:val="0"/>
          <w:numId w:val="2"/>
        </w:numPr>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教育支出</w:t>
      </w:r>
      <w:r>
        <w:rPr>
          <w:rFonts w:hint="eastAsia" w:ascii="仿宋_GB2312" w:hAnsi="仿宋_GB2312" w:eastAsia="仿宋_GB2312" w:cs="仿宋_GB2312"/>
          <w:b/>
          <w:bCs/>
          <w:kern w:val="0"/>
          <w:sz w:val="32"/>
          <w:szCs w:val="32"/>
        </w:rPr>
        <w:t>（类）</w:t>
      </w:r>
      <w:r>
        <w:rPr>
          <w:rFonts w:hint="eastAsia" w:ascii="仿宋_GB2312" w:hAnsi="仿宋_GB2312" w:eastAsia="仿宋_GB2312" w:cs="仿宋_GB2312"/>
          <w:b/>
          <w:bCs/>
          <w:kern w:val="0"/>
          <w:sz w:val="32"/>
          <w:szCs w:val="32"/>
          <w:lang w:eastAsia="zh-CN"/>
        </w:rPr>
        <w:t>普通教育</w:t>
      </w:r>
      <w:r>
        <w:rPr>
          <w:rFonts w:hint="eastAsia" w:ascii="仿宋_GB2312" w:hAnsi="仿宋_GB2312" w:eastAsia="仿宋_GB2312" w:cs="仿宋_GB2312"/>
          <w:b/>
          <w:bCs/>
          <w:kern w:val="0"/>
          <w:sz w:val="32"/>
          <w:szCs w:val="32"/>
        </w:rPr>
        <w:t>（款）</w:t>
      </w:r>
      <w:r>
        <w:rPr>
          <w:rFonts w:hint="eastAsia" w:ascii="仿宋_GB2312" w:hAnsi="仿宋_GB2312" w:eastAsia="仿宋_GB2312" w:cs="仿宋_GB2312"/>
          <w:b/>
          <w:bCs/>
          <w:kern w:val="0"/>
          <w:sz w:val="32"/>
          <w:szCs w:val="32"/>
          <w:lang w:eastAsia="zh-CN"/>
        </w:rPr>
        <w:t>学前教育</w:t>
      </w:r>
      <w:r>
        <w:rPr>
          <w:rFonts w:hint="eastAsia" w:ascii="仿宋_GB2312" w:hAnsi="仿宋_GB2312" w:eastAsia="仿宋_GB2312" w:cs="仿宋_GB2312"/>
          <w:b/>
          <w:bCs/>
          <w:kern w:val="0"/>
          <w:sz w:val="32"/>
          <w:szCs w:val="32"/>
        </w:rPr>
        <w:t>（项）</w:t>
      </w:r>
    </w:p>
    <w:p w14:paraId="34512B21">
      <w:pPr>
        <w:numPr>
          <w:ilvl w:val="0"/>
          <w:numId w:val="0"/>
        </w:numPr>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2025</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385.56</w:t>
      </w:r>
      <w:r>
        <w:rPr>
          <w:rFonts w:hint="eastAsia" w:ascii="仿宋_GB2312" w:hAnsi="仿宋_GB2312" w:eastAsia="仿宋_GB2312" w:cs="仿宋_GB2312"/>
          <w:kern w:val="0"/>
          <w:sz w:val="32"/>
          <w:szCs w:val="32"/>
        </w:rPr>
        <w:t>万元，比</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59.52</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增长</w:t>
      </w:r>
      <w:r>
        <w:rPr>
          <w:rFonts w:hint="eastAsia" w:ascii="仿宋_GB2312" w:hAnsi="仿宋_GB2312" w:eastAsia="仿宋_GB2312" w:cs="仿宋_GB2312"/>
          <w:kern w:val="0"/>
          <w:sz w:val="32"/>
          <w:szCs w:val="32"/>
          <w:lang w:val="en-US" w:eastAsia="zh-CN"/>
        </w:rPr>
        <w:t>18.26</w:t>
      </w:r>
      <w:r>
        <w:rPr>
          <w:rFonts w:hint="eastAsia" w:ascii="仿宋_GB2312" w:hAnsi="仿宋_GB2312" w:eastAsia="仿宋_GB2312" w:cs="仿宋_GB2312"/>
          <w:kern w:val="0"/>
          <w:sz w:val="32"/>
          <w:szCs w:val="32"/>
        </w:rPr>
        <w:t>%，原因主要</w:t>
      </w:r>
      <w:r>
        <w:rPr>
          <w:rFonts w:hint="eastAsia" w:ascii="仿宋_GB2312" w:hAnsi="仿宋_GB2312" w:eastAsia="仿宋_GB2312" w:cs="仿宋_GB2312"/>
          <w:kern w:val="0"/>
          <w:sz w:val="32"/>
          <w:szCs w:val="32"/>
          <w:lang w:eastAsia="zh-CN"/>
        </w:rPr>
        <w:t>是双普创建加大对学前教育的投入</w:t>
      </w:r>
      <w:r>
        <w:rPr>
          <w:rFonts w:hint="eastAsia" w:ascii="仿宋_GB2312" w:hAnsi="仿宋_GB2312" w:eastAsia="仿宋_GB2312" w:cs="仿宋_GB2312"/>
          <w:kern w:val="0"/>
          <w:sz w:val="32"/>
          <w:szCs w:val="32"/>
        </w:rPr>
        <w:t>。</w:t>
      </w:r>
    </w:p>
    <w:p w14:paraId="49C6F0C5">
      <w:pPr>
        <w:numPr>
          <w:ilvl w:val="0"/>
          <w:numId w:val="2"/>
        </w:numPr>
        <w:ind w:left="0" w:leftChars="0"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教育支出</w:t>
      </w:r>
      <w:r>
        <w:rPr>
          <w:rFonts w:hint="eastAsia" w:ascii="仿宋_GB2312" w:hAnsi="仿宋_GB2312" w:eastAsia="仿宋_GB2312" w:cs="仿宋_GB2312"/>
          <w:b/>
          <w:bCs/>
          <w:kern w:val="0"/>
          <w:sz w:val="32"/>
          <w:szCs w:val="32"/>
        </w:rPr>
        <w:t>（类）</w:t>
      </w:r>
      <w:r>
        <w:rPr>
          <w:rFonts w:hint="eastAsia" w:ascii="仿宋_GB2312" w:hAnsi="仿宋_GB2312" w:eastAsia="仿宋_GB2312" w:cs="仿宋_GB2312"/>
          <w:b/>
          <w:bCs/>
          <w:kern w:val="0"/>
          <w:sz w:val="32"/>
          <w:szCs w:val="32"/>
          <w:lang w:eastAsia="zh-CN"/>
        </w:rPr>
        <w:t>普通教育</w:t>
      </w:r>
      <w:r>
        <w:rPr>
          <w:rFonts w:hint="eastAsia" w:ascii="仿宋_GB2312" w:hAnsi="仿宋_GB2312" w:eastAsia="仿宋_GB2312" w:cs="仿宋_GB2312"/>
          <w:b/>
          <w:bCs/>
          <w:kern w:val="0"/>
          <w:sz w:val="32"/>
          <w:szCs w:val="32"/>
        </w:rPr>
        <w:t>（款）</w:t>
      </w:r>
      <w:r>
        <w:rPr>
          <w:rFonts w:hint="eastAsia" w:ascii="仿宋_GB2312" w:hAnsi="仿宋_GB2312" w:eastAsia="仿宋_GB2312" w:cs="仿宋_GB2312"/>
          <w:b/>
          <w:bCs/>
          <w:kern w:val="0"/>
          <w:sz w:val="32"/>
          <w:szCs w:val="32"/>
          <w:lang w:eastAsia="zh-CN"/>
        </w:rPr>
        <w:t>小学教育</w:t>
      </w:r>
      <w:r>
        <w:rPr>
          <w:rFonts w:hint="eastAsia" w:ascii="仿宋_GB2312" w:hAnsi="仿宋_GB2312" w:eastAsia="仿宋_GB2312" w:cs="仿宋_GB2312"/>
          <w:b/>
          <w:bCs/>
          <w:kern w:val="0"/>
          <w:sz w:val="32"/>
          <w:szCs w:val="32"/>
        </w:rPr>
        <w:t>（项）</w:t>
      </w:r>
    </w:p>
    <w:p w14:paraId="4AAE5C06">
      <w:pPr>
        <w:numPr>
          <w:ilvl w:val="0"/>
          <w:numId w:val="0"/>
        </w:numPr>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2025年预算</w:t>
      </w:r>
      <w:r>
        <w:rPr>
          <w:rFonts w:hint="eastAsia" w:ascii="仿宋_GB2312" w:hAnsi="仿宋_GB2312" w:eastAsia="仿宋_GB2312" w:cs="仿宋_GB2312"/>
          <w:kern w:val="0"/>
          <w:sz w:val="32"/>
          <w:szCs w:val="32"/>
          <w:lang w:val="en-US" w:eastAsia="zh-CN"/>
        </w:rPr>
        <w:t>26.40</w:t>
      </w:r>
      <w:r>
        <w:rPr>
          <w:rFonts w:hint="eastAsia" w:ascii="仿宋_GB2312" w:hAnsi="仿宋_GB2312" w:eastAsia="仿宋_GB2312" w:cs="仿宋_GB2312"/>
          <w:kern w:val="0"/>
          <w:sz w:val="32"/>
          <w:szCs w:val="32"/>
          <w:lang w:eastAsia="zh-CN"/>
        </w:rPr>
        <w:t>万元，比2024年预算减少</w:t>
      </w:r>
      <w:r>
        <w:rPr>
          <w:rFonts w:hint="eastAsia" w:ascii="仿宋_GB2312" w:hAnsi="仿宋_GB2312" w:eastAsia="仿宋_GB2312" w:cs="仿宋_GB2312"/>
          <w:kern w:val="0"/>
          <w:sz w:val="32"/>
          <w:szCs w:val="32"/>
          <w:lang w:val="en-US" w:eastAsia="zh-CN"/>
        </w:rPr>
        <w:t>17.97</w:t>
      </w:r>
      <w:r>
        <w:rPr>
          <w:rFonts w:hint="eastAsia" w:ascii="仿宋_GB2312" w:hAnsi="仿宋_GB2312" w:eastAsia="仿宋_GB2312" w:cs="仿宋_GB2312"/>
          <w:kern w:val="0"/>
          <w:sz w:val="32"/>
          <w:szCs w:val="32"/>
          <w:lang w:eastAsia="zh-CN"/>
        </w:rPr>
        <w:t>万元，下降</w:t>
      </w:r>
      <w:r>
        <w:rPr>
          <w:rFonts w:hint="eastAsia" w:ascii="仿宋_GB2312" w:hAnsi="仿宋_GB2312" w:eastAsia="仿宋_GB2312" w:cs="仿宋_GB2312"/>
          <w:kern w:val="0"/>
          <w:sz w:val="32"/>
          <w:szCs w:val="32"/>
          <w:lang w:val="en-US" w:eastAsia="zh-CN"/>
        </w:rPr>
        <w:t>40.50</w:t>
      </w:r>
      <w:r>
        <w:rPr>
          <w:rFonts w:hint="eastAsia" w:ascii="仿宋_GB2312" w:hAnsi="仿宋_GB2312" w:eastAsia="仿宋_GB2312" w:cs="仿宋_GB2312"/>
          <w:kern w:val="0"/>
          <w:sz w:val="32"/>
          <w:szCs w:val="32"/>
          <w:lang w:eastAsia="zh-CN"/>
        </w:rPr>
        <w:t>%，原因主要是小学生人数的减少。</w:t>
      </w:r>
    </w:p>
    <w:p w14:paraId="2812B7F1">
      <w:pPr>
        <w:numPr>
          <w:ilvl w:val="0"/>
          <w:numId w:val="2"/>
        </w:numPr>
        <w:ind w:left="0" w:leftChars="0"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教育支出</w:t>
      </w:r>
      <w:r>
        <w:rPr>
          <w:rFonts w:hint="eastAsia" w:ascii="仿宋_GB2312" w:hAnsi="仿宋_GB2312" w:eastAsia="仿宋_GB2312" w:cs="仿宋_GB2312"/>
          <w:b/>
          <w:bCs/>
          <w:kern w:val="0"/>
          <w:sz w:val="32"/>
          <w:szCs w:val="32"/>
        </w:rPr>
        <w:t>（类）</w:t>
      </w:r>
      <w:r>
        <w:rPr>
          <w:rFonts w:hint="eastAsia" w:ascii="仿宋_GB2312" w:hAnsi="仿宋_GB2312" w:eastAsia="仿宋_GB2312" w:cs="仿宋_GB2312"/>
          <w:b/>
          <w:bCs/>
          <w:kern w:val="0"/>
          <w:sz w:val="32"/>
          <w:szCs w:val="32"/>
          <w:lang w:eastAsia="zh-CN"/>
        </w:rPr>
        <w:t>普通教育</w:t>
      </w:r>
      <w:r>
        <w:rPr>
          <w:rFonts w:hint="eastAsia" w:ascii="仿宋_GB2312" w:hAnsi="仿宋_GB2312" w:eastAsia="仿宋_GB2312" w:cs="仿宋_GB2312"/>
          <w:b/>
          <w:bCs/>
          <w:kern w:val="0"/>
          <w:sz w:val="32"/>
          <w:szCs w:val="32"/>
        </w:rPr>
        <w:t>（款）</w:t>
      </w:r>
      <w:r>
        <w:rPr>
          <w:rFonts w:hint="eastAsia" w:ascii="仿宋_GB2312" w:hAnsi="仿宋_GB2312" w:eastAsia="仿宋_GB2312" w:cs="仿宋_GB2312"/>
          <w:b/>
          <w:bCs/>
          <w:kern w:val="0"/>
          <w:sz w:val="32"/>
          <w:szCs w:val="32"/>
          <w:lang w:eastAsia="zh-CN"/>
        </w:rPr>
        <w:t>初中教育</w:t>
      </w:r>
      <w:r>
        <w:rPr>
          <w:rFonts w:hint="eastAsia" w:ascii="仿宋_GB2312" w:hAnsi="仿宋_GB2312" w:eastAsia="仿宋_GB2312" w:cs="仿宋_GB2312"/>
          <w:b/>
          <w:bCs/>
          <w:kern w:val="0"/>
          <w:sz w:val="32"/>
          <w:szCs w:val="32"/>
        </w:rPr>
        <w:t>（项）</w:t>
      </w:r>
    </w:p>
    <w:p w14:paraId="425144D0">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2025年预算</w:t>
      </w:r>
      <w:r>
        <w:rPr>
          <w:rFonts w:hint="eastAsia" w:ascii="仿宋_GB2312" w:hAnsi="仿宋_GB2312" w:eastAsia="仿宋_GB2312" w:cs="仿宋_GB2312"/>
          <w:kern w:val="0"/>
          <w:sz w:val="32"/>
          <w:szCs w:val="32"/>
          <w:lang w:val="en-US" w:eastAsia="zh-CN"/>
        </w:rPr>
        <w:t>32.13</w:t>
      </w:r>
      <w:r>
        <w:rPr>
          <w:rFonts w:hint="eastAsia" w:ascii="仿宋_GB2312" w:hAnsi="仿宋_GB2312" w:eastAsia="仿宋_GB2312" w:cs="仿宋_GB2312"/>
          <w:kern w:val="0"/>
          <w:sz w:val="32"/>
          <w:szCs w:val="32"/>
          <w:lang w:eastAsia="zh-CN"/>
        </w:rPr>
        <w:t>万元，比2024年预算减少</w:t>
      </w:r>
      <w:r>
        <w:rPr>
          <w:rFonts w:hint="eastAsia" w:ascii="仿宋_GB2312" w:hAnsi="仿宋_GB2312" w:eastAsia="仿宋_GB2312" w:cs="仿宋_GB2312"/>
          <w:kern w:val="0"/>
          <w:sz w:val="32"/>
          <w:szCs w:val="32"/>
          <w:lang w:val="en-US" w:eastAsia="zh-CN"/>
        </w:rPr>
        <w:t>21.82</w:t>
      </w:r>
      <w:r>
        <w:rPr>
          <w:rFonts w:hint="eastAsia" w:ascii="仿宋_GB2312" w:hAnsi="仿宋_GB2312" w:eastAsia="仿宋_GB2312" w:cs="仿宋_GB2312"/>
          <w:kern w:val="0"/>
          <w:sz w:val="32"/>
          <w:szCs w:val="32"/>
          <w:lang w:eastAsia="zh-CN"/>
        </w:rPr>
        <w:t>万元，下降</w:t>
      </w:r>
      <w:r>
        <w:rPr>
          <w:rFonts w:hint="eastAsia" w:ascii="仿宋_GB2312" w:hAnsi="仿宋_GB2312" w:eastAsia="仿宋_GB2312" w:cs="仿宋_GB2312"/>
          <w:kern w:val="0"/>
          <w:sz w:val="32"/>
          <w:szCs w:val="32"/>
          <w:lang w:val="en-US" w:eastAsia="zh-CN"/>
        </w:rPr>
        <w:t>40.44</w:t>
      </w:r>
      <w:r>
        <w:rPr>
          <w:rFonts w:hint="eastAsia" w:ascii="仿宋_GB2312" w:hAnsi="仿宋_GB2312" w:eastAsia="仿宋_GB2312" w:cs="仿宋_GB2312"/>
          <w:kern w:val="0"/>
          <w:sz w:val="32"/>
          <w:szCs w:val="32"/>
          <w:lang w:eastAsia="zh-CN"/>
        </w:rPr>
        <w:t>%，原因主要是初中学生人数的减少。</w:t>
      </w:r>
    </w:p>
    <w:p w14:paraId="53D600C7">
      <w:pPr>
        <w:numPr>
          <w:ilvl w:val="0"/>
          <w:numId w:val="2"/>
        </w:numPr>
        <w:ind w:left="0" w:leftChars="0"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教育支出</w:t>
      </w:r>
      <w:r>
        <w:rPr>
          <w:rFonts w:hint="eastAsia" w:ascii="仿宋_GB2312" w:hAnsi="仿宋_GB2312" w:eastAsia="仿宋_GB2312" w:cs="仿宋_GB2312"/>
          <w:b/>
          <w:bCs/>
          <w:kern w:val="0"/>
          <w:sz w:val="32"/>
          <w:szCs w:val="32"/>
        </w:rPr>
        <w:t>（类）</w:t>
      </w:r>
      <w:r>
        <w:rPr>
          <w:rFonts w:hint="eastAsia" w:ascii="仿宋_GB2312" w:hAnsi="仿宋_GB2312" w:eastAsia="仿宋_GB2312" w:cs="仿宋_GB2312"/>
          <w:b/>
          <w:bCs/>
          <w:kern w:val="0"/>
          <w:sz w:val="32"/>
          <w:szCs w:val="32"/>
          <w:lang w:eastAsia="zh-CN"/>
        </w:rPr>
        <w:t>普通教育</w:t>
      </w:r>
      <w:r>
        <w:rPr>
          <w:rFonts w:hint="eastAsia" w:ascii="仿宋_GB2312" w:hAnsi="仿宋_GB2312" w:eastAsia="仿宋_GB2312" w:cs="仿宋_GB2312"/>
          <w:b/>
          <w:bCs/>
          <w:kern w:val="0"/>
          <w:sz w:val="32"/>
          <w:szCs w:val="32"/>
        </w:rPr>
        <w:t>（款）</w:t>
      </w:r>
      <w:r>
        <w:rPr>
          <w:rFonts w:hint="eastAsia" w:ascii="仿宋_GB2312" w:hAnsi="仿宋_GB2312" w:eastAsia="仿宋_GB2312" w:cs="仿宋_GB2312"/>
          <w:b/>
          <w:bCs/>
          <w:kern w:val="0"/>
          <w:sz w:val="32"/>
          <w:szCs w:val="32"/>
          <w:lang w:eastAsia="zh-CN"/>
        </w:rPr>
        <w:t>高中教育</w:t>
      </w:r>
      <w:r>
        <w:rPr>
          <w:rFonts w:hint="eastAsia" w:ascii="仿宋_GB2312" w:hAnsi="仿宋_GB2312" w:eastAsia="仿宋_GB2312" w:cs="仿宋_GB2312"/>
          <w:b/>
          <w:bCs/>
          <w:kern w:val="0"/>
          <w:sz w:val="32"/>
          <w:szCs w:val="32"/>
        </w:rPr>
        <w:t>（项）</w:t>
      </w:r>
    </w:p>
    <w:p w14:paraId="348E1C35">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2025年预算</w:t>
      </w:r>
      <w:r>
        <w:rPr>
          <w:rFonts w:hint="eastAsia" w:ascii="仿宋_GB2312" w:hAnsi="仿宋_GB2312" w:eastAsia="仿宋_GB2312" w:cs="仿宋_GB2312"/>
          <w:kern w:val="0"/>
          <w:sz w:val="32"/>
          <w:szCs w:val="32"/>
          <w:lang w:val="en-US" w:eastAsia="zh-CN"/>
        </w:rPr>
        <w:t>0.14</w:t>
      </w:r>
      <w:r>
        <w:rPr>
          <w:rFonts w:hint="eastAsia" w:ascii="仿宋_GB2312" w:hAnsi="仿宋_GB2312" w:eastAsia="仿宋_GB2312" w:cs="仿宋_GB2312"/>
          <w:kern w:val="0"/>
          <w:sz w:val="32"/>
          <w:szCs w:val="32"/>
          <w:lang w:eastAsia="zh-CN"/>
        </w:rPr>
        <w:t>万元，比2024年预算增加</w:t>
      </w:r>
      <w:r>
        <w:rPr>
          <w:rFonts w:hint="eastAsia" w:ascii="仿宋_GB2312" w:hAnsi="仿宋_GB2312" w:eastAsia="仿宋_GB2312" w:cs="仿宋_GB2312"/>
          <w:kern w:val="0"/>
          <w:sz w:val="32"/>
          <w:szCs w:val="32"/>
          <w:lang w:val="en-US" w:eastAsia="zh-CN"/>
        </w:rPr>
        <w:t>0.14</w:t>
      </w:r>
      <w:r>
        <w:rPr>
          <w:rFonts w:hint="eastAsia" w:ascii="仿宋_GB2312" w:hAnsi="仿宋_GB2312" w:eastAsia="仿宋_GB2312" w:cs="仿宋_GB2312"/>
          <w:kern w:val="0"/>
          <w:sz w:val="32"/>
          <w:szCs w:val="32"/>
          <w:lang w:eastAsia="zh-CN"/>
        </w:rPr>
        <w:t>万元，增长</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lang w:eastAsia="zh-CN"/>
        </w:rPr>
        <w:t>%，原因主要是烈山区新建了一所民办高中。</w:t>
      </w:r>
    </w:p>
    <w:p w14:paraId="6E4CF2FD">
      <w:pPr>
        <w:numPr>
          <w:ilvl w:val="0"/>
          <w:numId w:val="2"/>
        </w:numPr>
        <w:ind w:left="0" w:leftChars="0"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教育支出</w:t>
      </w:r>
      <w:r>
        <w:rPr>
          <w:rFonts w:hint="eastAsia" w:ascii="仿宋_GB2312" w:hAnsi="仿宋_GB2312" w:eastAsia="仿宋_GB2312" w:cs="仿宋_GB2312"/>
          <w:b/>
          <w:bCs/>
          <w:kern w:val="0"/>
          <w:sz w:val="32"/>
          <w:szCs w:val="32"/>
        </w:rPr>
        <w:t>（类）</w:t>
      </w:r>
      <w:r>
        <w:rPr>
          <w:rFonts w:hint="eastAsia" w:ascii="仿宋_GB2312" w:hAnsi="仿宋_GB2312" w:eastAsia="仿宋_GB2312" w:cs="仿宋_GB2312"/>
          <w:b/>
          <w:bCs/>
          <w:kern w:val="0"/>
          <w:sz w:val="32"/>
          <w:szCs w:val="32"/>
          <w:lang w:eastAsia="zh-CN"/>
        </w:rPr>
        <w:t>普通教育</w:t>
      </w:r>
      <w:r>
        <w:rPr>
          <w:rFonts w:hint="eastAsia" w:ascii="仿宋_GB2312" w:hAnsi="仿宋_GB2312" w:eastAsia="仿宋_GB2312" w:cs="仿宋_GB2312"/>
          <w:b/>
          <w:bCs/>
          <w:kern w:val="0"/>
          <w:sz w:val="32"/>
          <w:szCs w:val="32"/>
        </w:rPr>
        <w:t>（款）</w:t>
      </w:r>
      <w:r>
        <w:rPr>
          <w:rFonts w:hint="eastAsia" w:ascii="仿宋_GB2312" w:hAnsi="仿宋_GB2312" w:eastAsia="仿宋_GB2312" w:cs="仿宋_GB2312"/>
          <w:b/>
          <w:bCs/>
          <w:kern w:val="0"/>
          <w:sz w:val="32"/>
          <w:szCs w:val="32"/>
          <w:lang w:eastAsia="zh-CN"/>
        </w:rPr>
        <w:t>其他普通教育支出</w:t>
      </w:r>
      <w:r>
        <w:rPr>
          <w:rFonts w:hint="eastAsia" w:ascii="仿宋_GB2312" w:hAnsi="仿宋_GB2312" w:eastAsia="仿宋_GB2312" w:cs="仿宋_GB2312"/>
          <w:b/>
          <w:bCs/>
          <w:kern w:val="0"/>
          <w:sz w:val="32"/>
          <w:szCs w:val="32"/>
        </w:rPr>
        <w:t>（项）</w:t>
      </w:r>
    </w:p>
    <w:p w14:paraId="275CEBA9">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2025年预算</w:t>
      </w:r>
      <w:r>
        <w:rPr>
          <w:rFonts w:hint="eastAsia" w:ascii="仿宋_GB2312" w:hAnsi="仿宋_GB2312" w:eastAsia="仿宋_GB2312" w:cs="仿宋_GB2312"/>
          <w:kern w:val="0"/>
          <w:sz w:val="32"/>
          <w:szCs w:val="32"/>
          <w:lang w:val="en-US" w:eastAsia="zh-CN"/>
        </w:rPr>
        <w:t>1382.62</w:t>
      </w:r>
      <w:r>
        <w:rPr>
          <w:rFonts w:hint="eastAsia" w:ascii="仿宋_GB2312" w:hAnsi="仿宋_GB2312" w:eastAsia="仿宋_GB2312" w:cs="仿宋_GB2312"/>
          <w:kern w:val="0"/>
          <w:sz w:val="32"/>
          <w:szCs w:val="32"/>
          <w:lang w:eastAsia="zh-CN"/>
        </w:rPr>
        <w:t>万元，比2024年预算增加</w:t>
      </w:r>
      <w:r>
        <w:rPr>
          <w:rFonts w:hint="eastAsia" w:ascii="仿宋_GB2312" w:hAnsi="仿宋_GB2312" w:eastAsia="仿宋_GB2312" w:cs="仿宋_GB2312"/>
          <w:kern w:val="0"/>
          <w:sz w:val="32"/>
          <w:szCs w:val="32"/>
          <w:lang w:val="en-US" w:eastAsia="zh-CN"/>
        </w:rPr>
        <w:t>623.86</w:t>
      </w:r>
      <w:r>
        <w:rPr>
          <w:rFonts w:hint="eastAsia" w:ascii="仿宋_GB2312" w:hAnsi="仿宋_GB2312" w:eastAsia="仿宋_GB2312" w:cs="仿宋_GB2312"/>
          <w:kern w:val="0"/>
          <w:sz w:val="32"/>
          <w:szCs w:val="32"/>
          <w:lang w:eastAsia="zh-CN"/>
        </w:rPr>
        <w:t>万元，增长</w:t>
      </w:r>
      <w:r>
        <w:rPr>
          <w:rFonts w:hint="eastAsia" w:ascii="仿宋_GB2312" w:hAnsi="仿宋_GB2312" w:eastAsia="仿宋_GB2312" w:cs="仿宋_GB2312"/>
          <w:kern w:val="0"/>
          <w:sz w:val="32"/>
          <w:szCs w:val="32"/>
          <w:lang w:val="en-US" w:eastAsia="zh-CN"/>
        </w:rPr>
        <w:t>82.22</w:t>
      </w:r>
      <w:r>
        <w:rPr>
          <w:rFonts w:hint="eastAsia" w:ascii="仿宋_GB2312" w:hAnsi="仿宋_GB2312" w:eastAsia="仿宋_GB2312" w:cs="仿宋_GB2312"/>
          <w:kern w:val="0"/>
          <w:sz w:val="32"/>
          <w:szCs w:val="32"/>
          <w:lang w:eastAsia="zh-CN"/>
        </w:rPr>
        <w:t>%，原因主要是新增了其他普通教育支出的项目支出。</w:t>
      </w:r>
    </w:p>
    <w:p w14:paraId="3CBCC280">
      <w:pPr>
        <w:numPr>
          <w:ilvl w:val="0"/>
          <w:numId w:val="2"/>
        </w:numPr>
        <w:ind w:left="0" w:leftChars="0"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教育支出</w:t>
      </w:r>
      <w:r>
        <w:rPr>
          <w:rFonts w:hint="eastAsia" w:ascii="仿宋_GB2312" w:hAnsi="仿宋_GB2312" w:eastAsia="仿宋_GB2312" w:cs="仿宋_GB2312"/>
          <w:b/>
          <w:bCs/>
          <w:kern w:val="0"/>
          <w:sz w:val="32"/>
          <w:szCs w:val="32"/>
        </w:rPr>
        <w:t>（类）</w:t>
      </w:r>
      <w:r>
        <w:rPr>
          <w:rFonts w:hint="eastAsia" w:ascii="仿宋_GB2312" w:hAnsi="仿宋_GB2312" w:eastAsia="仿宋_GB2312" w:cs="仿宋_GB2312"/>
          <w:b/>
          <w:bCs/>
          <w:kern w:val="0"/>
          <w:sz w:val="32"/>
          <w:szCs w:val="32"/>
          <w:lang w:eastAsia="zh-CN"/>
        </w:rPr>
        <w:t>其他教育支出</w:t>
      </w:r>
      <w:r>
        <w:rPr>
          <w:rFonts w:hint="eastAsia" w:ascii="仿宋_GB2312" w:hAnsi="仿宋_GB2312" w:eastAsia="仿宋_GB2312" w:cs="仿宋_GB2312"/>
          <w:b/>
          <w:bCs/>
          <w:kern w:val="0"/>
          <w:sz w:val="32"/>
          <w:szCs w:val="32"/>
        </w:rPr>
        <w:t>（款）</w:t>
      </w:r>
      <w:r>
        <w:rPr>
          <w:rFonts w:hint="eastAsia" w:ascii="仿宋_GB2312" w:hAnsi="仿宋_GB2312" w:eastAsia="仿宋_GB2312" w:cs="仿宋_GB2312"/>
          <w:b/>
          <w:bCs/>
          <w:kern w:val="0"/>
          <w:sz w:val="32"/>
          <w:szCs w:val="32"/>
          <w:lang w:eastAsia="zh-CN"/>
        </w:rPr>
        <w:t>其他教育支出</w:t>
      </w:r>
      <w:r>
        <w:rPr>
          <w:rFonts w:hint="eastAsia" w:ascii="仿宋_GB2312" w:hAnsi="仿宋_GB2312" w:eastAsia="仿宋_GB2312" w:cs="仿宋_GB2312"/>
          <w:b/>
          <w:bCs/>
          <w:kern w:val="0"/>
          <w:sz w:val="32"/>
          <w:szCs w:val="32"/>
        </w:rPr>
        <w:t>（项）</w:t>
      </w:r>
    </w:p>
    <w:p w14:paraId="19768851">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2025年预算</w:t>
      </w:r>
      <w:r>
        <w:rPr>
          <w:rFonts w:hint="eastAsia" w:ascii="仿宋_GB2312" w:hAnsi="仿宋_GB2312" w:eastAsia="仿宋_GB2312" w:cs="仿宋_GB2312"/>
          <w:kern w:val="0"/>
          <w:sz w:val="32"/>
          <w:szCs w:val="32"/>
          <w:lang w:val="en-US" w:eastAsia="zh-CN"/>
        </w:rPr>
        <w:t>501.44</w:t>
      </w:r>
      <w:r>
        <w:rPr>
          <w:rFonts w:hint="eastAsia" w:ascii="仿宋_GB2312" w:hAnsi="仿宋_GB2312" w:eastAsia="仿宋_GB2312" w:cs="仿宋_GB2312"/>
          <w:kern w:val="0"/>
          <w:sz w:val="32"/>
          <w:szCs w:val="32"/>
          <w:lang w:eastAsia="zh-CN"/>
        </w:rPr>
        <w:t>万元，比2024年预算减少</w:t>
      </w:r>
      <w:r>
        <w:rPr>
          <w:rFonts w:hint="eastAsia" w:ascii="仿宋_GB2312" w:hAnsi="仿宋_GB2312" w:eastAsia="仿宋_GB2312" w:cs="仿宋_GB2312"/>
          <w:kern w:val="0"/>
          <w:sz w:val="32"/>
          <w:szCs w:val="32"/>
          <w:lang w:val="en-US" w:eastAsia="zh-CN"/>
        </w:rPr>
        <w:t>924.56</w:t>
      </w:r>
      <w:r>
        <w:rPr>
          <w:rFonts w:hint="eastAsia" w:ascii="仿宋_GB2312" w:hAnsi="仿宋_GB2312" w:eastAsia="仿宋_GB2312" w:cs="仿宋_GB2312"/>
          <w:kern w:val="0"/>
          <w:sz w:val="32"/>
          <w:szCs w:val="32"/>
          <w:lang w:eastAsia="zh-CN"/>
        </w:rPr>
        <w:t>万元，下降</w:t>
      </w:r>
      <w:r>
        <w:rPr>
          <w:rFonts w:hint="eastAsia" w:ascii="仿宋_GB2312" w:hAnsi="仿宋_GB2312" w:eastAsia="仿宋_GB2312" w:cs="仿宋_GB2312"/>
          <w:kern w:val="0"/>
          <w:sz w:val="32"/>
          <w:szCs w:val="32"/>
          <w:lang w:val="en-US" w:eastAsia="zh-CN"/>
        </w:rPr>
        <w:t>64.84</w:t>
      </w:r>
      <w:r>
        <w:rPr>
          <w:rFonts w:hint="eastAsia" w:ascii="仿宋_GB2312" w:hAnsi="仿宋_GB2312" w:eastAsia="仿宋_GB2312" w:cs="仿宋_GB2312"/>
          <w:kern w:val="0"/>
          <w:sz w:val="32"/>
          <w:szCs w:val="32"/>
          <w:lang w:eastAsia="zh-CN"/>
        </w:rPr>
        <w:t>%，原因主要是减少对其他普通教育支出的项目支出。</w:t>
      </w:r>
    </w:p>
    <w:p w14:paraId="412151A2">
      <w:pPr>
        <w:numPr>
          <w:ilvl w:val="0"/>
          <w:numId w:val="2"/>
        </w:numPr>
        <w:ind w:left="0" w:leftChars="0" w:firstLine="643"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社会保障和就业支出（类）行政事业单位养老支出（款）行政单位离退休（项）</w:t>
      </w:r>
    </w:p>
    <w:p w14:paraId="48749788">
      <w:pPr>
        <w:numPr>
          <w:ilvl w:val="0"/>
          <w:numId w:val="0"/>
        </w:numPr>
        <w:ind w:firstLine="640"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kern w:val="0"/>
          <w:sz w:val="32"/>
          <w:szCs w:val="32"/>
          <w:lang w:eastAsia="zh-CN"/>
        </w:rPr>
        <w:t>2025年预算</w:t>
      </w:r>
      <w:r>
        <w:rPr>
          <w:rFonts w:hint="eastAsia" w:ascii="仿宋_GB2312" w:hAnsi="仿宋_GB2312" w:eastAsia="仿宋_GB2312" w:cs="仿宋_GB2312"/>
          <w:kern w:val="0"/>
          <w:sz w:val="32"/>
          <w:szCs w:val="32"/>
          <w:lang w:val="en-US" w:eastAsia="zh-CN"/>
        </w:rPr>
        <w:t>55.37</w:t>
      </w:r>
      <w:r>
        <w:rPr>
          <w:rFonts w:hint="eastAsia" w:ascii="仿宋_GB2312" w:hAnsi="仿宋_GB2312" w:eastAsia="仿宋_GB2312" w:cs="仿宋_GB2312"/>
          <w:kern w:val="0"/>
          <w:sz w:val="32"/>
          <w:szCs w:val="32"/>
          <w:lang w:eastAsia="zh-CN"/>
        </w:rPr>
        <w:t>万元，比2024年预算增加</w:t>
      </w:r>
      <w:r>
        <w:rPr>
          <w:rFonts w:hint="eastAsia" w:ascii="仿宋_GB2312" w:hAnsi="仿宋_GB2312" w:eastAsia="仿宋_GB2312" w:cs="仿宋_GB2312"/>
          <w:kern w:val="0"/>
          <w:sz w:val="32"/>
          <w:szCs w:val="32"/>
          <w:lang w:val="en-US" w:eastAsia="zh-CN"/>
        </w:rPr>
        <w:t>55.37</w:t>
      </w:r>
      <w:r>
        <w:rPr>
          <w:rFonts w:hint="eastAsia" w:ascii="仿宋_GB2312" w:hAnsi="仿宋_GB2312" w:eastAsia="仿宋_GB2312" w:cs="仿宋_GB2312"/>
          <w:kern w:val="0"/>
          <w:sz w:val="32"/>
          <w:szCs w:val="32"/>
          <w:lang w:eastAsia="zh-CN"/>
        </w:rPr>
        <w:t>万元，增长</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lang w:eastAsia="zh-CN"/>
        </w:rPr>
        <w:t>%，原因主要是</w:t>
      </w:r>
      <w:r>
        <w:rPr>
          <w:rFonts w:hint="eastAsia" w:ascii="仿宋_GB2312" w:hAnsi="仿宋_GB2312" w:eastAsia="仿宋_GB2312" w:cs="仿宋_GB2312"/>
          <w:kern w:val="0"/>
          <w:sz w:val="32"/>
          <w:szCs w:val="32"/>
          <w:lang w:val="en-US" w:eastAsia="zh-CN"/>
        </w:rPr>
        <w:t>2024年预算没有列入该项目</w:t>
      </w:r>
      <w:r>
        <w:rPr>
          <w:rFonts w:hint="eastAsia" w:ascii="仿宋_GB2312" w:hAnsi="仿宋_GB2312" w:eastAsia="仿宋_GB2312" w:cs="仿宋_GB2312"/>
          <w:b/>
          <w:bCs/>
          <w:kern w:val="0"/>
          <w:sz w:val="32"/>
          <w:szCs w:val="32"/>
          <w:lang w:eastAsia="zh-CN"/>
        </w:rPr>
        <w:t>。</w:t>
      </w:r>
    </w:p>
    <w:p w14:paraId="0F98CBF3">
      <w:pPr>
        <w:numPr>
          <w:ilvl w:val="0"/>
          <w:numId w:val="2"/>
        </w:numPr>
        <w:ind w:left="0" w:leftChars="0" w:firstLine="643"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社会保障和就业支出（类）行政事业单位养老支出（款）机关事业单位基本养老保险缴费支出（项）</w:t>
      </w:r>
    </w:p>
    <w:p w14:paraId="786B7E6C">
      <w:pPr>
        <w:numPr>
          <w:ilvl w:val="0"/>
          <w:numId w:val="0"/>
        </w:numPr>
        <w:ind w:firstLine="640"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kern w:val="0"/>
          <w:sz w:val="32"/>
          <w:szCs w:val="32"/>
          <w:lang w:eastAsia="zh-CN"/>
        </w:rPr>
        <w:t>2025年预算</w:t>
      </w:r>
      <w:r>
        <w:rPr>
          <w:rFonts w:hint="eastAsia" w:ascii="仿宋_GB2312" w:hAnsi="仿宋_GB2312" w:eastAsia="仿宋_GB2312" w:cs="仿宋_GB2312"/>
          <w:kern w:val="0"/>
          <w:sz w:val="32"/>
          <w:szCs w:val="32"/>
          <w:lang w:val="en-US" w:eastAsia="zh-CN"/>
        </w:rPr>
        <w:t>15.80</w:t>
      </w:r>
      <w:r>
        <w:rPr>
          <w:rFonts w:hint="eastAsia" w:ascii="仿宋_GB2312" w:hAnsi="仿宋_GB2312" w:eastAsia="仿宋_GB2312" w:cs="仿宋_GB2312"/>
          <w:kern w:val="0"/>
          <w:sz w:val="32"/>
          <w:szCs w:val="32"/>
          <w:lang w:eastAsia="zh-CN"/>
        </w:rPr>
        <w:t>万元，比2024年预算增加</w:t>
      </w:r>
      <w:r>
        <w:rPr>
          <w:rFonts w:hint="eastAsia" w:ascii="仿宋_GB2312" w:hAnsi="仿宋_GB2312" w:eastAsia="仿宋_GB2312" w:cs="仿宋_GB2312"/>
          <w:kern w:val="0"/>
          <w:sz w:val="32"/>
          <w:szCs w:val="32"/>
          <w:lang w:val="en-US" w:eastAsia="zh-CN"/>
        </w:rPr>
        <w:t>4.87</w:t>
      </w:r>
      <w:r>
        <w:rPr>
          <w:rFonts w:hint="eastAsia" w:ascii="仿宋_GB2312" w:hAnsi="仿宋_GB2312" w:eastAsia="仿宋_GB2312" w:cs="仿宋_GB2312"/>
          <w:kern w:val="0"/>
          <w:sz w:val="32"/>
          <w:szCs w:val="32"/>
          <w:lang w:eastAsia="zh-CN"/>
        </w:rPr>
        <w:t>万元，增长</w:t>
      </w:r>
      <w:r>
        <w:rPr>
          <w:rFonts w:hint="eastAsia" w:ascii="仿宋_GB2312" w:hAnsi="仿宋_GB2312" w:eastAsia="仿宋_GB2312" w:cs="仿宋_GB2312"/>
          <w:kern w:val="0"/>
          <w:sz w:val="32"/>
          <w:szCs w:val="32"/>
          <w:lang w:val="en-US" w:eastAsia="zh-CN"/>
        </w:rPr>
        <w:t>44.50</w:t>
      </w:r>
      <w:r>
        <w:rPr>
          <w:rFonts w:hint="eastAsia" w:ascii="仿宋_GB2312" w:hAnsi="仿宋_GB2312" w:eastAsia="仿宋_GB2312" w:cs="仿宋_GB2312"/>
          <w:kern w:val="0"/>
          <w:sz w:val="32"/>
          <w:szCs w:val="32"/>
          <w:lang w:eastAsia="zh-CN"/>
        </w:rPr>
        <w:t>%，原因主要是人员的调入</w:t>
      </w:r>
      <w:r>
        <w:rPr>
          <w:rFonts w:hint="eastAsia" w:ascii="仿宋_GB2312" w:hAnsi="仿宋_GB2312" w:eastAsia="仿宋_GB2312" w:cs="仿宋_GB2312"/>
          <w:b/>
          <w:bCs/>
          <w:kern w:val="0"/>
          <w:sz w:val="32"/>
          <w:szCs w:val="32"/>
          <w:lang w:eastAsia="zh-CN"/>
        </w:rPr>
        <w:t>。</w:t>
      </w:r>
    </w:p>
    <w:p w14:paraId="5AAD477E">
      <w:pPr>
        <w:numPr>
          <w:ilvl w:val="0"/>
          <w:numId w:val="2"/>
        </w:numPr>
        <w:ind w:left="0" w:leftChars="0" w:firstLine="643"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社会保障和就业支出（类）行政事业单位养老支出（款）机关事业单位职业年金缴费支出（项）</w:t>
      </w:r>
    </w:p>
    <w:p w14:paraId="0BA38503">
      <w:pPr>
        <w:numPr>
          <w:ilvl w:val="0"/>
          <w:numId w:val="0"/>
        </w:numPr>
        <w:ind w:firstLine="640"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kern w:val="0"/>
          <w:sz w:val="32"/>
          <w:szCs w:val="32"/>
          <w:lang w:eastAsia="zh-CN"/>
        </w:rPr>
        <w:t>2025年预算</w:t>
      </w:r>
      <w:r>
        <w:rPr>
          <w:rFonts w:hint="eastAsia" w:ascii="仿宋_GB2312" w:hAnsi="仿宋_GB2312" w:eastAsia="仿宋_GB2312" w:cs="仿宋_GB2312"/>
          <w:kern w:val="0"/>
          <w:sz w:val="32"/>
          <w:szCs w:val="32"/>
          <w:lang w:val="en-US" w:eastAsia="zh-CN"/>
        </w:rPr>
        <w:t>7.90</w:t>
      </w:r>
      <w:r>
        <w:rPr>
          <w:rFonts w:hint="eastAsia" w:ascii="仿宋_GB2312" w:hAnsi="仿宋_GB2312" w:eastAsia="仿宋_GB2312" w:cs="仿宋_GB2312"/>
          <w:kern w:val="0"/>
          <w:sz w:val="32"/>
          <w:szCs w:val="32"/>
          <w:lang w:eastAsia="zh-CN"/>
        </w:rPr>
        <w:t>万元，比2024年预算增加</w:t>
      </w:r>
      <w:r>
        <w:rPr>
          <w:rFonts w:hint="eastAsia" w:ascii="仿宋_GB2312" w:hAnsi="仿宋_GB2312" w:eastAsia="仿宋_GB2312" w:cs="仿宋_GB2312"/>
          <w:kern w:val="0"/>
          <w:sz w:val="32"/>
          <w:szCs w:val="32"/>
          <w:lang w:val="en-US" w:eastAsia="zh-CN"/>
        </w:rPr>
        <w:t>2.43</w:t>
      </w:r>
      <w:r>
        <w:rPr>
          <w:rFonts w:hint="eastAsia" w:ascii="仿宋_GB2312" w:hAnsi="仿宋_GB2312" w:eastAsia="仿宋_GB2312" w:cs="仿宋_GB2312"/>
          <w:kern w:val="0"/>
          <w:sz w:val="32"/>
          <w:szCs w:val="32"/>
          <w:lang w:eastAsia="zh-CN"/>
        </w:rPr>
        <w:t>万元，增长</w:t>
      </w:r>
      <w:r>
        <w:rPr>
          <w:rFonts w:hint="eastAsia" w:ascii="仿宋_GB2312" w:hAnsi="仿宋_GB2312" w:eastAsia="仿宋_GB2312" w:cs="仿宋_GB2312"/>
          <w:kern w:val="0"/>
          <w:sz w:val="32"/>
          <w:szCs w:val="32"/>
          <w:lang w:val="en-US" w:eastAsia="zh-CN"/>
        </w:rPr>
        <w:t>44.50</w:t>
      </w:r>
      <w:r>
        <w:rPr>
          <w:rFonts w:hint="eastAsia" w:ascii="仿宋_GB2312" w:hAnsi="仿宋_GB2312" w:eastAsia="仿宋_GB2312" w:cs="仿宋_GB2312"/>
          <w:kern w:val="0"/>
          <w:sz w:val="32"/>
          <w:szCs w:val="32"/>
          <w:lang w:eastAsia="zh-CN"/>
        </w:rPr>
        <w:t>%，原因主要是</w:t>
      </w:r>
      <w:r>
        <w:rPr>
          <w:rFonts w:hint="eastAsia" w:ascii="仿宋_GB2312" w:hAnsi="仿宋_GB2312" w:eastAsia="仿宋_GB2312" w:cs="仿宋_GB2312"/>
          <w:kern w:val="0"/>
          <w:sz w:val="32"/>
          <w:szCs w:val="32"/>
          <w:lang w:val="en-US" w:eastAsia="zh-CN"/>
        </w:rPr>
        <w:t>人员的调入</w:t>
      </w:r>
      <w:r>
        <w:rPr>
          <w:rFonts w:hint="eastAsia" w:ascii="仿宋_GB2312" w:hAnsi="仿宋_GB2312" w:eastAsia="仿宋_GB2312" w:cs="仿宋_GB2312"/>
          <w:b/>
          <w:bCs/>
          <w:kern w:val="0"/>
          <w:sz w:val="32"/>
          <w:szCs w:val="32"/>
          <w:lang w:eastAsia="zh-CN"/>
        </w:rPr>
        <w:t>。</w:t>
      </w:r>
    </w:p>
    <w:p w14:paraId="66A91336">
      <w:pPr>
        <w:numPr>
          <w:ilvl w:val="0"/>
          <w:numId w:val="2"/>
        </w:numPr>
        <w:ind w:left="0" w:leftChars="0" w:firstLine="643"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卫生健康支出（类）行政事业单位医疗（款）行政单位医疗（项）</w:t>
      </w:r>
    </w:p>
    <w:p w14:paraId="2BE8B61A">
      <w:pPr>
        <w:numPr>
          <w:ilvl w:val="0"/>
          <w:numId w:val="0"/>
        </w:numPr>
        <w:ind w:firstLine="640"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kern w:val="0"/>
          <w:sz w:val="32"/>
          <w:szCs w:val="32"/>
          <w:lang w:eastAsia="zh-CN"/>
        </w:rPr>
        <w:t>2025年预算</w:t>
      </w:r>
      <w:r>
        <w:rPr>
          <w:rFonts w:hint="eastAsia" w:ascii="仿宋_GB2312" w:hAnsi="仿宋_GB2312" w:eastAsia="仿宋_GB2312" w:cs="仿宋_GB2312"/>
          <w:kern w:val="0"/>
          <w:sz w:val="32"/>
          <w:szCs w:val="32"/>
          <w:lang w:val="en-US" w:eastAsia="zh-CN"/>
        </w:rPr>
        <w:t>10.83</w:t>
      </w:r>
      <w:r>
        <w:rPr>
          <w:rFonts w:hint="eastAsia" w:ascii="仿宋_GB2312" w:hAnsi="仿宋_GB2312" w:eastAsia="仿宋_GB2312" w:cs="仿宋_GB2312"/>
          <w:kern w:val="0"/>
          <w:sz w:val="32"/>
          <w:szCs w:val="32"/>
          <w:lang w:eastAsia="zh-CN"/>
        </w:rPr>
        <w:t>万元，比2024年预算增加</w:t>
      </w:r>
      <w:r>
        <w:rPr>
          <w:rFonts w:hint="eastAsia" w:ascii="仿宋_GB2312" w:hAnsi="仿宋_GB2312" w:eastAsia="仿宋_GB2312" w:cs="仿宋_GB2312"/>
          <w:kern w:val="0"/>
          <w:sz w:val="32"/>
          <w:szCs w:val="32"/>
          <w:lang w:val="en-US" w:eastAsia="zh-CN"/>
        </w:rPr>
        <w:t>5.09</w:t>
      </w:r>
      <w:r>
        <w:rPr>
          <w:rFonts w:hint="eastAsia" w:ascii="仿宋_GB2312" w:hAnsi="仿宋_GB2312" w:eastAsia="仿宋_GB2312" w:cs="仿宋_GB2312"/>
          <w:kern w:val="0"/>
          <w:sz w:val="32"/>
          <w:szCs w:val="32"/>
          <w:lang w:eastAsia="zh-CN"/>
        </w:rPr>
        <w:t>万元，增长</w:t>
      </w:r>
      <w:r>
        <w:rPr>
          <w:rFonts w:hint="eastAsia" w:ascii="仿宋_GB2312" w:hAnsi="仿宋_GB2312" w:eastAsia="仿宋_GB2312" w:cs="仿宋_GB2312"/>
          <w:kern w:val="0"/>
          <w:sz w:val="32"/>
          <w:szCs w:val="32"/>
          <w:lang w:val="en-US" w:eastAsia="zh-CN"/>
        </w:rPr>
        <w:t>88.66</w:t>
      </w:r>
      <w:r>
        <w:rPr>
          <w:rFonts w:hint="eastAsia" w:ascii="仿宋_GB2312" w:hAnsi="仿宋_GB2312" w:eastAsia="仿宋_GB2312" w:cs="仿宋_GB2312"/>
          <w:kern w:val="0"/>
          <w:sz w:val="32"/>
          <w:szCs w:val="32"/>
          <w:lang w:eastAsia="zh-CN"/>
        </w:rPr>
        <w:t>%，原因主要是</w:t>
      </w:r>
      <w:r>
        <w:rPr>
          <w:rFonts w:hint="eastAsia" w:ascii="仿宋_GB2312" w:hAnsi="仿宋_GB2312" w:eastAsia="仿宋_GB2312" w:cs="仿宋_GB2312"/>
          <w:kern w:val="0"/>
          <w:sz w:val="32"/>
          <w:szCs w:val="32"/>
          <w:lang w:val="en-US" w:eastAsia="zh-CN"/>
        </w:rPr>
        <w:t>教育局本级调入人员4人</w:t>
      </w:r>
      <w:r>
        <w:rPr>
          <w:rFonts w:hint="eastAsia" w:ascii="仿宋_GB2312" w:hAnsi="仿宋_GB2312" w:eastAsia="仿宋_GB2312" w:cs="仿宋_GB2312"/>
          <w:b/>
          <w:bCs/>
          <w:kern w:val="0"/>
          <w:sz w:val="32"/>
          <w:szCs w:val="32"/>
          <w:lang w:eastAsia="zh-CN"/>
        </w:rPr>
        <w:t>。</w:t>
      </w:r>
    </w:p>
    <w:p w14:paraId="6108BBD2">
      <w:pPr>
        <w:numPr>
          <w:ilvl w:val="0"/>
          <w:numId w:val="2"/>
        </w:numPr>
        <w:ind w:left="0" w:leftChars="0" w:firstLine="643"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kern w:val="0"/>
          <w:sz w:val="32"/>
          <w:szCs w:val="32"/>
          <w:lang w:eastAsia="zh-CN"/>
        </w:rPr>
        <w:t>住房保障支出（类）住房改革支出（款）住房公积金（项）</w:t>
      </w:r>
      <w:r>
        <w:rPr>
          <w:rFonts w:hint="eastAsia" w:ascii="仿宋_GB2312" w:hAnsi="仿宋_GB2312" w:eastAsia="仿宋_GB2312" w:cs="仿宋_GB2312"/>
          <w:b/>
          <w:bCs/>
          <w:kern w:val="0"/>
          <w:sz w:val="32"/>
          <w:szCs w:val="32"/>
          <w:lang w:val="en-US" w:eastAsia="zh-CN"/>
        </w:rPr>
        <w:t xml:space="preserve">                           </w:t>
      </w:r>
    </w:p>
    <w:p w14:paraId="3DBC0FF0">
      <w:pPr>
        <w:numPr>
          <w:ilvl w:val="0"/>
          <w:numId w:val="0"/>
        </w:numPr>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2025年预算</w:t>
      </w:r>
      <w:r>
        <w:rPr>
          <w:rFonts w:hint="eastAsia" w:ascii="仿宋_GB2312" w:hAnsi="仿宋_GB2312" w:eastAsia="仿宋_GB2312" w:cs="仿宋_GB2312"/>
          <w:kern w:val="0"/>
          <w:sz w:val="32"/>
          <w:szCs w:val="32"/>
          <w:lang w:val="en-US" w:eastAsia="zh-CN"/>
        </w:rPr>
        <w:t>31.93</w:t>
      </w:r>
      <w:r>
        <w:rPr>
          <w:rFonts w:hint="eastAsia" w:ascii="仿宋_GB2312" w:hAnsi="仿宋_GB2312" w:eastAsia="仿宋_GB2312" w:cs="仿宋_GB2312"/>
          <w:kern w:val="0"/>
          <w:sz w:val="32"/>
          <w:szCs w:val="32"/>
          <w:lang w:eastAsia="zh-CN"/>
        </w:rPr>
        <w:t>万元，比2024年预算增加</w:t>
      </w:r>
      <w:r>
        <w:rPr>
          <w:rFonts w:hint="eastAsia" w:ascii="仿宋_GB2312" w:hAnsi="仿宋_GB2312" w:eastAsia="仿宋_GB2312" w:cs="仿宋_GB2312"/>
          <w:kern w:val="0"/>
          <w:sz w:val="32"/>
          <w:szCs w:val="32"/>
          <w:lang w:val="en-US" w:eastAsia="zh-CN"/>
        </w:rPr>
        <w:t>7.87</w:t>
      </w:r>
      <w:r>
        <w:rPr>
          <w:rFonts w:hint="eastAsia" w:ascii="仿宋_GB2312" w:hAnsi="仿宋_GB2312" w:eastAsia="仿宋_GB2312" w:cs="仿宋_GB2312"/>
          <w:kern w:val="0"/>
          <w:sz w:val="32"/>
          <w:szCs w:val="32"/>
          <w:lang w:eastAsia="zh-CN"/>
        </w:rPr>
        <w:t>万元，增长</w:t>
      </w:r>
      <w:r>
        <w:rPr>
          <w:rFonts w:hint="eastAsia" w:ascii="仿宋_GB2312" w:hAnsi="仿宋_GB2312" w:eastAsia="仿宋_GB2312" w:cs="仿宋_GB2312"/>
          <w:kern w:val="0"/>
          <w:sz w:val="32"/>
          <w:szCs w:val="32"/>
          <w:lang w:val="en-US" w:eastAsia="zh-CN"/>
        </w:rPr>
        <w:t>32.72%</w:t>
      </w:r>
      <w:r>
        <w:rPr>
          <w:rFonts w:hint="eastAsia" w:ascii="仿宋_GB2312" w:hAnsi="仿宋_GB2312" w:eastAsia="仿宋_GB2312" w:cs="仿宋_GB2312"/>
          <w:kern w:val="0"/>
          <w:sz w:val="32"/>
          <w:szCs w:val="32"/>
          <w:lang w:eastAsia="zh-CN"/>
        </w:rPr>
        <w:t>，原因主要是教育局本级调入人员</w:t>
      </w:r>
      <w:r>
        <w:rPr>
          <w:rFonts w:hint="eastAsia" w:ascii="仿宋_GB2312" w:hAnsi="仿宋_GB2312" w:eastAsia="仿宋_GB2312" w:cs="仿宋_GB2312"/>
          <w:kern w:val="0"/>
          <w:sz w:val="32"/>
          <w:szCs w:val="32"/>
          <w:lang w:val="en-US" w:eastAsia="zh-CN"/>
        </w:rPr>
        <w:t>4人</w:t>
      </w:r>
      <w:r>
        <w:rPr>
          <w:rFonts w:hint="eastAsia" w:ascii="仿宋_GB2312" w:hAnsi="仿宋_GB2312" w:eastAsia="仿宋_GB2312" w:cs="仿宋_GB2312"/>
          <w:kern w:val="0"/>
          <w:sz w:val="32"/>
          <w:szCs w:val="32"/>
          <w:lang w:eastAsia="zh-CN"/>
        </w:rPr>
        <w:t>。</w:t>
      </w:r>
    </w:p>
    <w:p w14:paraId="5DCE95EB">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left"/>
        <w:rPr>
          <w:rFonts w:hint="eastAsia" w:ascii="仿宋_GB2312" w:hAnsi="仿宋_GB2312" w:eastAsia="仿宋_GB2312" w:cs="仿宋_GB2312"/>
          <w:b/>
          <w:bCs w:val="0"/>
          <w:kern w:val="2"/>
          <w:sz w:val="36"/>
          <w:szCs w:val="36"/>
          <w:lang w:val="en-US" w:eastAsia="zh-CN"/>
        </w:rPr>
      </w:pPr>
      <w:r>
        <w:rPr>
          <w:rFonts w:hint="eastAsia" w:ascii="仿宋_GB2312" w:hAnsi="仿宋_GB2312" w:eastAsia="仿宋_GB2312" w:cs="仿宋_GB2312"/>
          <w:b/>
          <w:bCs w:val="0"/>
          <w:kern w:val="2"/>
          <w:sz w:val="36"/>
          <w:szCs w:val="36"/>
          <w:lang w:val="en-US" w:eastAsia="zh-CN"/>
        </w:rPr>
        <w:t>六、关于2025年一般公共预算基本支出表的说明</w:t>
      </w:r>
    </w:p>
    <w:p w14:paraId="52B8B05E">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烈山区教育局本级2025</w:t>
      </w:r>
      <w:r>
        <w:rPr>
          <w:rFonts w:hint="eastAsia" w:ascii="仿宋_GB2312" w:hAnsi="仿宋_GB2312" w:eastAsia="仿宋_GB2312" w:cs="仿宋_GB2312"/>
          <w:kern w:val="0"/>
          <w:sz w:val="32"/>
          <w:szCs w:val="32"/>
        </w:rPr>
        <w:t>年一般公共预算基本支出</w:t>
      </w:r>
      <w:r>
        <w:rPr>
          <w:rFonts w:hint="eastAsia" w:ascii="仿宋_GB2312" w:hAnsi="仿宋_GB2312" w:eastAsia="仿宋_GB2312" w:cs="仿宋_GB2312"/>
          <w:kern w:val="0"/>
          <w:sz w:val="32"/>
          <w:szCs w:val="32"/>
          <w:lang w:val="en-US" w:eastAsia="zh-CN"/>
        </w:rPr>
        <w:t>277.52</w:t>
      </w:r>
      <w:r>
        <w:rPr>
          <w:rFonts w:hint="eastAsia" w:ascii="仿宋_GB2312" w:hAnsi="仿宋_GB2312" w:eastAsia="仿宋_GB2312" w:cs="仿宋_GB2312"/>
          <w:kern w:val="0"/>
          <w:sz w:val="32"/>
          <w:szCs w:val="32"/>
        </w:rPr>
        <w:t>万元，其中，人员经费</w:t>
      </w:r>
      <w:r>
        <w:rPr>
          <w:rFonts w:hint="eastAsia" w:ascii="仿宋_GB2312" w:hAnsi="仿宋_GB2312" w:eastAsia="仿宋_GB2312" w:cs="仿宋_GB2312"/>
          <w:kern w:val="0"/>
          <w:sz w:val="32"/>
          <w:szCs w:val="32"/>
          <w:lang w:val="en-US" w:eastAsia="zh-CN"/>
        </w:rPr>
        <w:t>264.10</w:t>
      </w:r>
      <w:r>
        <w:rPr>
          <w:rFonts w:hint="eastAsia" w:ascii="仿宋_GB2312" w:hAnsi="仿宋_GB2312" w:eastAsia="仿宋_GB2312" w:cs="仿宋_GB2312"/>
          <w:kern w:val="0"/>
          <w:sz w:val="32"/>
          <w:szCs w:val="32"/>
        </w:rPr>
        <w:t>万元，公用经费</w:t>
      </w:r>
      <w:r>
        <w:rPr>
          <w:rFonts w:hint="eastAsia" w:ascii="仿宋_GB2312" w:hAnsi="仿宋_GB2312" w:eastAsia="仿宋_GB2312" w:cs="仿宋_GB2312"/>
          <w:kern w:val="0"/>
          <w:sz w:val="32"/>
          <w:szCs w:val="32"/>
          <w:lang w:val="en-US" w:eastAsia="zh-CN"/>
        </w:rPr>
        <w:t>13.42</w:t>
      </w:r>
      <w:r>
        <w:rPr>
          <w:rFonts w:hint="eastAsia" w:ascii="仿宋_GB2312" w:hAnsi="仿宋_GB2312" w:eastAsia="仿宋_GB2312" w:cs="仿宋_GB2312"/>
          <w:kern w:val="0"/>
          <w:sz w:val="32"/>
          <w:szCs w:val="32"/>
        </w:rPr>
        <w:t>万元。</w:t>
      </w:r>
    </w:p>
    <w:p w14:paraId="1A4CC194">
      <w:pPr>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（一）人员经费</w:t>
      </w:r>
      <w:r>
        <w:rPr>
          <w:rFonts w:hint="eastAsia" w:ascii="仿宋_GB2312" w:hAnsi="仿宋_GB2312" w:eastAsia="仿宋_GB2312" w:cs="仿宋_GB2312"/>
          <w:b/>
          <w:kern w:val="0"/>
          <w:sz w:val="32"/>
          <w:szCs w:val="32"/>
          <w:lang w:val="en-US" w:eastAsia="zh-CN"/>
        </w:rPr>
        <w:t>264.10</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主要包括:基本工资、津贴补贴、奖金、</w:t>
      </w:r>
      <w:r>
        <w:rPr>
          <w:rFonts w:hint="eastAsia" w:ascii="仿宋_GB2312" w:hAnsi="仿宋_GB2312" w:eastAsia="仿宋_GB2312" w:cs="仿宋_GB2312"/>
          <w:kern w:val="0"/>
          <w:sz w:val="32"/>
          <w:szCs w:val="32"/>
          <w:lang w:eastAsia="zh-CN"/>
        </w:rPr>
        <w:t>绩效工资、</w:t>
      </w:r>
      <w:r>
        <w:rPr>
          <w:rFonts w:hint="eastAsia" w:ascii="仿宋_GB2312" w:hAnsi="仿宋_GB2312" w:eastAsia="仿宋_GB2312" w:cs="仿宋_GB2312"/>
          <w:kern w:val="0"/>
          <w:sz w:val="32"/>
          <w:szCs w:val="32"/>
        </w:rPr>
        <w:t>机关事业单位基本养老保险费、职业年金缴费、职工基本医疗保险缴费、公务员医疗补助缴费、其他社会保障缴费、住房公积金、其他工资福利支出、</w:t>
      </w:r>
      <w:r>
        <w:rPr>
          <w:rFonts w:hint="eastAsia" w:ascii="仿宋_GB2312" w:hAnsi="仿宋_GB2312" w:eastAsia="仿宋_GB2312" w:cs="仿宋_GB2312"/>
          <w:kern w:val="0"/>
          <w:sz w:val="32"/>
          <w:szCs w:val="32"/>
          <w:lang w:eastAsia="zh-CN"/>
        </w:rPr>
        <w:t>培训费、工会经费、福利费、离休费、退休费、生活补助、医疗费补助、奖励金、其他对个人和家庭的补助</w:t>
      </w:r>
      <w:r>
        <w:rPr>
          <w:rFonts w:hint="eastAsia" w:ascii="仿宋_GB2312" w:hAnsi="仿宋_GB2312" w:eastAsia="仿宋_GB2312" w:cs="仿宋_GB2312"/>
          <w:kern w:val="0"/>
          <w:sz w:val="32"/>
          <w:szCs w:val="32"/>
        </w:rPr>
        <w:t>。</w:t>
      </w:r>
    </w:p>
    <w:p w14:paraId="1720C040">
      <w:pPr>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（二）公用经费</w:t>
      </w:r>
      <w:r>
        <w:rPr>
          <w:rFonts w:hint="eastAsia" w:ascii="仿宋_GB2312" w:hAnsi="仿宋_GB2312" w:eastAsia="仿宋_GB2312" w:cs="仿宋_GB2312"/>
          <w:b/>
          <w:kern w:val="0"/>
          <w:sz w:val="32"/>
          <w:szCs w:val="32"/>
          <w:lang w:val="en-US" w:eastAsia="zh-CN"/>
        </w:rPr>
        <w:t>13.42</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主要包括：公务接待费、劳务费、其他交通费用。</w:t>
      </w:r>
    </w:p>
    <w:p w14:paraId="50AB700A">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left"/>
        <w:rPr>
          <w:rFonts w:hint="eastAsia" w:ascii="仿宋_GB2312" w:hAnsi="仿宋_GB2312" w:eastAsia="仿宋_GB2312" w:cs="仿宋_GB2312"/>
          <w:b/>
          <w:bCs w:val="0"/>
          <w:kern w:val="2"/>
          <w:sz w:val="36"/>
          <w:szCs w:val="36"/>
          <w:lang w:val="en-US" w:eastAsia="zh-CN"/>
        </w:rPr>
      </w:pPr>
      <w:r>
        <w:rPr>
          <w:rFonts w:hint="eastAsia" w:ascii="仿宋_GB2312" w:hAnsi="仿宋_GB2312" w:eastAsia="仿宋_GB2312" w:cs="仿宋_GB2312"/>
          <w:b/>
          <w:bCs w:val="0"/>
          <w:kern w:val="2"/>
          <w:sz w:val="36"/>
          <w:szCs w:val="36"/>
          <w:lang w:val="en-US" w:eastAsia="zh-CN"/>
        </w:rPr>
        <w:t>七、关于2025年政府性基金预算支出表的说明</w:t>
      </w:r>
    </w:p>
    <w:p w14:paraId="1D97EAFF">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烈山区教育局本级2025</w:t>
      </w:r>
      <w:r>
        <w:rPr>
          <w:rFonts w:hint="eastAsia" w:ascii="仿宋_GB2312" w:hAnsi="仿宋_GB2312" w:eastAsia="仿宋_GB2312" w:cs="仿宋_GB2312"/>
          <w:kern w:val="0"/>
          <w:sz w:val="32"/>
          <w:szCs w:val="32"/>
        </w:rPr>
        <w:t>年没有政府性基金预算拨款收入，也没有使用政府性基金预算拨款安排的支出。</w:t>
      </w:r>
    </w:p>
    <w:p w14:paraId="4F4C7F81">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left"/>
        <w:rPr>
          <w:rFonts w:hint="eastAsia" w:ascii="仿宋_GB2312" w:hAnsi="仿宋_GB2312" w:eastAsia="仿宋_GB2312" w:cs="仿宋_GB2312"/>
          <w:b/>
          <w:bCs w:val="0"/>
          <w:kern w:val="2"/>
          <w:sz w:val="36"/>
          <w:szCs w:val="36"/>
          <w:lang w:val="en-US" w:eastAsia="zh-CN"/>
        </w:rPr>
      </w:pPr>
      <w:r>
        <w:rPr>
          <w:rFonts w:hint="eastAsia" w:ascii="仿宋_GB2312" w:hAnsi="仿宋_GB2312" w:eastAsia="仿宋_GB2312" w:cs="仿宋_GB2312"/>
          <w:b/>
          <w:bCs w:val="0"/>
          <w:kern w:val="2"/>
          <w:sz w:val="36"/>
          <w:szCs w:val="36"/>
          <w:lang w:val="en-US" w:eastAsia="zh-CN"/>
        </w:rPr>
        <w:t>八、关于2025年国有资本经营预算支出表的说明</w:t>
      </w:r>
    </w:p>
    <w:p w14:paraId="1ED706A3">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烈山区教育局本级2025</w:t>
      </w:r>
      <w:r>
        <w:rPr>
          <w:rFonts w:hint="eastAsia" w:ascii="仿宋_GB2312" w:hAnsi="仿宋_GB2312" w:eastAsia="仿宋_GB2312" w:cs="仿宋_GB2312"/>
          <w:kern w:val="0"/>
          <w:sz w:val="32"/>
          <w:szCs w:val="32"/>
        </w:rPr>
        <w:t>年没有国有资本经营预算拨款收入，也没有使用国有资本经营预算拨款安排的支出。</w:t>
      </w:r>
    </w:p>
    <w:p w14:paraId="799E378E">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left"/>
        <w:rPr>
          <w:rFonts w:hint="eastAsia" w:ascii="仿宋_GB2312" w:hAnsi="仿宋_GB2312" w:eastAsia="仿宋_GB2312" w:cs="仿宋_GB2312"/>
          <w:b/>
          <w:bCs w:val="0"/>
          <w:kern w:val="2"/>
          <w:sz w:val="36"/>
          <w:szCs w:val="36"/>
          <w:lang w:val="en-US" w:eastAsia="zh-CN"/>
        </w:rPr>
      </w:pPr>
      <w:r>
        <w:rPr>
          <w:rFonts w:hint="eastAsia" w:ascii="仿宋_GB2312" w:hAnsi="仿宋_GB2312" w:eastAsia="仿宋_GB2312" w:cs="仿宋_GB2312"/>
          <w:b/>
          <w:bCs w:val="0"/>
          <w:kern w:val="2"/>
          <w:sz w:val="36"/>
          <w:szCs w:val="36"/>
          <w:lang w:val="en-US" w:eastAsia="zh-CN"/>
        </w:rPr>
        <w:t>九、关于2025年项目支出表的说明</w:t>
      </w:r>
    </w:p>
    <w:p w14:paraId="1DDA409C">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烈山区教育局本级2025</w:t>
      </w:r>
      <w:r>
        <w:rPr>
          <w:rFonts w:hint="eastAsia" w:ascii="仿宋_GB2312" w:hAnsi="仿宋_GB2312" w:eastAsia="仿宋_GB2312" w:cs="仿宋_GB2312"/>
          <w:kern w:val="0"/>
          <w:sz w:val="32"/>
          <w:szCs w:val="32"/>
        </w:rPr>
        <w:t>年预算共安排项目支出</w:t>
      </w:r>
      <w:r>
        <w:rPr>
          <w:rFonts w:hint="eastAsia" w:ascii="仿宋_GB2312" w:hAnsi="仿宋_GB2312" w:eastAsia="仿宋_GB2312" w:cs="仿宋_GB2312"/>
          <w:kern w:val="0"/>
          <w:sz w:val="32"/>
          <w:szCs w:val="32"/>
          <w:lang w:val="en-US" w:eastAsia="zh-CN"/>
        </w:rPr>
        <w:t>2328.29</w:t>
      </w:r>
      <w:r>
        <w:rPr>
          <w:rFonts w:hint="eastAsia" w:ascii="仿宋_GB2312" w:hAnsi="仿宋_GB2312" w:eastAsia="仿宋_GB2312" w:cs="仿宋_GB2312"/>
          <w:kern w:val="0"/>
          <w:sz w:val="32"/>
          <w:szCs w:val="32"/>
        </w:rPr>
        <w:t>万元，比</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年预算减少</w:t>
      </w:r>
      <w:r>
        <w:rPr>
          <w:rFonts w:hint="eastAsia" w:ascii="仿宋_GB2312" w:hAnsi="仿宋_GB2312" w:eastAsia="仿宋_GB2312" w:cs="仿宋_GB2312"/>
          <w:kern w:val="0"/>
          <w:sz w:val="32"/>
          <w:szCs w:val="32"/>
          <w:lang w:val="en-US" w:eastAsia="zh-CN"/>
        </w:rPr>
        <w:t>280.83</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10.76</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eastAsia="zh-CN"/>
        </w:rPr>
        <w:t>厉行节约、压缩开支</w:t>
      </w:r>
      <w:r>
        <w:rPr>
          <w:rFonts w:hint="eastAsia" w:ascii="仿宋_GB2312" w:hAnsi="仿宋_GB2312" w:eastAsia="仿宋_GB2312" w:cs="仿宋_GB2312"/>
          <w:kern w:val="0"/>
          <w:sz w:val="32"/>
          <w:szCs w:val="32"/>
        </w:rPr>
        <w:t>。主要包括：本年财政拨款安排</w:t>
      </w:r>
      <w:r>
        <w:rPr>
          <w:rFonts w:hint="eastAsia" w:ascii="仿宋_GB2312" w:hAnsi="仿宋_GB2312" w:eastAsia="仿宋_GB2312" w:cs="仿宋_GB2312"/>
          <w:kern w:val="0"/>
          <w:sz w:val="32"/>
          <w:szCs w:val="32"/>
          <w:lang w:val="en-US" w:eastAsia="zh-CN"/>
        </w:rPr>
        <w:t>2328.29</w:t>
      </w:r>
      <w:r>
        <w:rPr>
          <w:rFonts w:hint="eastAsia" w:ascii="仿宋_GB2312" w:hAnsi="仿宋_GB2312" w:eastAsia="仿宋_GB2312" w:cs="仿宋_GB2312"/>
          <w:kern w:val="0"/>
          <w:sz w:val="32"/>
          <w:szCs w:val="32"/>
        </w:rPr>
        <w:t>万元（其中，一般公共预算拨款安排</w:t>
      </w:r>
      <w:r>
        <w:rPr>
          <w:rFonts w:hint="eastAsia" w:ascii="仿宋_GB2312" w:hAnsi="仿宋_GB2312" w:eastAsia="仿宋_GB2312" w:cs="仿宋_GB2312"/>
          <w:kern w:val="0"/>
          <w:sz w:val="32"/>
          <w:szCs w:val="32"/>
          <w:lang w:val="en-US" w:eastAsia="zh-CN"/>
        </w:rPr>
        <w:t>2328.29</w:t>
      </w:r>
      <w:r>
        <w:rPr>
          <w:rFonts w:hint="eastAsia" w:ascii="仿宋_GB2312" w:hAnsi="仿宋_GB2312" w:eastAsia="仿宋_GB2312" w:cs="仿宋_GB2312"/>
          <w:kern w:val="0"/>
          <w:sz w:val="32"/>
          <w:szCs w:val="32"/>
        </w:rPr>
        <w:t>万元）。</w:t>
      </w:r>
    </w:p>
    <w:p w14:paraId="213E741B">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left"/>
        <w:rPr>
          <w:rFonts w:hint="eastAsia" w:ascii="仿宋_GB2312" w:hAnsi="仿宋_GB2312" w:eastAsia="仿宋_GB2312" w:cs="仿宋_GB2312"/>
          <w:b/>
          <w:bCs w:val="0"/>
          <w:kern w:val="2"/>
          <w:sz w:val="36"/>
          <w:szCs w:val="36"/>
          <w:lang w:val="en-US" w:eastAsia="zh-CN"/>
        </w:rPr>
      </w:pPr>
      <w:r>
        <w:rPr>
          <w:rFonts w:hint="eastAsia" w:ascii="仿宋_GB2312" w:hAnsi="仿宋_GB2312" w:eastAsia="仿宋_GB2312" w:cs="仿宋_GB2312"/>
          <w:b/>
          <w:bCs w:val="0"/>
          <w:kern w:val="2"/>
          <w:sz w:val="36"/>
          <w:szCs w:val="36"/>
          <w:lang w:val="en-US" w:eastAsia="zh-CN"/>
        </w:rPr>
        <w:t>十、关于2025年政府采购支出表的说明</w:t>
      </w:r>
    </w:p>
    <w:p w14:paraId="2DA8C83A">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烈山区教育局本级2025</w:t>
      </w:r>
      <w:r>
        <w:rPr>
          <w:rFonts w:hint="eastAsia" w:ascii="仿宋_GB2312" w:hAnsi="仿宋_GB2312" w:eastAsia="仿宋_GB2312" w:cs="仿宋_GB2312"/>
          <w:kern w:val="0"/>
          <w:sz w:val="32"/>
          <w:szCs w:val="32"/>
        </w:rPr>
        <w:t>年没有使用一般公共预算拨款、政府性基金预算拨款、国有资本经营预算拨款、财政专户管理资金和单位资金安排的政府采购支出。</w:t>
      </w:r>
    </w:p>
    <w:p w14:paraId="1F1694B5">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left"/>
        <w:rPr>
          <w:rFonts w:hint="eastAsia" w:ascii="仿宋_GB2312" w:hAnsi="仿宋_GB2312" w:eastAsia="仿宋_GB2312" w:cs="仿宋_GB2312"/>
          <w:b/>
          <w:bCs w:val="0"/>
          <w:kern w:val="2"/>
          <w:sz w:val="36"/>
          <w:szCs w:val="36"/>
          <w:lang w:val="en-US" w:eastAsia="zh-CN"/>
        </w:rPr>
      </w:pPr>
      <w:r>
        <w:rPr>
          <w:rFonts w:hint="eastAsia" w:ascii="仿宋_GB2312" w:hAnsi="仿宋_GB2312" w:eastAsia="仿宋_GB2312" w:cs="仿宋_GB2312"/>
          <w:b/>
          <w:bCs w:val="0"/>
          <w:kern w:val="2"/>
          <w:sz w:val="36"/>
          <w:szCs w:val="36"/>
          <w:lang w:val="en-US" w:eastAsia="zh-CN"/>
        </w:rPr>
        <w:t>十一、关于2025年政府购买服务支出表的说明</w:t>
      </w:r>
    </w:p>
    <w:p w14:paraId="787D1500">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烈山区教育局本级2025</w:t>
      </w:r>
      <w:r>
        <w:rPr>
          <w:rFonts w:hint="eastAsia" w:ascii="仿宋_GB2312" w:hAnsi="仿宋_GB2312" w:eastAsia="仿宋_GB2312" w:cs="仿宋_GB2312"/>
          <w:kern w:val="0"/>
          <w:sz w:val="32"/>
          <w:szCs w:val="32"/>
        </w:rPr>
        <w:t>年没有安排政府购买服务支出。</w:t>
      </w:r>
    </w:p>
    <w:p w14:paraId="00038706">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left"/>
        <w:rPr>
          <w:rFonts w:hint="eastAsia" w:ascii="仿宋_GB2312" w:hAnsi="仿宋_GB2312" w:eastAsia="仿宋_GB2312" w:cs="仿宋_GB2312"/>
          <w:b/>
          <w:bCs w:val="0"/>
          <w:kern w:val="2"/>
          <w:sz w:val="36"/>
          <w:szCs w:val="36"/>
          <w:lang w:val="en-US" w:eastAsia="zh-CN"/>
        </w:rPr>
      </w:pPr>
      <w:r>
        <w:rPr>
          <w:rFonts w:hint="eastAsia" w:ascii="仿宋_GB2312" w:hAnsi="仿宋_GB2312" w:eastAsia="仿宋_GB2312" w:cs="仿宋_GB2312"/>
          <w:b/>
          <w:bCs w:val="0"/>
          <w:kern w:val="2"/>
          <w:sz w:val="36"/>
          <w:szCs w:val="36"/>
          <w:lang w:val="en-US" w:eastAsia="zh-CN"/>
        </w:rPr>
        <w:t>十二、其他重要事项情况说明</w:t>
      </w:r>
    </w:p>
    <w:p w14:paraId="7A14A795">
      <w:pPr>
        <w:adjustRightInd w:val="0"/>
        <w:snapToGrid w:val="0"/>
        <w:spacing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（一）项目及绩效目标情况。</w:t>
      </w:r>
    </w:p>
    <w:p w14:paraId="112D46FD">
      <w:pPr>
        <w:adjustRightInd w:val="0"/>
        <w:snapToGrid w:val="0"/>
        <w:spacing w:line="600" w:lineRule="exact"/>
        <w:ind w:firstLine="803" w:firstLineChars="250"/>
        <w:rPr>
          <w:rFonts w:hint="eastAsia" w:ascii="仿宋_GB2312" w:hAnsi="楷体" w:eastAsia="仿宋_GB2312"/>
          <w:b/>
          <w:sz w:val="32"/>
          <w:szCs w:val="32"/>
        </w:rPr>
      </w:pPr>
      <w:r>
        <w:rPr>
          <w:rFonts w:hint="eastAsia" w:ascii="仿宋_GB2312" w:hAnsi="楷体" w:eastAsia="仿宋_GB2312"/>
          <w:b/>
          <w:sz w:val="32"/>
          <w:szCs w:val="32"/>
        </w:rPr>
        <w:t>“</w:t>
      </w:r>
      <w:r>
        <w:rPr>
          <w:rFonts w:hint="eastAsia" w:ascii="仿宋_GB2312" w:hAnsi="楷体" w:eastAsia="仿宋_GB2312"/>
          <w:b/>
          <w:sz w:val="32"/>
          <w:szCs w:val="32"/>
          <w:lang w:eastAsia="zh-CN"/>
        </w:rPr>
        <w:t>合作办学经费（安师大）</w:t>
      </w:r>
      <w:r>
        <w:rPr>
          <w:rFonts w:hint="eastAsia" w:ascii="仿宋_GB2312" w:hAnsi="楷体" w:eastAsia="仿宋_GB2312"/>
          <w:b/>
          <w:sz w:val="32"/>
          <w:szCs w:val="32"/>
        </w:rPr>
        <w:t>”项目。</w:t>
      </w:r>
    </w:p>
    <w:p w14:paraId="3C170B8F">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烈山区政府为落实全国教育大会精神，推进优质基础教育资源下沉，着力办好人民满意的教育，更好地服务烈山区地方经济建设，促进烈山区基础教育的进一步发展，区政府将与安徽师范大学联合办学，并命名为“安徽师范大学附属烈山分校”。</w:t>
      </w:r>
    </w:p>
    <w:p w14:paraId="26A4A408">
      <w:pPr>
        <w:spacing w:line="600" w:lineRule="exact"/>
        <w:ind w:firstLine="585" w:firstLineChars="183"/>
        <w:rPr>
          <w:rFonts w:hint="eastAsia" w:ascii="仿宋_GB2312" w:hAnsi="楷体" w:eastAsia="仿宋_GB2312"/>
          <w:sz w:val="32"/>
          <w:szCs w:val="32"/>
          <w:u w:val="single"/>
          <w:lang w:eastAsia="zh-CN"/>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烈山区政府与安徽师范大学教育集团合作办学协议。</w:t>
      </w:r>
    </w:p>
    <w:p w14:paraId="5875CEDD">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（3）</w:t>
      </w:r>
      <w:r>
        <w:rPr>
          <w:rFonts w:hint="eastAsia" w:ascii="仿宋_GB2312" w:hAnsi="楷体"/>
          <w:sz w:val="32"/>
          <w:szCs w:val="32"/>
          <w:lang w:eastAsia="zh-CN"/>
        </w:rPr>
        <w:t>实施主体：烈山区教育局本级</w:t>
      </w:r>
    </w:p>
    <w:p w14:paraId="4BF11EEF">
      <w:pPr>
        <w:numPr>
          <w:ilvl w:val="0"/>
          <w:numId w:val="3"/>
        </w:num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起止时间。</w:t>
      </w:r>
      <w:r>
        <w:rPr>
          <w:rFonts w:hint="eastAsia" w:ascii="仿宋_GB2312" w:hAnsi="仿宋"/>
          <w:sz w:val="32"/>
          <w:szCs w:val="32"/>
          <w:lang w:val="en-US" w:eastAsia="zh-CN"/>
        </w:rPr>
        <w:t>2025</w:t>
      </w:r>
      <w:r>
        <w:rPr>
          <w:rFonts w:hint="eastAsia" w:ascii="仿宋_GB2312" w:hAnsi="仿宋" w:eastAsia="仿宋_GB2312"/>
          <w:sz w:val="32"/>
          <w:szCs w:val="32"/>
          <w:lang w:val="en-US" w:eastAsia="zh-CN"/>
        </w:rPr>
        <w:t>年1月-</w:t>
      </w:r>
      <w:r>
        <w:rPr>
          <w:rFonts w:hint="eastAsia" w:ascii="仿宋_GB2312" w:hAnsi="仿宋"/>
          <w:sz w:val="32"/>
          <w:szCs w:val="32"/>
          <w:lang w:val="en-US" w:eastAsia="zh-CN"/>
        </w:rPr>
        <w:t>2025</w:t>
      </w:r>
      <w:r>
        <w:rPr>
          <w:rFonts w:hint="eastAsia" w:ascii="仿宋_GB2312" w:hAnsi="仿宋" w:eastAsia="仿宋_GB2312"/>
          <w:sz w:val="32"/>
          <w:szCs w:val="32"/>
          <w:lang w:val="en-US" w:eastAsia="zh-CN"/>
        </w:rPr>
        <w:t>年12月</w:t>
      </w:r>
    </w:p>
    <w:p w14:paraId="05939395">
      <w:pPr>
        <w:numPr>
          <w:ilvl w:val="0"/>
          <w:numId w:val="3"/>
        </w:num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项目内容。</w:t>
      </w:r>
      <w:r>
        <w:rPr>
          <w:rFonts w:hint="eastAsia" w:ascii="仿宋_GB2312" w:hAnsi="楷体" w:eastAsia="仿宋_GB2312"/>
          <w:sz w:val="32"/>
          <w:szCs w:val="32"/>
          <w:lang w:val="en-US" w:eastAsia="zh-CN"/>
        </w:rPr>
        <w:t>1、</w:t>
      </w:r>
      <w:r>
        <w:rPr>
          <w:rFonts w:hint="eastAsia" w:ascii="仿宋_GB2312" w:hAnsi="楷体" w:eastAsia="仿宋_GB2312"/>
          <w:sz w:val="32"/>
          <w:szCs w:val="32"/>
          <w:lang w:eastAsia="zh-CN"/>
        </w:rPr>
        <w:t>安徽师范大学负责在合作办学期间从安徽师范大学选派一名校长、一名副校长和少数学科教师保障“烈山分校”日常工作。缺额的教师在不能得到正式编制招聘新教师的情况下由烈山区政府负责聘任岗位所需教师。</w:t>
      </w:r>
    </w:p>
    <w:p w14:paraId="3AFD1EFF">
      <w:pPr>
        <w:pStyle w:val="6"/>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2、安徽师范大学将“烈山分校”进行集团一体化管理，实行教科研打通，做到优质资源共享。</w:t>
      </w:r>
    </w:p>
    <w:p w14:paraId="2FA645C1">
      <w:pPr>
        <w:pStyle w:val="6"/>
        <w:rPr>
          <w:rFonts w:hint="default" w:ascii="仿宋_GB2312" w:hAnsi="楷体" w:eastAsia="仿宋_GB2312"/>
          <w:sz w:val="32"/>
          <w:szCs w:val="32"/>
          <w:lang w:val="en-US" w:eastAsia="zh-CN"/>
        </w:rPr>
      </w:pPr>
      <w:r>
        <w:rPr>
          <w:rFonts w:hint="eastAsia" w:ascii="仿宋_GB2312" w:hAnsi="楷体" w:eastAsia="仿宋_GB2312"/>
          <w:sz w:val="32"/>
          <w:szCs w:val="32"/>
          <w:lang w:val="en-US" w:eastAsia="zh-CN"/>
        </w:rPr>
        <w:t>3、烈山区政府负责“烈山分校”教育教学各项仪器设备的投入，承担“烈山附校”师资和生均公用经费保障等义务，支持“烈山分校”发展。</w:t>
      </w:r>
    </w:p>
    <w:p w14:paraId="7DDF05DE">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w:t>
      </w:r>
      <w:r>
        <w:rPr>
          <w:rFonts w:hint="eastAsia" w:ascii="仿宋_GB2312" w:hAnsi="楷体"/>
          <w:sz w:val="32"/>
          <w:szCs w:val="32"/>
          <w:lang w:val="en-US" w:eastAsia="zh-CN"/>
        </w:rPr>
        <w:t>6</w:t>
      </w:r>
      <w:r>
        <w:rPr>
          <w:rFonts w:hint="eastAsia" w:ascii="仿宋_GB2312" w:hAnsi="楷体" w:eastAsia="仿宋_GB2312"/>
          <w:sz w:val="32"/>
          <w:szCs w:val="32"/>
        </w:rPr>
        <w:t>）年度预算安排。</w:t>
      </w:r>
      <w:r>
        <w:rPr>
          <w:rFonts w:hint="eastAsia" w:ascii="仿宋_GB2312" w:hAnsi="仿宋" w:eastAsia="仿宋_GB2312"/>
          <w:sz w:val="32"/>
          <w:szCs w:val="32"/>
          <w:lang w:eastAsia="zh-CN"/>
        </w:rPr>
        <w:t>一般预算财政拨款安排</w:t>
      </w:r>
      <w:r>
        <w:rPr>
          <w:rFonts w:hint="eastAsia" w:ascii="仿宋_GB2312" w:hAnsi="仿宋" w:eastAsia="仿宋_GB2312"/>
          <w:sz w:val="32"/>
          <w:szCs w:val="32"/>
          <w:lang w:val="en-US" w:eastAsia="zh-CN"/>
        </w:rPr>
        <w:t>200万元。</w:t>
      </w:r>
    </w:p>
    <w:p w14:paraId="18C3EC98">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w:t>
      </w:r>
      <w:r>
        <w:rPr>
          <w:rFonts w:hint="eastAsia" w:ascii="仿宋_GB2312" w:hAnsi="楷体"/>
          <w:sz w:val="32"/>
          <w:szCs w:val="32"/>
          <w:lang w:val="en-US" w:eastAsia="zh-CN"/>
        </w:rPr>
        <w:t>7</w:t>
      </w:r>
      <w:r>
        <w:rPr>
          <w:rFonts w:hint="eastAsia" w:ascii="仿宋_GB2312" w:hAnsi="楷体" w:eastAsia="仿宋_GB2312"/>
          <w:sz w:val="32"/>
          <w:szCs w:val="32"/>
        </w:rPr>
        <w:t>）绩效目标和指标。</w:t>
      </w:r>
      <w:r>
        <w:rPr>
          <w:rFonts w:hint="eastAsia" w:ascii="仿宋_GB2312" w:hAnsi="楷体" w:eastAsia="仿宋_GB2312"/>
          <w:sz w:val="32"/>
          <w:szCs w:val="32"/>
          <w:lang w:eastAsia="zh-CN"/>
        </w:rPr>
        <w:t>培养一批骨干教师，使其能够承担县、市级比赛中获得好成绩；有一批学生在县、市级各类比赛中获得好成绩；学校办学彰显特色，管理水平向淮北市一流水平靠近，办学水平督导评估达到优秀等级。</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528F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211B1F6E">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83A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394DD7E4">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6D29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656B19F3">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568DFB16">
            <w:pPr>
              <w:jc w:val="center"/>
              <w:rPr>
                <w:rFonts w:ascii="宋体" w:cs="宋体"/>
                <w:sz w:val="20"/>
              </w:rPr>
            </w:pPr>
            <w:r>
              <w:rPr>
                <w:rFonts w:hint="eastAsia" w:ascii="宋体" w:hAnsi="宋体" w:cs="宋体"/>
                <w:kern w:val="0"/>
                <w:sz w:val="22"/>
                <w:szCs w:val="22"/>
                <w:lang w:eastAsia="zh-CN"/>
              </w:rPr>
              <w:t>合作办学经费（安师大</w:t>
            </w:r>
          </w:p>
        </w:tc>
      </w:tr>
      <w:tr w14:paraId="1C21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49AF666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31447F03">
            <w:pPr>
              <w:jc w:val="both"/>
              <w:rPr>
                <w:rFonts w:hint="eastAsia" w:ascii="宋体" w:eastAsia="仿宋_GB2312" w:cs="宋体"/>
                <w:sz w:val="20"/>
                <w:lang w:val="en-US" w:eastAsia="zh-CN"/>
              </w:rPr>
            </w:pPr>
            <w:r>
              <w:rPr>
                <w:rFonts w:hint="eastAsia" w:ascii="宋体" w:cs="宋体"/>
                <w:sz w:val="20"/>
                <w:lang w:val="en-US" w:eastAsia="zh-CN"/>
              </w:rPr>
              <w:t>烈山区政府</w:t>
            </w:r>
          </w:p>
        </w:tc>
        <w:tc>
          <w:tcPr>
            <w:tcW w:w="1848" w:type="dxa"/>
            <w:tcBorders>
              <w:tl2br w:val="nil"/>
              <w:tr2bl w:val="nil"/>
            </w:tcBorders>
            <w:noWrap w:val="0"/>
            <w:vAlign w:val="center"/>
          </w:tcPr>
          <w:p w14:paraId="475CB029">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07B6DA05">
            <w:pPr>
              <w:jc w:val="both"/>
              <w:rPr>
                <w:rFonts w:hint="eastAsia" w:ascii="宋体" w:hAnsi="Times New Roman" w:cs="宋体"/>
                <w:sz w:val="20"/>
                <w:lang w:val="en-US" w:eastAsia="zh-CN"/>
              </w:rPr>
            </w:pPr>
            <w:r>
              <w:rPr>
                <w:rFonts w:hint="eastAsia" w:ascii="宋体" w:hAnsi="Times New Roman" w:cs="宋体"/>
                <w:sz w:val="20"/>
                <w:lang w:val="en-US" w:eastAsia="zh-CN"/>
              </w:rPr>
              <w:t>烈山中心校</w:t>
            </w:r>
          </w:p>
        </w:tc>
      </w:tr>
      <w:tr w14:paraId="10EA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1166D6F6">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515E76DD">
            <w:pPr>
              <w:jc w:val="center"/>
              <w:rPr>
                <w:rFonts w:hint="eastAsia" w:ascii="宋体" w:eastAsia="仿宋_GB2312" w:cs="宋体"/>
                <w:sz w:val="20"/>
                <w:lang w:eastAsia="zh-CN"/>
              </w:rPr>
            </w:pPr>
            <w:r>
              <w:rPr>
                <w:rFonts w:hint="eastAsia" w:ascii="宋体" w:cs="宋体"/>
                <w:sz w:val="20"/>
                <w:lang w:eastAsia="zh-CN"/>
              </w:rPr>
              <w:t>年初预算</w:t>
            </w:r>
          </w:p>
        </w:tc>
        <w:tc>
          <w:tcPr>
            <w:tcW w:w="1848" w:type="dxa"/>
            <w:tcBorders>
              <w:tl2br w:val="nil"/>
              <w:tr2bl w:val="nil"/>
            </w:tcBorders>
            <w:noWrap w:val="0"/>
            <w:vAlign w:val="center"/>
          </w:tcPr>
          <w:p w14:paraId="703D3DBC">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04EAB002">
            <w:pPr>
              <w:jc w:val="center"/>
            </w:pPr>
            <w:r>
              <w:rPr>
                <w:rFonts w:hint="eastAsia" w:ascii="宋体" w:hAnsi="宋体" w:cs="宋体"/>
                <w:kern w:val="0"/>
                <w:sz w:val="22"/>
                <w:szCs w:val="22"/>
                <w:lang w:val="en-US" w:eastAsia="zh-CN"/>
              </w:rPr>
              <w:t>2025.01-2025.12</w:t>
            </w:r>
          </w:p>
        </w:tc>
      </w:tr>
      <w:tr w14:paraId="1955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00E99B48">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0F25D2EA">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47F3D561">
            <w:pPr>
              <w:jc w:val="right"/>
              <w:rPr>
                <w:rFonts w:hint="default" w:ascii="宋体" w:eastAsia="仿宋_GB2312" w:cs="宋体"/>
                <w:sz w:val="20"/>
                <w:lang w:val="en-US" w:eastAsia="zh-CN"/>
              </w:rPr>
            </w:pPr>
            <w:r>
              <w:rPr>
                <w:rFonts w:hint="eastAsia" w:ascii="宋体" w:cs="宋体"/>
                <w:sz w:val="20"/>
                <w:lang w:val="en-US" w:eastAsia="zh-CN"/>
              </w:rPr>
              <w:t>200</w:t>
            </w:r>
          </w:p>
        </w:tc>
      </w:tr>
      <w:tr w14:paraId="1676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2495C315">
            <w:pPr>
              <w:jc w:val="center"/>
              <w:rPr>
                <w:rFonts w:ascii="宋体" w:cs="宋体"/>
                <w:sz w:val="20"/>
              </w:rPr>
            </w:pPr>
          </w:p>
        </w:tc>
        <w:tc>
          <w:tcPr>
            <w:tcW w:w="3349" w:type="dxa"/>
            <w:gridSpan w:val="2"/>
            <w:tcBorders>
              <w:tl2br w:val="nil"/>
              <w:tr2bl w:val="nil"/>
            </w:tcBorders>
            <w:noWrap w:val="0"/>
            <w:vAlign w:val="center"/>
          </w:tcPr>
          <w:p w14:paraId="025017B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5413641C">
            <w:pPr>
              <w:jc w:val="right"/>
              <w:rPr>
                <w:rFonts w:hint="default" w:ascii="宋体" w:eastAsia="仿宋_GB2312" w:cs="宋体"/>
                <w:sz w:val="20"/>
                <w:lang w:val="en-US" w:eastAsia="zh-CN"/>
              </w:rPr>
            </w:pPr>
            <w:r>
              <w:rPr>
                <w:rFonts w:hint="eastAsia" w:ascii="宋体" w:cs="宋体"/>
                <w:sz w:val="20"/>
                <w:lang w:val="en-US" w:eastAsia="zh-CN"/>
              </w:rPr>
              <w:t>200</w:t>
            </w:r>
          </w:p>
        </w:tc>
      </w:tr>
      <w:tr w14:paraId="251B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058B50E1">
            <w:pPr>
              <w:jc w:val="center"/>
              <w:rPr>
                <w:rFonts w:ascii="宋体" w:cs="宋体"/>
                <w:sz w:val="20"/>
              </w:rPr>
            </w:pPr>
          </w:p>
        </w:tc>
        <w:tc>
          <w:tcPr>
            <w:tcW w:w="3349" w:type="dxa"/>
            <w:gridSpan w:val="2"/>
            <w:tcBorders>
              <w:tl2br w:val="nil"/>
              <w:tr2bl w:val="nil"/>
            </w:tcBorders>
            <w:noWrap w:val="0"/>
            <w:vAlign w:val="center"/>
          </w:tcPr>
          <w:p w14:paraId="2147F488">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705A767A">
            <w:pPr>
              <w:jc w:val="center"/>
              <w:rPr>
                <w:rFonts w:ascii="宋体" w:cs="宋体"/>
                <w:sz w:val="20"/>
              </w:rPr>
            </w:pPr>
          </w:p>
        </w:tc>
      </w:tr>
      <w:tr w14:paraId="67C7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23CA94B2">
            <w:pPr>
              <w:jc w:val="center"/>
              <w:rPr>
                <w:rFonts w:ascii="宋体" w:cs="宋体"/>
                <w:sz w:val="20"/>
              </w:rPr>
            </w:pPr>
          </w:p>
        </w:tc>
        <w:tc>
          <w:tcPr>
            <w:tcW w:w="3349" w:type="dxa"/>
            <w:gridSpan w:val="2"/>
            <w:tcBorders>
              <w:tl2br w:val="nil"/>
              <w:tr2bl w:val="nil"/>
            </w:tcBorders>
            <w:noWrap w:val="0"/>
            <w:vAlign w:val="center"/>
          </w:tcPr>
          <w:p w14:paraId="21BB6B8D">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41C83925">
            <w:pPr>
              <w:jc w:val="right"/>
              <w:rPr>
                <w:rFonts w:ascii="宋体" w:cs="宋体"/>
                <w:sz w:val="20"/>
              </w:rPr>
            </w:pPr>
          </w:p>
        </w:tc>
      </w:tr>
      <w:tr w14:paraId="7217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10A6CFF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25829C09">
            <w:pPr>
              <w:jc w:val="left"/>
              <w:rPr>
                <w:rFonts w:ascii="宋体" w:cs="宋体"/>
                <w:sz w:val="20"/>
              </w:rPr>
            </w:pPr>
            <w:r>
              <w:rPr>
                <w:rFonts w:hint="eastAsia" w:ascii="宋体" w:hAnsi="宋体" w:cs="宋体"/>
                <w:kern w:val="0"/>
                <w:sz w:val="22"/>
                <w:szCs w:val="22"/>
                <w:lang w:eastAsia="zh-CN"/>
              </w:rPr>
              <w:t>培养一批骨干教师，使其能够承担县、市级比赛中获得好成绩；有一批学生在县、市级各类比赛中获得好成绩；学校办学彰显特色，管理水平向淮北市一流水平靠近，办学水平督导评估达到优秀等级。</w:t>
            </w:r>
          </w:p>
        </w:tc>
      </w:tr>
      <w:tr w14:paraId="0B90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6834404C">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1381186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60A0317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6D8860D8">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16EB6CE7">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1631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8DDCA20">
            <w:pPr>
              <w:jc w:val="center"/>
              <w:rPr>
                <w:rFonts w:ascii="宋体" w:cs="宋体"/>
                <w:sz w:val="20"/>
              </w:rPr>
            </w:pPr>
          </w:p>
        </w:tc>
        <w:tc>
          <w:tcPr>
            <w:tcW w:w="723" w:type="dxa"/>
            <w:vMerge w:val="restart"/>
            <w:tcBorders>
              <w:tl2br w:val="nil"/>
              <w:tr2bl w:val="nil"/>
            </w:tcBorders>
            <w:noWrap w:val="0"/>
            <w:vAlign w:val="center"/>
          </w:tcPr>
          <w:p w14:paraId="249EE85C">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noWrap w:val="0"/>
            <w:vAlign w:val="center"/>
          </w:tcPr>
          <w:p w14:paraId="1C705D6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60CE5C81">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noWrap w:val="0"/>
            <w:vAlign w:val="center"/>
          </w:tcPr>
          <w:p w14:paraId="0004C6C7">
            <w:pPr>
              <w:jc w:val="center"/>
              <w:rPr>
                <w:rFonts w:ascii="宋体" w:cs="宋体"/>
                <w:sz w:val="20"/>
              </w:rPr>
            </w:pPr>
          </w:p>
        </w:tc>
      </w:tr>
      <w:tr w14:paraId="60DC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0B08E07">
            <w:pPr>
              <w:jc w:val="center"/>
              <w:rPr>
                <w:rFonts w:ascii="宋体" w:cs="宋体"/>
                <w:sz w:val="20"/>
              </w:rPr>
            </w:pPr>
          </w:p>
        </w:tc>
        <w:tc>
          <w:tcPr>
            <w:tcW w:w="723" w:type="dxa"/>
            <w:vMerge w:val="continue"/>
            <w:tcBorders>
              <w:tl2br w:val="nil"/>
              <w:tr2bl w:val="nil"/>
            </w:tcBorders>
            <w:noWrap w:val="0"/>
            <w:vAlign w:val="center"/>
          </w:tcPr>
          <w:p w14:paraId="587FEFC3">
            <w:pPr>
              <w:jc w:val="center"/>
              <w:rPr>
                <w:rFonts w:ascii="宋体" w:cs="宋体"/>
                <w:sz w:val="20"/>
              </w:rPr>
            </w:pPr>
          </w:p>
        </w:tc>
        <w:tc>
          <w:tcPr>
            <w:tcW w:w="759" w:type="dxa"/>
            <w:gridSpan w:val="2"/>
            <w:vMerge w:val="continue"/>
            <w:tcBorders>
              <w:tl2br w:val="nil"/>
              <w:tr2bl w:val="nil"/>
            </w:tcBorders>
            <w:noWrap w:val="0"/>
            <w:vAlign w:val="center"/>
          </w:tcPr>
          <w:p w14:paraId="2A9FB5AE">
            <w:pPr>
              <w:jc w:val="center"/>
              <w:rPr>
                <w:rFonts w:ascii="宋体" w:cs="宋体"/>
                <w:sz w:val="20"/>
              </w:rPr>
            </w:pPr>
          </w:p>
        </w:tc>
        <w:tc>
          <w:tcPr>
            <w:tcW w:w="2872" w:type="dxa"/>
            <w:tcBorders>
              <w:tl2br w:val="nil"/>
              <w:tr2bl w:val="nil"/>
            </w:tcBorders>
            <w:noWrap w:val="0"/>
            <w:vAlign w:val="center"/>
          </w:tcPr>
          <w:p w14:paraId="2042A604">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noWrap w:val="0"/>
            <w:vAlign w:val="center"/>
          </w:tcPr>
          <w:p w14:paraId="50766C6E">
            <w:pPr>
              <w:jc w:val="center"/>
              <w:rPr>
                <w:rFonts w:ascii="宋体" w:cs="宋体"/>
                <w:sz w:val="20"/>
              </w:rPr>
            </w:pPr>
          </w:p>
        </w:tc>
      </w:tr>
      <w:tr w14:paraId="561D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A9F2B4D">
            <w:pPr>
              <w:jc w:val="center"/>
              <w:rPr>
                <w:rFonts w:ascii="宋体" w:cs="宋体"/>
                <w:sz w:val="20"/>
              </w:rPr>
            </w:pPr>
          </w:p>
        </w:tc>
        <w:tc>
          <w:tcPr>
            <w:tcW w:w="723" w:type="dxa"/>
            <w:vMerge w:val="continue"/>
            <w:tcBorders>
              <w:tl2br w:val="nil"/>
              <w:tr2bl w:val="nil"/>
            </w:tcBorders>
            <w:noWrap w:val="0"/>
            <w:vAlign w:val="center"/>
          </w:tcPr>
          <w:p w14:paraId="6A731C75">
            <w:pPr>
              <w:jc w:val="center"/>
              <w:rPr>
                <w:rFonts w:ascii="宋体" w:cs="宋体"/>
                <w:sz w:val="20"/>
              </w:rPr>
            </w:pPr>
          </w:p>
        </w:tc>
        <w:tc>
          <w:tcPr>
            <w:tcW w:w="759" w:type="dxa"/>
            <w:gridSpan w:val="2"/>
            <w:vMerge w:val="restart"/>
            <w:tcBorders>
              <w:tl2br w:val="nil"/>
              <w:tr2bl w:val="nil"/>
            </w:tcBorders>
            <w:noWrap w:val="0"/>
            <w:vAlign w:val="center"/>
          </w:tcPr>
          <w:p w14:paraId="0B1A652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62CA67B2">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noWrap w:val="0"/>
            <w:vAlign w:val="center"/>
          </w:tcPr>
          <w:p w14:paraId="570DCF76">
            <w:pPr>
              <w:jc w:val="center"/>
              <w:rPr>
                <w:rFonts w:ascii="宋体" w:cs="宋体"/>
                <w:sz w:val="20"/>
              </w:rPr>
            </w:pPr>
          </w:p>
        </w:tc>
      </w:tr>
      <w:tr w14:paraId="259D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A635B66">
            <w:pPr>
              <w:jc w:val="center"/>
              <w:rPr>
                <w:rFonts w:ascii="宋体" w:cs="宋体"/>
                <w:sz w:val="20"/>
              </w:rPr>
            </w:pPr>
          </w:p>
        </w:tc>
        <w:tc>
          <w:tcPr>
            <w:tcW w:w="723" w:type="dxa"/>
            <w:vMerge w:val="continue"/>
            <w:tcBorders>
              <w:tl2br w:val="nil"/>
              <w:tr2bl w:val="nil"/>
            </w:tcBorders>
            <w:noWrap w:val="0"/>
            <w:vAlign w:val="center"/>
          </w:tcPr>
          <w:p w14:paraId="4A70E865">
            <w:pPr>
              <w:jc w:val="center"/>
              <w:rPr>
                <w:rFonts w:ascii="宋体" w:cs="宋体"/>
                <w:sz w:val="20"/>
              </w:rPr>
            </w:pPr>
          </w:p>
        </w:tc>
        <w:tc>
          <w:tcPr>
            <w:tcW w:w="759" w:type="dxa"/>
            <w:gridSpan w:val="2"/>
            <w:vMerge w:val="continue"/>
            <w:tcBorders>
              <w:tl2br w:val="nil"/>
              <w:tr2bl w:val="nil"/>
            </w:tcBorders>
            <w:noWrap w:val="0"/>
            <w:vAlign w:val="center"/>
          </w:tcPr>
          <w:p w14:paraId="6B5AAB42">
            <w:pPr>
              <w:jc w:val="center"/>
              <w:rPr>
                <w:rFonts w:ascii="宋体" w:cs="宋体"/>
                <w:sz w:val="20"/>
              </w:rPr>
            </w:pPr>
          </w:p>
        </w:tc>
        <w:tc>
          <w:tcPr>
            <w:tcW w:w="2872" w:type="dxa"/>
            <w:tcBorders>
              <w:tl2br w:val="nil"/>
              <w:tr2bl w:val="nil"/>
            </w:tcBorders>
            <w:noWrap w:val="0"/>
            <w:vAlign w:val="center"/>
          </w:tcPr>
          <w:p w14:paraId="71114CB1">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noWrap w:val="0"/>
            <w:vAlign w:val="center"/>
          </w:tcPr>
          <w:p w14:paraId="04B35B80">
            <w:pPr>
              <w:jc w:val="center"/>
              <w:rPr>
                <w:rFonts w:ascii="宋体" w:cs="宋体"/>
                <w:sz w:val="20"/>
              </w:rPr>
            </w:pPr>
          </w:p>
        </w:tc>
      </w:tr>
      <w:tr w14:paraId="495D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9007768">
            <w:pPr>
              <w:jc w:val="center"/>
              <w:rPr>
                <w:rFonts w:ascii="宋体" w:cs="宋体"/>
                <w:sz w:val="20"/>
              </w:rPr>
            </w:pPr>
          </w:p>
        </w:tc>
        <w:tc>
          <w:tcPr>
            <w:tcW w:w="723" w:type="dxa"/>
            <w:vMerge w:val="continue"/>
            <w:tcBorders>
              <w:tl2br w:val="nil"/>
              <w:tr2bl w:val="nil"/>
            </w:tcBorders>
            <w:noWrap w:val="0"/>
            <w:vAlign w:val="center"/>
          </w:tcPr>
          <w:p w14:paraId="4F205B4B">
            <w:pPr>
              <w:jc w:val="center"/>
              <w:rPr>
                <w:rFonts w:ascii="宋体" w:cs="宋体"/>
                <w:sz w:val="20"/>
              </w:rPr>
            </w:pPr>
          </w:p>
        </w:tc>
        <w:tc>
          <w:tcPr>
            <w:tcW w:w="759" w:type="dxa"/>
            <w:gridSpan w:val="2"/>
            <w:vMerge w:val="restart"/>
            <w:tcBorders>
              <w:tl2br w:val="nil"/>
              <w:tr2bl w:val="nil"/>
            </w:tcBorders>
            <w:noWrap w:val="0"/>
            <w:vAlign w:val="center"/>
          </w:tcPr>
          <w:p w14:paraId="0EFED1F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10587FE9">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一年</w:t>
            </w:r>
          </w:p>
        </w:tc>
        <w:tc>
          <w:tcPr>
            <w:tcW w:w="4228" w:type="dxa"/>
            <w:gridSpan w:val="2"/>
            <w:tcBorders>
              <w:tl2br w:val="nil"/>
              <w:tr2bl w:val="nil"/>
            </w:tcBorders>
            <w:noWrap w:val="0"/>
            <w:vAlign w:val="center"/>
          </w:tcPr>
          <w:p w14:paraId="70F92675">
            <w:pPr>
              <w:jc w:val="center"/>
              <w:rPr>
                <w:rFonts w:hint="default" w:ascii="宋体" w:eastAsia="仿宋_GB2312" w:cs="宋体"/>
                <w:sz w:val="20"/>
                <w:lang w:val="en-US" w:eastAsia="zh-CN"/>
              </w:rPr>
            </w:pPr>
            <w:r>
              <w:rPr>
                <w:rFonts w:hint="eastAsia" w:ascii="宋体" w:cs="宋体"/>
                <w:sz w:val="20"/>
                <w:lang w:val="en-US" w:eastAsia="zh-CN"/>
              </w:rPr>
              <w:t>100</w:t>
            </w:r>
          </w:p>
        </w:tc>
      </w:tr>
      <w:tr w14:paraId="1A81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EE22FC6">
            <w:pPr>
              <w:jc w:val="center"/>
              <w:rPr>
                <w:rFonts w:ascii="宋体" w:cs="宋体"/>
                <w:sz w:val="20"/>
              </w:rPr>
            </w:pPr>
          </w:p>
        </w:tc>
        <w:tc>
          <w:tcPr>
            <w:tcW w:w="723" w:type="dxa"/>
            <w:vMerge w:val="continue"/>
            <w:tcBorders>
              <w:tl2br w:val="nil"/>
              <w:tr2bl w:val="nil"/>
            </w:tcBorders>
            <w:noWrap w:val="0"/>
            <w:vAlign w:val="center"/>
          </w:tcPr>
          <w:p w14:paraId="44ED2112">
            <w:pPr>
              <w:jc w:val="center"/>
              <w:rPr>
                <w:rFonts w:ascii="宋体" w:cs="宋体"/>
                <w:sz w:val="20"/>
              </w:rPr>
            </w:pPr>
          </w:p>
        </w:tc>
        <w:tc>
          <w:tcPr>
            <w:tcW w:w="759" w:type="dxa"/>
            <w:gridSpan w:val="2"/>
            <w:vMerge w:val="continue"/>
            <w:tcBorders>
              <w:tl2br w:val="nil"/>
              <w:tr2bl w:val="nil"/>
            </w:tcBorders>
            <w:noWrap w:val="0"/>
            <w:vAlign w:val="center"/>
          </w:tcPr>
          <w:p w14:paraId="280BFE2A">
            <w:pPr>
              <w:jc w:val="center"/>
              <w:rPr>
                <w:rFonts w:ascii="宋体" w:cs="宋体"/>
                <w:sz w:val="20"/>
              </w:rPr>
            </w:pPr>
          </w:p>
        </w:tc>
        <w:tc>
          <w:tcPr>
            <w:tcW w:w="2872" w:type="dxa"/>
            <w:tcBorders>
              <w:tl2br w:val="nil"/>
              <w:tr2bl w:val="nil"/>
            </w:tcBorders>
            <w:noWrap w:val="0"/>
            <w:vAlign w:val="center"/>
          </w:tcPr>
          <w:p w14:paraId="718EBC42">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noWrap w:val="0"/>
            <w:vAlign w:val="center"/>
          </w:tcPr>
          <w:p w14:paraId="3EDB63D7">
            <w:pPr>
              <w:jc w:val="center"/>
              <w:rPr>
                <w:rFonts w:ascii="宋体" w:cs="宋体"/>
                <w:sz w:val="20"/>
              </w:rPr>
            </w:pPr>
          </w:p>
        </w:tc>
      </w:tr>
      <w:tr w14:paraId="7209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9892ADE">
            <w:pPr>
              <w:jc w:val="center"/>
              <w:rPr>
                <w:rFonts w:ascii="宋体" w:cs="宋体"/>
                <w:sz w:val="20"/>
              </w:rPr>
            </w:pPr>
          </w:p>
        </w:tc>
        <w:tc>
          <w:tcPr>
            <w:tcW w:w="723" w:type="dxa"/>
            <w:vMerge w:val="continue"/>
            <w:tcBorders>
              <w:tl2br w:val="nil"/>
              <w:tr2bl w:val="nil"/>
            </w:tcBorders>
            <w:noWrap w:val="0"/>
            <w:vAlign w:val="center"/>
          </w:tcPr>
          <w:p w14:paraId="63A9A217">
            <w:pPr>
              <w:jc w:val="center"/>
              <w:rPr>
                <w:rFonts w:ascii="宋体" w:cs="宋体"/>
                <w:sz w:val="20"/>
              </w:rPr>
            </w:pPr>
          </w:p>
        </w:tc>
        <w:tc>
          <w:tcPr>
            <w:tcW w:w="759" w:type="dxa"/>
            <w:gridSpan w:val="2"/>
            <w:vMerge w:val="restart"/>
            <w:tcBorders>
              <w:tl2br w:val="nil"/>
              <w:tr2bl w:val="nil"/>
            </w:tcBorders>
            <w:noWrap w:val="0"/>
            <w:vAlign w:val="center"/>
          </w:tcPr>
          <w:p w14:paraId="1AD4899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76285081">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不适用</w:t>
            </w:r>
          </w:p>
        </w:tc>
        <w:tc>
          <w:tcPr>
            <w:tcW w:w="4228" w:type="dxa"/>
            <w:gridSpan w:val="2"/>
            <w:tcBorders>
              <w:tl2br w:val="nil"/>
              <w:tr2bl w:val="nil"/>
            </w:tcBorders>
            <w:noWrap w:val="0"/>
            <w:vAlign w:val="center"/>
          </w:tcPr>
          <w:p w14:paraId="6C8D3DC9">
            <w:pPr>
              <w:jc w:val="center"/>
              <w:rPr>
                <w:rFonts w:ascii="宋体" w:cs="宋体"/>
                <w:sz w:val="20"/>
              </w:rPr>
            </w:pPr>
          </w:p>
        </w:tc>
      </w:tr>
      <w:tr w14:paraId="22F9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511AABD">
            <w:pPr>
              <w:jc w:val="center"/>
              <w:rPr>
                <w:rFonts w:ascii="宋体" w:cs="宋体"/>
                <w:sz w:val="20"/>
              </w:rPr>
            </w:pPr>
          </w:p>
        </w:tc>
        <w:tc>
          <w:tcPr>
            <w:tcW w:w="723" w:type="dxa"/>
            <w:vMerge w:val="continue"/>
            <w:tcBorders>
              <w:tl2br w:val="nil"/>
              <w:tr2bl w:val="nil"/>
            </w:tcBorders>
            <w:noWrap w:val="0"/>
            <w:vAlign w:val="center"/>
          </w:tcPr>
          <w:p w14:paraId="5683FC4D">
            <w:pPr>
              <w:jc w:val="center"/>
              <w:rPr>
                <w:rFonts w:ascii="宋体" w:cs="宋体"/>
                <w:sz w:val="20"/>
              </w:rPr>
            </w:pPr>
          </w:p>
        </w:tc>
        <w:tc>
          <w:tcPr>
            <w:tcW w:w="759" w:type="dxa"/>
            <w:gridSpan w:val="2"/>
            <w:vMerge w:val="continue"/>
            <w:tcBorders>
              <w:tl2br w:val="nil"/>
              <w:tr2bl w:val="nil"/>
            </w:tcBorders>
            <w:noWrap w:val="0"/>
            <w:vAlign w:val="center"/>
          </w:tcPr>
          <w:p w14:paraId="27DE041C">
            <w:pPr>
              <w:jc w:val="center"/>
              <w:rPr>
                <w:rFonts w:ascii="宋体" w:cs="宋体"/>
                <w:sz w:val="20"/>
              </w:rPr>
            </w:pPr>
          </w:p>
        </w:tc>
        <w:tc>
          <w:tcPr>
            <w:tcW w:w="2872" w:type="dxa"/>
            <w:tcBorders>
              <w:tl2br w:val="nil"/>
              <w:tr2bl w:val="nil"/>
            </w:tcBorders>
            <w:noWrap w:val="0"/>
            <w:vAlign w:val="center"/>
          </w:tcPr>
          <w:p w14:paraId="08048432">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noWrap w:val="0"/>
            <w:vAlign w:val="center"/>
          </w:tcPr>
          <w:p w14:paraId="7FC3C094">
            <w:pPr>
              <w:jc w:val="center"/>
              <w:rPr>
                <w:rFonts w:ascii="宋体" w:cs="宋体"/>
                <w:sz w:val="20"/>
              </w:rPr>
            </w:pPr>
          </w:p>
        </w:tc>
      </w:tr>
      <w:tr w14:paraId="3326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2A3CF38">
            <w:pPr>
              <w:jc w:val="center"/>
              <w:rPr>
                <w:rFonts w:ascii="宋体" w:cs="宋体"/>
                <w:sz w:val="20"/>
              </w:rPr>
            </w:pPr>
          </w:p>
        </w:tc>
        <w:tc>
          <w:tcPr>
            <w:tcW w:w="723" w:type="dxa"/>
            <w:vMerge w:val="continue"/>
            <w:tcBorders>
              <w:tl2br w:val="nil"/>
              <w:tr2bl w:val="nil"/>
            </w:tcBorders>
            <w:noWrap w:val="0"/>
            <w:vAlign w:val="center"/>
          </w:tcPr>
          <w:p w14:paraId="2DC1A6C9">
            <w:pPr>
              <w:jc w:val="center"/>
              <w:rPr>
                <w:rFonts w:ascii="宋体" w:cs="宋体"/>
                <w:sz w:val="20"/>
              </w:rPr>
            </w:pPr>
          </w:p>
        </w:tc>
        <w:tc>
          <w:tcPr>
            <w:tcW w:w="759" w:type="dxa"/>
            <w:gridSpan w:val="2"/>
            <w:tcBorders>
              <w:tl2br w:val="nil"/>
              <w:tr2bl w:val="nil"/>
            </w:tcBorders>
            <w:noWrap w:val="0"/>
            <w:vAlign w:val="center"/>
          </w:tcPr>
          <w:p w14:paraId="592C9D35">
            <w:pPr>
              <w:widowControl/>
              <w:jc w:val="center"/>
              <w:textAlignment w:val="center"/>
              <w:rPr>
                <w:rFonts w:ascii="宋体" w:cs="宋体"/>
                <w:sz w:val="20"/>
              </w:rPr>
            </w:pPr>
            <w:r>
              <w:rPr>
                <w:rFonts w:hint="eastAsia" w:ascii="宋体" w:hAnsi="宋体" w:eastAsia="宋体" w:cs="宋体"/>
                <w:color w:val="000000"/>
                <w:kern w:val="0"/>
                <w:sz w:val="20"/>
                <w:szCs w:val="20"/>
              </w:rPr>
              <w:t>…</w:t>
            </w:r>
          </w:p>
        </w:tc>
        <w:tc>
          <w:tcPr>
            <w:tcW w:w="2872" w:type="dxa"/>
            <w:tcBorders>
              <w:tl2br w:val="nil"/>
              <w:tr2bl w:val="nil"/>
            </w:tcBorders>
            <w:noWrap w:val="0"/>
            <w:vAlign w:val="center"/>
          </w:tcPr>
          <w:p w14:paraId="2A17ED74">
            <w:pPr>
              <w:jc w:val="left"/>
              <w:rPr>
                <w:rFonts w:ascii="宋体" w:cs="宋体"/>
                <w:sz w:val="20"/>
              </w:rPr>
            </w:pPr>
          </w:p>
        </w:tc>
        <w:tc>
          <w:tcPr>
            <w:tcW w:w="4228" w:type="dxa"/>
            <w:gridSpan w:val="2"/>
            <w:tcBorders>
              <w:tl2br w:val="nil"/>
              <w:tr2bl w:val="nil"/>
            </w:tcBorders>
            <w:noWrap w:val="0"/>
            <w:vAlign w:val="center"/>
          </w:tcPr>
          <w:p w14:paraId="4E72002B">
            <w:pPr>
              <w:jc w:val="center"/>
              <w:rPr>
                <w:rFonts w:ascii="宋体" w:cs="宋体"/>
                <w:sz w:val="20"/>
              </w:rPr>
            </w:pPr>
          </w:p>
        </w:tc>
      </w:tr>
      <w:tr w14:paraId="5BE1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A5F2350">
            <w:pPr>
              <w:jc w:val="center"/>
              <w:rPr>
                <w:rFonts w:ascii="宋体" w:cs="宋体"/>
                <w:sz w:val="20"/>
              </w:rPr>
            </w:pPr>
          </w:p>
        </w:tc>
        <w:tc>
          <w:tcPr>
            <w:tcW w:w="723" w:type="dxa"/>
            <w:vMerge w:val="restart"/>
            <w:tcBorders>
              <w:tl2br w:val="nil"/>
              <w:tr2bl w:val="nil"/>
            </w:tcBorders>
            <w:noWrap w:val="0"/>
            <w:vAlign w:val="center"/>
          </w:tcPr>
          <w:p w14:paraId="4847AAC8">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noWrap w:val="0"/>
            <w:vAlign w:val="center"/>
          </w:tcPr>
          <w:p w14:paraId="57D5ED1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0B94292E">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不适用</w:t>
            </w:r>
          </w:p>
        </w:tc>
        <w:tc>
          <w:tcPr>
            <w:tcW w:w="4228" w:type="dxa"/>
            <w:gridSpan w:val="2"/>
            <w:tcBorders>
              <w:tl2br w:val="nil"/>
              <w:tr2bl w:val="nil"/>
            </w:tcBorders>
            <w:noWrap w:val="0"/>
            <w:vAlign w:val="center"/>
          </w:tcPr>
          <w:p w14:paraId="67CEEC2D">
            <w:pPr>
              <w:jc w:val="center"/>
              <w:rPr>
                <w:rFonts w:ascii="宋体" w:cs="宋体"/>
                <w:sz w:val="20"/>
              </w:rPr>
            </w:pPr>
          </w:p>
        </w:tc>
      </w:tr>
      <w:tr w14:paraId="74C8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3AACA83">
            <w:pPr>
              <w:jc w:val="center"/>
              <w:rPr>
                <w:rFonts w:ascii="宋体" w:cs="宋体"/>
                <w:sz w:val="20"/>
              </w:rPr>
            </w:pPr>
          </w:p>
        </w:tc>
        <w:tc>
          <w:tcPr>
            <w:tcW w:w="723" w:type="dxa"/>
            <w:vMerge w:val="continue"/>
            <w:tcBorders>
              <w:tl2br w:val="nil"/>
              <w:tr2bl w:val="nil"/>
            </w:tcBorders>
            <w:noWrap w:val="0"/>
            <w:vAlign w:val="center"/>
          </w:tcPr>
          <w:p w14:paraId="1ACE68D7">
            <w:pPr>
              <w:jc w:val="center"/>
              <w:rPr>
                <w:rFonts w:ascii="宋体" w:cs="宋体"/>
                <w:sz w:val="20"/>
              </w:rPr>
            </w:pPr>
          </w:p>
        </w:tc>
        <w:tc>
          <w:tcPr>
            <w:tcW w:w="759" w:type="dxa"/>
            <w:gridSpan w:val="2"/>
            <w:vMerge w:val="continue"/>
            <w:tcBorders>
              <w:tl2br w:val="nil"/>
              <w:tr2bl w:val="nil"/>
            </w:tcBorders>
            <w:noWrap w:val="0"/>
            <w:vAlign w:val="center"/>
          </w:tcPr>
          <w:p w14:paraId="4F1E4EAA">
            <w:pPr>
              <w:jc w:val="center"/>
              <w:rPr>
                <w:rFonts w:ascii="宋体" w:cs="宋体"/>
                <w:sz w:val="20"/>
              </w:rPr>
            </w:pPr>
          </w:p>
        </w:tc>
        <w:tc>
          <w:tcPr>
            <w:tcW w:w="2872" w:type="dxa"/>
            <w:tcBorders>
              <w:tl2br w:val="nil"/>
              <w:tr2bl w:val="nil"/>
            </w:tcBorders>
            <w:noWrap w:val="0"/>
            <w:vAlign w:val="center"/>
          </w:tcPr>
          <w:p w14:paraId="32710741">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noWrap w:val="0"/>
            <w:vAlign w:val="center"/>
          </w:tcPr>
          <w:p w14:paraId="212EBEB6">
            <w:pPr>
              <w:jc w:val="center"/>
              <w:rPr>
                <w:rFonts w:ascii="宋体" w:cs="宋体"/>
                <w:sz w:val="20"/>
              </w:rPr>
            </w:pPr>
          </w:p>
        </w:tc>
      </w:tr>
      <w:tr w14:paraId="5957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583E613">
            <w:pPr>
              <w:jc w:val="center"/>
              <w:rPr>
                <w:rFonts w:ascii="宋体" w:cs="宋体"/>
                <w:sz w:val="20"/>
              </w:rPr>
            </w:pPr>
          </w:p>
        </w:tc>
        <w:tc>
          <w:tcPr>
            <w:tcW w:w="723" w:type="dxa"/>
            <w:vMerge w:val="continue"/>
            <w:tcBorders>
              <w:tl2br w:val="nil"/>
              <w:tr2bl w:val="nil"/>
            </w:tcBorders>
            <w:noWrap w:val="0"/>
            <w:vAlign w:val="center"/>
          </w:tcPr>
          <w:p w14:paraId="16CE4C44">
            <w:pPr>
              <w:jc w:val="center"/>
              <w:rPr>
                <w:rFonts w:ascii="宋体" w:cs="宋体"/>
                <w:sz w:val="20"/>
              </w:rPr>
            </w:pPr>
          </w:p>
        </w:tc>
        <w:tc>
          <w:tcPr>
            <w:tcW w:w="759" w:type="dxa"/>
            <w:gridSpan w:val="2"/>
            <w:vMerge w:val="restart"/>
            <w:tcBorders>
              <w:tl2br w:val="nil"/>
              <w:tr2bl w:val="nil"/>
            </w:tcBorders>
            <w:noWrap w:val="0"/>
            <w:vAlign w:val="center"/>
          </w:tcPr>
          <w:p w14:paraId="30E3287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02CE2C68">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cs="宋体"/>
                <w:kern w:val="0"/>
                <w:sz w:val="22"/>
                <w:szCs w:val="22"/>
                <w:lang w:eastAsia="zh-CN"/>
              </w:rPr>
              <w:t>培养一批骨干教师，使其能够承担县、市级比赛中获得好成绩；有一批学生在县、市级各类比赛中获得好成绩；学校办学彰显特色，管理水平向淮北市一流水平靠近，办学水平督导评估达到优秀等级。</w:t>
            </w:r>
          </w:p>
        </w:tc>
        <w:tc>
          <w:tcPr>
            <w:tcW w:w="4228" w:type="dxa"/>
            <w:gridSpan w:val="2"/>
            <w:tcBorders>
              <w:tl2br w:val="nil"/>
              <w:tr2bl w:val="nil"/>
            </w:tcBorders>
            <w:noWrap w:val="0"/>
            <w:vAlign w:val="center"/>
          </w:tcPr>
          <w:p w14:paraId="7484AE21">
            <w:pPr>
              <w:jc w:val="center"/>
              <w:rPr>
                <w:rFonts w:ascii="宋体" w:cs="宋体"/>
                <w:sz w:val="20"/>
              </w:rPr>
            </w:pPr>
          </w:p>
        </w:tc>
      </w:tr>
      <w:tr w14:paraId="4C53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0F6BE4E">
            <w:pPr>
              <w:jc w:val="center"/>
              <w:rPr>
                <w:rFonts w:ascii="宋体" w:cs="宋体"/>
                <w:sz w:val="20"/>
              </w:rPr>
            </w:pPr>
          </w:p>
        </w:tc>
        <w:tc>
          <w:tcPr>
            <w:tcW w:w="723" w:type="dxa"/>
            <w:vMerge w:val="continue"/>
            <w:tcBorders>
              <w:tl2br w:val="nil"/>
              <w:tr2bl w:val="nil"/>
            </w:tcBorders>
            <w:noWrap w:val="0"/>
            <w:vAlign w:val="center"/>
          </w:tcPr>
          <w:p w14:paraId="5F2D4862">
            <w:pPr>
              <w:jc w:val="center"/>
              <w:rPr>
                <w:rFonts w:ascii="宋体" w:cs="宋体"/>
                <w:sz w:val="20"/>
              </w:rPr>
            </w:pPr>
          </w:p>
        </w:tc>
        <w:tc>
          <w:tcPr>
            <w:tcW w:w="759" w:type="dxa"/>
            <w:gridSpan w:val="2"/>
            <w:vMerge w:val="continue"/>
            <w:tcBorders>
              <w:tl2br w:val="nil"/>
              <w:tr2bl w:val="nil"/>
            </w:tcBorders>
            <w:noWrap w:val="0"/>
            <w:vAlign w:val="center"/>
          </w:tcPr>
          <w:p w14:paraId="2B979B77">
            <w:pPr>
              <w:jc w:val="center"/>
              <w:rPr>
                <w:rFonts w:ascii="宋体" w:cs="宋体"/>
                <w:sz w:val="20"/>
              </w:rPr>
            </w:pPr>
          </w:p>
        </w:tc>
        <w:tc>
          <w:tcPr>
            <w:tcW w:w="2872" w:type="dxa"/>
            <w:tcBorders>
              <w:tl2br w:val="nil"/>
              <w:tr2bl w:val="nil"/>
            </w:tcBorders>
            <w:noWrap w:val="0"/>
            <w:vAlign w:val="center"/>
          </w:tcPr>
          <w:p w14:paraId="695848DA">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noWrap w:val="0"/>
            <w:vAlign w:val="center"/>
          </w:tcPr>
          <w:p w14:paraId="1FB5073B">
            <w:pPr>
              <w:jc w:val="center"/>
              <w:rPr>
                <w:rFonts w:ascii="宋体" w:cs="宋体"/>
                <w:sz w:val="20"/>
              </w:rPr>
            </w:pPr>
          </w:p>
        </w:tc>
      </w:tr>
      <w:tr w14:paraId="35F1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909FE3D">
            <w:pPr>
              <w:jc w:val="center"/>
              <w:rPr>
                <w:rFonts w:ascii="宋体" w:cs="宋体"/>
                <w:sz w:val="20"/>
              </w:rPr>
            </w:pPr>
          </w:p>
        </w:tc>
        <w:tc>
          <w:tcPr>
            <w:tcW w:w="723" w:type="dxa"/>
            <w:vMerge w:val="continue"/>
            <w:tcBorders>
              <w:tl2br w:val="nil"/>
              <w:tr2bl w:val="nil"/>
            </w:tcBorders>
            <w:noWrap w:val="0"/>
            <w:vAlign w:val="center"/>
          </w:tcPr>
          <w:p w14:paraId="0A4B64A5">
            <w:pPr>
              <w:jc w:val="center"/>
              <w:rPr>
                <w:rFonts w:ascii="宋体" w:cs="宋体"/>
                <w:sz w:val="20"/>
              </w:rPr>
            </w:pPr>
          </w:p>
        </w:tc>
        <w:tc>
          <w:tcPr>
            <w:tcW w:w="759" w:type="dxa"/>
            <w:gridSpan w:val="2"/>
            <w:vMerge w:val="restart"/>
            <w:tcBorders>
              <w:tl2br w:val="nil"/>
              <w:tr2bl w:val="nil"/>
            </w:tcBorders>
            <w:noWrap w:val="0"/>
            <w:vAlign w:val="center"/>
          </w:tcPr>
          <w:p w14:paraId="22E60FC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6068173C">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不适用</w:t>
            </w:r>
          </w:p>
        </w:tc>
        <w:tc>
          <w:tcPr>
            <w:tcW w:w="4228" w:type="dxa"/>
            <w:gridSpan w:val="2"/>
            <w:tcBorders>
              <w:tl2br w:val="nil"/>
              <w:tr2bl w:val="nil"/>
            </w:tcBorders>
            <w:noWrap w:val="0"/>
            <w:vAlign w:val="center"/>
          </w:tcPr>
          <w:p w14:paraId="70C372B8">
            <w:pPr>
              <w:jc w:val="center"/>
              <w:rPr>
                <w:rFonts w:ascii="宋体" w:cs="宋体"/>
                <w:sz w:val="20"/>
              </w:rPr>
            </w:pPr>
          </w:p>
        </w:tc>
      </w:tr>
      <w:tr w14:paraId="797B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87F4FB1">
            <w:pPr>
              <w:jc w:val="center"/>
              <w:rPr>
                <w:rFonts w:ascii="宋体" w:cs="宋体"/>
                <w:sz w:val="20"/>
              </w:rPr>
            </w:pPr>
          </w:p>
        </w:tc>
        <w:tc>
          <w:tcPr>
            <w:tcW w:w="723" w:type="dxa"/>
            <w:vMerge w:val="continue"/>
            <w:tcBorders>
              <w:tl2br w:val="nil"/>
              <w:tr2bl w:val="nil"/>
            </w:tcBorders>
            <w:noWrap w:val="0"/>
            <w:vAlign w:val="center"/>
          </w:tcPr>
          <w:p w14:paraId="5AB90F3B">
            <w:pPr>
              <w:jc w:val="center"/>
              <w:rPr>
                <w:rFonts w:ascii="宋体" w:cs="宋体"/>
                <w:sz w:val="20"/>
              </w:rPr>
            </w:pPr>
          </w:p>
        </w:tc>
        <w:tc>
          <w:tcPr>
            <w:tcW w:w="759" w:type="dxa"/>
            <w:gridSpan w:val="2"/>
            <w:vMerge w:val="continue"/>
            <w:tcBorders>
              <w:tl2br w:val="nil"/>
              <w:tr2bl w:val="nil"/>
            </w:tcBorders>
            <w:noWrap w:val="0"/>
            <w:vAlign w:val="center"/>
          </w:tcPr>
          <w:p w14:paraId="6FCB6813">
            <w:pPr>
              <w:jc w:val="center"/>
              <w:rPr>
                <w:rFonts w:ascii="宋体" w:cs="宋体"/>
                <w:sz w:val="20"/>
              </w:rPr>
            </w:pPr>
          </w:p>
        </w:tc>
        <w:tc>
          <w:tcPr>
            <w:tcW w:w="2872" w:type="dxa"/>
            <w:tcBorders>
              <w:tl2br w:val="nil"/>
              <w:tr2bl w:val="nil"/>
            </w:tcBorders>
            <w:noWrap w:val="0"/>
            <w:vAlign w:val="center"/>
          </w:tcPr>
          <w:p w14:paraId="3B8F4245">
            <w:pPr>
              <w:widowControl/>
              <w:jc w:val="left"/>
              <w:textAlignment w:val="center"/>
              <w:rPr>
                <w:rFonts w:ascii="汉仪中秀体简" w:hAnsi="汉仪中秀体简" w:eastAsia="汉仪中秀体简" w:cs="汉仪中秀体简"/>
                <w:color w:val="000000"/>
                <w:kern w:val="0"/>
                <w:sz w:val="20"/>
                <w:szCs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noWrap w:val="0"/>
            <w:vAlign w:val="center"/>
          </w:tcPr>
          <w:p w14:paraId="03965086">
            <w:pPr>
              <w:widowControl/>
              <w:jc w:val="left"/>
              <w:textAlignment w:val="center"/>
              <w:rPr>
                <w:rFonts w:ascii="汉仪中秀体简" w:hAnsi="汉仪中秀体简" w:eastAsia="汉仪中秀体简" w:cs="汉仪中秀体简"/>
                <w:color w:val="000000"/>
                <w:kern w:val="0"/>
                <w:sz w:val="20"/>
                <w:szCs w:val="20"/>
              </w:rPr>
            </w:pPr>
          </w:p>
        </w:tc>
      </w:tr>
      <w:tr w14:paraId="2841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397D8CD5">
            <w:pPr>
              <w:jc w:val="center"/>
              <w:rPr>
                <w:rFonts w:ascii="宋体" w:cs="宋体"/>
                <w:sz w:val="20"/>
              </w:rPr>
            </w:pPr>
          </w:p>
        </w:tc>
        <w:tc>
          <w:tcPr>
            <w:tcW w:w="723" w:type="dxa"/>
            <w:vMerge w:val="continue"/>
            <w:tcBorders>
              <w:tl2br w:val="nil"/>
              <w:tr2bl w:val="nil"/>
            </w:tcBorders>
            <w:noWrap w:val="0"/>
            <w:vAlign w:val="center"/>
          </w:tcPr>
          <w:p w14:paraId="6A63F17A">
            <w:pPr>
              <w:jc w:val="center"/>
              <w:rPr>
                <w:rFonts w:ascii="宋体" w:cs="宋体"/>
                <w:sz w:val="20"/>
              </w:rPr>
            </w:pPr>
          </w:p>
        </w:tc>
        <w:tc>
          <w:tcPr>
            <w:tcW w:w="759" w:type="dxa"/>
            <w:gridSpan w:val="2"/>
            <w:vMerge w:val="restart"/>
            <w:tcBorders>
              <w:tl2br w:val="nil"/>
              <w:tr2bl w:val="nil"/>
            </w:tcBorders>
            <w:noWrap w:val="0"/>
            <w:vAlign w:val="center"/>
          </w:tcPr>
          <w:p w14:paraId="4748BE33">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7D5053C4">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rFonts w:hint="eastAsia" w:ascii="宋体" w:hAnsi="宋体" w:cs="宋体"/>
                <w:kern w:val="0"/>
                <w:sz w:val="22"/>
                <w:szCs w:val="22"/>
                <w:lang w:eastAsia="zh-CN"/>
              </w:rPr>
              <w:t>培养一批骨干教师，使其能够承担县、市级比赛中获得好成绩；有一批学生在县、市级各类比赛中获得好成绩；学校办学彰显特色，管理水平向淮北市一流水平靠近，办学水平督导评估达到优秀等级。</w:t>
            </w:r>
          </w:p>
        </w:tc>
        <w:tc>
          <w:tcPr>
            <w:tcW w:w="4228" w:type="dxa"/>
            <w:gridSpan w:val="2"/>
            <w:tcBorders>
              <w:tl2br w:val="nil"/>
              <w:tr2bl w:val="nil"/>
            </w:tcBorders>
            <w:noWrap w:val="0"/>
            <w:vAlign w:val="center"/>
          </w:tcPr>
          <w:p w14:paraId="380223A7">
            <w:pPr>
              <w:jc w:val="center"/>
              <w:rPr>
                <w:rFonts w:hint="default" w:ascii="宋体" w:eastAsia="仿宋_GB2312" w:cs="宋体"/>
                <w:sz w:val="20"/>
                <w:lang w:val="en-US" w:eastAsia="zh-CN"/>
              </w:rPr>
            </w:pPr>
            <w:r>
              <w:rPr>
                <w:rFonts w:hint="eastAsia" w:ascii="宋体" w:cs="宋体"/>
                <w:sz w:val="20"/>
                <w:lang w:val="en-US" w:eastAsia="zh-CN"/>
              </w:rPr>
              <w:t>100</w:t>
            </w:r>
          </w:p>
        </w:tc>
      </w:tr>
      <w:tr w14:paraId="79B0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noWrap w:val="0"/>
            <w:vAlign w:val="center"/>
          </w:tcPr>
          <w:p w14:paraId="6D6B69E0">
            <w:pPr>
              <w:jc w:val="center"/>
              <w:rPr>
                <w:rFonts w:ascii="宋体" w:cs="宋体"/>
                <w:sz w:val="20"/>
              </w:rPr>
            </w:pPr>
          </w:p>
        </w:tc>
        <w:tc>
          <w:tcPr>
            <w:tcW w:w="723" w:type="dxa"/>
            <w:vMerge w:val="continue"/>
            <w:tcBorders>
              <w:tl2br w:val="nil"/>
              <w:tr2bl w:val="nil"/>
            </w:tcBorders>
            <w:noWrap w:val="0"/>
            <w:vAlign w:val="center"/>
          </w:tcPr>
          <w:p w14:paraId="43F590D1">
            <w:pPr>
              <w:jc w:val="center"/>
              <w:rPr>
                <w:rFonts w:ascii="宋体" w:cs="宋体"/>
                <w:sz w:val="20"/>
              </w:rPr>
            </w:pPr>
          </w:p>
        </w:tc>
        <w:tc>
          <w:tcPr>
            <w:tcW w:w="759" w:type="dxa"/>
            <w:gridSpan w:val="2"/>
            <w:vMerge w:val="continue"/>
            <w:tcBorders>
              <w:tl2br w:val="nil"/>
              <w:tr2bl w:val="nil"/>
            </w:tcBorders>
            <w:noWrap w:val="0"/>
            <w:vAlign w:val="center"/>
          </w:tcPr>
          <w:p w14:paraId="5DFEA25B">
            <w:pPr>
              <w:jc w:val="center"/>
              <w:rPr>
                <w:rFonts w:ascii="宋体" w:hAnsi="宋体" w:eastAsia="宋体" w:cs="宋体"/>
                <w:sz w:val="20"/>
              </w:rPr>
            </w:pPr>
          </w:p>
        </w:tc>
        <w:tc>
          <w:tcPr>
            <w:tcW w:w="2872" w:type="dxa"/>
            <w:tcBorders>
              <w:tl2br w:val="nil"/>
              <w:tr2bl w:val="nil"/>
            </w:tcBorders>
            <w:noWrap w:val="0"/>
            <w:vAlign w:val="center"/>
          </w:tcPr>
          <w:p w14:paraId="5127CC67">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28" w:type="dxa"/>
            <w:gridSpan w:val="2"/>
            <w:tcBorders>
              <w:tl2br w:val="nil"/>
              <w:tr2bl w:val="nil"/>
            </w:tcBorders>
            <w:noWrap w:val="0"/>
            <w:vAlign w:val="center"/>
          </w:tcPr>
          <w:p w14:paraId="586F6872">
            <w:pPr>
              <w:jc w:val="center"/>
              <w:rPr>
                <w:rFonts w:ascii="宋体" w:cs="宋体"/>
                <w:sz w:val="20"/>
              </w:rPr>
            </w:pPr>
          </w:p>
        </w:tc>
      </w:tr>
      <w:tr w14:paraId="64C1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5DC74AF">
            <w:pPr>
              <w:jc w:val="center"/>
              <w:rPr>
                <w:rFonts w:ascii="宋体" w:cs="宋体"/>
                <w:sz w:val="20"/>
              </w:rPr>
            </w:pPr>
          </w:p>
        </w:tc>
        <w:tc>
          <w:tcPr>
            <w:tcW w:w="723" w:type="dxa"/>
            <w:vMerge w:val="continue"/>
            <w:tcBorders>
              <w:tl2br w:val="nil"/>
              <w:tr2bl w:val="nil"/>
            </w:tcBorders>
            <w:noWrap w:val="0"/>
            <w:vAlign w:val="center"/>
          </w:tcPr>
          <w:p w14:paraId="6E79C0CC">
            <w:pPr>
              <w:jc w:val="center"/>
              <w:rPr>
                <w:rFonts w:ascii="宋体" w:cs="宋体"/>
                <w:sz w:val="20"/>
              </w:rPr>
            </w:pPr>
          </w:p>
        </w:tc>
        <w:tc>
          <w:tcPr>
            <w:tcW w:w="759" w:type="dxa"/>
            <w:gridSpan w:val="2"/>
            <w:tcBorders>
              <w:tl2br w:val="nil"/>
              <w:tr2bl w:val="nil"/>
            </w:tcBorders>
            <w:noWrap w:val="0"/>
            <w:vAlign w:val="center"/>
          </w:tcPr>
          <w:p w14:paraId="04ACBE64">
            <w:pPr>
              <w:jc w:val="center"/>
              <w:rPr>
                <w:rFonts w:ascii="宋体" w:hAnsi="宋体" w:eastAsia="宋体" w:cs="宋体"/>
                <w:sz w:val="20"/>
              </w:rPr>
            </w:pPr>
            <w:r>
              <w:rPr>
                <w:rFonts w:hint="eastAsia" w:ascii="宋体" w:hAnsi="宋体" w:eastAsia="宋体" w:cs="宋体"/>
                <w:color w:val="000000"/>
                <w:kern w:val="0"/>
                <w:sz w:val="20"/>
                <w:szCs w:val="20"/>
              </w:rPr>
              <w:t>…</w:t>
            </w:r>
          </w:p>
        </w:tc>
        <w:tc>
          <w:tcPr>
            <w:tcW w:w="2872" w:type="dxa"/>
            <w:tcBorders>
              <w:tl2br w:val="nil"/>
              <w:tr2bl w:val="nil"/>
            </w:tcBorders>
            <w:noWrap w:val="0"/>
            <w:vAlign w:val="center"/>
          </w:tcPr>
          <w:p w14:paraId="67654619">
            <w:pPr>
              <w:widowControl/>
              <w:jc w:val="left"/>
              <w:textAlignment w:val="center"/>
              <w:rPr>
                <w:rFonts w:ascii="宋体" w:hAnsi="宋体" w:eastAsia="宋体" w:cs="宋体"/>
                <w:color w:val="000000"/>
                <w:kern w:val="0"/>
                <w:sz w:val="20"/>
                <w:szCs w:val="20"/>
              </w:rPr>
            </w:pPr>
          </w:p>
        </w:tc>
        <w:tc>
          <w:tcPr>
            <w:tcW w:w="4228" w:type="dxa"/>
            <w:gridSpan w:val="2"/>
            <w:tcBorders>
              <w:tl2br w:val="nil"/>
              <w:tr2bl w:val="nil"/>
            </w:tcBorders>
            <w:noWrap w:val="0"/>
            <w:vAlign w:val="center"/>
          </w:tcPr>
          <w:p w14:paraId="0D19812F">
            <w:pPr>
              <w:jc w:val="center"/>
              <w:rPr>
                <w:rFonts w:ascii="宋体" w:cs="宋体"/>
                <w:sz w:val="20"/>
              </w:rPr>
            </w:pPr>
          </w:p>
        </w:tc>
      </w:tr>
      <w:tr w14:paraId="2D84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454A21E">
            <w:pPr>
              <w:jc w:val="center"/>
              <w:rPr>
                <w:rFonts w:ascii="宋体" w:cs="宋体"/>
                <w:sz w:val="20"/>
              </w:rPr>
            </w:pPr>
          </w:p>
        </w:tc>
        <w:tc>
          <w:tcPr>
            <w:tcW w:w="723" w:type="dxa"/>
            <w:vMerge w:val="restart"/>
            <w:tcBorders>
              <w:tl2br w:val="nil"/>
              <w:tr2bl w:val="nil"/>
            </w:tcBorders>
            <w:noWrap w:val="0"/>
            <w:vAlign w:val="center"/>
          </w:tcPr>
          <w:p w14:paraId="0929FBDE">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noWrap w:val="0"/>
            <w:vAlign w:val="center"/>
          </w:tcPr>
          <w:p w14:paraId="08AC396E">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3BF962C5">
            <w:pPr>
              <w:widowControl/>
              <w:jc w:val="left"/>
              <w:textAlignment w:val="center"/>
              <w:rPr>
                <w:rFonts w:hint="default" w:ascii="宋体" w:hAns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满意度高，达到</w:t>
            </w:r>
            <w:r>
              <w:rPr>
                <w:rFonts w:hint="eastAsia" w:ascii="宋体" w:hAnsi="宋体" w:eastAsia="宋体" w:cs="宋体"/>
                <w:color w:val="000000"/>
                <w:kern w:val="0"/>
                <w:sz w:val="20"/>
                <w:szCs w:val="20"/>
                <w:lang w:val="en-US" w:eastAsia="zh-CN"/>
              </w:rPr>
              <w:t>100%</w:t>
            </w:r>
          </w:p>
        </w:tc>
        <w:tc>
          <w:tcPr>
            <w:tcW w:w="4228" w:type="dxa"/>
            <w:gridSpan w:val="2"/>
            <w:tcBorders>
              <w:tl2br w:val="nil"/>
              <w:tr2bl w:val="nil"/>
            </w:tcBorders>
            <w:noWrap w:val="0"/>
            <w:vAlign w:val="center"/>
          </w:tcPr>
          <w:p w14:paraId="464AA624">
            <w:pPr>
              <w:jc w:val="center"/>
              <w:rPr>
                <w:rFonts w:hint="default" w:ascii="宋体" w:eastAsia="仿宋_GB2312" w:cs="宋体"/>
                <w:sz w:val="20"/>
                <w:lang w:val="en-US" w:eastAsia="zh-CN"/>
              </w:rPr>
            </w:pPr>
            <w:r>
              <w:rPr>
                <w:rFonts w:hint="eastAsia" w:ascii="宋体" w:cs="宋体"/>
                <w:sz w:val="20"/>
                <w:lang w:val="en-US" w:eastAsia="zh-CN"/>
              </w:rPr>
              <w:t>100</w:t>
            </w:r>
          </w:p>
        </w:tc>
      </w:tr>
      <w:tr w14:paraId="7BD6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1ED8A53">
            <w:pPr>
              <w:jc w:val="center"/>
              <w:rPr>
                <w:rFonts w:ascii="宋体" w:cs="宋体"/>
                <w:sz w:val="20"/>
              </w:rPr>
            </w:pPr>
          </w:p>
        </w:tc>
        <w:tc>
          <w:tcPr>
            <w:tcW w:w="723" w:type="dxa"/>
            <w:vMerge w:val="continue"/>
            <w:tcBorders>
              <w:tl2br w:val="nil"/>
              <w:tr2bl w:val="nil"/>
            </w:tcBorders>
            <w:noWrap w:val="0"/>
            <w:vAlign w:val="center"/>
          </w:tcPr>
          <w:p w14:paraId="1D9704F9">
            <w:pPr>
              <w:jc w:val="center"/>
              <w:rPr>
                <w:rFonts w:ascii="宋体" w:hAnsi="宋体" w:eastAsia="宋体" w:cs="宋体"/>
                <w:sz w:val="20"/>
              </w:rPr>
            </w:pPr>
          </w:p>
        </w:tc>
        <w:tc>
          <w:tcPr>
            <w:tcW w:w="759" w:type="dxa"/>
            <w:gridSpan w:val="2"/>
            <w:vMerge w:val="continue"/>
            <w:tcBorders>
              <w:tl2br w:val="nil"/>
              <w:tr2bl w:val="nil"/>
            </w:tcBorders>
            <w:noWrap w:val="0"/>
            <w:vAlign w:val="center"/>
          </w:tcPr>
          <w:p w14:paraId="7A5A166A">
            <w:pPr>
              <w:jc w:val="center"/>
              <w:rPr>
                <w:rFonts w:ascii="宋体" w:hAnsi="宋体" w:eastAsia="宋体" w:cs="宋体"/>
                <w:sz w:val="20"/>
              </w:rPr>
            </w:pPr>
          </w:p>
        </w:tc>
        <w:tc>
          <w:tcPr>
            <w:tcW w:w="2872" w:type="dxa"/>
            <w:tcBorders>
              <w:tl2br w:val="nil"/>
              <w:tr2bl w:val="nil"/>
            </w:tcBorders>
            <w:noWrap w:val="0"/>
            <w:vAlign w:val="center"/>
          </w:tcPr>
          <w:p w14:paraId="25FE3F8A">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w:t>
            </w:r>
          </w:p>
        </w:tc>
        <w:tc>
          <w:tcPr>
            <w:tcW w:w="4228" w:type="dxa"/>
            <w:gridSpan w:val="2"/>
            <w:tcBorders>
              <w:tl2br w:val="nil"/>
              <w:tr2bl w:val="nil"/>
            </w:tcBorders>
            <w:noWrap w:val="0"/>
            <w:vAlign w:val="center"/>
          </w:tcPr>
          <w:p w14:paraId="720CA77D">
            <w:pPr>
              <w:jc w:val="center"/>
              <w:rPr>
                <w:rFonts w:ascii="宋体" w:cs="宋体"/>
                <w:sz w:val="20"/>
              </w:rPr>
            </w:pPr>
          </w:p>
        </w:tc>
      </w:tr>
    </w:tbl>
    <w:p w14:paraId="05F54935">
      <w:pPr>
        <w:adjustRightInd w:val="0"/>
        <w:snapToGrid w:val="0"/>
        <w:spacing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（二）机关运行经费。</w:t>
      </w:r>
    </w:p>
    <w:p w14:paraId="4AF1698A">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烈山区教育局本级2025</w:t>
      </w:r>
      <w:r>
        <w:rPr>
          <w:rFonts w:hint="eastAsia" w:ascii="仿宋_GB2312" w:hAnsi="仿宋_GB2312" w:eastAsia="仿宋_GB2312" w:cs="仿宋_GB2312"/>
          <w:kern w:val="0"/>
          <w:sz w:val="32"/>
          <w:szCs w:val="32"/>
        </w:rPr>
        <w:t>年机关运行经费财政拨款预算</w:t>
      </w:r>
      <w:r>
        <w:rPr>
          <w:rFonts w:hint="eastAsia" w:ascii="仿宋_GB2312" w:hAnsi="仿宋_GB2312" w:eastAsia="仿宋_GB2312" w:cs="仿宋_GB2312"/>
          <w:kern w:val="0"/>
          <w:sz w:val="32"/>
          <w:szCs w:val="32"/>
          <w:lang w:val="en-US" w:eastAsia="zh-CN"/>
        </w:rPr>
        <w:t>11.20</w:t>
      </w:r>
      <w:r>
        <w:rPr>
          <w:rFonts w:hint="eastAsia" w:ascii="仿宋_GB2312" w:hAnsi="仿宋_GB2312" w:eastAsia="仿宋_GB2312" w:cs="仿宋_GB2312"/>
          <w:kern w:val="0"/>
          <w:sz w:val="32"/>
          <w:szCs w:val="32"/>
        </w:rPr>
        <w:t>万元，比</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年预算增加</w:t>
      </w:r>
      <w:r>
        <w:rPr>
          <w:rFonts w:hint="eastAsia" w:ascii="仿宋_GB2312" w:hAnsi="仿宋_GB2312" w:eastAsia="仿宋_GB2312" w:cs="仿宋_GB2312"/>
          <w:kern w:val="0"/>
          <w:sz w:val="32"/>
          <w:szCs w:val="32"/>
          <w:lang w:val="en-US" w:eastAsia="zh-CN"/>
        </w:rPr>
        <w:t>2.19</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24.31</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eastAsia="zh-CN"/>
        </w:rPr>
        <w:t>教育局机关调入</w:t>
      </w:r>
      <w:r>
        <w:rPr>
          <w:rFonts w:hint="eastAsia" w:ascii="仿宋_GB2312" w:hAnsi="仿宋_GB2312" w:eastAsia="仿宋_GB2312" w:cs="仿宋_GB2312"/>
          <w:kern w:val="0"/>
          <w:sz w:val="32"/>
          <w:szCs w:val="32"/>
          <w:lang w:val="en-US" w:eastAsia="zh-CN"/>
        </w:rPr>
        <w:t>2人</w:t>
      </w:r>
      <w:r>
        <w:rPr>
          <w:rFonts w:hint="eastAsia" w:ascii="仿宋_GB2312" w:hAnsi="仿宋_GB2312" w:eastAsia="仿宋_GB2312" w:cs="仿宋_GB2312"/>
          <w:kern w:val="0"/>
          <w:sz w:val="32"/>
          <w:szCs w:val="32"/>
        </w:rPr>
        <w:t>。</w:t>
      </w:r>
    </w:p>
    <w:p w14:paraId="6EA71072">
      <w:pPr>
        <w:adjustRightInd w:val="0"/>
        <w:snapToGrid w:val="0"/>
        <w:spacing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（三）政府采购情况。</w:t>
      </w:r>
    </w:p>
    <w:p w14:paraId="046CEA98">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烈山区教育局本级2025</w:t>
      </w:r>
      <w:r>
        <w:rPr>
          <w:rFonts w:hint="eastAsia" w:ascii="仿宋_GB2312" w:hAnsi="仿宋_GB2312" w:eastAsia="仿宋_GB2312" w:cs="仿宋_GB2312"/>
          <w:kern w:val="0"/>
          <w:sz w:val="32"/>
          <w:szCs w:val="32"/>
        </w:rPr>
        <w:t>年政府采购预算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万元。其中：政府采购货物预算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万元，政府采购服务预算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08BF91DC">
      <w:pPr>
        <w:adjustRightInd w:val="0"/>
        <w:snapToGrid w:val="0"/>
        <w:spacing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（四）国有资产占有使用情况。</w:t>
      </w:r>
    </w:p>
    <w:p w14:paraId="47E93E04">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年12月31日，</w:t>
      </w:r>
      <w:r>
        <w:rPr>
          <w:rFonts w:hint="eastAsia" w:ascii="仿宋_GB2312" w:hAnsi="仿宋_GB2312" w:eastAsia="仿宋_GB2312" w:cs="仿宋_GB2312"/>
          <w:kern w:val="0"/>
          <w:sz w:val="32"/>
          <w:szCs w:val="32"/>
          <w:lang w:eastAsia="zh-CN"/>
        </w:rPr>
        <w:t>烈山区教育局本级</w:t>
      </w:r>
      <w:r>
        <w:rPr>
          <w:rFonts w:hint="eastAsia" w:ascii="仿宋_GB2312" w:hAnsi="仿宋_GB2312" w:eastAsia="仿宋_GB2312" w:cs="仿宋_GB2312"/>
          <w:kern w:val="0"/>
          <w:sz w:val="32"/>
          <w:szCs w:val="32"/>
        </w:rPr>
        <w:t>共有车辆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辆，其中：主要领导干部用车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辆、机要通信用车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辆、应急保障用车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辆、执法执勤用车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辆、特种专业技术用车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辆、离退休干部用车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辆、其他用车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辆（只列报车辆不为0的车型）。单价50万元以上的通用设备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台（套），单价100万元以上的专用设备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14:paraId="4140A97E">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2025</w:t>
      </w:r>
      <w:r>
        <w:rPr>
          <w:rFonts w:hint="eastAsia" w:ascii="仿宋_GB2312" w:hAnsi="仿宋_GB2312" w:eastAsia="仿宋_GB2312" w:cs="仿宋_GB2312"/>
          <w:kern w:val="0"/>
          <w:sz w:val="32"/>
          <w:szCs w:val="32"/>
        </w:rPr>
        <w:t>年部门（单位）预算安排购置公务用车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万元，其中：主要领导干部用车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辆、机要通信用车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辆、应急保障用车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辆、执法执勤用车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辆、特种专业技术用车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辆、离退休干部用车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辆、其他用车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辆（只列报车辆不为0的车型）；安排购置单价50万元以上的通用设备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万元；安排购置单价100万元以上专用设备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5D8C7C06">
      <w:pPr>
        <w:adjustRightInd w:val="0"/>
        <w:snapToGrid w:val="0"/>
        <w:spacing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（五）绩效目标设置情况。</w:t>
      </w:r>
    </w:p>
    <w:p w14:paraId="5C586666">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烈山区教育局本级</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个项目实行了绩效目标管理，涉及一般公共预算当年财政拨款</w:t>
      </w:r>
      <w:r>
        <w:rPr>
          <w:rFonts w:hint="eastAsia" w:ascii="仿宋_GB2312" w:hAnsi="仿宋_GB2312" w:eastAsia="仿宋_GB2312" w:cs="仿宋_GB2312"/>
          <w:kern w:val="0"/>
          <w:sz w:val="32"/>
          <w:szCs w:val="32"/>
          <w:lang w:val="en-US" w:eastAsia="zh-CN"/>
        </w:rPr>
        <w:t>200.00</w:t>
      </w:r>
      <w:r>
        <w:rPr>
          <w:rFonts w:hint="eastAsia" w:ascii="仿宋_GB2312" w:hAnsi="仿宋_GB2312" w:eastAsia="仿宋_GB2312" w:cs="仿宋_GB2312"/>
          <w:kern w:val="0"/>
          <w:sz w:val="32"/>
          <w:szCs w:val="32"/>
        </w:rPr>
        <w:t>万元、政府性基金预算当年财政拨款</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万元、财政专户管理资金当年安排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66134785">
      <w:pPr>
        <w:pStyle w:val="5"/>
        <w:adjustRightInd w:val="0"/>
        <w:snapToGrid w:val="0"/>
        <w:spacing w:line="560" w:lineRule="exact"/>
        <w:jc w:val="center"/>
        <w:rPr>
          <w:rFonts w:hint="eastAsia" w:ascii="仿宋_GB2312" w:hAnsi="仿宋_GB2312" w:eastAsia="仿宋_GB2312" w:cs="仿宋_GB2312"/>
          <w:bCs/>
          <w:sz w:val="36"/>
          <w:szCs w:val="36"/>
        </w:rPr>
      </w:pPr>
    </w:p>
    <w:p w14:paraId="2D1D0CF8">
      <w:pPr>
        <w:pStyle w:val="5"/>
        <w:adjustRightInd w:val="0"/>
        <w:snapToGrid w:val="0"/>
        <w:spacing w:line="560" w:lineRule="exact"/>
        <w:jc w:val="center"/>
        <w:rPr>
          <w:rFonts w:hint="eastAsia" w:ascii="仿宋_GB2312" w:hAnsi="仿宋_GB2312" w:eastAsia="仿宋_GB2312" w:cs="仿宋_GB2312"/>
          <w:bCs/>
          <w:sz w:val="36"/>
          <w:szCs w:val="36"/>
        </w:rPr>
      </w:pPr>
      <w:r>
        <w:rPr>
          <w:rFonts w:hint="eastAsia" w:ascii="仿宋_GB2312" w:hAnsi="仿宋_GB2312" w:eastAsia="仿宋_GB2312" w:cs="仿宋_GB2312"/>
          <w:bCs/>
          <w:sz w:val="36"/>
          <w:szCs w:val="36"/>
        </w:rPr>
        <w:t>第四部分 名词解释</w:t>
      </w:r>
    </w:p>
    <w:p w14:paraId="22AEA0B1">
      <w:pPr>
        <w:rPr>
          <w:rFonts w:hint="eastAsia" w:ascii="仿宋_GB2312" w:hAnsi="仿宋_GB2312" w:eastAsia="仿宋_GB2312" w:cs="仿宋_GB2312"/>
        </w:rPr>
      </w:pPr>
    </w:p>
    <w:p w14:paraId="3728C047">
      <w:pPr>
        <w:pStyle w:val="5"/>
        <w:adjustRightInd w:val="0"/>
        <w:snapToGrid w:val="0"/>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一、财政拨款收入：</w:t>
      </w:r>
      <w:r>
        <w:rPr>
          <w:rFonts w:hint="eastAsia" w:ascii="仿宋_GB2312" w:hAnsi="仿宋_GB2312" w:eastAsia="仿宋_GB2312" w:cs="仿宋_GB2312"/>
          <w:sz w:val="32"/>
          <w:szCs w:val="32"/>
        </w:rPr>
        <w:t>指部门或单位从同级财政部门取得的财政预算资金。</w:t>
      </w:r>
    </w:p>
    <w:p w14:paraId="6BCA9239">
      <w:pPr>
        <w:pStyle w:val="5"/>
        <w:adjustRightInd w:val="0"/>
        <w:snapToGrid w:val="0"/>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二、事业收入：</w:t>
      </w:r>
      <w:r>
        <w:rPr>
          <w:rFonts w:hint="eastAsia" w:ascii="仿宋_GB2312" w:hAnsi="仿宋_GB2312" w:eastAsia="仿宋_GB2312" w:cs="仿宋_GB2312"/>
          <w:sz w:val="32"/>
          <w:szCs w:val="32"/>
        </w:rPr>
        <w:t>指事业单位开展专业业务活动及辅助活动所取得的收入。</w:t>
      </w:r>
    </w:p>
    <w:p w14:paraId="5200ECCA">
      <w:pPr>
        <w:pStyle w:val="5"/>
        <w:adjustRightInd w:val="0"/>
        <w:snapToGrid w:val="0"/>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三、财政专户管理资金：</w:t>
      </w:r>
      <w:r>
        <w:rPr>
          <w:rFonts w:hint="eastAsia" w:ascii="仿宋_GB2312" w:hAnsi="仿宋_GB2312" w:eastAsia="仿宋_GB2312" w:cs="仿宋_GB2312"/>
          <w:sz w:val="32"/>
          <w:szCs w:val="32"/>
        </w:rPr>
        <w:t>指按照非税收入管理相关规定，纳入财政专户管理的教育收费等。</w:t>
      </w:r>
    </w:p>
    <w:p w14:paraId="223F2C0F">
      <w:pPr>
        <w:pStyle w:val="5"/>
        <w:adjustRightInd w:val="0"/>
        <w:snapToGrid w:val="0"/>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四、事业单位经营收入：</w:t>
      </w:r>
      <w:r>
        <w:rPr>
          <w:rFonts w:hint="eastAsia" w:ascii="仿宋_GB2312" w:hAnsi="仿宋_GB2312" w:eastAsia="仿宋_GB2312" w:cs="仿宋_GB2312"/>
          <w:sz w:val="32"/>
          <w:szCs w:val="32"/>
        </w:rPr>
        <w:t>指事业单位在专业业务活动及其辅助活动之外开展非独立核算经营活动取得的收入。</w:t>
      </w:r>
    </w:p>
    <w:p w14:paraId="5211D9AB">
      <w:pPr>
        <w:pStyle w:val="5"/>
        <w:adjustRightInd w:val="0"/>
        <w:snapToGrid w:val="0"/>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五、附属单位上缴收入：</w:t>
      </w:r>
      <w:r>
        <w:rPr>
          <w:rFonts w:hint="eastAsia" w:ascii="仿宋_GB2312" w:hAnsi="仿宋_GB2312" w:eastAsia="仿宋_GB2312" w:cs="仿宋_GB2312"/>
          <w:sz w:val="32"/>
          <w:szCs w:val="32"/>
        </w:rPr>
        <w:t>本单位所属下级单位上缴给本单位的全部收入。</w:t>
      </w:r>
    </w:p>
    <w:p w14:paraId="1A685093">
      <w:pPr>
        <w:pStyle w:val="5"/>
        <w:adjustRightInd w:val="0"/>
        <w:snapToGrid w:val="0"/>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六、上年结转：</w:t>
      </w:r>
      <w:r>
        <w:rPr>
          <w:rFonts w:hint="eastAsia" w:ascii="仿宋_GB2312" w:hAnsi="仿宋_GB2312" w:eastAsia="仿宋_GB2312" w:cs="仿宋_GB2312"/>
          <w:sz w:val="32"/>
          <w:szCs w:val="32"/>
        </w:rPr>
        <w:t>指以前年度安排、结转到本年仍按原用途继续使用的资金。</w:t>
      </w:r>
    </w:p>
    <w:p w14:paraId="6C83B292">
      <w:pPr>
        <w:pStyle w:val="5"/>
        <w:adjustRightInd w:val="0"/>
        <w:snapToGrid w:val="0"/>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七、结转下年：</w:t>
      </w:r>
      <w:r>
        <w:rPr>
          <w:rFonts w:hint="eastAsia" w:ascii="仿宋_GB2312" w:hAnsi="仿宋_GB2312" w:eastAsia="仿宋_GB2312" w:cs="仿宋_GB2312"/>
          <w:sz w:val="32"/>
          <w:szCs w:val="32"/>
        </w:rPr>
        <w:t>指以前年度预算安排、因客观条件发生变化无法按原计划实施，需以后年度按原用途继续使用的资金。</w:t>
      </w:r>
    </w:p>
    <w:p w14:paraId="4BB977BE">
      <w:pPr>
        <w:pStyle w:val="5"/>
        <w:adjustRightInd w:val="0"/>
        <w:snapToGrid w:val="0"/>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八、基本支出：</w:t>
      </w:r>
      <w:r>
        <w:rPr>
          <w:rFonts w:hint="eastAsia" w:ascii="仿宋_GB2312" w:hAnsi="仿宋_GB2312" w:eastAsia="仿宋_GB2312" w:cs="仿宋_GB2312"/>
          <w:sz w:val="32"/>
          <w:szCs w:val="32"/>
        </w:rPr>
        <w:t>指为保障机构正常运转、完成日常工作任务而发生的人员支出和公用支出。</w:t>
      </w:r>
    </w:p>
    <w:p w14:paraId="67E9138D">
      <w:pPr>
        <w:pStyle w:val="5"/>
        <w:adjustRightInd w:val="0"/>
        <w:snapToGrid w:val="0"/>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九、项目支出：</w:t>
      </w:r>
      <w:r>
        <w:rPr>
          <w:rFonts w:hint="eastAsia" w:ascii="仿宋_GB2312" w:hAnsi="仿宋_GB2312" w:eastAsia="仿宋_GB2312" w:cs="仿宋_GB2312"/>
          <w:sz w:val="32"/>
          <w:szCs w:val="32"/>
        </w:rPr>
        <w:t>指在除基本支出之外的支出，主要用于完成特定的工作任务和事业发展目标。</w:t>
      </w:r>
    </w:p>
    <w:p w14:paraId="68E93077">
      <w:pPr>
        <w:pStyle w:val="5"/>
        <w:adjustRightInd w:val="0"/>
        <w:snapToGrid w:val="0"/>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十、机关运行经费: </w:t>
      </w:r>
      <w:r>
        <w:rPr>
          <w:rFonts w:hint="eastAsia" w:ascii="仿宋_GB2312" w:hAnsi="仿宋_GB2312" w:eastAsia="仿宋_GB2312" w:cs="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2F94510"/>
    <w:p w14:paraId="41413573"/>
    <w:p w14:paraId="1350273F"/>
    <w:p w14:paraId="4A5DCC18"/>
    <w:p w14:paraId="077E160D"/>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汉仪中秀体简">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6297C"/>
    <w:multiLevelType w:val="singleLevel"/>
    <w:tmpl w:val="EC26297C"/>
    <w:lvl w:ilvl="0" w:tentative="0">
      <w:start w:val="4"/>
      <w:numFmt w:val="decimal"/>
      <w:suff w:val="nothing"/>
      <w:lvlText w:val="（%1）"/>
      <w:lvlJc w:val="left"/>
    </w:lvl>
  </w:abstractNum>
  <w:abstractNum w:abstractNumId="1">
    <w:nsid w:val="F0E85EDB"/>
    <w:multiLevelType w:val="singleLevel"/>
    <w:tmpl w:val="F0E85EDB"/>
    <w:lvl w:ilvl="0" w:tentative="0">
      <w:start w:val="2"/>
      <w:numFmt w:val="decimal"/>
      <w:suff w:val="nothing"/>
      <w:lvlText w:val="%1、"/>
      <w:lvlJc w:val="left"/>
      <w:rPr>
        <w:rFonts w:hint="default"/>
        <w:b/>
        <w:bCs/>
      </w:rPr>
    </w:lvl>
  </w:abstractNum>
  <w:abstractNum w:abstractNumId="2">
    <w:nsid w:val="61F34332"/>
    <w:multiLevelType w:val="singleLevel"/>
    <w:tmpl w:val="61F34332"/>
    <w:lvl w:ilvl="0" w:tentative="0">
      <w:start w:val="2"/>
      <w:numFmt w:val="chineseCounting"/>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136A730B"/>
    <w:rsid w:val="17A056D1"/>
    <w:rsid w:val="1C56155A"/>
    <w:rsid w:val="2443398C"/>
    <w:rsid w:val="2D4B1133"/>
    <w:rsid w:val="42734FE4"/>
    <w:rsid w:val="52F5316A"/>
    <w:rsid w:val="5A8E7F91"/>
    <w:rsid w:val="73337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ind w:left="420" w:leftChars="200"/>
    </w:pPr>
    <w:rPr>
      <w:kern w:val="0"/>
      <w:sz w:val="20"/>
      <w:szCs w:val="2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2"/>
    <w:basedOn w:val="2"/>
    <w:qFormat/>
    <w:uiPriority w:val="0"/>
    <w:pPr>
      <w:ind w:firstLine="420" w:firstLineChars="200"/>
    </w:pPr>
    <w:rPr>
      <w:szCs w:val="22"/>
    </w:r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7311</Words>
  <Characters>8063</Characters>
  <Lines>46</Lines>
  <Paragraphs>13</Paragraphs>
  <TotalTime>289</TotalTime>
  <ScaleCrop>false</ScaleCrop>
  <LinksUpToDate>false</LinksUpToDate>
  <CharactersWithSpaces>8216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秋叶黄</cp:lastModifiedBy>
  <dcterms:modified xsi:type="dcterms:W3CDTF">2025-02-27T07:49:31Z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eyJoZGlkIjoiMGZiMzI2OTQwYjJkYzA3MmIzNjk0NTg4ZmRmYWViNzQiLCJ1c2VySWQiOiI4MjgwMzY5OTYifQ==</vt:lpwstr>
  </property>
  <property fmtid="{D5CDD505-2E9C-101B-9397-08002B2CF9AE}" pid="3" name="KSOProductBuildVer">
    <vt:lpwstr>2052-12.1.0.20305</vt:lpwstr>
  </property>
  <property fmtid="{D5CDD505-2E9C-101B-9397-08002B2CF9AE}" pid="4" name="ICV">
    <vt:lpwstr>7553A4058EDE4007838572F1AC978DB6_13</vt:lpwstr>
  </property>
</Properties>
</file>