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36"/>
        <w:gridCol w:w="436"/>
        <w:gridCol w:w="1080"/>
        <w:gridCol w:w="585"/>
        <w:gridCol w:w="837"/>
        <w:gridCol w:w="890"/>
        <w:gridCol w:w="645"/>
        <w:gridCol w:w="734"/>
        <w:gridCol w:w="780"/>
        <w:gridCol w:w="690"/>
        <w:gridCol w:w="645"/>
        <w:gridCol w:w="615"/>
        <w:gridCol w:w="675"/>
        <w:gridCol w:w="806"/>
        <w:gridCol w:w="85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烈山区统计局2021年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政府性基金预算财政拨款收入支出决算表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部门：淮北市烈山区统计局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年初结转和结余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基本支出结转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项目支出结转和结余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基本支出结转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注：本表反映部门本年度政府性基金预算财政拨款收入、支出及结转和结余情况；本表金额单位转换成万元时，因四舍五入可能存在尾数误差。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“烈山区统计局没有政府性基金收入，也没有使用政府性基金安排的支出，故本表无数据”。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Tg1NzRmMWU5ZGEzZGMzYWE1MjY4MDdkZjI4ZWEifQ=="/>
  </w:docVars>
  <w:rsids>
    <w:rsidRoot w:val="00000000"/>
    <w:rsid w:val="6BD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0</Lines>
  <Paragraphs>0</Paragraphs>
  <TotalTime>0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2022-09-28T03:12:12Z</dcterms:created>
  <dc:creator>Administrator</dc:creator>
  <cp:lastModifiedBy>赵李娟</cp:lastModifiedBy>
  <dcterms:modified xsi:type="dcterms:W3CDTF">2022-09-28T03:12:47Z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BF26614151AD4320B415A874C00A5ED9</vt:lpwstr>
  </property>
</Properties>
</file>