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DFB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ascii="黑体" w:hAnsi="宋体" w:eastAsia="黑体" w:cs="黑体"/>
          <w:i w:val="0"/>
          <w:iCs w:val="0"/>
          <w:caps w:val="0"/>
          <w:color w:val="333333"/>
          <w:spacing w:val="0"/>
          <w:sz w:val="36"/>
          <w:szCs w:val="36"/>
          <w:shd w:val="clear" w:fill="FFFFFF"/>
        </w:rPr>
      </w:pPr>
    </w:p>
    <w:p w14:paraId="59759EDC">
      <w:pPr>
        <w:spacing w:line="360" w:lineRule="auto"/>
        <w:jc w:val="center"/>
        <w:rPr>
          <w:rFonts w:ascii="黑体" w:hAnsi="黑体" w:eastAsia="黑体" w:cs="黑体"/>
          <w:sz w:val="36"/>
          <w:szCs w:val="36"/>
        </w:rPr>
      </w:pPr>
      <w:r>
        <w:rPr>
          <w:rFonts w:ascii="华文中宋" w:hAnsi="华文中宋" w:eastAsia="华文中宋" w:cs="华文中宋"/>
          <w:b/>
          <w:kern w:val="1"/>
          <w:sz w:val="52"/>
          <w:szCs w:val="84"/>
        </w:rPr>
        <w:t>烈山区市场监督管理局202</w:t>
      </w:r>
      <w:r>
        <w:rPr>
          <w:rFonts w:hint="eastAsia" w:ascii="华文中宋" w:hAnsi="华文中宋" w:eastAsia="华文中宋" w:cs="华文中宋"/>
          <w:b/>
          <w:kern w:val="1"/>
          <w:sz w:val="52"/>
          <w:szCs w:val="84"/>
          <w:lang w:val="en-US" w:eastAsia="zh-CN"/>
        </w:rPr>
        <w:t>3</w:t>
      </w:r>
      <w:r>
        <w:rPr>
          <w:rFonts w:ascii="华文中宋" w:hAnsi="华文中宋" w:eastAsia="华文中宋" w:cs="华文中宋"/>
          <w:b/>
          <w:kern w:val="1"/>
          <w:sz w:val="52"/>
          <w:szCs w:val="84"/>
        </w:rPr>
        <w:t>年</w:t>
      </w:r>
      <w:r>
        <w:rPr>
          <w:rFonts w:hint="eastAsia" w:ascii="华文中宋" w:hAnsi="华文中宋" w:eastAsia="华文中宋" w:cs="华文中宋"/>
          <w:b/>
          <w:kern w:val="1"/>
          <w:sz w:val="52"/>
          <w:szCs w:val="84"/>
          <w:lang w:val="en-US" w:eastAsia="zh-CN"/>
        </w:rPr>
        <w:t>单位</w:t>
      </w:r>
      <w:r>
        <w:rPr>
          <w:rFonts w:ascii="华文中宋" w:hAnsi="华文中宋" w:eastAsia="华文中宋" w:cs="华文中宋"/>
          <w:b/>
          <w:kern w:val="1"/>
          <w:sz w:val="52"/>
          <w:szCs w:val="84"/>
        </w:rPr>
        <w:t>预算</w:t>
      </w:r>
    </w:p>
    <w:p w14:paraId="30BCB980">
      <w:pPr>
        <w:pStyle w:val="2"/>
        <w:spacing w:before="0" w:beforeAutospacing="0" w:after="0" w:afterAutospacing="0" w:line="360" w:lineRule="auto"/>
        <w:jc w:val="both"/>
        <w:rPr>
          <w:rFonts w:ascii="黑体" w:hAnsi="黑体" w:eastAsia="黑体" w:cs="黑体"/>
          <w:sz w:val="36"/>
          <w:szCs w:val="36"/>
        </w:rPr>
      </w:pPr>
    </w:p>
    <w:p w14:paraId="07EA2D95">
      <w:pPr>
        <w:pStyle w:val="2"/>
        <w:spacing w:before="0" w:beforeAutospacing="0" w:after="0" w:afterAutospacing="0" w:line="360" w:lineRule="auto"/>
        <w:jc w:val="center"/>
        <w:rPr>
          <w:rFonts w:ascii="黑体" w:hAnsi="黑体" w:eastAsia="黑体" w:cs="黑体"/>
          <w:sz w:val="36"/>
          <w:szCs w:val="36"/>
        </w:rPr>
      </w:pPr>
    </w:p>
    <w:p w14:paraId="348F816D">
      <w:pPr>
        <w:pStyle w:val="2"/>
        <w:spacing w:before="0" w:beforeAutospacing="0" w:after="0" w:afterAutospacing="0" w:line="360" w:lineRule="auto"/>
        <w:jc w:val="center"/>
        <w:rPr>
          <w:rFonts w:ascii="黑体" w:hAnsi="黑体" w:eastAsia="黑体" w:cs="黑体"/>
          <w:sz w:val="36"/>
          <w:szCs w:val="36"/>
        </w:rPr>
      </w:pPr>
    </w:p>
    <w:p w14:paraId="27FFC784">
      <w:pPr>
        <w:pStyle w:val="2"/>
        <w:spacing w:before="0" w:beforeAutospacing="0" w:after="0" w:afterAutospacing="0" w:line="360" w:lineRule="auto"/>
        <w:jc w:val="center"/>
        <w:rPr>
          <w:rFonts w:ascii="黑体" w:hAnsi="黑体" w:eastAsia="黑体" w:cs="黑体"/>
          <w:sz w:val="36"/>
          <w:szCs w:val="36"/>
        </w:rPr>
      </w:pPr>
    </w:p>
    <w:p w14:paraId="4A8AB532">
      <w:pPr>
        <w:pStyle w:val="2"/>
        <w:spacing w:before="0" w:beforeAutospacing="0" w:after="0" w:afterAutospacing="0" w:line="360" w:lineRule="auto"/>
        <w:jc w:val="center"/>
        <w:rPr>
          <w:rFonts w:ascii="黑体" w:hAnsi="黑体" w:eastAsia="黑体" w:cs="黑体"/>
          <w:sz w:val="36"/>
          <w:szCs w:val="36"/>
        </w:rPr>
      </w:pPr>
    </w:p>
    <w:p w14:paraId="72C0B370">
      <w:pPr>
        <w:pStyle w:val="2"/>
        <w:spacing w:before="0" w:beforeAutospacing="0" w:after="0" w:afterAutospacing="0" w:line="360" w:lineRule="auto"/>
        <w:jc w:val="center"/>
        <w:rPr>
          <w:rFonts w:ascii="黑体" w:hAnsi="黑体" w:eastAsia="黑体" w:cs="黑体"/>
          <w:sz w:val="36"/>
          <w:szCs w:val="36"/>
        </w:rPr>
      </w:pPr>
    </w:p>
    <w:p w14:paraId="41B72204">
      <w:pPr>
        <w:pStyle w:val="2"/>
        <w:spacing w:before="0" w:beforeAutospacing="0" w:after="0" w:afterAutospacing="0" w:line="360" w:lineRule="auto"/>
        <w:jc w:val="center"/>
        <w:rPr>
          <w:rFonts w:ascii="黑体" w:hAnsi="黑体" w:eastAsia="黑体" w:cs="黑体"/>
          <w:sz w:val="36"/>
          <w:szCs w:val="36"/>
        </w:rPr>
      </w:pPr>
    </w:p>
    <w:p w14:paraId="03D635F6">
      <w:pPr>
        <w:pStyle w:val="2"/>
        <w:spacing w:before="0" w:beforeAutospacing="0" w:after="0" w:afterAutospacing="0" w:line="360" w:lineRule="auto"/>
        <w:jc w:val="center"/>
        <w:rPr>
          <w:rFonts w:ascii="黑体" w:hAnsi="黑体" w:eastAsia="黑体" w:cs="黑体"/>
          <w:sz w:val="36"/>
          <w:szCs w:val="36"/>
        </w:rPr>
      </w:pPr>
    </w:p>
    <w:p w14:paraId="42B69DAF">
      <w:pPr>
        <w:pStyle w:val="2"/>
        <w:spacing w:before="0" w:beforeAutospacing="0" w:after="0" w:afterAutospacing="0" w:line="360" w:lineRule="auto"/>
        <w:jc w:val="center"/>
        <w:rPr>
          <w:rFonts w:ascii="黑体" w:hAnsi="黑体" w:eastAsia="黑体" w:cs="黑体"/>
          <w:sz w:val="36"/>
          <w:szCs w:val="36"/>
        </w:rPr>
      </w:pPr>
    </w:p>
    <w:p w14:paraId="1FF15C50">
      <w:pPr>
        <w:pStyle w:val="2"/>
        <w:spacing w:before="0" w:beforeAutospacing="0" w:after="0" w:afterAutospacing="0" w:line="360" w:lineRule="auto"/>
        <w:jc w:val="center"/>
        <w:rPr>
          <w:rFonts w:ascii="黑体" w:hAnsi="黑体" w:eastAsia="黑体" w:cs="黑体"/>
          <w:sz w:val="36"/>
          <w:szCs w:val="36"/>
        </w:rPr>
      </w:pPr>
    </w:p>
    <w:p w14:paraId="53326803">
      <w:pPr>
        <w:pStyle w:val="2"/>
        <w:spacing w:before="0" w:beforeAutospacing="0" w:after="0" w:afterAutospacing="0" w:line="360" w:lineRule="auto"/>
        <w:jc w:val="center"/>
        <w:rPr>
          <w:rFonts w:ascii="黑体" w:hAnsi="黑体" w:eastAsia="黑体" w:cs="黑体"/>
          <w:sz w:val="36"/>
          <w:szCs w:val="36"/>
        </w:rPr>
      </w:pPr>
    </w:p>
    <w:p w14:paraId="4620B9F5">
      <w:pPr>
        <w:pStyle w:val="2"/>
        <w:spacing w:before="0" w:beforeAutospacing="0" w:after="0" w:afterAutospacing="0" w:line="360" w:lineRule="auto"/>
        <w:jc w:val="center"/>
        <w:rPr>
          <w:rFonts w:ascii="黑体" w:hAnsi="黑体" w:eastAsia="黑体" w:cs="黑体"/>
          <w:sz w:val="36"/>
          <w:szCs w:val="36"/>
        </w:rPr>
      </w:pPr>
    </w:p>
    <w:p w14:paraId="5225E3DD">
      <w:pPr>
        <w:pStyle w:val="2"/>
        <w:spacing w:before="0" w:beforeAutospacing="0" w:after="0" w:afterAutospacing="0" w:line="360" w:lineRule="auto"/>
        <w:jc w:val="center"/>
        <w:rPr>
          <w:rFonts w:ascii="黑体" w:hAnsi="黑体" w:eastAsia="黑体" w:cs="黑体"/>
          <w:sz w:val="36"/>
          <w:szCs w:val="36"/>
        </w:rPr>
      </w:pPr>
    </w:p>
    <w:p w14:paraId="08D9C397">
      <w:pPr>
        <w:pStyle w:val="2"/>
        <w:spacing w:before="0" w:beforeAutospacing="0" w:after="0" w:afterAutospacing="0" w:line="360" w:lineRule="auto"/>
        <w:jc w:val="center"/>
        <w:rPr>
          <w:rFonts w:ascii="黑体" w:hAnsi="黑体" w:eastAsia="黑体" w:cs="黑体"/>
          <w:sz w:val="36"/>
          <w:szCs w:val="36"/>
        </w:rPr>
      </w:pPr>
    </w:p>
    <w:p w14:paraId="2269B193">
      <w:pPr>
        <w:pStyle w:val="2"/>
        <w:spacing w:before="0" w:beforeAutospacing="0" w:after="0" w:afterAutospacing="0" w:line="360" w:lineRule="auto"/>
        <w:jc w:val="center"/>
        <w:rPr>
          <w:rFonts w:ascii="黑体" w:hAnsi="黑体" w:eastAsia="黑体" w:cs="黑体"/>
          <w:sz w:val="36"/>
          <w:szCs w:val="36"/>
        </w:rPr>
      </w:pPr>
    </w:p>
    <w:p w14:paraId="3939ADC0">
      <w:pPr>
        <w:pStyle w:val="2"/>
        <w:spacing w:before="0" w:beforeAutospacing="0" w:after="0" w:afterAutospacing="0" w:line="360" w:lineRule="auto"/>
        <w:jc w:val="center"/>
        <w:rPr>
          <w:rFonts w:ascii="黑体" w:hAnsi="黑体" w:eastAsia="黑体" w:cs="黑体"/>
          <w:sz w:val="36"/>
          <w:szCs w:val="36"/>
        </w:rPr>
      </w:pPr>
    </w:p>
    <w:p w14:paraId="002F7FB2">
      <w:pPr>
        <w:pStyle w:val="2"/>
        <w:spacing w:before="0" w:beforeAutospacing="0" w:after="0" w:afterAutospacing="0" w:line="360" w:lineRule="auto"/>
        <w:jc w:val="center"/>
        <w:rPr>
          <w:rFonts w:ascii="黑体" w:hAnsi="黑体" w:eastAsia="黑体" w:cs="黑体"/>
          <w:sz w:val="36"/>
          <w:szCs w:val="36"/>
        </w:rPr>
      </w:pPr>
    </w:p>
    <w:p w14:paraId="2AC00610">
      <w:pPr>
        <w:pStyle w:val="2"/>
        <w:spacing w:before="0" w:beforeAutospacing="0" w:after="0" w:afterAutospacing="0" w:line="360" w:lineRule="auto"/>
        <w:jc w:val="center"/>
        <w:rPr>
          <w:rFonts w:ascii="黑体" w:hAnsi="黑体" w:eastAsia="黑体" w:cs="黑体"/>
          <w:sz w:val="44"/>
          <w:szCs w:val="44"/>
        </w:rPr>
      </w:pPr>
      <w:r>
        <w:rPr>
          <w:rFonts w:ascii="黑体" w:hAnsi="黑体" w:eastAsia="黑体" w:cs="黑体"/>
          <w:sz w:val="44"/>
          <w:szCs w:val="44"/>
        </w:rPr>
        <w:t>202</w:t>
      </w:r>
      <w:r>
        <w:rPr>
          <w:rFonts w:hint="eastAsia" w:ascii="黑体" w:hAnsi="黑体" w:eastAsia="黑体" w:cs="黑体"/>
          <w:sz w:val="44"/>
          <w:szCs w:val="44"/>
          <w:lang w:val="en-US" w:eastAsia="zh-CN"/>
        </w:rPr>
        <w:t>3</w:t>
      </w:r>
      <w:r>
        <w:rPr>
          <w:rFonts w:ascii="黑体" w:hAnsi="黑体" w:eastAsia="黑体" w:cs="黑体"/>
          <w:sz w:val="44"/>
          <w:szCs w:val="44"/>
        </w:rPr>
        <w:t>年</w:t>
      </w:r>
      <w:r>
        <w:rPr>
          <w:rFonts w:hint="eastAsia" w:ascii="黑体" w:hAnsi="黑体" w:eastAsia="黑体" w:cs="黑体"/>
          <w:sz w:val="44"/>
          <w:szCs w:val="44"/>
          <w:lang w:val="en-US" w:eastAsia="zh-CN"/>
        </w:rPr>
        <w:t>2</w:t>
      </w:r>
      <w:r>
        <w:rPr>
          <w:rFonts w:ascii="黑体" w:hAnsi="黑体" w:eastAsia="黑体" w:cs="黑体"/>
          <w:sz w:val="44"/>
          <w:szCs w:val="44"/>
        </w:rPr>
        <w:t>月</w:t>
      </w:r>
    </w:p>
    <w:p w14:paraId="3BF0DFDF">
      <w:pPr>
        <w:pStyle w:val="2"/>
        <w:spacing w:before="0" w:beforeAutospacing="0" w:after="0" w:afterAutospacing="0" w:line="500" w:lineRule="exact"/>
        <w:jc w:val="center"/>
        <w:rPr>
          <w:rFonts w:ascii="黑体" w:hAnsi="黑体" w:eastAsia="黑体" w:cs="黑体"/>
          <w:sz w:val="44"/>
          <w:szCs w:val="44"/>
        </w:rPr>
      </w:pPr>
    </w:p>
    <w:p w14:paraId="388F9203">
      <w:pPr>
        <w:pStyle w:val="2"/>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部门（单位）概况</w:t>
      </w:r>
    </w:p>
    <w:p w14:paraId="1D23F90C">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5B4E3972">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2、部门（单位）预算构成</w:t>
      </w:r>
    </w:p>
    <w:p w14:paraId="7FB2BE94">
      <w:pPr>
        <w:pStyle w:val="2"/>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 、2023年度主要工作任务</w:t>
      </w:r>
    </w:p>
    <w:p w14:paraId="46D484C3">
      <w:pPr>
        <w:pStyle w:val="2"/>
        <w:widowControl/>
        <w:adjustRightInd w:val="0"/>
        <w:snapToGrid w:val="0"/>
        <w:spacing w:before="100" w:after="100" w:line="400" w:lineRule="exact"/>
        <w:ind w:left="0" w:right="0" w:firstLine="723" w:firstLineChars="200"/>
        <w:rPr>
          <w:rFonts w:hint="eastAsia" w:ascii="黑体" w:hAnsi="黑体" w:eastAsia="黑体" w:cs="黑体"/>
          <w:b/>
          <w:bCs/>
          <w:i w:val="0"/>
          <w:iCs w:val="0"/>
          <w:caps w:val="0"/>
          <w:color w:val="000000"/>
          <w:spacing w:val="0"/>
          <w:sz w:val="36"/>
          <w:szCs w:val="36"/>
        </w:rPr>
      </w:pPr>
      <w:r>
        <w:rPr>
          <w:rFonts w:hint="eastAsia" w:ascii="黑体" w:hAnsi="黑体" w:eastAsia="黑体" w:cs="黑体"/>
          <w:b/>
          <w:bCs/>
          <w:i w:val="0"/>
          <w:iCs w:val="0"/>
          <w:caps w:val="0"/>
          <w:color w:val="000000"/>
          <w:spacing w:val="0"/>
          <w:sz w:val="36"/>
          <w:szCs w:val="36"/>
        </w:rPr>
        <w:t>第二部分</w:t>
      </w:r>
      <w:r>
        <w:rPr>
          <w:rFonts w:hint="eastAsia" w:ascii="黑体" w:hAnsi="黑体" w:eastAsia="黑体" w:cs="黑体"/>
          <w:b/>
          <w:bCs/>
          <w:i w:val="0"/>
          <w:iCs w:val="0"/>
          <w:caps w:val="0"/>
          <w:color w:val="000000"/>
          <w:spacing w:val="0"/>
          <w:sz w:val="36"/>
          <w:szCs w:val="36"/>
          <w:lang w:val="en-US" w:eastAsia="zh-CN"/>
        </w:rPr>
        <w:t>2023</w:t>
      </w:r>
      <w:r>
        <w:rPr>
          <w:rFonts w:hint="eastAsia" w:ascii="黑体" w:hAnsi="黑体" w:eastAsia="黑体" w:cs="黑体"/>
          <w:b/>
          <w:bCs/>
          <w:i w:val="0"/>
          <w:iCs w:val="0"/>
          <w:caps w:val="0"/>
          <w:color w:val="000000"/>
          <w:spacing w:val="0"/>
          <w:sz w:val="36"/>
          <w:szCs w:val="36"/>
        </w:rPr>
        <w:t>年单位预算表</w:t>
      </w:r>
    </w:p>
    <w:p w14:paraId="63F6643C">
      <w:pPr>
        <w:pStyle w:val="2"/>
        <w:widowControl/>
        <w:adjustRightInd w:val="0"/>
        <w:snapToGrid w:val="0"/>
        <w:spacing w:before="100" w:after="100" w:line="400" w:lineRule="exact"/>
        <w:ind w:left="0" w:right="0" w:firstLine="800" w:firstLineChars="250"/>
        <w:rPr>
          <w:rFonts w:hint="eastAsia" w:ascii="TimesNewRoman" w:hAnsi="TimesNewRoman" w:eastAsia="仿宋_GB2312" w:cs="TimesNewRoman"/>
          <w:bCs/>
          <w:sz w:val="32"/>
          <w:szCs w:val="32"/>
          <w:lang w:val="en-US" w:eastAsia="zh-CN" w:bidi="ar-SA"/>
        </w:rPr>
      </w:pPr>
      <w:r>
        <w:rPr>
          <w:rFonts w:hint="eastAsia" w:ascii="TimesNewRoman" w:hAnsi="TimesNewRoman" w:eastAsia="仿宋_GB2312" w:cs="TimesNewRoman"/>
          <w:bCs/>
          <w:sz w:val="32"/>
          <w:szCs w:val="32"/>
          <w:lang w:val="en-US" w:eastAsia="zh-CN" w:bidi="ar-SA"/>
        </w:rPr>
        <w:t>1、淮北市烈山区市场监督管理局2023年收支总表</w:t>
      </w:r>
    </w:p>
    <w:p w14:paraId="30A3E49D">
      <w:pPr>
        <w:pStyle w:val="2"/>
        <w:widowControl/>
        <w:adjustRightInd w:val="0"/>
        <w:snapToGrid w:val="0"/>
        <w:spacing w:before="100" w:after="100" w:line="400" w:lineRule="exact"/>
        <w:ind w:left="0" w:right="0" w:firstLine="800" w:firstLineChars="250"/>
        <w:rPr>
          <w:rFonts w:hint="eastAsia" w:ascii="TimesNewRoman" w:hAnsi="TimesNewRoman" w:eastAsia="仿宋_GB2312" w:cs="TimesNewRoman"/>
          <w:bCs/>
          <w:sz w:val="32"/>
          <w:szCs w:val="32"/>
          <w:lang w:val="en-US" w:eastAsia="zh-CN" w:bidi="ar-SA"/>
        </w:rPr>
      </w:pPr>
      <w:r>
        <w:rPr>
          <w:rFonts w:hint="eastAsia" w:ascii="TimesNewRoman" w:hAnsi="TimesNewRoman" w:eastAsia="仿宋_GB2312" w:cs="TimesNewRoman"/>
          <w:bCs/>
          <w:sz w:val="32"/>
          <w:szCs w:val="32"/>
          <w:lang w:val="en-US" w:eastAsia="zh-CN" w:bidi="ar-SA"/>
        </w:rPr>
        <w:t>2、淮北市烈山区市场监督管理局2023年收入总表</w:t>
      </w:r>
    </w:p>
    <w:p w14:paraId="113BA65A">
      <w:pPr>
        <w:pStyle w:val="2"/>
        <w:widowControl/>
        <w:adjustRightInd w:val="0"/>
        <w:snapToGrid w:val="0"/>
        <w:spacing w:before="100" w:after="100" w:line="400" w:lineRule="exact"/>
        <w:ind w:left="0" w:right="0" w:firstLine="800" w:firstLineChars="250"/>
        <w:rPr>
          <w:rFonts w:hint="eastAsia" w:ascii="TimesNewRoman" w:hAnsi="TimesNewRoman" w:eastAsia="仿宋_GB2312" w:cs="TimesNewRoman"/>
          <w:bCs/>
          <w:sz w:val="32"/>
          <w:szCs w:val="32"/>
          <w:lang w:val="en-US" w:eastAsia="zh-CN" w:bidi="ar-SA"/>
        </w:rPr>
      </w:pPr>
      <w:r>
        <w:rPr>
          <w:rFonts w:hint="eastAsia" w:ascii="TimesNewRoman" w:hAnsi="TimesNewRoman" w:eastAsia="仿宋_GB2312" w:cs="TimesNewRoman"/>
          <w:bCs/>
          <w:sz w:val="32"/>
          <w:szCs w:val="32"/>
          <w:lang w:val="en-US" w:eastAsia="zh-CN" w:bidi="ar-SA"/>
        </w:rPr>
        <w:t>3、淮北市烈山区市场监督管理局2023年支出总表</w:t>
      </w:r>
    </w:p>
    <w:p w14:paraId="639919DE">
      <w:pPr>
        <w:pStyle w:val="2"/>
        <w:widowControl/>
        <w:adjustRightInd w:val="0"/>
        <w:snapToGrid w:val="0"/>
        <w:spacing w:before="100" w:after="100" w:line="400" w:lineRule="exact"/>
        <w:ind w:left="0" w:right="0" w:firstLine="800" w:firstLineChars="250"/>
        <w:rPr>
          <w:rFonts w:hint="eastAsia" w:ascii="TimesNewRoman" w:hAnsi="TimesNewRoman" w:eastAsia="仿宋_GB2312" w:cs="TimesNewRoman"/>
          <w:bCs/>
          <w:sz w:val="32"/>
          <w:szCs w:val="32"/>
          <w:lang w:val="en-US" w:eastAsia="zh-CN" w:bidi="ar-SA"/>
        </w:rPr>
      </w:pPr>
      <w:r>
        <w:rPr>
          <w:rFonts w:hint="eastAsia" w:ascii="TimesNewRoman" w:hAnsi="TimesNewRoman" w:eastAsia="仿宋_GB2312" w:cs="TimesNewRoman"/>
          <w:bCs/>
          <w:sz w:val="32"/>
          <w:szCs w:val="32"/>
          <w:lang w:val="en-US" w:eastAsia="zh-CN" w:bidi="ar-SA"/>
        </w:rPr>
        <w:t>4、淮北市烈山区市场监督管理局2023年财政拨款收支总表</w:t>
      </w:r>
    </w:p>
    <w:p w14:paraId="557D8216">
      <w:pPr>
        <w:pStyle w:val="2"/>
        <w:widowControl/>
        <w:adjustRightInd w:val="0"/>
        <w:snapToGrid w:val="0"/>
        <w:spacing w:before="100" w:after="100" w:line="400" w:lineRule="exact"/>
        <w:ind w:left="0" w:right="0" w:firstLine="800" w:firstLineChars="250"/>
        <w:rPr>
          <w:rFonts w:hint="eastAsia" w:ascii="TimesNewRoman" w:hAnsi="TimesNewRoman" w:eastAsia="仿宋_GB2312" w:cs="TimesNewRoman"/>
          <w:bCs/>
          <w:sz w:val="32"/>
          <w:szCs w:val="32"/>
          <w:lang w:val="en-US" w:eastAsia="zh-CN" w:bidi="ar-SA"/>
        </w:rPr>
      </w:pPr>
      <w:r>
        <w:rPr>
          <w:rFonts w:hint="eastAsia" w:ascii="TimesNewRoman" w:hAnsi="TimesNewRoman" w:eastAsia="仿宋_GB2312" w:cs="TimesNewRoman"/>
          <w:bCs/>
          <w:sz w:val="32"/>
          <w:szCs w:val="32"/>
          <w:lang w:val="en-US" w:eastAsia="zh-CN" w:bidi="ar-SA"/>
        </w:rPr>
        <w:t>5、淮北市烈山区市场监督管理局2023年一般公共预算支出表</w:t>
      </w:r>
    </w:p>
    <w:p w14:paraId="1F21324F">
      <w:pPr>
        <w:pStyle w:val="2"/>
        <w:widowControl/>
        <w:adjustRightInd w:val="0"/>
        <w:snapToGrid w:val="0"/>
        <w:spacing w:before="100" w:after="100" w:line="400" w:lineRule="exact"/>
        <w:ind w:left="0" w:right="0" w:firstLine="800" w:firstLineChars="250"/>
        <w:rPr>
          <w:rFonts w:hint="eastAsia" w:ascii="TimesNewRoman" w:hAnsi="TimesNewRoman" w:eastAsia="仿宋_GB2312" w:cs="TimesNewRoman"/>
          <w:bCs/>
          <w:sz w:val="32"/>
          <w:szCs w:val="32"/>
          <w:lang w:val="en-US" w:eastAsia="zh-CN" w:bidi="ar-SA"/>
        </w:rPr>
      </w:pPr>
      <w:r>
        <w:rPr>
          <w:rFonts w:hint="eastAsia" w:ascii="TimesNewRoman" w:hAnsi="TimesNewRoman" w:eastAsia="仿宋_GB2312" w:cs="TimesNewRoman"/>
          <w:bCs/>
          <w:sz w:val="32"/>
          <w:szCs w:val="32"/>
          <w:lang w:val="en-US" w:eastAsia="zh-CN" w:bidi="ar-SA"/>
        </w:rPr>
        <w:t>6、淮北市烈山区市场监督管理局2023年一般公共预算基本支出表</w:t>
      </w:r>
    </w:p>
    <w:p w14:paraId="70C17F61">
      <w:pPr>
        <w:pStyle w:val="2"/>
        <w:widowControl/>
        <w:adjustRightInd w:val="0"/>
        <w:snapToGrid w:val="0"/>
        <w:spacing w:before="100" w:after="100" w:line="400" w:lineRule="exact"/>
        <w:ind w:left="0" w:right="0" w:firstLine="800" w:firstLineChars="250"/>
        <w:rPr>
          <w:rFonts w:hint="eastAsia" w:ascii="TimesNewRoman" w:hAnsi="TimesNewRoman" w:eastAsia="仿宋_GB2312" w:cs="TimesNewRoman"/>
          <w:bCs/>
          <w:sz w:val="32"/>
          <w:szCs w:val="32"/>
          <w:lang w:val="en-US" w:eastAsia="zh-CN" w:bidi="ar-SA"/>
        </w:rPr>
      </w:pPr>
      <w:r>
        <w:rPr>
          <w:rFonts w:hint="eastAsia" w:ascii="TimesNewRoman" w:hAnsi="TimesNewRoman" w:eastAsia="仿宋_GB2312" w:cs="TimesNewRoman"/>
          <w:bCs/>
          <w:sz w:val="32"/>
          <w:szCs w:val="32"/>
          <w:lang w:val="en-US" w:eastAsia="zh-CN" w:bidi="ar-SA"/>
        </w:rPr>
        <w:t>7、淮北市烈山区市场监督管理局2023年政府性基金预算支出表</w:t>
      </w:r>
    </w:p>
    <w:p w14:paraId="52005B7C">
      <w:pPr>
        <w:pStyle w:val="2"/>
        <w:widowControl/>
        <w:adjustRightInd w:val="0"/>
        <w:snapToGrid w:val="0"/>
        <w:spacing w:before="100" w:after="100" w:line="400" w:lineRule="exact"/>
        <w:ind w:left="0" w:right="0" w:firstLine="800" w:firstLineChars="250"/>
        <w:rPr>
          <w:rFonts w:hint="eastAsia" w:ascii="TimesNewRoman" w:hAnsi="TimesNewRoman" w:eastAsia="仿宋_GB2312" w:cs="TimesNewRoman"/>
          <w:bCs/>
          <w:sz w:val="32"/>
          <w:szCs w:val="32"/>
          <w:lang w:val="en-US" w:eastAsia="zh-CN" w:bidi="ar-SA"/>
        </w:rPr>
      </w:pPr>
      <w:r>
        <w:rPr>
          <w:rFonts w:hint="eastAsia" w:ascii="TimesNewRoman" w:hAnsi="TimesNewRoman" w:eastAsia="仿宋_GB2312" w:cs="TimesNewRoman"/>
          <w:bCs/>
          <w:sz w:val="32"/>
          <w:szCs w:val="32"/>
          <w:lang w:val="en-US" w:eastAsia="zh-CN" w:bidi="ar-SA"/>
        </w:rPr>
        <w:t>8、淮北市烈山区市场监督管理局2023年国有资本经营预算支出表</w:t>
      </w:r>
    </w:p>
    <w:p w14:paraId="00A3280B">
      <w:pPr>
        <w:pStyle w:val="2"/>
        <w:widowControl/>
        <w:adjustRightInd w:val="0"/>
        <w:snapToGrid w:val="0"/>
        <w:spacing w:before="100" w:after="100" w:line="400" w:lineRule="exact"/>
        <w:ind w:left="0" w:right="0" w:firstLine="800" w:firstLineChars="250"/>
        <w:rPr>
          <w:rFonts w:hint="eastAsia" w:ascii="TimesNewRoman" w:hAnsi="TimesNewRoman" w:eastAsia="仿宋_GB2312" w:cs="TimesNewRoman"/>
          <w:bCs/>
          <w:sz w:val="32"/>
          <w:szCs w:val="32"/>
          <w:lang w:val="en-US" w:eastAsia="zh-CN" w:bidi="ar-SA"/>
        </w:rPr>
      </w:pPr>
      <w:r>
        <w:rPr>
          <w:rFonts w:hint="eastAsia" w:ascii="TimesNewRoman" w:hAnsi="TimesNewRoman" w:eastAsia="仿宋_GB2312" w:cs="TimesNewRoman"/>
          <w:bCs/>
          <w:sz w:val="32"/>
          <w:szCs w:val="32"/>
          <w:lang w:val="en-US" w:eastAsia="zh-CN" w:bidi="ar-SA"/>
        </w:rPr>
        <w:t>9、淮北市烈山区市场监督管理局2023年项目支出表</w:t>
      </w:r>
    </w:p>
    <w:p w14:paraId="258B6554">
      <w:pPr>
        <w:pStyle w:val="2"/>
        <w:widowControl/>
        <w:adjustRightInd w:val="0"/>
        <w:snapToGrid w:val="0"/>
        <w:spacing w:before="100" w:after="100" w:line="400" w:lineRule="exact"/>
        <w:ind w:left="0" w:right="0" w:firstLine="800" w:firstLineChars="250"/>
        <w:rPr>
          <w:rFonts w:hint="eastAsia" w:ascii="TimesNewRoman" w:hAnsi="TimesNewRoman" w:eastAsia="仿宋_GB2312" w:cs="TimesNewRoman"/>
          <w:bCs/>
          <w:sz w:val="32"/>
          <w:szCs w:val="32"/>
          <w:lang w:val="en-US" w:eastAsia="zh-CN" w:bidi="ar-SA"/>
        </w:rPr>
      </w:pPr>
      <w:r>
        <w:rPr>
          <w:rFonts w:hint="eastAsia" w:ascii="TimesNewRoman" w:hAnsi="TimesNewRoman" w:eastAsia="仿宋_GB2312" w:cs="TimesNewRoman"/>
          <w:bCs/>
          <w:sz w:val="32"/>
          <w:szCs w:val="32"/>
          <w:lang w:val="en-US" w:eastAsia="zh-CN" w:bidi="ar-SA"/>
        </w:rPr>
        <w:t>10、淮北市烈山区市场监督管理局2023年政府采购支出表</w:t>
      </w:r>
    </w:p>
    <w:p w14:paraId="2419AF03">
      <w:pPr>
        <w:pStyle w:val="2"/>
        <w:widowControl/>
        <w:adjustRightInd w:val="0"/>
        <w:snapToGrid w:val="0"/>
        <w:spacing w:before="100" w:after="100" w:line="400" w:lineRule="exact"/>
        <w:ind w:left="0" w:right="0" w:firstLine="800" w:firstLineChars="250"/>
        <w:rPr>
          <w:rFonts w:hint="eastAsia" w:ascii="TimesNewRoman" w:hAnsi="TimesNewRoman" w:eastAsia="仿宋_GB2312" w:cs="TimesNewRoman"/>
          <w:bCs/>
          <w:sz w:val="32"/>
          <w:szCs w:val="32"/>
          <w:lang w:val="en-US" w:eastAsia="zh-CN" w:bidi="ar-SA"/>
        </w:rPr>
      </w:pPr>
      <w:r>
        <w:rPr>
          <w:rFonts w:hint="eastAsia" w:ascii="TimesNewRoman" w:hAnsi="TimesNewRoman" w:eastAsia="仿宋_GB2312" w:cs="TimesNewRoman"/>
          <w:bCs/>
          <w:sz w:val="32"/>
          <w:szCs w:val="32"/>
          <w:lang w:val="en-US" w:eastAsia="zh-CN" w:bidi="ar-SA"/>
        </w:rPr>
        <w:t>11、淮北市烈山区市场监督管理局2023年政府购买服务支出表</w:t>
      </w:r>
    </w:p>
    <w:p w14:paraId="3ADE5D75">
      <w:pPr>
        <w:pStyle w:val="2"/>
        <w:widowControl/>
        <w:adjustRightInd w:val="0"/>
        <w:snapToGrid w:val="0"/>
        <w:spacing w:before="100" w:after="100" w:line="400" w:lineRule="exact"/>
        <w:ind w:left="0" w:right="0" w:firstLine="723" w:firstLineChars="200"/>
        <w:rPr>
          <w:rFonts w:hint="eastAsia" w:ascii="黑体" w:hAnsi="黑体" w:eastAsia="黑体" w:cs="黑体"/>
          <w:b/>
          <w:bCs/>
          <w:i w:val="0"/>
          <w:iCs w:val="0"/>
          <w:caps w:val="0"/>
          <w:color w:val="000000"/>
          <w:spacing w:val="0"/>
          <w:sz w:val="36"/>
          <w:szCs w:val="36"/>
        </w:rPr>
      </w:pPr>
      <w:r>
        <w:rPr>
          <w:rFonts w:hint="eastAsia" w:ascii="黑体" w:hAnsi="黑体" w:eastAsia="黑体" w:cs="黑体"/>
          <w:b/>
          <w:bCs/>
          <w:i w:val="0"/>
          <w:iCs w:val="0"/>
          <w:caps w:val="0"/>
          <w:color w:val="000000"/>
          <w:spacing w:val="0"/>
          <w:sz w:val="36"/>
          <w:szCs w:val="36"/>
        </w:rPr>
        <w:t>第三部</w:t>
      </w:r>
      <w:r>
        <w:rPr>
          <w:rFonts w:hint="eastAsia" w:ascii="黑体" w:hAnsi="黑体" w:eastAsia="黑体" w:cs="黑体"/>
          <w:b/>
          <w:bCs/>
          <w:i w:val="0"/>
          <w:iCs w:val="0"/>
          <w:caps w:val="0"/>
          <w:color w:val="000000"/>
          <w:spacing w:val="0"/>
          <w:sz w:val="36"/>
          <w:szCs w:val="36"/>
          <w:lang w:val="en-US" w:eastAsia="zh-CN"/>
        </w:rPr>
        <w:t>2023</w:t>
      </w:r>
      <w:r>
        <w:rPr>
          <w:rFonts w:hint="eastAsia" w:ascii="黑体" w:hAnsi="黑体" w:eastAsia="黑体" w:cs="黑体"/>
          <w:b/>
          <w:bCs/>
          <w:i w:val="0"/>
          <w:iCs w:val="0"/>
          <w:caps w:val="0"/>
          <w:color w:val="000000"/>
          <w:spacing w:val="0"/>
          <w:sz w:val="36"/>
          <w:szCs w:val="36"/>
        </w:rPr>
        <w:t>分年单位预算情况说明</w:t>
      </w:r>
    </w:p>
    <w:p w14:paraId="577A64BE">
      <w:pPr>
        <w:pStyle w:val="2"/>
        <w:widowControl/>
        <w:adjustRightInd w:val="0"/>
        <w:snapToGrid w:val="0"/>
        <w:spacing w:before="100" w:after="100" w:line="400" w:lineRule="exact"/>
        <w:ind w:left="0" w:right="0" w:firstLine="800" w:firstLineChars="250"/>
        <w:rPr>
          <w:rFonts w:hint="eastAsia" w:ascii="TimesNewRoman" w:hAnsi="TimesNewRoman" w:eastAsia="仿宋_GB2312" w:cs="TimesNewRoman"/>
          <w:bCs/>
          <w:sz w:val="32"/>
          <w:szCs w:val="32"/>
          <w:lang w:val="en-US" w:eastAsia="zh-CN" w:bidi="ar-SA"/>
        </w:rPr>
      </w:pPr>
      <w:r>
        <w:rPr>
          <w:rFonts w:hint="eastAsia" w:ascii="TimesNewRoman" w:hAnsi="TimesNewRoman" w:eastAsia="仿宋_GB2312" w:cs="TimesNewRoman"/>
          <w:bCs/>
          <w:sz w:val="32"/>
          <w:szCs w:val="32"/>
          <w:lang w:val="en-US" w:eastAsia="zh-CN" w:bidi="ar-SA"/>
        </w:rPr>
        <w:t>1、关于2023年收支总表的说明</w:t>
      </w:r>
    </w:p>
    <w:p w14:paraId="0731EC8D">
      <w:pPr>
        <w:pStyle w:val="2"/>
        <w:widowControl/>
        <w:adjustRightInd w:val="0"/>
        <w:snapToGrid w:val="0"/>
        <w:spacing w:before="100" w:after="100" w:line="400" w:lineRule="exact"/>
        <w:ind w:left="0" w:right="0" w:firstLine="800" w:firstLineChars="250"/>
        <w:rPr>
          <w:rFonts w:hint="eastAsia" w:ascii="TimesNewRoman" w:hAnsi="TimesNewRoman" w:eastAsia="仿宋_GB2312" w:cs="TimesNewRoman"/>
          <w:bCs/>
          <w:sz w:val="32"/>
          <w:szCs w:val="32"/>
          <w:lang w:val="en-US" w:eastAsia="zh-CN" w:bidi="ar-SA"/>
        </w:rPr>
      </w:pPr>
      <w:r>
        <w:rPr>
          <w:rFonts w:hint="eastAsia" w:ascii="TimesNewRoman" w:hAnsi="TimesNewRoman" w:eastAsia="仿宋_GB2312" w:cs="TimesNewRoman"/>
          <w:bCs/>
          <w:sz w:val="32"/>
          <w:szCs w:val="32"/>
          <w:lang w:val="en-US" w:eastAsia="zh-CN" w:bidi="ar-SA"/>
        </w:rPr>
        <w:t>2、关于2023年收入总表的说明</w:t>
      </w:r>
    </w:p>
    <w:p w14:paraId="688D5F0C">
      <w:pPr>
        <w:pStyle w:val="2"/>
        <w:widowControl/>
        <w:adjustRightInd w:val="0"/>
        <w:snapToGrid w:val="0"/>
        <w:spacing w:before="100" w:after="100" w:line="400" w:lineRule="exact"/>
        <w:ind w:left="0" w:right="0" w:firstLine="800" w:firstLineChars="250"/>
        <w:rPr>
          <w:rFonts w:hint="eastAsia" w:ascii="TimesNewRoman" w:hAnsi="TimesNewRoman" w:eastAsia="仿宋_GB2312" w:cs="TimesNewRoman"/>
          <w:bCs/>
          <w:sz w:val="32"/>
          <w:szCs w:val="32"/>
          <w:lang w:val="en-US" w:eastAsia="zh-CN" w:bidi="ar-SA"/>
        </w:rPr>
      </w:pPr>
      <w:r>
        <w:rPr>
          <w:rFonts w:hint="eastAsia" w:ascii="TimesNewRoman" w:hAnsi="TimesNewRoman" w:eastAsia="仿宋_GB2312" w:cs="TimesNewRoman"/>
          <w:bCs/>
          <w:sz w:val="32"/>
          <w:szCs w:val="32"/>
          <w:lang w:val="en-US" w:eastAsia="zh-CN" w:bidi="ar-SA"/>
        </w:rPr>
        <w:t>3、关于2023年支出总表的说明</w:t>
      </w:r>
    </w:p>
    <w:p w14:paraId="43402F5C">
      <w:pPr>
        <w:pStyle w:val="2"/>
        <w:widowControl/>
        <w:adjustRightInd w:val="0"/>
        <w:snapToGrid w:val="0"/>
        <w:spacing w:before="100" w:after="100" w:line="400" w:lineRule="exact"/>
        <w:ind w:left="0" w:right="0" w:firstLine="800" w:firstLineChars="250"/>
        <w:rPr>
          <w:rFonts w:hint="eastAsia" w:ascii="TimesNewRoman" w:hAnsi="TimesNewRoman" w:eastAsia="仿宋_GB2312" w:cs="TimesNewRoman"/>
          <w:bCs/>
          <w:sz w:val="32"/>
          <w:szCs w:val="32"/>
          <w:lang w:val="en-US" w:eastAsia="zh-CN" w:bidi="ar-SA"/>
        </w:rPr>
      </w:pPr>
      <w:r>
        <w:rPr>
          <w:rFonts w:hint="eastAsia" w:ascii="TimesNewRoman" w:hAnsi="TimesNewRoman" w:eastAsia="仿宋_GB2312" w:cs="TimesNewRoman"/>
          <w:bCs/>
          <w:sz w:val="32"/>
          <w:szCs w:val="32"/>
          <w:lang w:val="en-US" w:eastAsia="zh-CN" w:bidi="ar-SA"/>
        </w:rPr>
        <w:t>4、关于2023年财政拨款收支总表的说明</w:t>
      </w:r>
    </w:p>
    <w:p w14:paraId="4BB986EE">
      <w:pPr>
        <w:pStyle w:val="2"/>
        <w:widowControl/>
        <w:adjustRightInd w:val="0"/>
        <w:snapToGrid w:val="0"/>
        <w:spacing w:before="100" w:after="100" w:line="400" w:lineRule="exact"/>
        <w:ind w:left="0" w:right="0" w:firstLine="800" w:firstLineChars="250"/>
        <w:rPr>
          <w:rFonts w:hint="eastAsia" w:ascii="TimesNewRoman" w:hAnsi="TimesNewRoman" w:eastAsia="仿宋_GB2312" w:cs="TimesNewRoman"/>
          <w:bCs/>
          <w:sz w:val="32"/>
          <w:szCs w:val="32"/>
          <w:lang w:val="en-US" w:eastAsia="zh-CN" w:bidi="ar-SA"/>
        </w:rPr>
      </w:pPr>
      <w:r>
        <w:rPr>
          <w:rFonts w:hint="eastAsia" w:ascii="TimesNewRoman" w:hAnsi="TimesNewRoman" w:eastAsia="仿宋_GB2312" w:cs="TimesNewRoman"/>
          <w:bCs/>
          <w:sz w:val="32"/>
          <w:szCs w:val="32"/>
          <w:lang w:val="en-US" w:eastAsia="zh-CN" w:bidi="ar-SA"/>
        </w:rPr>
        <w:t>5、关于2023年一般公共预算支出表的说明</w:t>
      </w:r>
    </w:p>
    <w:p w14:paraId="37523C71">
      <w:pPr>
        <w:pStyle w:val="2"/>
        <w:widowControl/>
        <w:adjustRightInd w:val="0"/>
        <w:snapToGrid w:val="0"/>
        <w:spacing w:before="100" w:after="100" w:line="400" w:lineRule="exact"/>
        <w:ind w:left="0" w:right="0" w:firstLine="800" w:firstLineChars="250"/>
        <w:rPr>
          <w:rFonts w:hint="eastAsia" w:ascii="TimesNewRoman" w:hAnsi="TimesNewRoman" w:eastAsia="仿宋_GB2312" w:cs="TimesNewRoman"/>
          <w:bCs/>
          <w:sz w:val="32"/>
          <w:szCs w:val="32"/>
          <w:lang w:val="en-US" w:eastAsia="zh-CN" w:bidi="ar-SA"/>
        </w:rPr>
      </w:pPr>
      <w:r>
        <w:rPr>
          <w:rFonts w:hint="eastAsia" w:ascii="TimesNewRoman" w:hAnsi="TimesNewRoman" w:eastAsia="仿宋_GB2312" w:cs="TimesNewRoman"/>
          <w:bCs/>
          <w:sz w:val="32"/>
          <w:szCs w:val="32"/>
          <w:lang w:val="en-US" w:eastAsia="zh-CN" w:bidi="ar-SA"/>
        </w:rPr>
        <w:t>6、关于2023年一般公共预算基本支出表的说明</w:t>
      </w:r>
    </w:p>
    <w:p w14:paraId="279A284C">
      <w:pPr>
        <w:pStyle w:val="2"/>
        <w:widowControl/>
        <w:adjustRightInd w:val="0"/>
        <w:snapToGrid w:val="0"/>
        <w:spacing w:before="100" w:after="100" w:line="400" w:lineRule="exact"/>
        <w:ind w:left="0" w:right="0" w:firstLine="800" w:firstLineChars="250"/>
        <w:rPr>
          <w:rFonts w:hint="eastAsia" w:ascii="TimesNewRoman" w:hAnsi="TimesNewRoman" w:eastAsia="仿宋_GB2312" w:cs="TimesNewRoman"/>
          <w:bCs/>
          <w:sz w:val="32"/>
          <w:szCs w:val="32"/>
          <w:lang w:val="en-US" w:eastAsia="zh-CN" w:bidi="ar-SA"/>
        </w:rPr>
      </w:pPr>
      <w:r>
        <w:rPr>
          <w:rFonts w:hint="eastAsia" w:ascii="TimesNewRoman" w:hAnsi="TimesNewRoman" w:eastAsia="仿宋_GB2312" w:cs="TimesNewRoman"/>
          <w:bCs/>
          <w:sz w:val="32"/>
          <w:szCs w:val="32"/>
          <w:lang w:val="en-US" w:eastAsia="zh-CN" w:bidi="ar-SA"/>
        </w:rPr>
        <w:t>7、关于2023年政府性基金预算支出表的说明</w:t>
      </w:r>
    </w:p>
    <w:p w14:paraId="6FB4B342">
      <w:pPr>
        <w:pStyle w:val="2"/>
        <w:widowControl/>
        <w:adjustRightInd w:val="0"/>
        <w:snapToGrid w:val="0"/>
        <w:spacing w:before="100" w:after="100" w:line="400" w:lineRule="exact"/>
        <w:ind w:left="0" w:right="0" w:firstLine="800" w:firstLineChars="250"/>
        <w:rPr>
          <w:rFonts w:hint="eastAsia" w:ascii="TimesNewRoman" w:hAnsi="TimesNewRoman" w:eastAsia="仿宋_GB2312" w:cs="TimesNewRoman"/>
          <w:bCs/>
          <w:sz w:val="32"/>
          <w:szCs w:val="32"/>
          <w:lang w:val="en-US" w:eastAsia="zh-CN" w:bidi="ar-SA"/>
        </w:rPr>
      </w:pPr>
      <w:r>
        <w:rPr>
          <w:rFonts w:hint="eastAsia" w:ascii="TimesNewRoman" w:hAnsi="TimesNewRoman" w:eastAsia="仿宋_GB2312" w:cs="TimesNewRoman"/>
          <w:bCs/>
          <w:sz w:val="32"/>
          <w:szCs w:val="32"/>
          <w:lang w:val="en-US" w:eastAsia="zh-CN" w:bidi="ar-SA"/>
        </w:rPr>
        <w:t>8、关于2023年国有资本经营预算支出表的说明</w:t>
      </w:r>
    </w:p>
    <w:p w14:paraId="7133E3DA">
      <w:pPr>
        <w:pStyle w:val="2"/>
        <w:widowControl/>
        <w:adjustRightInd w:val="0"/>
        <w:snapToGrid w:val="0"/>
        <w:spacing w:before="100" w:after="100" w:line="400" w:lineRule="exact"/>
        <w:ind w:left="0" w:right="0" w:firstLine="800" w:firstLineChars="250"/>
        <w:rPr>
          <w:rFonts w:hint="eastAsia" w:ascii="TimesNewRoman" w:hAnsi="TimesNewRoman" w:eastAsia="仿宋_GB2312" w:cs="TimesNewRoman"/>
          <w:bCs/>
          <w:sz w:val="32"/>
          <w:szCs w:val="32"/>
          <w:lang w:val="en-US" w:eastAsia="zh-CN" w:bidi="ar-SA"/>
        </w:rPr>
      </w:pPr>
      <w:r>
        <w:rPr>
          <w:rFonts w:hint="eastAsia" w:ascii="TimesNewRoman" w:hAnsi="TimesNewRoman" w:eastAsia="仿宋_GB2312" w:cs="TimesNewRoman"/>
          <w:bCs/>
          <w:sz w:val="32"/>
          <w:szCs w:val="32"/>
          <w:lang w:val="en-US" w:eastAsia="zh-CN" w:bidi="ar-SA"/>
        </w:rPr>
        <w:t>9、关于2023年项目支出表的说明</w:t>
      </w:r>
    </w:p>
    <w:p w14:paraId="75FEF3C5">
      <w:pPr>
        <w:pStyle w:val="2"/>
        <w:widowControl/>
        <w:adjustRightInd w:val="0"/>
        <w:snapToGrid w:val="0"/>
        <w:spacing w:before="100" w:after="100" w:line="400" w:lineRule="exact"/>
        <w:ind w:left="0" w:right="0" w:firstLine="800" w:firstLineChars="250"/>
        <w:rPr>
          <w:rFonts w:hint="eastAsia" w:ascii="TimesNewRoman" w:hAnsi="TimesNewRoman" w:eastAsia="仿宋_GB2312" w:cs="TimesNewRoman"/>
          <w:bCs/>
          <w:sz w:val="32"/>
          <w:szCs w:val="32"/>
          <w:lang w:val="en-US" w:eastAsia="zh-CN" w:bidi="ar-SA"/>
        </w:rPr>
      </w:pPr>
      <w:r>
        <w:rPr>
          <w:rFonts w:hint="eastAsia" w:ascii="TimesNewRoman" w:hAnsi="TimesNewRoman" w:eastAsia="仿宋_GB2312" w:cs="TimesNewRoman"/>
          <w:bCs/>
          <w:sz w:val="32"/>
          <w:szCs w:val="32"/>
          <w:lang w:val="en-US" w:eastAsia="zh-CN" w:bidi="ar-SA"/>
        </w:rPr>
        <w:t>10、关于2023年政府采购支出表的说明</w:t>
      </w:r>
    </w:p>
    <w:p w14:paraId="7BA755D8">
      <w:pPr>
        <w:pStyle w:val="2"/>
        <w:widowControl/>
        <w:adjustRightInd w:val="0"/>
        <w:snapToGrid w:val="0"/>
        <w:spacing w:before="100" w:after="100" w:line="400" w:lineRule="exact"/>
        <w:ind w:left="0" w:right="0" w:firstLine="800" w:firstLineChars="250"/>
        <w:rPr>
          <w:rFonts w:hint="eastAsia" w:ascii="TimesNewRoman" w:hAnsi="TimesNewRoman" w:eastAsia="仿宋_GB2312" w:cs="TimesNewRoman"/>
          <w:bCs/>
          <w:sz w:val="32"/>
          <w:szCs w:val="32"/>
          <w:lang w:val="en-US" w:eastAsia="zh-CN" w:bidi="ar-SA"/>
        </w:rPr>
      </w:pPr>
      <w:r>
        <w:rPr>
          <w:rFonts w:hint="eastAsia" w:ascii="TimesNewRoman" w:hAnsi="TimesNewRoman" w:eastAsia="仿宋_GB2312" w:cs="TimesNewRoman"/>
          <w:bCs/>
          <w:sz w:val="32"/>
          <w:szCs w:val="32"/>
          <w:lang w:val="en-US" w:eastAsia="zh-CN" w:bidi="ar-SA"/>
        </w:rPr>
        <w:t>11、关于2023年政府购买服务支出表的说明</w:t>
      </w:r>
    </w:p>
    <w:p w14:paraId="730E5ABD">
      <w:pPr>
        <w:pStyle w:val="2"/>
        <w:widowControl/>
        <w:adjustRightInd w:val="0"/>
        <w:snapToGrid w:val="0"/>
        <w:spacing w:before="100" w:after="100" w:line="400" w:lineRule="exact"/>
        <w:ind w:left="0" w:right="0" w:firstLine="800" w:firstLineChars="250"/>
        <w:rPr>
          <w:rFonts w:hint="eastAsia" w:ascii="TimesNewRoman" w:hAnsi="TimesNewRoman" w:eastAsia="仿宋_GB2312" w:cs="TimesNewRoman"/>
          <w:bCs/>
          <w:sz w:val="32"/>
          <w:szCs w:val="32"/>
          <w:lang w:val="en-US" w:eastAsia="zh-CN" w:bidi="ar-SA"/>
        </w:rPr>
      </w:pPr>
      <w:r>
        <w:rPr>
          <w:rFonts w:hint="eastAsia" w:ascii="TimesNewRoman" w:hAnsi="TimesNewRoman" w:eastAsia="仿宋_GB2312" w:cs="TimesNewRoman"/>
          <w:bCs/>
          <w:sz w:val="32"/>
          <w:szCs w:val="32"/>
          <w:lang w:val="en-US" w:eastAsia="zh-CN" w:bidi="ar-SA"/>
        </w:rPr>
        <w:t>12、其他重要事项情况说明</w:t>
      </w:r>
    </w:p>
    <w:p w14:paraId="75BD76B3">
      <w:pPr>
        <w:pStyle w:val="2"/>
        <w:widowControl/>
        <w:adjustRightInd w:val="0"/>
        <w:snapToGrid w:val="0"/>
        <w:spacing w:before="100" w:after="100" w:line="400" w:lineRule="exact"/>
        <w:ind w:left="0" w:right="0" w:firstLine="723" w:firstLineChars="200"/>
        <w:rPr>
          <w:rFonts w:hint="eastAsia" w:ascii="黑体" w:hAnsi="黑体" w:eastAsia="黑体" w:cs="黑体"/>
          <w:b/>
          <w:bCs/>
          <w:i w:val="0"/>
          <w:iCs w:val="0"/>
          <w:caps w:val="0"/>
          <w:color w:val="000000"/>
          <w:spacing w:val="0"/>
          <w:sz w:val="36"/>
          <w:szCs w:val="36"/>
        </w:rPr>
      </w:pPr>
      <w:r>
        <w:rPr>
          <w:rFonts w:hint="eastAsia" w:ascii="黑体" w:hAnsi="黑体" w:eastAsia="黑体" w:cs="黑体"/>
          <w:b/>
          <w:bCs/>
          <w:i w:val="0"/>
          <w:iCs w:val="0"/>
          <w:caps w:val="0"/>
          <w:color w:val="000000"/>
          <w:spacing w:val="0"/>
          <w:sz w:val="36"/>
          <w:szCs w:val="36"/>
        </w:rPr>
        <w:t>第四部分名词解释</w:t>
      </w:r>
    </w:p>
    <w:p w14:paraId="213173B8">
      <w:pPr>
        <w:pStyle w:val="2"/>
        <w:widowControl/>
        <w:adjustRightInd w:val="0"/>
        <w:snapToGrid w:val="0"/>
        <w:spacing w:before="100" w:after="100" w:line="400" w:lineRule="exact"/>
        <w:ind w:left="0" w:right="0" w:firstLine="723" w:firstLineChars="200"/>
        <w:rPr>
          <w:rFonts w:hint="eastAsia" w:ascii="黑体" w:hAnsi="黑体" w:eastAsia="黑体" w:cs="黑体"/>
          <w:b/>
          <w:bCs/>
          <w:i w:val="0"/>
          <w:iCs w:val="0"/>
          <w:caps w:val="0"/>
          <w:color w:val="000000"/>
          <w:spacing w:val="0"/>
          <w:sz w:val="36"/>
          <w:szCs w:val="36"/>
        </w:rPr>
      </w:pPr>
      <w:r>
        <w:rPr>
          <w:rFonts w:hint="eastAsia" w:ascii="黑体" w:hAnsi="黑体" w:eastAsia="黑体" w:cs="黑体"/>
          <w:b/>
          <w:bCs/>
          <w:i w:val="0"/>
          <w:iCs w:val="0"/>
          <w:caps w:val="0"/>
          <w:color w:val="000000"/>
          <w:spacing w:val="0"/>
          <w:sz w:val="36"/>
          <w:szCs w:val="36"/>
        </w:rPr>
        <w:t>第五部分其它公开事项</w:t>
      </w:r>
    </w:p>
    <w:p w14:paraId="777B5F80">
      <w:pPr>
        <w:pStyle w:val="2"/>
        <w:widowControl/>
        <w:adjustRightInd w:val="0"/>
        <w:snapToGrid w:val="0"/>
        <w:spacing w:before="100" w:after="100" w:line="400" w:lineRule="exact"/>
        <w:ind w:left="0" w:right="0" w:firstLine="800" w:firstLineChars="250"/>
        <w:rPr>
          <w:rFonts w:hint="eastAsia" w:ascii="TimesNewRoman" w:hAnsi="TimesNewRoman" w:eastAsia="仿宋_GB2312" w:cs="TimesNewRoman"/>
          <w:bCs/>
          <w:sz w:val="32"/>
          <w:szCs w:val="32"/>
          <w:lang w:val="en-US" w:eastAsia="zh-CN" w:bidi="ar-SA"/>
        </w:rPr>
      </w:pPr>
      <w:r>
        <w:rPr>
          <w:rFonts w:hint="eastAsia" w:ascii="TimesNewRoman" w:hAnsi="TimesNewRoman" w:eastAsia="仿宋_GB2312" w:cs="TimesNewRoman"/>
          <w:bCs/>
          <w:sz w:val="32"/>
          <w:szCs w:val="32"/>
          <w:lang w:val="en-US" w:eastAsia="zh-CN" w:bidi="ar-SA"/>
        </w:rPr>
        <w:t>1、淮北市烈山区市场监督管理局2023年单位预算纳入绩效考评项目表</w:t>
      </w:r>
    </w:p>
    <w:p w14:paraId="3C168E63">
      <w:pPr>
        <w:pStyle w:val="2"/>
        <w:widowControl/>
        <w:adjustRightInd w:val="0"/>
        <w:snapToGrid w:val="0"/>
        <w:spacing w:before="100" w:after="100" w:line="400" w:lineRule="exact"/>
        <w:ind w:left="0" w:right="0" w:firstLine="800" w:firstLineChars="250"/>
        <w:rPr>
          <w:rFonts w:hint="eastAsia" w:ascii="TimesNewRoman" w:hAnsi="TimesNewRoman" w:eastAsia="仿宋_GB2312" w:cs="TimesNewRoman"/>
          <w:bCs/>
          <w:sz w:val="32"/>
          <w:szCs w:val="32"/>
          <w:lang w:val="en-US" w:eastAsia="zh-CN" w:bidi="ar-SA"/>
        </w:rPr>
      </w:pPr>
      <w:r>
        <w:rPr>
          <w:rFonts w:hint="eastAsia" w:ascii="TimesNewRoman" w:hAnsi="TimesNewRoman" w:eastAsia="仿宋_GB2312" w:cs="TimesNewRoman"/>
          <w:bCs/>
          <w:sz w:val="32"/>
          <w:szCs w:val="32"/>
          <w:lang w:val="en-US" w:eastAsia="zh-CN" w:bidi="ar-SA"/>
        </w:rPr>
        <w:t>2、淮北市烈山区市场监督管理局2023年单位预算专项资金管理清单（专栏公开）</w:t>
      </w:r>
    </w:p>
    <w:p w14:paraId="6BE419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ascii="黑体" w:hAnsi="宋体" w:eastAsia="黑体" w:cs="黑体"/>
          <w:i w:val="0"/>
          <w:iCs w:val="0"/>
          <w:caps w:val="0"/>
          <w:color w:val="333333"/>
          <w:spacing w:val="0"/>
          <w:sz w:val="36"/>
          <w:szCs w:val="36"/>
          <w:shd w:val="clear" w:fill="FFFFFF"/>
        </w:rPr>
      </w:pPr>
    </w:p>
    <w:p w14:paraId="0EC6C0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ascii="黑体" w:hAnsi="宋体" w:eastAsia="黑体" w:cs="黑体"/>
          <w:i w:val="0"/>
          <w:iCs w:val="0"/>
          <w:caps w:val="0"/>
          <w:color w:val="333333"/>
          <w:spacing w:val="0"/>
          <w:sz w:val="36"/>
          <w:szCs w:val="36"/>
          <w:shd w:val="clear" w:fill="FFFFFF"/>
        </w:rPr>
      </w:pPr>
    </w:p>
    <w:p w14:paraId="25B69F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黑体" w:hAnsi="宋体" w:eastAsia="黑体" w:cs="黑体"/>
          <w:i w:val="0"/>
          <w:iCs w:val="0"/>
          <w:caps w:val="0"/>
          <w:color w:val="333333"/>
          <w:spacing w:val="0"/>
          <w:sz w:val="36"/>
          <w:szCs w:val="36"/>
          <w:shd w:val="clear" w:fill="FFFFFF"/>
        </w:rPr>
      </w:pPr>
    </w:p>
    <w:p w14:paraId="3F2585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333333"/>
          <w:spacing w:val="0"/>
          <w:sz w:val="24"/>
          <w:szCs w:val="24"/>
        </w:rPr>
      </w:pPr>
      <w:r>
        <w:rPr>
          <w:rFonts w:ascii="黑体" w:hAnsi="宋体" w:eastAsia="黑体" w:cs="黑体"/>
          <w:i w:val="0"/>
          <w:iCs w:val="0"/>
          <w:caps w:val="0"/>
          <w:color w:val="333333"/>
          <w:spacing w:val="0"/>
          <w:sz w:val="36"/>
          <w:szCs w:val="36"/>
          <w:shd w:val="clear" w:fill="FFFFFF"/>
        </w:rPr>
        <w:t>第一部分 部门概况</w:t>
      </w:r>
    </w:p>
    <w:p w14:paraId="497FB3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6"/>
          <w:szCs w:val="36"/>
          <w:shd w:val="clear" w:fill="FFFFFF"/>
        </w:rPr>
        <w:t> </w:t>
      </w:r>
    </w:p>
    <w:p w14:paraId="7067DC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27"/>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一、主要职责</w:t>
      </w:r>
    </w:p>
    <w:p w14:paraId="6C71C5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ascii="仿宋" w:hAnsi="仿宋" w:eastAsia="仿宋" w:cs="仿宋"/>
          <w:i w:val="0"/>
          <w:iCs w:val="0"/>
          <w:caps w:val="0"/>
          <w:color w:val="333333"/>
          <w:spacing w:val="0"/>
          <w:sz w:val="32"/>
          <w:szCs w:val="32"/>
          <w:shd w:val="clear" w:fill="FFFFFF"/>
        </w:rPr>
        <w:t>（一）负责市场综合监督管理，负责保护知识产权。贯彻执行国家市场监督管理、知识产权工作法律法规规章和方针政策，组织实施质量强区战略、食品安全战略、药品（含中药、民族药，下同）、医疗器械和化妆品安全战略、标准化战略和知识产权战略等，拟订相关规划并组织实施，规范和维护市场秩序，营造诚实守信、公平竞争的市场环境，强化知识产权创造、保护和运用。</w:t>
      </w:r>
    </w:p>
    <w:p w14:paraId="0C899E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二）负责市场主体统一登记注册。负责各类企业、农民专业合作社和从事经营活动的单位、个体工商户等市场主体的登记注册和监督管理工作。建立市场主体信息公示和共享机制，依法公示和共享有关信息，加强信用监管，推动市场主体信用体系建设。</w:t>
      </w:r>
    </w:p>
    <w:p w14:paraId="774E6F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三）负责监督管理市场秩序。依法监督管理市场交易、网络商品交易、合同、拍卖及有关服务的行为。管理动产抵押物登记。组织指导查处价格收费违法违规、不正当竞争、违法直销、传销、走私、侵犯商标专利、知识产权和制售假冒伪劣商品行为等。指导广告业发展，监督管理广告活动。指导查处无照生产经营和相关无证生产经营行为。</w:t>
      </w:r>
    </w:p>
    <w:p w14:paraId="45DF27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四）负责宏观质量管理。拟订并实施质量发展措施。统筹全区质量基础设施建设与应用，会同有关部门组织实施重大工程设备质量监理制度，组织重大质量事故调查，组织实施缺陷产品召回制度，监督管理产品防伪工作。</w:t>
      </w:r>
    </w:p>
    <w:p w14:paraId="7B56A0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（五）负责产品质量安全监督管理。管理产品质量安全风险监控、监督抽查工作。建立并组织实施质量分级制度、质量安全追溯制度。负责纤维质量监督工作。</w:t>
      </w:r>
    </w:p>
    <w:p w14:paraId="1B7063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（六）负责特种设备安全监督管理。综合管理特种设备安全监察、监督工作，监督检查高耗能特种设备节能标准和锅炉环境保护标准的执行情况。</w:t>
      </w:r>
    </w:p>
    <w:p w14:paraId="76B8BC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（七）负责食品安全监督管理综合协调。负责食品安全应急体系建设，组织指导重大食品安全事件应急处置和调查处理工作。落实食品安全重要信息直报制度。承担区食品安全委员会日常工作。</w:t>
      </w:r>
    </w:p>
    <w:p w14:paraId="1CF8A9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八）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核查处置和风险预警、风险交流工作。组织实施全区特殊食品监督管理。</w:t>
      </w:r>
    </w:p>
    <w:p w14:paraId="26DA90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九）负责药品、医疗器械和化妆品安全监督管理。贯彻执行国家药品、医疗器械和化妆品的法律法规规章和政策规划。贯彻执行国家药典等药品、医疗器械和化妆品标准。监督实施药品、医疗器械和化妆品经营、使用质量管理规范。实施分类管理制度。配合实施国家基本药物制度。配合推进医药卫生体制改革工作。</w:t>
      </w:r>
    </w:p>
    <w:p w14:paraId="58C587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十）负责药品、医疗器械和化妆品上市后风险管理。组织开展药品不良反应、医疗器械不良事件和化妆品不良反应的监测、评价和处置工作。依法承担药品、医疗器械和化妆品安全应急管理工作。负责监测药物滥用的技术工作。</w:t>
      </w:r>
    </w:p>
    <w:p w14:paraId="37F239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十一）负责组织实施药品、医疗器械和化妆品监督检查。制定检查制度，组织指导查处药品、医疗器械和化妆品经营、使用等环节违法行为，监督实施问题产品召回和处置制度。贯彻执行执业药师资格准入制度，配合省、市药品监督管理局组织实施执业药师注册工作。</w:t>
      </w:r>
    </w:p>
    <w:p w14:paraId="02B3D2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（十二）负责统一管理计量工作。推行法定计量单位和国家计量制度，管理计量器具及量值传递和比对工作。规范、监督商品量和市场计量行为。</w:t>
      </w:r>
    </w:p>
    <w:p w14:paraId="297E07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十三）负责统一管理标准化工作。依据法定职责监督国家标准、行业标准和地方标准的贯彻实施。依法承担地方标准立项、统一审批、编号、发布和上报备案工作。依法协调指导和监督有关地方标准、团体标准、企业标准制定工作。开展标准化对外合作和参与制定、采用国际标准工作。</w:t>
      </w:r>
    </w:p>
    <w:p w14:paraId="0D4C3C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（十四）负责统一管理检验检测工作。推进检验检测机构改革，规范检验检测市场，完善检验检测体系，指导协调检验检测行业发展。</w:t>
      </w:r>
    </w:p>
    <w:p w14:paraId="502C53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（十五）负责统一管理、监督和综合协调全区认证认可工作。负责实施国家统一的认证认可和合格评定监督管理制度。</w:t>
      </w:r>
    </w:p>
    <w:p w14:paraId="5BEBBE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十六）负责实施严格保护商标、专利、原产地地理标志、集成电路布图设计等知识产权制度。贯彻落实鼓励新领域、新业态、新模式创新的知识产权保护、管理和服务政策。推动建设知识产权保护体系。负责实施原产地地理标志统一认定制度。负责促进知识产权运用，建立知识产权公共服务体系。</w:t>
      </w:r>
    </w:p>
    <w:p w14:paraId="423896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（十七）负责市场监督管理、知识产权相关科技和信息化建设、新闻宣传、对外交流与合作。按规定承担技术性贸易措施有关工作。</w:t>
      </w:r>
    </w:p>
    <w:p w14:paraId="24922C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（十八）完成区委、区政府交办的其他任务。</w:t>
      </w:r>
    </w:p>
    <w:p w14:paraId="7AC9D2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27"/>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 </w:t>
      </w:r>
    </w:p>
    <w:p w14:paraId="0A6726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27"/>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 </w:t>
      </w:r>
    </w:p>
    <w:p w14:paraId="3FA4C0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27"/>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二、部门预算单位构成</w:t>
      </w:r>
    </w:p>
    <w:p w14:paraId="2CAE18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27"/>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从预算单位构成看，烈山区市场监督管理局</w:t>
      </w:r>
      <w:r>
        <w:rPr>
          <w:rFonts w:hint="eastAsia" w:ascii="仿宋" w:hAnsi="仿宋" w:eastAsia="仿宋" w:cs="仿宋"/>
          <w:i w:val="0"/>
          <w:iCs w:val="0"/>
          <w:caps w:val="0"/>
          <w:color w:val="333333"/>
          <w:spacing w:val="0"/>
          <w:sz w:val="32"/>
          <w:szCs w:val="32"/>
          <w:shd w:val="clear" w:fill="FFFFFF"/>
          <w:lang w:eastAsia="zh-CN"/>
        </w:rPr>
        <w:t>2023</w:t>
      </w:r>
      <w:r>
        <w:rPr>
          <w:rFonts w:hint="eastAsia" w:ascii="仿宋" w:hAnsi="仿宋" w:eastAsia="仿宋" w:cs="仿宋"/>
          <w:i w:val="0"/>
          <w:iCs w:val="0"/>
          <w:caps w:val="0"/>
          <w:color w:val="333333"/>
          <w:spacing w:val="0"/>
          <w:sz w:val="32"/>
          <w:szCs w:val="32"/>
          <w:shd w:val="clear" w:fill="FFFFFF"/>
        </w:rPr>
        <w:t>年度部门预算包括局本级预算，纳入部门预算编制范围的单位共1个，具体情况见下表。</w:t>
      </w:r>
    </w:p>
    <w:p w14:paraId="7FA4F7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27"/>
        <w:jc w:val="both"/>
        <w:rPr>
          <w:rFonts w:hint="eastAsia" w:ascii="仿宋" w:hAnsi="仿宋" w:eastAsia="仿宋" w:cs="仿宋"/>
          <w:i w:val="0"/>
          <w:iCs w:val="0"/>
          <w:caps w:val="0"/>
          <w:color w:val="333333"/>
          <w:spacing w:val="0"/>
          <w:sz w:val="32"/>
          <w:szCs w:val="32"/>
          <w:shd w:val="clear" w:fill="FFFFFF"/>
        </w:rPr>
      </w:pPr>
    </w:p>
    <w:tbl>
      <w:tblPr>
        <w:tblStyle w:val="3"/>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02"/>
        <w:gridCol w:w="3608"/>
        <w:gridCol w:w="4510"/>
      </w:tblGrid>
      <w:tr w14:paraId="5A8CE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atLeast"/>
        </w:trPr>
        <w:tc>
          <w:tcPr>
            <w:tcW w:w="90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686576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4"/>
                <w:szCs w:val="24"/>
              </w:rPr>
              <w:t>序号</w:t>
            </w:r>
          </w:p>
        </w:tc>
        <w:tc>
          <w:tcPr>
            <w:tcW w:w="360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4CF1E9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4"/>
                <w:szCs w:val="24"/>
              </w:rPr>
              <w:t>单位名称</w:t>
            </w:r>
          </w:p>
        </w:tc>
        <w:tc>
          <w:tcPr>
            <w:tcW w:w="4510" w:type="dxa"/>
            <w:tcBorders>
              <w:top w:val="single" w:color="auto" w:sz="8" w:space="0"/>
              <w:left w:val="nil"/>
              <w:bottom w:val="single" w:color="auto" w:sz="8" w:space="0"/>
              <w:right w:val="single" w:color="auto" w:sz="8" w:space="0"/>
            </w:tcBorders>
            <w:shd w:val="clear" w:color="auto" w:fill="FFFFFF"/>
            <w:vAlign w:val="top"/>
          </w:tcPr>
          <w:p w14:paraId="3C773D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4"/>
                <w:szCs w:val="24"/>
              </w:rPr>
              <w:t>单位性质</w:t>
            </w:r>
          </w:p>
        </w:tc>
      </w:tr>
      <w:tr w14:paraId="3EC1E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8" w:hRule="atLeast"/>
        </w:trPr>
        <w:tc>
          <w:tcPr>
            <w:tcW w:w="9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6070D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4"/>
                <w:szCs w:val="24"/>
              </w:rPr>
              <w:t>1</w:t>
            </w:r>
          </w:p>
        </w:tc>
        <w:tc>
          <w:tcPr>
            <w:tcW w:w="3608" w:type="dxa"/>
            <w:tcBorders>
              <w:top w:val="nil"/>
              <w:left w:val="nil"/>
              <w:bottom w:val="single" w:color="auto" w:sz="8" w:space="0"/>
              <w:right w:val="single" w:color="auto" w:sz="8" w:space="0"/>
            </w:tcBorders>
            <w:shd w:val="clear" w:color="auto" w:fill="FFFFFF"/>
            <w:tcMar>
              <w:left w:w="108" w:type="dxa"/>
              <w:right w:w="108" w:type="dxa"/>
            </w:tcMar>
            <w:vAlign w:val="center"/>
          </w:tcPr>
          <w:p w14:paraId="1746C0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4"/>
                <w:szCs w:val="24"/>
              </w:rPr>
              <w:t>烈山区市场监督管理局本级</w:t>
            </w:r>
          </w:p>
        </w:tc>
        <w:tc>
          <w:tcPr>
            <w:tcW w:w="4510" w:type="dxa"/>
            <w:tcBorders>
              <w:top w:val="nil"/>
              <w:left w:val="nil"/>
              <w:bottom w:val="single" w:color="auto" w:sz="8" w:space="0"/>
              <w:right w:val="single" w:color="auto" w:sz="8" w:space="0"/>
            </w:tcBorders>
            <w:shd w:val="clear" w:color="auto" w:fill="FFFFFF"/>
            <w:vAlign w:val="top"/>
          </w:tcPr>
          <w:p w14:paraId="2F3BC9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4"/>
                <w:szCs w:val="24"/>
              </w:rPr>
              <w:t>行政单位</w:t>
            </w:r>
          </w:p>
        </w:tc>
      </w:tr>
    </w:tbl>
    <w:p w14:paraId="207EE4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27"/>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 </w:t>
      </w:r>
    </w:p>
    <w:p w14:paraId="79707F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27"/>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三、</w:t>
      </w:r>
      <w:r>
        <w:rPr>
          <w:rFonts w:hint="eastAsia" w:ascii="黑体" w:hAnsi="宋体" w:eastAsia="黑体" w:cs="黑体"/>
          <w:i w:val="0"/>
          <w:iCs w:val="0"/>
          <w:caps w:val="0"/>
          <w:color w:val="333333"/>
          <w:spacing w:val="0"/>
          <w:sz w:val="32"/>
          <w:szCs w:val="32"/>
          <w:shd w:val="clear" w:fill="FFFFFF"/>
          <w:lang w:eastAsia="zh-CN"/>
        </w:rPr>
        <w:t>2023</w:t>
      </w:r>
      <w:r>
        <w:rPr>
          <w:rFonts w:hint="eastAsia" w:ascii="黑体" w:hAnsi="宋体" w:eastAsia="黑体" w:cs="黑体"/>
          <w:i w:val="0"/>
          <w:iCs w:val="0"/>
          <w:caps w:val="0"/>
          <w:color w:val="333333"/>
          <w:spacing w:val="0"/>
          <w:sz w:val="32"/>
          <w:szCs w:val="32"/>
          <w:shd w:val="clear" w:fill="FFFFFF"/>
        </w:rPr>
        <w:t>年度主要工作任务</w:t>
      </w:r>
    </w:p>
    <w:p w14:paraId="16624B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0"/>
          <w:szCs w:val="30"/>
          <w:shd w:val="clear" w:fill="FFFFFF"/>
        </w:rPr>
        <w:t>（一）深入开展质量提升行动，围绕质量发展规划，建立长效机制。深入开展质量帮扶活动，完成既定目标任务。强化产品质量监督抽查，组织开展多样化市场专项整治，多措并举，保障产品不发生系统性、行业性、区域性质量安全问题。开展“1+6+N”安全生产隐患集中排查治理专项行动，邀请第三方对特种设备安全把脉诊断，认真做好特种设备隐患集中排查治理工作，落实企业安全主体责任，跟踪整改排查出的隐患。加大对企业在标准、计量、认证认可等方面的帮扶力度，以科技提升，标准引领，提高产品质量。</w:t>
      </w:r>
    </w:p>
    <w:p w14:paraId="5B85E2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0"/>
          <w:szCs w:val="30"/>
          <w:shd w:val="clear" w:fill="FFFFFF"/>
        </w:rPr>
        <w:t>（二）一是开展省级食用农产品抽检；二是委托第三方检测机构开展涉及食品药品安全的消费者投诉举报和案件查办的定向抽检；三是各民生工程快检室和非民生工程快检室开展快速检测和运行保障；四是食品药品安全各类宣传教育培训；五是各类执法办案和应急处置保障。</w:t>
      </w:r>
    </w:p>
    <w:p w14:paraId="6F0079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0"/>
          <w:szCs w:val="30"/>
          <w:shd w:val="clear" w:fill="FFFFFF"/>
        </w:rPr>
        <w:t>(三)一是全面落实《国务院关于在市场监管领域全面推行部门联合“双随机、一公开”监管的意见》，推进烈山区在市场监管领域实现部门联合“双随机、一公开”监管工作。二是全面落实《国务院关于在市场体系建设中建立公平竞争审查制度的意见》，推进烈山区在市场体系建设中建立公平竞争审查制度。三是加快推进“烈山品牌”建设。确保完成市里各项目标任务（商标，专利，地理标志）。四是强化市场监管。做好与群众生产生活密切相关的重点商品监测工作，认真做好全区各类市场的监督管理工作，严厉打击假冒伪劣产品和侵犯知识产权非法经营行为，为群众消费和经济发展创造良好环境</w:t>
      </w:r>
      <w:r>
        <w:rPr>
          <w:rFonts w:hint="eastAsia" w:ascii="仿宋" w:hAnsi="仿宋" w:eastAsia="仿宋" w:cs="仿宋"/>
          <w:i w:val="0"/>
          <w:iCs w:val="0"/>
          <w:caps w:val="0"/>
          <w:color w:val="333333"/>
          <w:spacing w:val="0"/>
          <w:sz w:val="32"/>
          <w:szCs w:val="32"/>
          <w:shd w:val="clear" w:fill="FFFFFF"/>
        </w:rPr>
        <w:t>。</w:t>
      </w:r>
    </w:p>
    <w:p w14:paraId="1B9855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27"/>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 </w:t>
      </w:r>
    </w:p>
    <w:p w14:paraId="35F838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6"/>
          <w:szCs w:val="36"/>
          <w:shd w:val="clear" w:fill="FFFFFF"/>
        </w:rPr>
        <w:t> </w:t>
      </w:r>
    </w:p>
    <w:p w14:paraId="67F0EE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6"/>
          <w:szCs w:val="36"/>
          <w:shd w:val="clear" w:fill="FFFFFF"/>
        </w:rPr>
        <w:t>第二部分</w:t>
      </w:r>
      <w:r>
        <w:rPr>
          <w:rFonts w:hint="eastAsia" w:ascii="黑体" w:hAnsi="宋体" w:eastAsia="黑体" w:cs="黑体"/>
          <w:i w:val="0"/>
          <w:iCs w:val="0"/>
          <w:caps w:val="0"/>
          <w:color w:val="333333"/>
          <w:spacing w:val="0"/>
          <w:sz w:val="36"/>
          <w:szCs w:val="36"/>
          <w:shd w:val="clear" w:fill="FFFFFF"/>
          <w:lang w:eastAsia="zh-CN"/>
        </w:rPr>
        <w:t>2023</w:t>
      </w:r>
      <w:r>
        <w:rPr>
          <w:rFonts w:hint="eastAsia" w:ascii="黑体" w:hAnsi="宋体" w:eastAsia="黑体" w:cs="黑体"/>
          <w:i w:val="0"/>
          <w:iCs w:val="0"/>
          <w:caps w:val="0"/>
          <w:color w:val="333333"/>
          <w:spacing w:val="0"/>
          <w:sz w:val="36"/>
          <w:szCs w:val="36"/>
          <w:shd w:val="clear" w:fill="FFFFFF"/>
        </w:rPr>
        <w:t>年部门预算表</w:t>
      </w:r>
    </w:p>
    <w:p w14:paraId="5682EA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 xml:space="preserve">见“附件1-2 </w:t>
      </w:r>
      <w:r>
        <w:rPr>
          <w:rFonts w:hint="eastAsia" w:ascii="仿宋" w:hAnsi="仿宋" w:eastAsia="仿宋" w:cs="仿宋"/>
          <w:i w:val="0"/>
          <w:iCs w:val="0"/>
          <w:caps w:val="0"/>
          <w:color w:val="333333"/>
          <w:spacing w:val="0"/>
          <w:sz w:val="32"/>
          <w:szCs w:val="32"/>
          <w:shd w:val="clear" w:fill="FFFFFF"/>
          <w:lang w:eastAsia="zh-CN"/>
        </w:rPr>
        <w:t>2023</w:t>
      </w:r>
      <w:r>
        <w:rPr>
          <w:rFonts w:hint="eastAsia" w:ascii="仿宋" w:hAnsi="仿宋" w:eastAsia="仿宋" w:cs="仿宋"/>
          <w:i w:val="0"/>
          <w:iCs w:val="0"/>
          <w:caps w:val="0"/>
          <w:color w:val="333333"/>
          <w:spacing w:val="0"/>
          <w:sz w:val="32"/>
          <w:szCs w:val="32"/>
          <w:shd w:val="clear" w:fill="FFFFFF"/>
        </w:rPr>
        <w:t>年部门预算表”</w:t>
      </w:r>
    </w:p>
    <w:p w14:paraId="240077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6"/>
          <w:szCs w:val="36"/>
          <w:shd w:val="clear" w:fill="FFFFFF"/>
        </w:rPr>
        <w:t> </w:t>
      </w:r>
    </w:p>
    <w:p w14:paraId="52BC08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6"/>
          <w:szCs w:val="36"/>
          <w:shd w:val="clear" w:fill="FFFFFF"/>
        </w:rPr>
        <w:t>第三部分 </w:t>
      </w:r>
      <w:r>
        <w:rPr>
          <w:rFonts w:hint="eastAsia" w:ascii="黑体" w:hAnsi="宋体" w:eastAsia="黑体" w:cs="黑体"/>
          <w:i w:val="0"/>
          <w:iCs w:val="0"/>
          <w:caps w:val="0"/>
          <w:color w:val="333333"/>
          <w:spacing w:val="0"/>
          <w:sz w:val="36"/>
          <w:szCs w:val="36"/>
          <w:shd w:val="clear" w:fill="FFFFFF"/>
          <w:lang w:eastAsia="zh-CN"/>
        </w:rPr>
        <w:t>2023</w:t>
      </w:r>
      <w:r>
        <w:rPr>
          <w:rFonts w:hint="eastAsia" w:ascii="黑体" w:hAnsi="宋体" w:eastAsia="黑体" w:cs="黑体"/>
          <w:i w:val="0"/>
          <w:iCs w:val="0"/>
          <w:caps w:val="0"/>
          <w:color w:val="333333"/>
          <w:spacing w:val="0"/>
          <w:sz w:val="36"/>
          <w:szCs w:val="36"/>
          <w:shd w:val="clear" w:fill="FFFFFF"/>
        </w:rPr>
        <w:t>年部门预算情况说明</w:t>
      </w:r>
    </w:p>
    <w:p w14:paraId="43BF8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 </w:t>
      </w:r>
    </w:p>
    <w:p w14:paraId="46AED776">
      <w:pPr>
        <w:pStyle w:val="2"/>
        <w:adjustRightInd w:val="0"/>
        <w:snapToGrid w:val="0"/>
        <w:spacing w:line="560" w:lineRule="exact"/>
        <w:ind w:firstLine="627" w:firstLineChars="196"/>
        <w:rPr>
          <w:rFonts w:hint="eastAsia" w:ascii="TimesNewRoman" w:hAnsi="TimesNewRoman" w:eastAsia="黑体" w:cs="TimesNewRoman"/>
          <w:bCs/>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Fonts w:hint="eastAsia" w:ascii="TimesNewRoman" w:hAnsi="TimesNewRoman" w:eastAsia="黑体" w:cs="TimesNewRoman"/>
          <w:bCs/>
          <w:color w:val="000000" w:themeColor="text1"/>
          <w:sz w:val="32"/>
          <w:szCs w:val="32"/>
          <w14:textFill>
            <w14:solidFill>
              <w14:schemeClr w14:val="tx1"/>
            </w14:solidFill>
          </w14:textFill>
        </w:rPr>
        <w:t>一、关于2023年收支总表的说明</w:t>
      </w:r>
    </w:p>
    <w:p w14:paraId="1640F27B">
      <w:pPr>
        <w:pStyle w:val="2"/>
        <w:adjustRightInd w:val="0"/>
        <w:snapToGrid w:val="0"/>
        <w:spacing w:line="560" w:lineRule="exact"/>
        <w:ind w:firstLine="627" w:firstLineChars="196"/>
        <w:rPr>
          <w:rFonts w:hint="eastAsia" w:ascii="TimesNewRoman" w:hAnsi="TimesNewRoman" w:eastAsia="仿宋_GB2312" w:cs="TimesNewRoman"/>
          <w:color w:val="000000" w:themeColor="text1"/>
          <w:sz w:val="32"/>
          <w:szCs w:val="32"/>
          <w14:textFill>
            <w14:solidFill>
              <w14:schemeClr w14:val="tx1"/>
            </w14:solidFill>
          </w14:textFill>
        </w:rPr>
      </w:pPr>
      <w:r>
        <w:rPr>
          <w:rFonts w:hint="eastAsia" w:ascii="TimesNewRoman" w:hAnsi="TimesNewRoman" w:eastAsia="仿宋_GB2312" w:cs="TimesNewRoman"/>
          <w:color w:val="000000" w:themeColor="text1"/>
          <w:sz w:val="32"/>
          <w:szCs w:val="32"/>
          <w14:textFill>
            <w14:solidFill>
              <w14:schemeClr w14:val="tx1"/>
            </w14:solidFill>
          </w14:textFill>
        </w:rPr>
        <w:t>按照综合预算的原则，</w:t>
      </w:r>
      <w:r>
        <w:rPr>
          <w:rFonts w:hint="eastAsia" w:ascii="TimesNewRoman" w:hAnsi="TimesNewRoman" w:eastAsia="仿宋_GB2312" w:cs="TimesNewRoman"/>
          <w:color w:val="000000" w:themeColor="text1"/>
          <w:sz w:val="32"/>
          <w:szCs w:val="32"/>
          <w:lang w:eastAsia="zh-CN"/>
          <w14:textFill>
            <w14:solidFill>
              <w14:schemeClr w14:val="tx1"/>
            </w14:solidFill>
          </w14:textFill>
        </w:rPr>
        <w:t>淮北市烈山区市场监督管理局本级</w:t>
      </w:r>
      <w:r>
        <w:rPr>
          <w:rFonts w:hint="eastAsia" w:ascii="TimesNewRoman" w:hAnsi="TimesNewRoman" w:eastAsia="仿宋_GB2312" w:cs="TimesNewRoman"/>
          <w:color w:val="000000" w:themeColor="text1"/>
          <w:sz w:val="32"/>
          <w:szCs w:val="32"/>
          <w14:textFill>
            <w14:solidFill>
              <w14:schemeClr w14:val="tx1"/>
            </w14:solidFill>
          </w14:textFill>
        </w:rPr>
        <w:t>所有收入和支出均纳入</w:t>
      </w:r>
      <w:r>
        <w:rPr>
          <w:rFonts w:hint="eastAsia" w:ascii="TimesNewRoman" w:hAnsi="TimesNewRoman" w:eastAsia="仿宋_GB2312" w:cs="TimesNewRoman"/>
          <w:color w:val="000000" w:themeColor="text1"/>
          <w:sz w:val="32"/>
          <w:szCs w:val="32"/>
          <w:lang w:eastAsia="zh-CN"/>
          <w14:textFill>
            <w14:solidFill>
              <w14:schemeClr w14:val="tx1"/>
            </w14:solidFill>
          </w14:textFill>
        </w:rPr>
        <w:t>单位</w:t>
      </w:r>
      <w:r>
        <w:rPr>
          <w:rFonts w:hint="eastAsia" w:ascii="TimesNewRoman" w:hAnsi="TimesNewRoman" w:eastAsia="仿宋_GB2312" w:cs="TimesNewRoman"/>
          <w:color w:val="000000" w:themeColor="text1"/>
          <w:sz w:val="32"/>
          <w:szCs w:val="32"/>
          <w14:textFill>
            <w14:solidFill>
              <w14:schemeClr w14:val="tx1"/>
            </w14:solidFill>
          </w14:textFill>
        </w:rPr>
        <w:t>预算管理。</w:t>
      </w:r>
      <w:r>
        <w:rPr>
          <w:rFonts w:hint="eastAsia" w:ascii="TimesNewRoman" w:hAnsi="TimesNewRoman" w:eastAsia="仿宋_GB2312" w:cs="TimesNewRoman"/>
          <w:color w:val="000000" w:themeColor="text1"/>
          <w:sz w:val="32"/>
          <w:szCs w:val="32"/>
          <w:lang w:eastAsia="zh-CN"/>
          <w14:textFill>
            <w14:solidFill>
              <w14:schemeClr w14:val="tx1"/>
            </w14:solidFill>
          </w14:textFill>
        </w:rPr>
        <w:t>淮北市烈山区市场监督管理局本级</w:t>
      </w:r>
      <w:r>
        <w:rPr>
          <w:rFonts w:hint="eastAsia" w:ascii="TimesNewRoman" w:hAnsi="TimesNewRoman" w:eastAsia="仿宋_GB2312" w:cs="TimesNewRoman"/>
          <w:color w:val="000000" w:themeColor="text1"/>
          <w:sz w:val="32"/>
          <w:szCs w:val="32"/>
          <w14:textFill>
            <w14:solidFill>
              <w14:schemeClr w14:val="tx1"/>
            </w14:solidFill>
          </w14:textFill>
        </w:rPr>
        <w:t>2023年收支总预算</w:t>
      </w:r>
      <w:r>
        <w:rPr>
          <w:rFonts w:hint="eastAsia" w:ascii="TimesNewRoman" w:hAnsi="TimesNewRoman" w:eastAsia="仿宋_GB2312" w:cs="TimesNewRoman"/>
          <w:color w:val="000000" w:themeColor="text1"/>
          <w:sz w:val="32"/>
          <w:szCs w:val="32"/>
          <w:lang w:val="en-US" w:eastAsia="zh-CN"/>
          <w14:textFill>
            <w14:solidFill>
              <w14:schemeClr w14:val="tx1"/>
            </w14:solidFill>
          </w14:textFill>
        </w:rPr>
        <w:t>991.17</w:t>
      </w:r>
      <w:r>
        <w:rPr>
          <w:rFonts w:hint="eastAsia" w:ascii="TimesNewRoman" w:hAnsi="TimesNewRoman" w:eastAsia="仿宋_GB2312" w:cs="TimesNewRoman"/>
          <w:color w:val="000000" w:themeColor="text1"/>
          <w:sz w:val="32"/>
          <w:szCs w:val="32"/>
          <w14:textFill>
            <w14:solidFill>
              <w14:schemeClr w14:val="tx1"/>
            </w14:solidFill>
          </w14:textFill>
        </w:rPr>
        <w:t>万元，收入包括一般公共预算拨款收入，支出包括：一般公共服务支出。</w:t>
      </w:r>
    </w:p>
    <w:p w14:paraId="618675EF">
      <w:pPr>
        <w:pStyle w:val="2"/>
        <w:adjustRightInd w:val="0"/>
        <w:snapToGrid w:val="0"/>
        <w:spacing w:line="560" w:lineRule="exact"/>
        <w:ind w:firstLine="627" w:firstLineChars="196"/>
        <w:rPr>
          <w:rFonts w:hint="eastAsia" w:ascii="TimesNewRoman" w:hAnsi="TimesNewRoman" w:eastAsia="黑体" w:cs="TimesNewRoman"/>
          <w:bCs/>
          <w:color w:val="000000" w:themeColor="text1"/>
          <w:sz w:val="32"/>
          <w:szCs w:val="32"/>
          <w14:textFill>
            <w14:solidFill>
              <w14:schemeClr w14:val="tx1"/>
            </w14:solidFill>
          </w14:textFill>
        </w:rPr>
      </w:pPr>
    </w:p>
    <w:p w14:paraId="087037A9">
      <w:pPr>
        <w:pStyle w:val="2"/>
        <w:adjustRightInd w:val="0"/>
        <w:snapToGrid w:val="0"/>
        <w:spacing w:line="560" w:lineRule="exact"/>
        <w:ind w:firstLine="627" w:firstLineChars="196"/>
        <w:rPr>
          <w:rFonts w:hint="eastAsia" w:ascii="TimesNewRoman" w:hAnsi="TimesNewRoman" w:eastAsia="黑体" w:cs="TimesNewRoman"/>
          <w:bCs/>
          <w:color w:val="000000" w:themeColor="text1"/>
          <w:sz w:val="32"/>
          <w:szCs w:val="32"/>
          <w14:textFill>
            <w14:solidFill>
              <w14:schemeClr w14:val="tx1"/>
            </w14:solidFill>
          </w14:textFill>
        </w:rPr>
      </w:pPr>
      <w:r>
        <w:rPr>
          <w:rFonts w:hint="eastAsia" w:ascii="TimesNewRoman" w:hAnsi="TimesNewRoman" w:eastAsia="黑体" w:cs="TimesNewRoman"/>
          <w:bCs/>
          <w:color w:val="000000" w:themeColor="text1"/>
          <w:sz w:val="32"/>
          <w:szCs w:val="32"/>
          <w14:textFill>
            <w14:solidFill>
              <w14:schemeClr w14:val="tx1"/>
            </w14:solidFill>
          </w14:textFill>
        </w:rPr>
        <w:t>二、关于2023年收入总表的说明</w:t>
      </w:r>
    </w:p>
    <w:p w14:paraId="4AC6CA85">
      <w:pPr>
        <w:ind w:firstLine="640" w:firstLineChars="200"/>
        <w:rPr>
          <w:rFonts w:hint="eastAsia" w:ascii="TimesNewRoman" w:hAnsi="TimesNewRoman" w:eastAsia="仿宋_GB2312" w:cs="TimesNewRoman"/>
          <w:color w:val="000000" w:themeColor="text1"/>
          <w:kern w:val="0"/>
          <w:sz w:val="32"/>
          <w:szCs w:val="32"/>
          <w14:textFill>
            <w14:solidFill>
              <w14:schemeClr w14:val="tx1"/>
            </w14:solidFill>
          </w14:textFill>
        </w:rPr>
      </w:pPr>
      <w:r>
        <w:rPr>
          <w:rFonts w:hint="eastAsia" w:ascii="TimesNewRoman" w:hAnsi="TimesNewRoman" w:eastAsia="仿宋_GB2312" w:cs="TimesNewRoman"/>
          <w:color w:val="000000" w:themeColor="text1"/>
          <w:kern w:val="0"/>
          <w:sz w:val="32"/>
          <w:szCs w:val="32"/>
          <w:lang w:eastAsia="zh-CN"/>
          <w14:textFill>
            <w14:solidFill>
              <w14:schemeClr w14:val="tx1"/>
            </w14:solidFill>
          </w14:textFill>
        </w:rPr>
        <w:t>淮北市烈山区市场监督管理局本级</w:t>
      </w:r>
      <w:r>
        <w:rPr>
          <w:rFonts w:hint="eastAsia" w:ascii="TimesNewRoman" w:hAnsi="TimesNewRoman" w:eastAsia="仿宋_GB2312" w:cs="TimesNewRoman"/>
          <w:color w:val="000000" w:themeColor="text1"/>
          <w:kern w:val="0"/>
          <w:sz w:val="32"/>
          <w:szCs w:val="32"/>
          <w14:textFill>
            <w14:solidFill>
              <w14:schemeClr w14:val="tx1"/>
            </w14:solidFill>
          </w14:textFill>
        </w:rPr>
        <w:t>2023年收入预算</w:t>
      </w:r>
      <w:r>
        <w:rPr>
          <w:rFonts w:hint="eastAsia" w:ascii="TimesNewRoman" w:hAnsi="TimesNewRoman" w:eastAsia="仿宋_GB2312" w:cs="TimesNewRoman"/>
          <w:color w:val="000000" w:themeColor="text1"/>
          <w:sz w:val="32"/>
          <w:szCs w:val="32"/>
          <w:lang w:val="en-US" w:eastAsia="zh-CN"/>
          <w14:textFill>
            <w14:solidFill>
              <w14:schemeClr w14:val="tx1"/>
            </w14:solidFill>
          </w14:textFill>
        </w:rPr>
        <w:t>991.17</w:t>
      </w:r>
      <w:r>
        <w:rPr>
          <w:rFonts w:hint="eastAsia" w:ascii="TimesNewRoman" w:hAnsi="TimesNewRoman" w:eastAsia="仿宋_GB2312" w:cs="TimesNewRoman"/>
          <w:color w:val="000000" w:themeColor="text1"/>
          <w:kern w:val="0"/>
          <w:sz w:val="32"/>
          <w:szCs w:val="32"/>
          <w14:textFill>
            <w14:solidFill>
              <w14:schemeClr w14:val="tx1"/>
            </w14:solidFill>
          </w14:textFill>
        </w:rPr>
        <w:t>万元，其中，本年收入</w:t>
      </w:r>
      <w:r>
        <w:rPr>
          <w:rFonts w:hint="eastAsia" w:ascii="TimesNewRoman" w:hAnsi="TimesNewRoman" w:eastAsia="仿宋_GB2312" w:cs="TimesNewRoman"/>
          <w:color w:val="000000" w:themeColor="text1"/>
          <w:sz w:val="32"/>
          <w:szCs w:val="32"/>
          <w:lang w:val="en-US" w:eastAsia="zh-CN"/>
          <w14:textFill>
            <w14:solidFill>
              <w14:schemeClr w14:val="tx1"/>
            </w14:solidFill>
          </w14:textFill>
        </w:rPr>
        <w:t>991.17</w:t>
      </w:r>
      <w:r>
        <w:rPr>
          <w:rFonts w:hint="eastAsia" w:ascii="TimesNewRoman" w:hAnsi="TimesNewRoman" w:eastAsia="仿宋_GB2312" w:cs="TimesNewRoman"/>
          <w:color w:val="000000" w:themeColor="text1"/>
          <w:kern w:val="0"/>
          <w:sz w:val="32"/>
          <w:szCs w:val="32"/>
          <w14:textFill>
            <w14:solidFill>
              <w14:schemeClr w14:val="tx1"/>
            </w14:solidFill>
          </w14:textFill>
        </w:rPr>
        <w:t>万元。</w:t>
      </w:r>
    </w:p>
    <w:p w14:paraId="3D60BCDE">
      <w:pPr>
        <w:ind w:firstLine="643" w:firstLineChars="200"/>
        <w:rPr>
          <w:rFonts w:hint="eastAsia" w:ascii="TimesNewRoman" w:hAnsi="TimesNewRoman" w:eastAsia="仿宋_GB2312" w:cs="TimesNewRoman"/>
          <w:color w:val="000000" w:themeColor="text1"/>
          <w:kern w:val="0"/>
          <w:sz w:val="32"/>
          <w:szCs w:val="32"/>
          <w14:textFill>
            <w14:solidFill>
              <w14:schemeClr w14:val="tx1"/>
            </w14:solidFill>
          </w14:textFill>
        </w:rPr>
      </w:pPr>
      <w:r>
        <w:rPr>
          <w:rFonts w:hint="eastAsia" w:ascii="TimesNewRoman" w:hAnsi="TimesNewRoman" w:eastAsia="仿宋_GB2312" w:cs="TimesNewRoman"/>
          <w:b/>
          <w:color w:val="000000" w:themeColor="text1"/>
          <w:kern w:val="0"/>
          <w:sz w:val="32"/>
          <w:szCs w:val="32"/>
          <w14:textFill>
            <w14:solidFill>
              <w14:schemeClr w14:val="tx1"/>
            </w14:solidFill>
          </w14:textFill>
        </w:rPr>
        <w:t>（一）本年收入</w:t>
      </w:r>
      <w:r>
        <w:rPr>
          <w:rFonts w:hint="eastAsia" w:ascii="TimesNewRoman" w:hAnsi="TimesNewRoman" w:eastAsia="仿宋_GB2312" w:cs="TimesNewRoman"/>
          <w:color w:val="000000" w:themeColor="text1"/>
          <w:sz w:val="32"/>
          <w:szCs w:val="32"/>
          <w:lang w:val="en-US" w:eastAsia="zh-CN"/>
          <w14:textFill>
            <w14:solidFill>
              <w14:schemeClr w14:val="tx1"/>
            </w14:solidFill>
          </w14:textFill>
        </w:rPr>
        <w:t>991.17</w:t>
      </w:r>
      <w:r>
        <w:rPr>
          <w:rFonts w:hint="eastAsia" w:ascii="TimesNewRoman" w:hAnsi="TimesNewRoman" w:eastAsia="仿宋_GB2312" w:cs="TimesNewRoman"/>
          <w:b/>
          <w:color w:val="000000" w:themeColor="text1"/>
          <w:kern w:val="0"/>
          <w:sz w:val="32"/>
          <w:szCs w:val="32"/>
          <w14:textFill>
            <w14:solidFill>
              <w14:schemeClr w14:val="tx1"/>
            </w14:solidFill>
          </w14:textFill>
        </w:rPr>
        <w:t>万元，</w:t>
      </w:r>
      <w:r>
        <w:rPr>
          <w:rFonts w:hint="eastAsia" w:ascii="TimesNewRoman" w:hAnsi="TimesNewRoman" w:eastAsia="仿宋_GB2312" w:cs="TimesNewRoman"/>
          <w:color w:val="000000" w:themeColor="text1"/>
          <w:kern w:val="0"/>
          <w:sz w:val="32"/>
          <w:szCs w:val="32"/>
          <w14:textFill>
            <w14:solidFill>
              <w14:schemeClr w14:val="tx1"/>
            </w14:solidFill>
          </w14:textFill>
        </w:rPr>
        <w:t>主要包括：一般公共预算拨款收入</w:t>
      </w:r>
      <w:r>
        <w:rPr>
          <w:rFonts w:hint="eastAsia" w:ascii="TimesNewRoman" w:hAnsi="TimesNewRoman" w:eastAsia="仿宋_GB2312" w:cs="TimesNewRoman"/>
          <w:color w:val="000000" w:themeColor="text1"/>
          <w:sz w:val="32"/>
          <w:szCs w:val="32"/>
          <w:lang w:val="en-US" w:eastAsia="zh-CN"/>
          <w14:textFill>
            <w14:solidFill>
              <w14:schemeClr w14:val="tx1"/>
            </w14:solidFill>
          </w14:textFill>
        </w:rPr>
        <w:t>991.17</w:t>
      </w:r>
      <w:r>
        <w:rPr>
          <w:rFonts w:hint="eastAsia" w:ascii="TimesNewRoman" w:hAnsi="TimesNewRoman" w:eastAsia="仿宋_GB2312" w:cs="TimesNewRoman"/>
          <w:color w:val="000000" w:themeColor="text1"/>
          <w:kern w:val="0"/>
          <w:sz w:val="32"/>
          <w:szCs w:val="32"/>
          <w14:textFill>
            <w14:solidFill>
              <w14:schemeClr w14:val="tx1"/>
            </w14:solidFill>
          </w14:textFill>
        </w:rPr>
        <w:t>万元，占</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100.00</w:t>
      </w:r>
      <w:r>
        <w:rPr>
          <w:rFonts w:hint="eastAsia" w:ascii="TimesNewRoman" w:hAnsi="TimesNewRoman" w:eastAsia="仿宋_GB2312" w:cs="TimesNewRoman"/>
          <w:color w:val="000000" w:themeColor="text1"/>
          <w:kern w:val="0"/>
          <w:sz w:val="32"/>
          <w:szCs w:val="32"/>
          <w14:textFill>
            <w14:solidFill>
              <w14:schemeClr w14:val="tx1"/>
            </w14:solidFill>
          </w14:textFill>
        </w:rPr>
        <w:t>%，比2022年预算增加</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237.96</w:t>
      </w:r>
      <w:r>
        <w:rPr>
          <w:rFonts w:hint="eastAsia" w:ascii="TimesNewRoman" w:hAnsi="TimesNewRoman" w:eastAsia="仿宋_GB2312" w:cs="TimesNewRoman"/>
          <w:color w:val="000000" w:themeColor="text1"/>
          <w:kern w:val="0"/>
          <w:sz w:val="32"/>
          <w:szCs w:val="32"/>
          <w14:textFill>
            <w14:solidFill>
              <w14:schemeClr w14:val="tx1"/>
            </w14:solidFill>
          </w14:textFill>
        </w:rPr>
        <w:t>万元，增长</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131.59</w:t>
      </w:r>
      <w:r>
        <w:rPr>
          <w:rFonts w:hint="eastAsia" w:ascii="TimesNewRoman" w:hAnsi="TimesNewRoman" w:eastAsia="仿宋_GB2312" w:cs="TimesNewRoman"/>
          <w:color w:val="000000" w:themeColor="text1"/>
          <w:kern w:val="0"/>
          <w:sz w:val="32"/>
          <w:szCs w:val="32"/>
          <w14:textFill>
            <w14:solidFill>
              <w14:schemeClr w14:val="tx1"/>
            </w14:solidFill>
          </w14:textFill>
        </w:rPr>
        <w:t>%，原因主要是</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人员支出拨款增加127.91万元、公用支出拨款减少3.96万元、项目支出拨款增加114.01万元</w:t>
      </w:r>
      <w:r>
        <w:rPr>
          <w:rFonts w:hint="eastAsia" w:ascii="TimesNewRoman" w:hAnsi="TimesNewRoman" w:eastAsia="仿宋_GB2312" w:cs="TimesNewRoman"/>
          <w:color w:val="000000" w:themeColor="text1"/>
          <w:kern w:val="0"/>
          <w:sz w:val="32"/>
          <w:szCs w:val="32"/>
          <w14:textFill>
            <w14:solidFill>
              <w14:schemeClr w14:val="tx1"/>
            </w14:solidFill>
          </w14:textFill>
        </w:rPr>
        <w:t>；政府性基金预算拨款收入</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0.00</w:t>
      </w:r>
      <w:r>
        <w:rPr>
          <w:rFonts w:hint="eastAsia" w:ascii="TimesNewRoman" w:hAnsi="TimesNewRoman" w:eastAsia="仿宋_GB2312" w:cs="TimesNewRoman"/>
          <w:color w:val="000000" w:themeColor="text1"/>
          <w:kern w:val="0"/>
          <w:sz w:val="32"/>
          <w:szCs w:val="32"/>
          <w14:textFill>
            <w14:solidFill>
              <w14:schemeClr w14:val="tx1"/>
            </w14:solidFill>
          </w14:textFill>
        </w:rPr>
        <w:t>万元，占</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0.00</w:t>
      </w:r>
      <w:r>
        <w:rPr>
          <w:rFonts w:hint="eastAsia" w:ascii="TimesNewRoman" w:hAnsi="TimesNewRoman" w:eastAsia="仿宋_GB2312" w:cs="TimesNewRoman"/>
          <w:color w:val="000000" w:themeColor="text1"/>
          <w:kern w:val="0"/>
          <w:sz w:val="32"/>
          <w:szCs w:val="32"/>
          <w14:textFill>
            <w14:solidFill>
              <w14:schemeClr w14:val="tx1"/>
            </w14:solidFill>
          </w14:textFill>
        </w:rPr>
        <w:t>%，比2022年预算增加</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0.00</w:t>
      </w:r>
      <w:r>
        <w:rPr>
          <w:rFonts w:hint="eastAsia" w:ascii="TimesNewRoman" w:hAnsi="TimesNewRoman" w:eastAsia="仿宋_GB2312" w:cs="TimesNewRoman"/>
          <w:color w:val="000000" w:themeColor="text1"/>
          <w:kern w:val="0"/>
          <w:sz w:val="32"/>
          <w:szCs w:val="32"/>
          <w14:textFill>
            <w14:solidFill>
              <w14:schemeClr w14:val="tx1"/>
            </w14:solidFill>
          </w14:textFill>
        </w:rPr>
        <w:t>万元，增长</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0.00</w:t>
      </w:r>
      <w:r>
        <w:rPr>
          <w:rFonts w:hint="eastAsia" w:ascii="TimesNewRoman" w:hAnsi="TimesNewRoman" w:eastAsia="仿宋_GB2312" w:cs="TimesNewRoman"/>
          <w:color w:val="000000" w:themeColor="text1"/>
          <w:kern w:val="0"/>
          <w:sz w:val="32"/>
          <w:szCs w:val="32"/>
          <w14:textFill>
            <w14:solidFill>
              <w14:schemeClr w14:val="tx1"/>
            </w14:solidFill>
          </w14:textFill>
        </w:rPr>
        <w:t>%</w:t>
      </w:r>
      <w:r>
        <w:rPr>
          <w:rFonts w:hint="eastAsia" w:ascii="TimesNewRoman" w:hAnsi="TimesNewRoman" w:eastAsia="仿宋_GB2312" w:cs="TimesNewRoman"/>
          <w:color w:val="000000" w:themeColor="text1"/>
          <w:kern w:val="0"/>
          <w:sz w:val="32"/>
          <w:szCs w:val="32"/>
          <w:lang w:eastAsia="zh-CN"/>
          <w14:textFill>
            <w14:solidFill>
              <w14:schemeClr w14:val="tx1"/>
            </w14:solidFill>
          </w14:textFill>
        </w:rPr>
        <w:t>，原因主要是本单位无政府性基金预算拨款收入</w:t>
      </w:r>
      <w:r>
        <w:rPr>
          <w:rFonts w:hint="eastAsia" w:ascii="TimesNewRoman" w:hAnsi="TimesNewRoman" w:eastAsia="仿宋_GB2312" w:cs="TimesNewRoman"/>
          <w:color w:val="000000" w:themeColor="text1"/>
          <w:kern w:val="0"/>
          <w:sz w:val="32"/>
          <w:szCs w:val="32"/>
          <w14:textFill>
            <w14:solidFill>
              <w14:schemeClr w14:val="tx1"/>
            </w14:solidFill>
          </w14:textFill>
        </w:rPr>
        <w:t>；财政专户管理资金收入</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0.00</w:t>
      </w:r>
      <w:r>
        <w:rPr>
          <w:rFonts w:hint="eastAsia" w:ascii="TimesNewRoman" w:hAnsi="TimesNewRoman" w:eastAsia="仿宋_GB2312" w:cs="TimesNewRoman"/>
          <w:color w:val="000000" w:themeColor="text1"/>
          <w:kern w:val="0"/>
          <w:sz w:val="32"/>
          <w:szCs w:val="32"/>
          <w14:textFill>
            <w14:solidFill>
              <w14:schemeClr w14:val="tx1"/>
            </w14:solidFill>
          </w14:textFill>
        </w:rPr>
        <w:t>万元，占</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0.00</w:t>
      </w:r>
      <w:r>
        <w:rPr>
          <w:rFonts w:hint="eastAsia" w:ascii="TimesNewRoman" w:hAnsi="TimesNewRoman" w:eastAsia="仿宋_GB2312" w:cs="TimesNewRoman"/>
          <w:color w:val="000000" w:themeColor="text1"/>
          <w:kern w:val="0"/>
          <w:sz w:val="32"/>
          <w:szCs w:val="32"/>
          <w14:textFill>
            <w14:solidFill>
              <w14:schemeClr w14:val="tx1"/>
            </w14:solidFill>
          </w14:textFill>
        </w:rPr>
        <w:t>%，比2022年预算增加</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0.00</w:t>
      </w:r>
      <w:r>
        <w:rPr>
          <w:rFonts w:hint="eastAsia" w:ascii="TimesNewRoman" w:hAnsi="TimesNewRoman" w:eastAsia="仿宋_GB2312" w:cs="TimesNewRoman"/>
          <w:color w:val="000000" w:themeColor="text1"/>
          <w:kern w:val="0"/>
          <w:sz w:val="32"/>
          <w:szCs w:val="32"/>
          <w14:textFill>
            <w14:solidFill>
              <w14:schemeClr w14:val="tx1"/>
            </w14:solidFill>
          </w14:textFill>
        </w:rPr>
        <w:t>万元，增长</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0.00</w:t>
      </w:r>
      <w:r>
        <w:rPr>
          <w:rFonts w:hint="eastAsia" w:ascii="TimesNewRoman" w:hAnsi="TimesNewRoman" w:eastAsia="仿宋_GB2312" w:cs="TimesNewRoman"/>
          <w:color w:val="000000" w:themeColor="text1"/>
          <w:kern w:val="0"/>
          <w:sz w:val="32"/>
          <w:szCs w:val="32"/>
          <w14:textFill>
            <w14:solidFill>
              <w14:schemeClr w14:val="tx1"/>
            </w14:solidFill>
          </w14:textFill>
        </w:rPr>
        <w:t>%，原因主要是本</w:t>
      </w:r>
      <w:r>
        <w:rPr>
          <w:rFonts w:hint="eastAsia" w:ascii="TimesNewRoman" w:hAnsi="TimesNewRoman" w:eastAsia="仿宋_GB2312" w:cs="TimesNewRoman"/>
          <w:color w:val="000000" w:themeColor="text1"/>
          <w:kern w:val="0"/>
          <w:sz w:val="32"/>
          <w:szCs w:val="32"/>
          <w:lang w:eastAsia="zh-CN"/>
          <w14:textFill>
            <w14:solidFill>
              <w14:schemeClr w14:val="tx1"/>
            </w14:solidFill>
          </w14:textFill>
        </w:rPr>
        <w:t>单位</w:t>
      </w:r>
      <w:r>
        <w:rPr>
          <w:rFonts w:hint="eastAsia" w:ascii="TimesNewRoman" w:hAnsi="TimesNewRoman" w:eastAsia="仿宋_GB2312" w:cs="TimesNewRoman"/>
          <w:color w:val="000000" w:themeColor="text1"/>
          <w:kern w:val="0"/>
          <w:sz w:val="32"/>
          <w:szCs w:val="32"/>
          <w14:textFill>
            <w14:solidFill>
              <w14:schemeClr w14:val="tx1"/>
            </w14:solidFill>
          </w14:textFill>
        </w:rPr>
        <w:t>无财政专户管理资金收入。</w:t>
      </w:r>
    </w:p>
    <w:p w14:paraId="49FD9474">
      <w:pPr>
        <w:pStyle w:val="2"/>
        <w:adjustRightInd w:val="0"/>
        <w:snapToGrid w:val="0"/>
        <w:spacing w:line="560" w:lineRule="exact"/>
        <w:ind w:firstLine="627" w:firstLineChars="196"/>
        <w:rPr>
          <w:rFonts w:hint="eastAsia" w:ascii="TimesNewRoman" w:hAnsi="TimesNewRoman" w:eastAsia="黑体" w:cs="TimesNewRoman"/>
          <w:bCs/>
          <w:color w:val="000000" w:themeColor="text1"/>
          <w:sz w:val="32"/>
          <w:szCs w:val="32"/>
          <w14:textFill>
            <w14:solidFill>
              <w14:schemeClr w14:val="tx1"/>
            </w14:solidFill>
          </w14:textFill>
        </w:rPr>
      </w:pPr>
      <w:r>
        <w:rPr>
          <w:rFonts w:hint="eastAsia" w:ascii="TimesNewRoman" w:hAnsi="TimesNewRoman" w:eastAsia="黑体" w:cs="TimesNewRoman"/>
          <w:bCs/>
          <w:color w:val="000000" w:themeColor="text1"/>
          <w:sz w:val="32"/>
          <w:szCs w:val="32"/>
          <w14:textFill>
            <w14:solidFill>
              <w14:schemeClr w14:val="tx1"/>
            </w14:solidFill>
          </w14:textFill>
        </w:rPr>
        <w:t>三、关于2023年支出总表的说明</w:t>
      </w:r>
    </w:p>
    <w:p w14:paraId="42E2B2E6">
      <w:pPr>
        <w:ind w:firstLine="640" w:firstLineChars="200"/>
        <w:rPr>
          <w:rFonts w:hint="eastAsia" w:ascii="TimesNewRoman" w:hAnsi="TimesNewRoman" w:eastAsia="仿宋_GB2312" w:cs="TimesNewRoman"/>
          <w:color w:val="000000" w:themeColor="text1"/>
          <w:kern w:val="0"/>
          <w:sz w:val="32"/>
          <w:szCs w:val="32"/>
          <w14:textFill>
            <w14:solidFill>
              <w14:schemeClr w14:val="tx1"/>
            </w14:solidFill>
          </w14:textFill>
        </w:rPr>
      </w:pPr>
      <w:r>
        <w:rPr>
          <w:rFonts w:hint="eastAsia" w:ascii="TimesNewRoman" w:hAnsi="TimesNewRoman" w:eastAsia="仿宋_GB2312" w:cs="TimesNewRoman"/>
          <w:color w:val="000000" w:themeColor="text1"/>
          <w:kern w:val="0"/>
          <w:sz w:val="32"/>
          <w:szCs w:val="32"/>
          <w:lang w:eastAsia="zh-CN"/>
          <w14:textFill>
            <w14:solidFill>
              <w14:schemeClr w14:val="tx1"/>
            </w14:solidFill>
          </w14:textFill>
        </w:rPr>
        <w:t>淮北市烈山区市场监督管理局本级</w:t>
      </w:r>
      <w:r>
        <w:rPr>
          <w:rFonts w:hint="eastAsia" w:ascii="TimesNewRoman" w:hAnsi="TimesNewRoman" w:eastAsia="仿宋_GB2312" w:cs="TimesNewRoman"/>
          <w:color w:val="000000" w:themeColor="text1"/>
          <w:kern w:val="0"/>
          <w:sz w:val="32"/>
          <w:szCs w:val="32"/>
          <w14:textFill>
            <w14:solidFill>
              <w14:schemeClr w14:val="tx1"/>
            </w14:solidFill>
          </w14:textFill>
        </w:rPr>
        <w:t>2023年支出预算</w:t>
      </w:r>
      <w:r>
        <w:rPr>
          <w:rFonts w:hint="eastAsia" w:ascii="TimesNewRoman" w:hAnsi="TimesNewRoman" w:eastAsia="仿宋_GB2312" w:cs="TimesNewRoman"/>
          <w:color w:val="000000" w:themeColor="text1"/>
          <w:sz w:val="32"/>
          <w:szCs w:val="32"/>
          <w:lang w:val="en-US" w:eastAsia="zh-CN"/>
          <w14:textFill>
            <w14:solidFill>
              <w14:schemeClr w14:val="tx1"/>
            </w14:solidFill>
          </w14:textFill>
        </w:rPr>
        <w:t>991.17</w:t>
      </w:r>
      <w:r>
        <w:rPr>
          <w:rFonts w:hint="eastAsia" w:ascii="TimesNewRoman" w:hAnsi="TimesNewRoman" w:eastAsia="仿宋_GB2312" w:cs="TimesNewRoman"/>
          <w:color w:val="000000" w:themeColor="text1"/>
          <w:kern w:val="0"/>
          <w:sz w:val="32"/>
          <w:szCs w:val="32"/>
          <w14:textFill>
            <w14:solidFill>
              <w14:schemeClr w14:val="tx1"/>
            </w14:solidFill>
          </w14:textFill>
        </w:rPr>
        <w:t>万元，比2022年预算增加</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237.96</w:t>
      </w:r>
      <w:r>
        <w:rPr>
          <w:rFonts w:hint="eastAsia" w:ascii="TimesNewRoman" w:hAnsi="TimesNewRoman" w:eastAsia="仿宋_GB2312" w:cs="TimesNewRoman"/>
          <w:color w:val="000000" w:themeColor="text1"/>
          <w:kern w:val="0"/>
          <w:sz w:val="32"/>
          <w:szCs w:val="32"/>
          <w14:textFill>
            <w14:solidFill>
              <w14:schemeClr w14:val="tx1"/>
            </w14:solidFill>
          </w14:textFill>
        </w:rPr>
        <w:t>万元，增长</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131.59</w:t>
      </w:r>
      <w:r>
        <w:rPr>
          <w:rFonts w:hint="eastAsia" w:ascii="TimesNewRoman" w:hAnsi="TimesNewRoman" w:eastAsia="仿宋_GB2312" w:cs="TimesNewRoman"/>
          <w:color w:val="000000" w:themeColor="text1"/>
          <w:kern w:val="0"/>
          <w:sz w:val="32"/>
          <w:szCs w:val="32"/>
          <w14:textFill>
            <w14:solidFill>
              <w14:schemeClr w14:val="tx1"/>
            </w14:solidFill>
          </w14:textFill>
        </w:rPr>
        <w:t>%。其中，基本支出</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761.87</w:t>
      </w:r>
      <w:r>
        <w:rPr>
          <w:rFonts w:hint="eastAsia" w:ascii="TimesNewRoman" w:hAnsi="TimesNewRoman" w:eastAsia="仿宋_GB2312" w:cs="TimesNewRoman"/>
          <w:color w:val="000000" w:themeColor="text1"/>
          <w:kern w:val="0"/>
          <w:sz w:val="32"/>
          <w:szCs w:val="32"/>
          <w14:textFill>
            <w14:solidFill>
              <w14:schemeClr w14:val="tx1"/>
            </w14:solidFill>
          </w14:textFill>
        </w:rPr>
        <w:t>万元，占</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76.87</w:t>
      </w:r>
      <w:r>
        <w:rPr>
          <w:rFonts w:hint="eastAsia" w:ascii="TimesNewRoman" w:hAnsi="TimesNewRoman" w:eastAsia="仿宋_GB2312" w:cs="TimesNewRoman"/>
          <w:color w:val="000000" w:themeColor="text1"/>
          <w:kern w:val="0"/>
          <w:sz w:val="32"/>
          <w:szCs w:val="32"/>
          <w14:textFill>
            <w14:solidFill>
              <w14:schemeClr w14:val="tx1"/>
            </w14:solidFill>
          </w14:textFill>
        </w:rPr>
        <w:t>%，主要用于保障机构日常运转、完成日常工作任务；项目支出</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229.3</w:t>
      </w:r>
      <w:r>
        <w:rPr>
          <w:rFonts w:hint="eastAsia" w:ascii="TimesNewRoman" w:hAnsi="TimesNewRoman" w:eastAsia="仿宋_GB2312" w:cs="TimesNewRoman"/>
          <w:color w:val="000000" w:themeColor="text1"/>
          <w:kern w:val="0"/>
          <w:sz w:val="32"/>
          <w:szCs w:val="32"/>
          <w14:textFill>
            <w14:solidFill>
              <w14:schemeClr w14:val="tx1"/>
            </w14:solidFill>
          </w14:textFill>
        </w:rPr>
        <w:t>万元，占</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23.13</w:t>
      </w:r>
      <w:r>
        <w:rPr>
          <w:rFonts w:hint="eastAsia" w:ascii="TimesNewRoman" w:hAnsi="TimesNewRoman" w:eastAsia="仿宋_GB2312" w:cs="TimesNewRoman"/>
          <w:color w:val="000000" w:themeColor="text1"/>
          <w:kern w:val="0"/>
          <w:sz w:val="32"/>
          <w:szCs w:val="32"/>
          <w14:textFill>
            <w14:solidFill>
              <w14:schemeClr w14:val="tx1"/>
            </w14:solidFill>
          </w14:textFill>
        </w:rPr>
        <w:t>%，主要用于</w:t>
      </w:r>
      <w:r>
        <w:rPr>
          <w:rFonts w:hint="eastAsia" w:ascii="仿宋_GB2312" w:hAnsi="仿宋" w:eastAsia="仿宋_GB2312"/>
          <w:color w:val="000000" w:themeColor="text1"/>
          <w:sz w:val="32"/>
          <w:szCs w:val="32"/>
          <w:lang w:val="en-US" w:eastAsia="zh-CN"/>
          <w14:textFill>
            <w14:solidFill>
              <w14:schemeClr w14:val="tx1"/>
            </w14:solidFill>
          </w14:textFill>
        </w:rPr>
        <w:t>市场监督管理等方面的专项</w:t>
      </w:r>
      <w:r>
        <w:rPr>
          <w:rFonts w:hint="eastAsia" w:ascii="仿宋_GB2312" w:hAnsi="仿宋" w:eastAsia="仿宋_GB2312"/>
          <w:color w:val="000000" w:themeColor="text1"/>
          <w:sz w:val="32"/>
          <w:szCs w:val="32"/>
          <w14:textFill>
            <w14:solidFill>
              <w14:schemeClr w14:val="tx1"/>
            </w14:solidFill>
          </w14:textFill>
        </w:rPr>
        <w:t>支出</w:t>
      </w:r>
      <w:r>
        <w:rPr>
          <w:rFonts w:hint="eastAsia" w:ascii="TimesNewRoman" w:hAnsi="TimesNewRoman" w:eastAsia="仿宋_GB2312" w:cs="TimesNewRoman"/>
          <w:color w:val="000000" w:themeColor="text1"/>
          <w:kern w:val="0"/>
          <w:sz w:val="32"/>
          <w:szCs w:val="32"/>
          <w14:textFill>
            <w14:solidFill>
              <w14:schemeClr w14:val="tx1"/>
            </w14:solidFill>
          </w14:textFill>
        </w:rPr>
        <w:t>。</w:t>
      </w:r>
    </w:p>
    <w:p w14:paraId="0D6E2041">
      <w:pPr>
        <w:pStyle w:val="2"/>
        <w:adjustRightInd w:val="0"/>
        <w:snapToGrid w:val="0"/>
        <w:spacing w:line="560" w:lineRule="exact"/>
        <w:ind w:firstLine="627" w:firstLineChars="196"/>
        <w:rPr>
          <w:rFonts w:hint="eastAsia" w:ascii="TimesNewRoman" w:hAnsi="TimesNewRoman" w:eastAsia="黑体" w:cs="TimesNewRoman"/>
          <w:bCs/>
          <w:color w:val="000000" w:themeColor="text1"/>
          <w:sz w:val="32"/>
          <w:szCs w:val="32"/>
          <w14:textFill>
            <w14:solidFill>
              <w14:schemeClr w14:val="tx1"/>
            </w14:solidFill>
          </w14:textFill>
        </w:rPr>
      </w:pPr>
      <w:r>
        <w:rPr>
          <w:rFonts w:hint="eastAsia" w:ascii="TimesNewRoman" w:hAnsi="TimesNewRoman" w:eastAsia="黑体" w:cs="TimesNewRoman"/>
          <w:bCs/>
          <w:color w:val="000000" w:themeColor="text1"/>
          <w:sz w:val="32"/>
          <w:szCs w:val="32"/>
          <w14:textFill>
            <w14:solidFill>
              <w14:schemeClr w14:val="tx1"/>
            </w14:solidFill>
          </w14:textFill>
        </w:rPr>
        <w:t>四、关于2023年财政拨款收支总表的说明</w:t>
      </w:r>
    </w:p>
    <w:p w14:paraId="7C87D2DB">
      <w:pPr>
        <w:ind w:firstLine="640" w:firstLineChars="200"/>
        <w:rPr>
          <w:rFonts w:hint="eastAsia" w:ascii="TimesNewRoman" w:hAnsi="TimesNewRoman" w:eastAsia="仿宋_GB2312" w:cs="TimesNewRoman"/>
          <w:color w:val="000000" w:themeColor="text1"/>
          <w:kern w:val="0"/>
          <w:sz w:val="32"/>
          <w:szCs w:val="32"/>
          <w14:textFill>
            <w14:solidFill>
              <w14:schemeClr w14:val="tx1"/>
            </w14:solidFill>
          </w14:textFill>
        </w:rPr>
      </w:pPr>
      <w:r>
        <w:rPr>
          <w:rFonts w:hint="eastAsia" w:ascii="TimesNewRoman" w:hAnsi="TimesNewRoman" w:eastAsia="仿宋_GB2312" w:cs="TimesNewRoman"/>
          <w:color w:val="000000" w:themeColor="text1"/>
          <w:kern w:val="0"/>
          <w:sz w:val="32"/>
          <w:szCs w:val="32"/>
          <w:lang w:eastAsia="zh-CN"/>
          <w14:textFill>
            <w14:solidFill>
              <w14:schemeClr w14:val="tx1"/>
            </w14:solidFill>
          </w14:textFill>
        </w:rPr>
        <w:t>淮北市烈山区市场监督管理局本级</w:t>
      </w:r>
      <w:r>
        <w:rPr>
          <w:rFonts w:hint="eastAsia" w:ascii="TimesNewRoman" w:hAnsi="TimesNewRoman" w:eastAsia="仿宋_GB2312" w:cs="TimesNewRoman"/>
          <w:color w:val="000000" w:themeColor="text1"/>
          <w:kern w:val="0"/>
          <w:sz w:val="32"/>
          <w:szCs w:val="32"/>
          <w14:textFill>
            <w14:solidFill>
              <w14:schemeClr w14:val="tx1"/>
            </w14:solidFill>
          </w14:textFill>
        </w:rPr>
        <w:t>2023年财政拨款收支预算</w:t>
      </w:r>
      <w:r>
        <w:rPr>
          <w:rFonts w:hint="eastAsia" w:ascii="TimesNewRoman" w:hAnsi="TimesNewRoman" w:eastAsia="仿宋_GB2312" w:cs="TimesNewRoman"/>
          <w:color w:val="000000" w:themeColor="text1"/>
          <w:sz w:val="32"/>
          <w:szCs w:val="32"/>
          <w:lang w:val="en-US" w:eastAsia="zh-CN"/>
          <w14:textFill>
            <w14:solidFill>
              <w14:schemeClr w14:val="tx1"/>
            </w14:solidFill>
          </w14:textFill>
        </w:rPr>
        <w:t>991.17</w:t>
      </w:r>
      <w:r>
        <w:rPr>
          <w:rFonts w:hint="eastAsia" w:ascii="TimesNewRoman" w:hAnsi="TimesNewRoman" w:eastAsia="仿宋_GB2312" w:cs="TimesNewRoman"/>
          <w:color w:val="000000" w:themeColor="text1"/>
          <w:kern w:val="0"/>
          <w:sz w:val="32"/>
          <w:szCs w:val="32"/>
          <w14:textFill>
            <w14:solidFill>
              <w14:schemeClr w14:val="tx1"/>
            </w14:solidFill>
          </w14:textFill>
        </w:rPr>
        <w:t>万元。收入按资金来源分为：一般公共预算拨款</w:t>
      </w:r>
      <w:r>
        <w:rPr>
          <w:rFonts w:hint="eastAsia" w:ascii="TimesNewRoman" w:hAnsi="TimesNewRoman" w:eastAsia="仿宋_GB2312" w:cs="TimesNewRoman"/>
          <w:color w:val="000000" w:themeColor="text1"/>
          <w:sz w:val="32"/>
          <w:szCs w:val="32"/>
          <w:lang w:val="en-US" w:eastAsia="zh-CN"/>
          <w14:textFill>
            <w14:solidFill>
              <w14:schemeClr w14:val="tx1"/>
            </w14:solidFill>
          </w14:textFill>
        </w:rPr>
        <w:t>991.17</w:t>
      </w:r>
      <w:r>
        <w:rPr>
          <w:rFonts w:hint="eastAsia" w:ascii="TimesNewRoman" w:hAnsi="TimesNewRoman" w:eastAsia="仿宋_GB2312" w:cs="TimesNewRoman"/>
          <w:color w:val="000000" w:themeColor="text1"/>
          <w:kern w:val="0"/>
          <w:sz w:val="32"/>
          <w:szCs w:val="32"/>
          <w14:textFill>
            <w14:solidFill>
              <w14:schemeClr w14:val="tx1"/>
            </w14:solidFill>
          </w14:textFill>
        </w:rPr>
        <w:t>万元、政府性基金预算拨款</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0.00</w:t>
      </w:r>
      <w:r>
        <w:rPr>
          <w:rFonts w:hint="eastAsia" w:ascii="TimesNewRoman" w:hAnsi="TimesNewRoman" w:eastAsia="仿宋_GB2312" w:cs="TimesNewRoman"/>
          <w:color w:val="000000" w:themeColor="text1"/>
          <w:kern w:val="0"/>
          <w:sz w:val="32"/>
          <w:szCs w:val="32"/>
          <w14:textFill>
            <w14:solidFill>
              <w14:schemeClr w14:val="tx1"/>
            </w14:solidFill>
          </w14:textFill>
        </w:rPr>
        <w:t>万元；按资金年度分为：本年财政拨款收入</w:t>
      </w:r>
      <w:r>
        <w:rPr>
          <w:rFonts w:hint="eastAsia" w:ascii="TimesNewRoman" w:hAnsi="TimesNewRoman" w:eastAsia="仿宋_GB2312" w:cs="TimesNewRoman"/>
          <w:color w:val="000000" w:themeColor="text1"/>
          <w:sz w:val="32"/>
          <w:szCs w:val="32"/>
          <w:lang w:val="en-US" w:eastAsia="zh-CN"/>
          <w14:textFill>
            <w14:solidFill>
              <w14:schemeClr w14:val="tx1"/>
            </w14:solidFill>
          </w14:textFill>
        </w:rPr>
        <w:t>991.17</w:t>
      </w:r>
      <w:r>
        <w:rPr>
          <w:rFonts w:hint="eastAsia" w:ascii="TimesNewRoman" w:hAnsi="TimesNewRoman" w:eastAsia="仿宋_GB2312" w:cs="TimesNewRoman"/>
          <w:color w:val="000000" w:themeColor="text1"/>
          <w:kern w:val="0"/>
          <w:sz w:val="32"/>
          <w:szCs w:val="32"/>
          <w14:textFill>
            <w14:solidFill>
              <w14:schemeClr w14:val="tx1"/>
            </w14:solidFill>
          </w14:textFill>
        </w:rPr>
        <w:t>万元。支出按功能分类分为：一般公共服务支出</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991.17</w:t>
      </w:r>
      <w:r>
        <w:rPr>
          <w:rFonts w:hint="eastAsia" w:ascii="TimesNewRoman" w:hAnsi="TimesNewRoman" w:eastAsia="仿宋_GB2312" w:cs="TimesNewRoman"/>
          <w:color w:val="000000" w:themeColor="text1"/>
          <w:kern w:val="0"/>
          <w:sz w:val="32"/>
          <w:szCs w:val="32"/>
          <w14:textFill>
            <w14:solidFill>
              <w14:schemeClr w14:val="tx1"/>
            </w14:solidFill>
          </w14:textFill>
        </w:rPr>
        <w:t>万元，占</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100</w:t>
      </w:r>
      <w:r>
        <w:rPr>
          <w:rFonts w:hint="eastAsia" w:ascii="TimesNewRoman" w:hAnsi="TimesNewRoman" w:eastAsia="仿宋_GB2312" w:cs="TimesNewRoman"/>
          <w:color w:val="000000" w:themeColor="text1"/>
          <w:kern w:val="0"/>
          <w:sz w:val="32"/>
          <w:szCs w:val="32"/>
          <w14:textFill>
            <w14:solidFill>
              <w14:schemeClr w14:val="tx1"/>
            </w14:solidFill>
          </w14:textFill>
        </w:rPr>
        <w:t>%；社会保障和就业支出</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0</w:t>
      </w:r>
      <w:r>
        <w:rPr>
          <w:rFonts w:hint="eastAsia" w:ascii="TimesNewRoman" w:hAnsi="TimesNewRoman" w:eastAsia="仿宋_GB2312" w:cs="TimesNewRoman"/>
          <w:color w:val="000000" w:themeColor="text1"/>
          <w:kern w:val="0"/>
          <w:sz w:val="32"/>
          <w:szCs w:val="32"/>
          <w14:textFill>
            <w14:solidFill>
              <w14:schemeClr w14:val="tx1"/>
            </w14:solidFill>
          </w14:textFill>
        </w:rPr>
        <w:t>万元，占</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0</w:t>
      </w:r>
      <w:r>
        <w:rPr>
          <w:rFonts w:hint="eastAsia" w:ascii="TimesNewRoman" w:hAnsi="TimesNewRoman" w:eastAsia="仿宋_GB2312" w:cs="TimesNewRoman"/>
          <w:color w:val="000000" w:themeColor="text1"/>
          <w:kern w:val="0"/>
          <w:sz w:val="32"/>
          <w:szCs w:val="32"/>
          <w14:textFill>
            <w14:solidFill>
              <w14:schemeClr w14:val="tx1"/>
            </w14:solidFill>
          </w14:textFill>
        </w:rPr>
        <w:t>%；卫生健康支出</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0</w:t>
      </w:r>
      <w:r>
        <w:rPr>
          <w:rFonts w:hint="eastAsia" w:ascii="TimesNewRoman" w:hAnsi="TimesNewRoman" w:eastAsia="仿宋_GB2312" w:cs="TimesNewRoman"/>
          <w:color w:val="000000" w:themeColor="text1"/>
          <w:kern w:val="0"/>
          <w:sz w:val="32"/>
          <w:szCs w:val="32"/>
          <w14:textFill>
            <w14:solidFill>
              <w14:schemeClr w14:val="tx1"/>
            </w14:solidFill>
          </w14:textFill>
        </w:rPr>
        <w:t>万元，占</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0</w:t>
      </w:r>
      <w:r>
        <w:rPr>
          <w:rFonts w:hint="eastAsia" w:ascii="TimesNewRoman" w:hAnsi="TimesNewRoman" w:eastAsia="仿宋_GB2312" w:cs="TimesNewRoman"/>
          <w:color w:val="000000" w:themeColor="text1"/>
          <w:kern w:val="0"/>
          <w:sz w:val="32"/>
          <w:szCs w:val="32"/>
          <w14:textFill>
            <w14:solidFill>
              <w14:schemeClr w14:val="tx1"/>
            </w14:solidFill>
          </w14:textFill>
        </w:rPr>
        <w:t>%；住房保障支出</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0</w:t>
      </w:r>
      <w:r>
        <w:rPr>
          <w:rFonts w:hint="eastAsia" w:ascii="TimesNewRoman" w:hAnsi="TimesNewRoman" w:eastAsia="仿宋_GB2312" w:cs="TimesNewRoman"/>
          <w:color w:val="000000" w:themeColor="text1"/>
          <w:kern w:val="0"/>
          <w:sz w:val="32"/>
          <w:szCs w:val="32"/>
          <w14:textFill>
            <w14:solidFill>
              <w14:schemeClr w14:val="tx1"/>
            </w14:solidFill>
          </w14:textFill>
        </w:rPr>
        <w:t>万元，占</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0</w:t>
      </w:r>
      <w:r>
        <w:rPr>
          <w:rFonts w:hint="eastAsia" w:ascii="TimesNewRoman" w:hAnsi="TimesNewRoman" w:eastAsia="仿宋_GB2312" w:cs="TimesNewRoman"/>
          <w:color w:val="000000" w:themeColor="text1"/>
          <w:kern w:val="0"/>
          <w:sz w:val="32"/>
          <w:szCs w:val="32"/>
          <w14:textFill>
            <w14:solidFill>
              <w14:schemeClr w14:val="tx1"/>
            </w14:solidFill>
          </w14:textFill>
        </w:rPr>
        <w:t>%。</w:t>
      </w:r>
    </w:p>
    <w:p w14:paraId="62799404">
      <w:pPr>
        <w:pStyle w:val="2"/>
        <w:adjustRightInd w:val="0"/>
        <w:snapToGrid w:val="0"/>
        <w:spacing w:line="560" w:lineRule="exact"/>
        <w:ind w:firstLine="627" w:firstLineChars="196"/>
        <w:rPr>
          <w:rFonts w:hint="eastAsia" w:ascii="TimesNewRoman" w:hAnsi="TimesNewRoman" w:eastAsia="黑体" w:cs="TimesNewRoman"/>
          <w:bCs/>
          <w:color w:val="000000" w:themeColor="text1"/>
          <w:sz w:val="32"/>
          <w:szCs w:val="32"/>
          <w14:textFill>
            <w14:solidFill>
              <w14:schemeClr w14:val="tx1"/>
            </w14:solidFill>
          </w14:textFill>
        </w:rPr>
      </w:pPr>
      <w:r>
        <w:rPr>
          <w:rFonts w:hint="eastAsia" w:ascii="TimesNewRoman" w:hAnsi="TimesNewRoman" w:eastAsia="黑体" w:cs="TimesNewRoman"/>
          <w:bCs/>
          <w:color w:val="000000" w:themeColor="text1"/>
          <w:sz w:val="32"/>
          <w:szCs w:val="32"/>
          <w14:textFill>
            <w14:solidFill>
              <w14:schemeClr w14:val="tx1"/>
            </w14:solidFill>
          </w14:textFill>
        </w:rPr>
        <w:t>五、关于2023年一般公共预算支出表的说明</w:t>
      </w:r>
    </w:p>
    <w:p w14:paraId="74E5039D">
      <w:pPr>
        <w:pStyle w:val="2"/>
        <w:adjustRightInd w:val="0"/>
        <w:snapToGrid w:val="0"/>
        <w:spacing w:line="560" w:lineRule="exact"/>
        <w:ind w:firstLine="630" w:firstLineChars="196"/>
        <w:rPr>
          <w:rFonts w:hint="eastAsia" w:ascii="TimesNewRoman" w:hAnsi="TimesNewRoman" w:eastAsia="楷体_GB2312" w:cs="TimesNewRoman"/>
          <w:b/>
          <w:color w:val="000000" w:themeColor="text1"/>
          <w:sz w:val="32"/>
          <w:szCs w:val="32"/>
          <w14:textFill>
            <w14:solidFill>
              <w14:schemeClr w14:val="tx1"/>
            </w14:solidFill>
          </w14:textFill>
        </w:rPr>
      </w:pPr>
      <w:r>
        <w:rPr>
          <w:rFonts w:hint="eastAsia" w:ascii="TimesNewRoman" w:hAnsi="TimesNewRoman" w:eastAsia="楷体_GB2312" w:cs="TimesNewRoman"/>
          <w:b/>
          <w:color w:val="000000" w:themeColor="text1"/>
          <w:sz w:val="32"/>
          <w:szCs w:val="32"/>
          <w14:textFill>
            <w14:solidFill>
              <w14:schemeClr w14:val="tx1"/>
            </w14:solidFill>
          </w14:textFill>
        </w:rPr>
        <w:t>（一）一般公共预算支出规模变化情况。</w:t>
      </w:r>
    </w:p>
    <w:p w14:paraId="7CDBE182">
      <w:pPr>
        <w:ind w:firstLine="640" w:firstLineChars="200"/>
        <w:rPr>
          <w:rFonts w:hint="default" w:ascii="TimesNewRoman" w:hAnsi="TimesNewRoman" w:eastAsia="仿宋_GB2312" w:cs="TimesNewRoman"/>
          <w:color w:val="000000" w:themeColor="text1"/>
          <w:kern w:val="0"/>
          <w:sz w:val="32"/>
          <w:szCs w:val="32"/>
          <w:lang w:val="en-US"/>
          <w14:textFill>
            <w14:solidFill>
              <w14:schemeClr w14:val="tx1"/>
            </w14:solidFill>
          </w14:textFill>
        </w:rPr>
      </w:pPr>
      <w:r>
        <w:rPr>
          <w:rFonts w:hint="eastAsia" w:ascii="TimesNewRoman" w:hAnsi="TimesNewRoman" w:eastAsia="仿宋_GB2312" w:cs="TimesNewRoman"/>
          <w:color w:val="000000" w:themeColor="text1"/>
          <w:kern w:val="0"/>
          <w:sz w:val="32"/>
          <w:szCs w:val="32"/>
          <w:lang w:eastAsia="zh-CN"/>
          <w14:textFill>
            <w14:solidFill>
              <w14:schemeClr w14:val="tx1"/>
            </w14:solidFill>
          </w14:textFill>
        </w:rPr>
        <w:t>淮北市烈山区市场监督管理局本级</w:t>
      </w:r>
      <w:r>
        <w:rPr>
          <w:rFonts w:hint="eastAsia" w:ascii="TimesNewRoman" w:hAnsi="TimesNewRoman" w:eastAsia="仿宋_GB2312" w:cs="TimesNewRoman"/>
          <w:color w:val="000000" w:themeColor="text1"/>
          <w:kern w:val="0"/>
          <w:sz w:val="32"/>
          <w:szCs w:val="32"/>
          <w14:textFill>
            <w14:solidFill>
              <w14:schemeClr w14:val="tx1"/>
            </w14:solidFill>
          </w14:textFill>
        </w:rPr>
        <w:t>2023年一般公共预算支出</w:t>
      </w:r>
      <w:r>
        <w:rPr>
          <w:rFonts w:hint="eastAsia" w:ascii="TimesNewRoman" w:hAnsi="TimesNewRoman" w:eastAsia="仿宋_GB2312" w:cs="TimesNewRoman"/>
          <w:color w:val="000000" w:themeColor="text1"/>
          <w:sz w:val="32"/>
          <w:szCs w:val="32"/>
          <w:lang w:val="en-US" w:eastAsia="zh-CN"/>
          <w14:textFill>
            <w14:solidFill>
              <w14:schemeClr w14:val="tx1"/>
            </w14:solidFill>
          </w14:textFill>
        </w:rPr>
        <w:t>991.17</w:t>
      </w:r>
      <w:r>
        <w:rPr>
          <w:rFonts w:hint="eastAsia" w:ascii="TimesNewRoman" w:hAnsi="TimesNewRoman" w:eastAsia="仿宋_GB2312" w:cs="TimesNewRoman"/>
          <w:color w:val="000000" w:themeColor="text1"/>
          <w:kern w:val="0"/>
          <w:sz w:val="32"/>
          <w:szCs w:val="32"/>
          <w14:textFill>
            <w14:solidFill>
              <w14:schemeClr w14:val="tx1"/>
            </w14:solidFill>
          </w14:textFill>
        </w:rPr>
        <w:t>万元，比2022年预算增加</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237.96</w:t>
      </w:r>
      <w:r>
        <w:rPr>
          <w:rFonts w:hint="eastAsia" w:ascii="TimesNewRoman" w:hAnsi="TimesNewRoman" w:eastAsia="仿宋_GB2312" w:cs="TimesNewRoman"/>
          <w:color w:val="000000" w:themeColor="text1"/>
          <w:kern w:val="0"/>
          <w:sz w:val="32"/>
          <w:szCs w:val="32"/>
          <w14:textFill>
            <w14:solidFill>
              <w14:schemeClr w14:val="tx1"/>
            </w14:solidFill>
          </w14:textFill>
        </w:rPr>
        <w:t>万元，增长</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131.59</w:t>
      </w:r>
      <w:r>
        <w:rPr>
          <w:rFonts w:hint="eastAsia" w:ascii="TimesNewRoman" w:hAnsi="TimesNewRoman" w:eastAsia="仿宋_GB2312" w:cs="TimesNewRoman"/>
          <w:color w:val="000000" w:themeColor="text1"/>
          <w:kern w:val="0"/>
          <w:sz w:val="32"/>
          <w:szCs w:val="32"/>
          <w14:textFill>
            <w14:solidFill>
              <w14:schemeClr w14:val="tx1"/>
            </w14:solidFill>
          </w14:textFill>
        </w:rPr>
        <w:t>%，主要原因：</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人员支出拨款增加，食品安全与质量安全监管经费增加。</w:t>
      </w:r>
    </w:p>
    <w:p w14:paraId="3BC1E4E2">
      <w:pPr>
        <w:pStyle w:val="2"/>
        <w:adjustRightInd w:val="0"/>
        <w:snapToGrid w:val="0"/>
        <w:spacing w:line="560" w:lineRule="exact"/>
        <w:ind w:firstLine="630" w:firstLineChars="196"/>
        <w:rPr>
          <w:rFonts w:hint="eastAsia" w:ascii="TimesNewRoman" w:hAnsi="TimesNewRoman" w:eastAsia="楷体_GB2312" w:cs="TimesNewRoman"/>
          <w:b/>
          <w:color w:val="000000" w:themeColor="text1"/>
          <w:sz w:val="32"/>
          <w:szCs w:val="32"/>
          <w14:textFill>
            <w14:solidFill>
              <w14:schemeClr w14:val="tx1"/>
            </w14:solidFill>
          </w14:textFill>
        </w:rPr>
      </w:pPr>
      <w:r>
        <w:rPr>
          <w:rFonts w:hint="eastAsia" w:ascii="TimesNewRoman" w:hAnsi="TimesNewRoman" w:eastAsia="楷体_GB2312" w:cs="TimesNewRoman"/>
          <w:b/>
          <w:color w:val="000000" w:themeColor="text1"/>
          <w:sz w:val="32"/>
          <w:szCs w:val="32"/>
          <w14:textFill>
            <w14:solidFill>
              <w14:schemeClr w14:val="tx1"/>
            </w14:solidFill>
          </w14:textFill>
        </w:rPr>
        <w:t>（二）一般公共预算支出结构情况。</w:t>
      </w:r>
    </w:p>
    <w:p w14:paraId="3E14F0DD">
      <w:pPr>
        <w:ind w:firstLine="640" w:firstLineChars="200"/>
        <w:rPr>
          <w:rFonts w:hint="eastAsia" w:ascii="TimesNewRoman" w:hAnsi="TimesNewRoman" w:eastAsia="仿宋_GB2312" w:cs="TimesNewRoman"/>
          <w:color w:val="000000" w:themeColor="text1"/>
          <w:kern w:val="0"/>
          <w:sz w:val="32"/>
          <w:szCs w:val="32"/>
          <w14:textFill>
            <w14:solidFill>
              <w14:schemeClr w14:val="tx1"/>
            </w14:solidFill>
          </w14:textFill>
        </w:rPr>
      </w:pPr>
      <w:r>
        <w:rPr>
          <w:rFonts w:hint="eastAsia" w:ascii="TimesNewRoman" w:hAnsi="TimesNewRoman" w:eastAsia="仿宋_GB2312" w:cs="TimesNewRoman"/>
          <w:color w:val="000000" w:themeColor="text1"/>
          <w:kern w:val="0"/>
          <w:sz w:val="32"/>
          <w:szCs w:val="32"/>
          <w14:textFill>
            <w14:solidFill>
              <w14:schemeClr w14:val="tx1"/>
            </w14:solidFill>
          </w14:textFill>
        </w:rPr>
        <w:t>一般公共服务支出</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991.17</w:t>
      </w:r>
      <w:r>
        <w:rPr>
          <w:rFonts w:hint="eastAsia" w:ascii="TimesNewRoman" w:hAnsi="TimesNewRoman" w:eastAsia="仿宋_GB2312" w:cs="TimesNewRoman"/>
          <w:color w:val="000000" w:themeColor="text1"/>
          <w:kern w:val="0"/>
          <w:sz w:val="32"/>
          <w:szCs w:val="32"/>
          <w14:textFill>
            <w14:solidFill>
              <w14:schemeClr w14:val="tx1"/>
            </w14:solidFill>
          </w14:textFill>
        </w:rPr>
        <w:t>万元，占</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100</w:t>
      </w:r>
      <w:r>
        <w:rPr>
          <w:rFonts w:hint="eastAsia" w:ascii="TimesNewRoman" w:hAnsi="TimesNewRoman" w:eastAsia="仿宋_GB2312" w:cs="TimesNewRoman"/>
          <w:color w:val="000000" w:themeColor="text1"/>
          <w:kern w:val="0"/>
          <w:sz w:val="32"/>
          <w:szCs w:val="32"/>
          <w14:textFill>
            <w14:solidFill>
              <w14:schemeClr w14:val="tx1"/>
            </w14:solidFill>
          </w14:textFill>
        </w:rPr>
        <w:t>%；社会保障和就业支出</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0</w:t>
      </w:r>
      <w:r>
        <w:rPr>
          <w:rFonts w:hint="eastAsia" w:ascii="TimesNewRoman" w:hAnsi="TimesNewRoman" w:eastAsia="仿宋_GB2312" w:cs="TimesNewRoman"/>
          <w:color w:val="000000" w:themeColor="text1"/>
          <w:kern w:val="0"/>
          <w:sz w:val="32"/>
          <w:szCs w:val="32"/>
          <w14:textFill>
            <w14:solidFill>
              <w14:schemeClr w14:val="tx1"/>
            </w14:solidFill>
          </w14:textFill>
        </w:rPr>
        <w:t>万元，占</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0</w:t>
      </w:r>
      <w:r>
        <w:rPr>
          <w:rFonts w:hint="eastAsia" w:ascii="TimesNewRoman" w:hAnsi="TimesNewRoman" w:eastAsia="仿宋_GB2312" w:cs="TimesNewRoman"/>
          <w:color w:val="000000" w:themeColor="text1"/>
          <w:kern w:val="0"/>
          <w:sz w:val="32"/>
          <w:szCs w:val="32"/>
          <w14:textFill>
            <w14:solidFill>
              <w14:schemeClr w14:val="tx1"/>
            </w14:solidFill>
          </w14:textFill>
        </w:rPr>
        <w:t>%；卫生健康支出</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0</w:t>
      </w:r>
      <w:r>
        <w:rPr>
          <w:rFonts w:hint="eastAsia" w:ascii="TimesNewRoman" w:hAnsi="TimesNewRoman" w:eastAsia="仿宋_GB2312" w:cs="TimesNewRoman"/>
          <w:color w:val="000000" w:themeColor="text1"/>
          <w:kern w:val="0"/>
          <w:sz w:val="32"/>
          <w:szCs w:val="32"/>
          <w14:textFill>
            <w14:solidFill>
              <w14:schemeClr w14:val="tx1"/>
            </w14:solidFill>
          </w14:textFill>
        </w:rPr>
        <w:t>万元，占</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0</w:t>
      </w:r>
      <w:r>
        <w:rPr>
          <w:rFonts w:hint="eastAsia" w:ascii="TimesNewRoman" w:hAnsi="TimesNewRoman" w:eastAsia="仿宋_GB2312" w:cs="TimesNewRoman"/>
          <w:color w:val="000000" w:themeColor="text1"/>
          <w:kern w:val="0"/>
          <w:sz w:val="32"/>
          <w:szCs w:val="32"/>
          <w14:textFill>
            <w14:solidFill>
              <w14:schemeClr w14:val="tx1"/>
            </w14:solidFill>
          </w14:textFill>
        </w:rPr>
        <w:t>%；住房保障支出</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0</w:t>
      </w:r>
      <w:r>
        <w:rPr>
          <w:rFonts w:hint="eastAsia" w:ascii="TimesNewRoman" w:hAnsi="TimesNewRoman" w:eastAsia="仿宋_GB2312" w:cs="TimesNewRoman"/>
          <w:color w:val="000000" w:themeColor="text1"/>
          <w:kern w:val="0"/>
          <w:sz w:val="32"/>
          <w:szCs w:val="32"/>
          <w14:textFill>
            <w14:solidFill>
              <w14:schemeClr w14:val="tx1"/>
            </w14:solidFill>
          </w14:textFill>
        </w:rPr>
        <w:t>万元，占</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0</w:t>
      </w:r>
      <w:r>
        <w:rPr>
          <w:rFonts w:hint="eastAsia" w:ascii="TimesNewRoman" w:hAnsi="TimesNewRoman" w:eastAsia="仿宋_GB2312" w:cs="TimesNewRoman"/>
          <w:color w:val="000000" w:themeColor="text1"/>
          <w:kern w:val="0"/>
          <w:sz w:val="32"/>
          <w:szCs w:val="32"/>
          <w14:textFill>
            <w14:solidFill>
              <w14:schemeClr w14:val="tx1"/>
            </w14:solidFill>
          </w14:textFill>
        </w:rPr>
        <w:t>%。</w:t>
      </w:r>
    </w:p>
    <w:p w14:paraId="2D69DC30">
      <w:pPr>
        <w:pStyle w:val="2"/>
        <w:adjustRightInd w:val="0"/>
        <w:snapToGrid w:val="0"/>
        <w:spacing w:line="560" w:lineRule="exact"/>
        <w:ind w:firstLine="630" w:firstLineChars="196"/>
        <w:rPr>
          <w:rFonts w:hint="eastAsia" w:ascii="TimesNewRoman" w:hAnsi="TimesNewRoman" w:eastAsia="楷体_GB2312" w:cs="TimesNewRoman"/>
          <w:b/>
          <w:color w:val="000000" w:themeColor="text1"/>
          <w:sz w:val="32"/>
          <w:szCs w:val="32"/>
          <w14:textFill>
            <w14:solidFill>
              <w14:schemeClr w14:val="tx1"/>
            </w14:solidFill>
          </w14:textFill>
        </w:rPr>
      </w:pPr>
      <w:r>
        <w:rPr>
          <w:rFonts w:hint="eastAsia" w:ascii="TimesNewRoman" w:hAnsi="TimesNewRoman" w:eastAsia="楷体_GB2312" w:cs="TimesNewRoman"/>
          <w:b/>
          <w:color w:val="000000" w:themeColor="text1"/>
          <w:sz w:val="32"/>
          <w:szCs w:val="32"/>
          <w14:textFill>
            <w14:solidFill>
              <w14:schemeClr w14:val="tx1"/>
            </w14:solidFill>
          </w14:textFill>
        </w:rPr>
        <w:t>（三）一般公共预算支出具体使用情况。</w:t>
      </w:r>
    </w:p>
    <w:p w14:paraId="645093E5">
      <w:pPr>
        <w:pStyle w:val="2"/>
        <w:keepNext w:val="0"/>
        <w:keepLines w:val="0"/>
        <w:widowControl/>
        <w:suppressLineNumbers w:val="0"/>
        <w:ind w:left="0" w:firstLine="0"/>
        <w:rPr>
          <w:rFonts w:hint="eastAsia" w:ascii="TimesNewRoman" w:hAnsi="TimesNewRoman" w:eastAsia="仿宋_GB2312" w:cs="TimesNewRoman"/>
          <w:color w:val="000000" w:themeColor="text1"/>
          <w:kern w:val="0"/>
          <w:sz w:val="32"/>
          <w:szCs w:val="32"/>
          <w14:textFill>
            <w14:solidFill>
              <w14:schemeClr w14:val="tx1"/>
            </w14:solidFill>
          </w14:textFill>
        </w:rPr>
      </w:pPr>
      <w:r>
        <w:rPr>
          <w:rFonts w:hint="eastAsia" w:ascii="TimesNewRoman" w:hAnsi="TimesNewRoman" w:eastAsia="仿宋_GB2312" w:cs="TimesNewRoman"/>
          <w:color w:val="000000" w:themeColor="text1"/>
          <w:kern w:val="0"/>
          <w:sz w:val="32"/>
          <w:szCs w:val="32"/>
          <w14:textFill>
            <w14:solidFill>
              <w14:schemeClr w14:val="tx1"/>
            </w14:solidFill>
          </w14:textFill>
        </w:rPr>
        <w:t>（1）一般公共服务（类）财政事务（款）行政运行（项）。2023年预算</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681.69</w:t>
      </w:r>
      <w:r>
        <w:rPr>
          <w:rFonts w:hint="eastAsia" w:ascii="TimesNewRoman" w:hAnsi="TimesNewRoman" w:eastAsia="仿宋_GB2312" w:cs="TimesNewRoman"/>
          <w:color w:val="000000" w:themeColor="text1"/>
          <w:kern w:val="0"/>
          <w:sz w:val="32"/>
          <w:szCs w:val="32"/>
          <w14:textFill>
            <w14:solidFill>
              <w14:schemeClr w14:val="tx1"/>
            </w14:solidFill>
          </w14:textFill>
        </w:rPr>
        <w:t>万元，比2022年预算增加</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410.18</w:t>
      </w:r>
      <w:r>
        <w:rPr>
          <w:rFonts w:hint="eastAsia" w:ascii="TimesNewRoman" w:hAnsi="TimesNewRoman" w:eastAsia="仿宋_GB2312" w:cs="TimesNewRoman"/>
          <w:color w:val="000000" w:themeColor="text1"/>
          <w:kern w:val="0"/>
          <w:sz w:val="32"/>
          <w:szCs w:val="32"/>
          <w14:textFill>
            <w14:solidFill>
              <w14:schemeClr w14:val="tx1"/>
            </w14:solidFill>
          </w14:textFill>
        </w:rPr>
        <w:t>万元，增长</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313.40</w:t>
      </w:r>
      <w:r>
        <w:rPr>
          <w:rFonts w:hint="eastAsia" w:ascii="TimesNewRoman" w:hAnsi="TimesNewRoman" w:eastAsia="仿宋_GB2312" w:cs="TimesNewRoman"/>
          <w:color w:val="000000" w:themeColor="text1"/>
          <w:kern w:val="0"/>
          <w:sz w:val="32"/>
          <w:szCs w:val="32"/>
          <w14:textFill>
            <w14:solidFill>
              <w14:schemeClr w14:val="tx1"/>
            </w14:solidFill>
          </w14:textFill>
        </w:rPr>
        <w:t>%，原因主要是政策性人员经费增加。</w:t>
      </w:r>
    </w:p>
    <w:p w14:paraId="61A29364">
      <w:pPr>
        <w:pStyle w:val="2"/>
        <w:keepNext w:val="0"/>
        <w:keepLines w:val="0"/>
        <w:widowControl/>
        <w:suppressLineNumbers w:val="0"/>
        <w:ind w:left="0" w:firstLine="0"/>
        <w:rPr>
          <w:rFonts w:hint="eastAsia" w:ascii="TimesNewRoman" w:hAnsi="TimesNewRoman" w:eastAsia="仿宋_GB2312" w:cs="TimesNewRoman"/>
          <w:color w:val="000000" w:themeColor="text1"/>
          <w:kern w:val="0"/>
          <w:sz w:val="32"/>
          <w:szCs w:val="32"/>
          <w14:textFill>
            <w14:solidFill>
              <w14:schemeClr w14:val="tx1"/>
            </w14:solidFill>
          </w14:textFill>
        </w:rPr>
      </w:pPr>
      <w:r>
        <w:rPr>
          <w:rFonts w:hint="eastAsia" w:ascii="TimesNewRoman" w:hAnsi="TimesNewRoman" w:eastAsia="仿宋_GB2312" w:cs="TimesNewRoman"/>
          <w:color w:val="000000" w:themeColor="text1"/>
          <w:kern w:val="0"/>
          <w:sz w:val="32"/>
          <w:szCs w:val="32"/>
          <w14:textFill>
            <w14:solidFill>
              <w14:schemeClr w14:val="tx1"/>
            </w14:solidFill>
          </w14:textFill>
        </w:rPr>
        <w:t>（2）一般公共服务（类）财政事务（款）一般行政管理事</w:t>
      </w:r>
    </w:p>
    <w:p w14:paraId="42CB6757">
      <w:pPr>
        <w:pStyle w:val="2"/>
        <w:keepNext w:val="0"/>
        <w:keepLines w:val="0"/>
        <w:widowControl/>
        <w:suppressLineNumbers w:val="0"/>
        <w:ind w:left="0" w:firstLine="0"/>
        <w:rPr>
          <w:rFonts w:hint="eastAsia" w:ascii="TimesNewRoman" w:hAnsi="TimesNewRoman" w:eastAsia="仿宋_GB2312" w:cs="TimesNewRoman"/>
          <w:color w:val="000000" w:themeColor="text1"/>
          <w:kern w:val="0"/>
          <w:sz w:val="32"/>
          <w:szCs w:val="32"/>
          <w14:textFill>
            <w14:solidFill>
              <w14:schemeClr w14:val="tx1"/>
            </w14:solidFill>
          </w14:textFill>
        </w:rPr>
      </w:pPr>
      <w:r>
        <w:rPr>
          <w:rFonts w:hint="eastAsia" w:ascii="TimesNewRoman" w:hAnsi="TimesNewRoman" w:eastAsia="仿宋_GB2312" w:cs="TimesNewRoman"/>
          <w:color w:val="000000" w:themeColor="text1"/>
          <w:kern w:val="0"/>
          <w:sz w:val="32"/>
          <w:szCs w:val="32"/>
          <w14:textFill>
            <w14:solidFill>
              <w14:schemeClr w14:val="tx1"/>
            </w14:solidFill>
          </w14:textFill>
        </w:rPr>
        <w:t>务（项）。2023年预算</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85.13</w:t>
      </w:r>
      <w:r>
        <w:rPr>
          <w:rFonts w:hint="eastAsia" w:ascii="TimesNewRoman" w:hAnsi="TimesNewRoman" w:eastAsia="仿宋_GB2312" w:cs="TimesNewRoman"/>
          <w:color w:val="000000" w:themeColor="text1"/>
          <w:kern w:val="0"/>
          <w:sz w:val="32"/>
          <w:szCs w:val="32"/>
          <w14:textFill>
            <w14:solidFill>
              <w14:schemeClr w14:val="tx1"/>
            </w14:solidFill>
          </w14:textFill>
        </w:rPr>
        <w:t>万元，比2022年预算减少</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108.37</w:t>
      </w:r>
      <w:r>
        <w:rPr>
          <w:rFonts w:hint="eastAsia" w:ascii="TimesNewRoman" w:hAnsi="TimesNewRoman" w:eastAsia="仿宋_GB2312" w:cs="TimesNewRoman"/>
          <w:color w:val="000000" w:themeColor="text1"/>
          <w:kern w:val="0"/>
          <w:sz w:val="32"/>
          <w:szCs w:val="32"/>
          <w14:textFill>
            <w14:solidFill>
              <w14:schemeClr w14:val="tx1"/>
            </w14:solidFill>
          </w14:textFill>
        </w:rPr>
        <w:t>万元，下降</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226.66</w:t>
      </w:r>
      <w:r>
        <w:rPr>
          <w:rFonts w:hint="eastAsia" w:ascii="TimesNewRoman" w:hAnsi="TimesNewRoman" w:eastAsia="仿宋_GB2312" w:cs="TimesNewRoman"/>
          <w:color w:val="000000" w:themeColor="text1"/>
          <w:kern w:val="0"/>
          <w:sz w:val="32"/>
          <w:szCs w:val="32"/>
          <w14:textFill>
            <w14:solidFill>
              <w14:schemeClr w14:val="tx1"/>
            </w14:solidFill>
          </w14:textFill>
        </w:rPr>
        <w:t>%，原因主要是公用支出减少。</w:t>
      </w:r>
    </w:p>
    <w:p w14:paraId="7EAA497C">
      <w:pPr>
        <w:pStyle w:val="2"/>
        <w:keepNext w:val="0"/>
        <w:keepLines w:val="0"/>
        <w:widowControl/>
        <w:suppressLineNumbers w:val="0"/>
        <w:ind w:left="0" w:firstLine="0"/>
        <w:rPr>
          <w:rFonts w:hint="eastAsia" w:ascii="TimesNewRoman" w:hAnsi="TimesNewRoman" w:eastAsia="仿宋_GB2312" w:cs="TimesNewRoman"/>
          <w:color w:val="000000" w:themeColor="text1"/>
          <w:kern w:val="0"/>
          <w:sz w:val="32"/>
          <w:szCs w:val="32"/>
          <w14:textFill>
            <w14:solidFill>
              <w14:schemeClr w14:val="tx1"/>
            </w14:solidFill>
          </w14:textFill>
        </w:rPr>
      </w:pPr>
      <w:r>
        <w:rPr>
          <w:rFonts w:hint="eastAsia" w:ascii="TimesNewRoman" w:hAnsi="TimesNewRoman" w:eastAsia="仿宋_GB2312" w:cs="TimesNewRoman"/>
          <w:color w:val="000000" w:themeColor="text1"/>
          <w:kern w:val="0"/>
          <w:sz w:val="32"/>
          <w:szCs w:val="32"/>
          <w14:textFill>
            <w14:solidFill>
              <w14:schemeClr w14:val="tx1"/>
            </w14:solidFill>
          </w14:textFill>
        </w:rPr>
        <w:t>（3）一般公共服务（类）市场监督管理事务（款）市场主体管理（项）。2023年预算</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77.35</w:t>
      </w:r>
      <w:r>
        <w:rPr>
          <w:rFonts w:hint="eastAsia" w:ascii="TimesNewRoman" w:hAnsi="TimesNewRoman" w:eastAsia="仿宋_GB2312" w:cs="TimesNewRoman"/>
          <w:color w:val="000000" w:themeColor="text1"/>
          <w:kern w:val="0"/>
          <w:sz w:val="32"/>
          <w:szCs w:val="32"/>
          <w14:textFill>
            <w14:solidFill>
              <w14:schemeClr w14:val="tx1"/>
            </w14:solidFill>
          </w14:textFill>
        </w:rPr>
        <w:t>万元，比2022年预算增加</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42.35</w:t>
      </w:r>
      <w:r>
        <w:rPr>
          <w:rFonts w:hint="eastAsia" w:ascii="TimesNewRoman" w:hAnsi="TimesNewRoman" w:eastAsia="仿宋_GB2312" w:cs="TimesNewRoman"/>
          <w:color w:val="000000" w:themeColor="text1"/>
          <w:kern w:val="0"/>
          <w:sz w:val="32"/>
          <w:szCs w:val="32"/>
          <w14:textFill>
            <w14:solidFill>
              <w14:schemeClr w14:val="tx1"/>
            </w14:solidFill>
          </w14:textFill>
        </w:rPr>
        <w:t>万元，增长</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221</w:t>
      </w:r>
      <w:r>
        <w:rPr>
          <w:rFonts w:hint="eastAsia" w:ascii="TimesNewRoman" w:hAnsi="TimesNewRoman" w:eastAsia="仿宋_GB2312" w:cs="TimesNewRoman"/>
          <w:color w:val="000000" w:themeColor="text1"/>
          <w:kern w:val="0"/>
          <w:sz w:val="32"/>
          <w:szCs w:val="32"/>
          <w14:textFill>
            <w14:solidFill>
              <w14:schemeClr w14:val="tx1"/>
            </w14:solidFill>
          </w14:textFill>
        </w:rPr>
        <w:t>%，原因主要是</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新增项目支出，</w:t>
      </w:r>
      <w:r>
        <w:rPr>
          <w:rFonts w:hint="eastAsia" w:ascii="TimesNewRoman" w:hAnsi="TimesNewRoman" w:eastAsia="仿宋_GB2312" w:cs="TimesNewRoman"/>
          <w:color w:val="000000" w:themeColor="text1"/>
          <w:kern w:val="0"/>
          <w:sz w:val="32"/>
          <w:szCs w:val="32"/>
          <w14:textFill>
            <w14:solidFill>
              <w14:schemeClr w14:val="tx1"/>
            </w14:solidFill>
          </w14:textFill>
        </w:rPr>
        <w:t>。</w:t>
      </w:r>
    </w:p>
    <w:p w14:paraId="27A547F8">
      <w:pPr>
        <w:pStyle w:val="2"/>
        <w:keepNext w:val="0"/>
        <w:keepLines w:val="0"/>
        <w:widowControl/>
        <w:suppressLineNumbers w:val="0"/>
        <w:ind w:left="0" w:firstLine="0"/>
        <w:rPr>
          <w:rFonts w:hint="eastAsia" w:ascii="TimesNewRoman" w:hAnsi="TimesNewRoman" w:eastAsia="仿宋_GB2312" w:cs="TimesNewRoman"/>
          <w:color w:val="000000" w:themeColor="text1"/>
          <w:kern w:val="0"/>
          <w:sz w:val="32"/>
          <w:szCs w:val="32"/>
          <w14:textFill>
            <w14:solidFill>
              <w14:schemeClr w14:val="tx1"/>
            </w14:solidFill>
          </w14:textFill>
        </w:rPr>
      </w:pPr>
      <w:r>
        <w:rPr>
          <w:rFonts w:hint="eastAsia" w:ascii="TimesNewRoman" w:hAnsi="TimesNewRoman" w:eastAsia="仿宋_GB2312" w:cs="TimesNewRoman"/>
          <w:color w:val="000000" w:themeColor="text1"/>
          <w:kern w:val="0"/>
          <w:sz w:val="32"/>
          <w:szCs w:val="32"/>
          <w14:textFill>
            <w14:solidFill>
              <w14:schemeClr w14:val="tx1"/>
            </w14:solidFill>
          </w14:textFill>
        </w:rPr>
        <w:t>（4）一般公共服务（类）市场监督管理事务（款）质量安全监管（项）。2023年预算</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8</w:t>
      </w:r>
      <w:r>
        <w:rPr>
          <w:rFonts w:hint="eastAsia" w:ascii="TimesNewRoman" w:hAnsi="TimesNewRoman" w:eastAsia="仿宋_GB2312" w:cs="TimesNewRoman"/>
          <w:color w:val="000000" w:themeColor="text1"/>
          <w:kern w:val="0"/>
          <w:sz w:val="32"/>
          <w:szCs w:val="32"/>
          <w14:textFill>
            <w14:solidFill>
              <w14:schemeClr w14:val="tx1"/>
            </w14:solidFill>
          </w14:textFill>
        </w:rPr>
        <w:t>万元，比2022年预算增加</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3.25</w:t>
      </w:r>
      <w:r>
        <w:rPr>
          <w:rFonts w:hint="eastAsia" w:ascii="TimesNewRoman" w:hAnsi="TimesNewRoman" w:eastAsia="仿宋_GB2312" w:cs="TimesNewRoman"/>
          <w:color w:val="000000" w:themeColor="text1"/>
          <w:kern w:val="0"/>
          <w:sz w:val="32"/>
          <w:szCs w:val="32"/>
          <w14:textFill>
            <w14:solidFill>
              <w14:schemeClr w14:val="tx1"/>
            </w14:solidFill>
          </w14:textFill>
        </w:rPr>
        <w:t>万元，增长</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168.42</w:t>
      </w:r>
      <w:r>
        <w:rPr>
          <w:rFonts w:hint="eastAsia" w:ascii="TimesNewRoman" w:hAnsi="TimesNewRoman" w:eastAsia="仿宋_GB2312" w:cs="TimesNewRoman"/>
          <w:color w:val="000000" w:themeColor="text1"/>
          <w:kern w:val="0"/>
          <w:sz w:val="32"/>
          <w:szCs w:val="32"/>
          <w14:textFill>
            <w14:solidFill>
              <w14:schemeClr w14:val="tx1"/>
            </w14:solidFill>
          </w14:textFill>
        </w:rPr>
        <w:t>%，原因主要是执法办案经费支出</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增加</w:t>
      </w:r>
      <w:r>
        <w:rPr>
          <w:rFonts w:hint="eastAsia" w:ascii="TimesNewRoman" w:hAnsi="TimesNewRoman" w:eastAsia="仿宋_GB2312" w:cs="TimesNewRoman"/>
          <w:color w:val="000000" w:themeColor="text1"/>
          <w:kern w:val="0"/>
          <w:sz w:val="32"/>
          <w:szCs w:val="32"/>
          <w14:textFill>
            <w14:solidFill>
              <w14:schemeClr w14:val="tx1"/>
            </w14:solidFill>
          </w14:textFill>
        </w:rPr>
        <w:t>。</w:t>
      </w:r>
    </w:p>
    <w:p w14:paraId="12F801C2">
      <w:pPr>
        <w:pStyle w:val="2"/>
        <w:keepNext w:val="0"/>
        <w:keepLines w:val="0"/>
        <w:widowControl/>
        <w:suppressLineNumbers w:val="0"/>
        <w:ind w:left="0" w:firstLine="0"/>
        <w:rPr>
          <w:rFonts w:hint="eastAsia" w:ascii="TimesNewRoman" w:hAnsi="TimesNewRoman" w:eastAsia="仿宋_GB2312" w:cs="TimesNewRoman"/>
          <w:color w:val="000000" w:themeColor="text1"/>
          <w:kern w:val="0"/>
          <w:sz w:val="32"/>
          <w:szCs w:val="32"/>
          <w14:textFill>
            <w14:solidFill>
              <w14:schemeClr w14:val="tx1"/>
            </w14:solidFill>
          </w14:textFill>
        </w:rPr>
      </w:pPr>
      <w:r>
        <w:rPr>
          <w:rFonts w:hint="eastAsia" w:ascii="TimesNewRoman" w:hAnsi="TimesNewRoman" w:eastAsia="仿宋_GB2312" w:cs="TimesNewRoman"/>
          <w:color w:val="000000" w:themeColor="text1"/>
          <w:kern w:val="0"/>
          <w:sz w:val="32"/>
          <w:szCs w:val="32"/>
          <w14:textFill>
            <w14:solidFill>
              <w14:schemeClr w14:val="tx1"/>
            </w14:solidFill>
          </w14:textFill>
        </w:rPr>
        <w:t>（5）一般公共服务（类）市场监督管理事务（款）食品安全监管（项）。2023年预算</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117</w:t>
      </w:r>
      <w:r>
        <w:rPr>
          <w:rFonts w:hint="eastAsia" w:ascii="TimesNewRoman" w:hAnsi="TimesNewRoman" w:eastAsia="仿宋_GB2312" w:cs="TimesNewRoman"/>
          <w:color w:val="000000" w:themeColor="text1"/>
          <w:kern w:val="0"/>
          <w:sz w:val="32"/>
          <w:szCs w:val="32"/>
          <w14:textFill>
            <w14:solidFill>
              <w14:schemeClr w14:val="tx1"/>
            </w14:solidFill>
          </w14:textFill>
        </w:rPr>
        <w:t>万元，比2022年预算增加（减少）</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55.71</w:t>
      </w:r>
      <w:r>
        <w:rPr>
          <w:rFonts w:hint="eastAsia" w:ascii="TimesNewRoman" w:hAnsi="TimesNewRoman" w:eastAsia="仿宋_GB2312" w:cs="TimesNewRoman"/>
          <w:color w:val="000000" w:themeColor="text1"/>
          <w:kern w:val="0"/>
          <w:sz w:val="32"/>
          <w:szCs w:val="32"/>
          <w14:textFill>
            <w14:solidFill>
              <w14:schemeClr w14:val="tx1"/>
            </w14:solidFill>
          </w14:textFill>
        </w:rPr>
        <w:t>万元，增长</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190.9</w:t>
      </w:r>
      <w:r>
        <w:rPr>
          <w:rFonts w:hint="eastAsia" w:ascii="TimesNewRoman" w:hAnsi="TimesNewRoman" w:eastAsia="仿宋_GB2312" w:cs="TimesNewRoman"/>
          <w:color w:val="000000" w:themeColor="text1"/>
          <w:kern w:val="0"/>
          <w:sz w:val="32"/>
          <w:szCs w:val="32"/>
          <w14:textFill>
            <w14:solidFill>
              <w14:schemeClr w14:val="tx1"/>
            </w14:solidFill>
          </w14:textFill>
        </w:rPr>
        <w:t>%，原因主要是食品安全经费支出</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增加</w:t>
      </w:r>
      <w:r>
        <w:rPr>
          <w:rFonts w:hint="eastAsia" w:ascii="TimesNewRoman" w:hAnsi="TimesNewRoman" w:eastAsia="仿宋_GB2312" w:cs="TimesNewRoman"/>
          <w:color w:val="000000" w:themeColor="text1"/>
          <w:kern w:val="0"/>
          <w:sz w:val="32"/>
          <w:szCs w:val="32"/>
          <w14:textFill>
            <w14:solidFill>
              <w14:schemeClr w14:val="tx1"/>
            </w14:solidFill>
          </w14:textFill>
        </w:rPr>
        <w:t>。</w:t>
      </w:r>
    </w:p>
    <w:p w14:paraId="5F890E6F">
      <w:pPr>
        <w:pStyle w:val="2"/>
        <w:keepNext w:val="0"/>
        <w:keepLines w:val="0"/>
        <w:widowControl/>
        <w:suppressLineNumbers w:val="0"/>
        <w:ind w:left="0" w:firstLine="0"/>
        <w:rPr>
          <w:rFonts w:hint="eastAsia" w:ascii="TimesNewRoman" w:hAnsi="TimesNewRoman" w:eastAsia="仿宋_GB2312" w:cs="TimesNewRoman"/>
          <w:color w:val="000000" w:themeColor="text1"/>
          <w:kern w:val="0"/>
          <w:sz w:val="32"/>
          <w:szCs w:val="32"/>
          <w14:textFill>
            <w14:solidFill>
              <w14:schemeClr w14:val="tx1"/>
            </w14:solidFill>
          </w14:textFill>
        </w:rPr>
      </w:pPr>
      <w:r>
        <w:rPr>
          <w:rFonts w:hint="eastAsia" w:ascii="TimesNewRoman" w:hAnsi="TimesNewRoman" w:eastAsia="仿宋_GB2312" w:cs="TimesNewRoman"/>
          <w:color w:val="000000" w:themeColor="text1"/>
          <w:kern w:val="0"/>
          <w:sz w:val="32"/>
          <w:szCs w:val="32"/>
          <w14:textFill>
            <w14:solidFill>
              <w14:schemeClr w14:val="tx1"/>
            </w14:solidFill>
          </w14:textFill>
        </w:rPr>
        <w:t>（6）一般公共服务（类）市场监督管理事务（款）其他市场监督管理事项（项）。2023年预算</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22</w:t>
      </w:r>
      <w:r>
        <w:rPr>
          <w:rFonts w:hint="eastAsia" w:ascii="TimesNewRoman" w:hAnsi="TimesNewRoman" w:eastAsia="仿宋_GB2312" w:cs="TimesNewRoman"/>
          <w:color w:val="000000" w:themeColor="text1"/>
          <w:kern w:val="0"/>
          <w:sz w:val="32"/>
          <w:szCs w:val="32"/>
          <w14:textFill>
            <w14:solidFill>
              <w14:schemeClr w14:val="tx1"/>
            </w14:solidFill>
          </w14:textFill>
        </w:rPr>
        <w:t>万元，比2022年预算增加</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22</w:t>
      </w:r>
      <w:r>
        <w:rPr>
          <w:rFonts w:hint="eastAsia" w:ascii="TimesNewRoman" w:hAnsi="TimesNewRoman" w:eastAsia="仿宋_GB2312" w:cs="TimesNewRoman"/>
          <w:color w:val="000000" w:themeColor="text1"/>
          <w:kern w:val="0"/>
          <w:sz w:val="32"/>
          <w:szCs w:val="32"/>
          <w14:textFill>
            <w14:solidFill>
              <w14:schemeClr w14:val="tx1"/>
            </w14:solidFill>
          </w14:textFill>
        </w:rPr>
        <w:t>万元，增长（下降</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100</w:t>
      </w:r>
      <w:r>
        <w:rPr>
          <w:rFonts w:hint="eastAsia" w:ascii="TimesNewRoman" w:hAnsi="TimesNewRoman" w:eastAsia="仿宋_GB2312" w:cs="TimesNewRoman"/>
          <w:color w:val="000000" w:themeColor="text1"/>
          <w:kern w:val="0"/>
          <w:sz w:val="32"/>
          <w:szCs w:val="32"/>
          <w14:textFill>
            <w14:solidFill>
              <w14:schemeClr w14:val="tx1"/>
            </w14:solidFill>
          </w14:textFill>
        </w:rPr>
        <w:t>%，原因主要是启用新的功能科目，项目支出合并。</w:t>
      </w:r>
    </w:p>
    <w:p w14:paraId="26C008D2">
      <w:pPr>
        <w:pStyle w:val="2"/>
        <w:adjustRightInd w:val="0"/>
        <w:snapToGrid w:val="0"/>
        <w:spacing w:line="560" w:lineRule="exact"/>
        <w:ind w:firstLine="627" w:firstLineChars="196"/>
        <w:rPr>
          <w:rFonts w:hint="eastAsia" w:ascii="TimesNewRoman" w:hAnsi="TimesNewRoman" w:eastAsia="黑体" w:cs="TimesNewRoman"/>
          <w:bCs/>
          <w:color w:val="000000" w:themeColor="text1"/>
          <w:sz w:val="32"/>
          <w:szCs w:val="32"/>
          <w14:textFill>
            <w14:solidFill>
              <w14:schemeClr w14:val="tx1"/>
            </w14:solidFill>
          </w14:textFill>
        </w:rPr>
      </w:pPr>
      <w:r>
        <w:rPr>
          <w:rFonts w:hint="eastAsia" w:ascii="TimesNewRoman" w:hAnsi="TimesNewRoman" w:eastAsia="黑体" w:cs="TimesNewRoman"/>
          <w:bCs/>
          <w:color w:val="000000" w:themeColor="text1"/>
          <w:sz w:val="32"/>
          <w:szCs w:val="32"/>
          <w14:textFill>
            <w14:solidFill>
              <w14:schemeClr w14:val="tx1"/>
            </w14:solidFill>
          </w14:textFill>
        </w:rPr>
        <w:t>六、关于2023年一般公共预算基本支出表的说明</w:t>
      </w:r>
    </w:p>
    <w:p w14:paraId="692CAFDB">
      <w:pPr>
        <w:ind w:firstLine="640" w:firstLineChars="200"/>
        <w:rPr>
          <w:rFonts w:hint="eastAsia" w:ascii="TimesNewRoman" w:hAnsi="TimesNewRoman" w:eastAsia="仿宋_GB2312" w:cs="TimesNewRoman"/>
          <w:color w:val="000000" w:themeColor="text1"/>
          <w:kern w:val="0"/>
          <w:sz w:val="32"/>
          <w:szCs w:val="32"/>
          <w14:textFill>
            <w14:solidFill>
              <w14:schemeClr w14:val="tx1"/>
            </w14:solidFill>
          </w14:textFill>
        </w:rPr>
      </w:pPr>
      <w:r>
        <w:rPr>
          <w:rFonts w:hint="eastAsia" w:ascii="TimesNewRoman" w:hAnsi="TimesNewRoman" w:eastAsia="仿宋_GB2312" w:cs="TimesNewRoman"/>
          <w:color w:val="000000" w:themeColor="text1"/>
          <w:kern w:val="0"/>
          <w:sz w:val="32"/>
          <w:szCs w:val="32"/>
          <w:lang w:eastAsia="zh-CN"/>
          <w14:textFill>
            <w14:solidFill>
              <w14:schemeClr w14:val="tx1"/>
            </w14:solidFill>
          </w14:textFill>
        </w:rPr>
        <w:t>淮北市烈山区市场监督管理局本级</w:t>
      </w:r>
      <w:r>
        <w:rPr>
          <w:rFonts w:hint="eastAsia" w:ascii="TimesNewRoman" w:hAnsi="TimesNewRoman" w:eastAsia="仿宋_GB2312" w:cs="TimesNewRoman"/>
          <w:color w:val="000000" w:themeColor="text1"/>
          <w:kern w:val="0"/>
          <w:sz w:val="32"/>
          <w:szCs w:val="32"/>
          <w14:textFill>
            <w14:solidFill>
              <w14:schemeClr w14:val="tx1"/>
            </w14:solidFill>
          </w14:textFill>
        </w:rPr>
        <w:t>2023年一般公共预算基本支出</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761.87</w:t>
      </w:r>
      <w:r>
        <w:rPr>
          <w:rFonts w:hint="eastAsia" w:ascii="TimesNewRoman" w:hAnsi="TimesNewRoman" w:eastAsia="仿宋_GB2312" w:cs="TimesNewRoman"/>
          <w:color w:val="000000" w:themeColor="text1"/>
          <w:kern w:val="0"/>
          <w:sz w:val="32"/>
          <w:szCs w:val="32"/>
          <w14:textFill>
            <w14:solidFill>
              <w14:schemeClr w14:val="tx1"/>
            </w14:solidFill>
          </w14:textFill>
        </w:rPr>
        <w:t>万元，其中，人员经费</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681.69</w:t>
      </w:r>
      <w:r>
        <w:rPr>
          <w:rFonts w:hint="eastAsia" w:ascii="TimesNewRoman" w:hAnsi="TimesNewRoman" w:eastAsia="仿宋_GB2312" w:cs="TimesNewRoman"/>
          <w:color w:val="000000" w:themeColor="text1"/>
          <w:kern w:val="0"/>
          <w:sz w:val="32"/>
          <w:szCs w:val="32"/>
          <w14:textFill>
            <w14:solidFill>
              <w14:schemeClr w14:val="tx1"/>
            </w14:solidFill>
          </w14:textFill>
        </w:rPr>
        <w:t>万元，公用经费</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80.18</w:t>
      </w:r>
      <w:r>
        <w:rPr>
          <w:rFonts w:hint="eastAsia" w:ascii="TimesNewRoman" w:hAnsi="TimesNewRoman" w:eastAsia="仿宋_GB2312" w:cs="TimesNewRoman"/>
          <w:color w:val="000000" w:themeColor="text1"/>
          <w:kern w:val="0"/>
          <w:sz w:val="32"/>
          <w:szCs w:val="32"/>
          <w14:textFill>
            <w14:solidFill>
              <w14:schemeClr w14:val="tx1"/>
            </w14:solidFill>
          </w14:textFill>
        </w:rPr>
        <w:t>万元。</w:t>
      </w:r>
    </w:p>
    <w:p w14:paraId="0896B939">
      <w:pPr>
        <w:ind w:firstLine="643" w:firstLineChars="200"/>
        <w:rPr>
          <w:rFonts w:hint="eastAsia" w:ascii="TimesNewRoman" w:hAnsi="TimesNewRoman" w:eastAsia="仿宋_GB2312" w:cs="TimesNewRoman"/>
          <w:color w:val="000000" w:themeColor="text1"/>
          <w:kern w:val="0"/>
          <w:sz w:val="32"/>
          <w:szCs w:val="32"/>
          <w14:textFill>
            <w14:solidFill>
              <w14:schemeClr w14:val="tx1"/>
            </w14:solidFill>
          </w14:textFill>
        </w:rPr>
      </w:pPr>
      <w:r>
        <w:rPr>
          <w:rFonts w:hint="eastAsia" w:ascii="TimesNewRoman" w:hAnsi="TimesNewRoman" w:eastAsia="仿宋_GB2312" w:cs="TimesNewRoman"/>
          <w:b/>
          <w:color w:val="000000" w:themeColor="text1"/>
          <w:kern w:val="0"/>
          <w:sz w:val="32"/>
          <w:szCs w:val="32"/>
          <w14:textFill>
            <w14:solidFill>
              <w14:schemeClr w14:val="tx1"/>
            </w14:solidFill>
          </w14:textFill>
        </w:rPr>
        <w:t>（一）人员经费</w:t>
      </w:r>
      <w:r>
        <w:rPr>
          <w:rFonts w:hint="eastAsia" w:ascii="TimesNewRoman" w:hAnsi="TimesNewRoman" w:eastAsia="仿宋_GB2312" w:cs="TimesNewRoman"/>
          <w:b/>
          <w:color w:val="000000" w:themeColor="text1"/>
          <w:kern w:val="0"/>
          <w:sz w:val="32"/>
          <w:szCs w:val="32"/>
          <w:lang w:val="en-US" w:eastAsia="zh-CN"/>
          <w14:textFill>
            <w14:solidFill>
              <w14:schemeClr w14:val="tx1"/>
            </w14:solidFill>
          </w14:textFill>
        </w:rPr>
        <w:t>681.69</w:t>
      </w:r>
      <w:r>
        <w:rPr>
          <w:rFonts w:hint="eastAsia" w:ascii="TimesNewRoman" w:hAnsi="TimesNewRoman" w:eastAsia="仿宋_GB2312" w:cs="TimesNewRoman"/>
          <w:b/>
          <w:color w:val="000000" w:themeColor="text1"/>
          <w:kern w:val="0"/>
          <w:sz w:val="32"/>
          <w:szCs w:val="32"/>
          <w14:textFill>
            <w14:solidFill>
              <w14:schemeClr w14:val="tx1"/>
            </w14:solidFill>
          </w14:textFill>
        </w:rPr>
        <w:t>万元，</w:t>
      </w:r>
      <w:r>
        <w:rPr>
          <w:rFonts w:hint="eastAsia" w:ascii="TimesNewRoman" w:hAnsi="TimesNewRoman" w:eastAsia="仿宋_GB2312" w:cs="TimesNewRoman"/>
          <w:color w:val="000000" w:themeColor="text1"/>
          <w:kern w:val="0"/>
          <w:sz w:val="32"/>
          <w:szCs w:val="32"/>
          <w14:textFill>
            <w14:solidFill>
              <w14:schemeClr w14:val="tx1"/>
            </w14:solidFill>
          </w14:textFill>
        </w:rPr>
        <w:t>主要包括:基本工资、津贴补贴、奖金、机关事业单位基本养老保险费、职业年金缴费、职工基本医疗保险缴费、公务员医疗补助缴费、其他社会保障缴费、住房公积金、</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其他工资福利支出、办公费、工会经费、福利费、其他商品和服务支出、</w:t>
      </w:r>
      <w:r>
        <w:rPr>
          <w:rFonts w:hint="eastAsia" w:ascii="TimesNewRoman" w:hAnsi="TimesNewRoman" w:eastAsia="仿宋_GB2312" w:cs="TimesNewRoman"/>
          <w:color w:val="000000" w:themeColor="text1"/>
          <w:kern w:val="0"/>
          <w:sz w:val="32"/>
          <w:szCs w:val="32"/>
          <w14:textFill>
            <w14:solidFill>
              <w14:schemeClr w14:val="tx1"/>
            </w14:solidFill>
          </w14:textFill>
        </w:rPr>
        <w:t>离休费、</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退休费、</w:t>
      </w:r>
      <w:r>
        <w:rPr>
          <w:rFonts w:hint="eastAsia" w:ascii="TimesNewRoman" w:hAnsi="TimesNewRoman" w:eastAsia="仿宋_GB2312" w:cs="TimesNewRoman"/>
          <w:color w:val="000000" w:themeColor="text1"/>
          <w:kern w:val="0"/>
          <w:sz w:val="32"/>
          <w:szCs w:val="32"/>
          <w14:textFill>
            <w14:solidFill>
              <w14:schemeClr w14:val="tx1"/>
            </w14:solidFill>
          </w14:textFill>
        </w:rPr>
        <w:t>生活补助、</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医疗费补助、</w:t>
      </w:r>
      <w:r>
        <w:rPr>
          <w:rFonts w:hint="eastAsia" w:ascii="TimesNewRoman" w:hAnsi="TimesNewRoman" w:eastAsia="仿宋_GB2312" w:cs="TimesNewRoman"/>
          <w:color w:val="000000" w:themeColor="text1"/>
          <w:kern w:val="0"/>
          <w:sz w:val="32"/>
          <w:szCs w:val="32"/>
          <w14:textFill>
            <w14:solidFill>
              <w14:schemeClr w14:val="tx1"/>
            </w14:solidFill>
          </w14:textFill>
        </w:rPr>
        <w:t>其他对个人和家庭的补助支出。</w:t>
      </w:r>
    </w:p>
    <w:p w14:paraId="1B2E00BC">
      <w:pPr>
        <w:ind w:firstLine="643" w:firstLineChars="200"/>
        <w:rPr>
          <w:rFonts w:hint="eastAsia" w:ascii="TimesNewRoman" w:hAnsi="TimesNewRoman" w:eastAsia="仿宋_GB2312" w:cs="TimesNewRoman"/>
          <w:color w:val="000000" w:themeColor="text1"/>
          <w:kern w:val="0"/>
          <w:sz w:val="32"/>
          <w:szCs w:val="32"/>
          <w14:textFill>
            <w14:solidFill>
              <w14:schemeClr w14:val="tx1"/>
            </w14:solidFill>
          </w14:textFill>
        </w:rPr>
      </w:pPr>
      <w:r>
        <w:rPr>
          <w:rFonts w:hint="eastAsia" w:ascii="TimesNewRoman" w:hAnsi="TimesNewRoman" w:eastAsia="仿宋_GB2312" w:cs="TimesNewRoman"/>
          <w:b/>
          <w:color w:val="000000" w:themeColor="text1"/>
          <w:kern w:val="0"/>
          <w:sz w:val="32"/>
          <w:szCs w:val="32"/>
          <w14:textFill>
            <w14:solidFill>
              <w14:schemeClr w14:val="tx1"/>
            </w14:solidFill>
          </w14:textFill>
        </w:rPr>
        <w:t>（二）公用经费</w:t>
      </w:r>
      <w:r>
        <w:rPr>
          <w:rFonts w:hint="eastAsia" w:ascii="TimesNewRoman" w:hAnsi="TimesNewRoman" w:eastAsia="仿宋_GB2312" w:cs="TimesNewRoman"/>
          <w:b/>
          <w:color w:val="000000" w:themeColor="text1"/>
          <w:kern w:val="0"/>
          <w:sz w:val="32"/>
          <w:szCs w:val="32"/>
          <w:lang w:val="en-US" w:eastAsia="zh-CN"/>
          <w14:textFill>
            <w14:solidFill>
              <w14:schemeClr w14:val="tx1"/>
            </w14:solidFill>
          </w14:textFill>
        </w:rPr>
        <w:t>80.18</w:t>
      </w:r>
      <w:r>
        <w:rPr>
          <w:rFonts w:hint="eastAsia" w:ascii="TimesNewRoman" w:hAnsi="TimesNewRoman" w:eastAsia="仿宋_GB2312" w:cs="TimesNewRoman"/>
          <w:b/>
          <w:color w:val="000000" w:themeColor="text1"/>
          <w:kern w:val="0"/>
          <w:sz w:val="32"/>
          <w:szCs w:val="32"/>
          <w14:textFill>
            <w14:solidFill>
              <w14:schemeClr w14:val="tx1"/>
            </w14:solidFill>
          </w14:textFill>
        </w:rPr>
        <w:t>万元，</w:t>
      </w:r>
      <w:r>
        <w:rPr>
          <w:rFonts w:hint="eastAsia" w:ascii="TimesNewRoman" w:hAnsi="TimesNewRoman" w:eastAsia="仿宋_GB2312" w:cs="TimesNewRoman"/>
          <w:color w:val="000000" w:themeColor="text1"/>
          <w:kern w:val="0"/>
          <w:sz w:val="32"/>
          <w:szCs w:val="32"/>
          <w14:textFill>
            <w14:solidFill>
              <w14:schemeClr w14:val="tx1"/>
            </w14:solidFill>
          </w14:textFill>
        </w:rPr>
        <w:t>主要包括：办公费、印刷费、邮电费、差旅费、劳务费、其他交通费用、其他商品服务支出。</w:t>
      </w:r>
    </w:p>
    <w:p w14:paraId="001B53B8">
      <w:pPr>
        <w:pStyle w:val="2"/>
        <w:adjustRightInd w:val="0"/>
        <w:snapToGrid w:val="0"/>
        <w:spacing w:line="560" w:lineRule="exact"/>
        <w:ind w:firstLine="627" w:firstLineChars="196"/>
        <w:rPr>
          <w:rFonts w:hint="eastAsia" w:ascii="TimesNewRoman" w:hAnsi="TimesNewRoman" w:eastAsia="黑体" w:cs="TimesNewRoman"/>
          <w:bCs/>
          <w:color w:val="000000" w:themeColor="text1"/>
          <w:sz w:val="32"/>
          <w:szCs w:val="32"/>
          <w14:textFill>
            <w14:solidFill>
              <w14:schemeClr w14:val="tx1"/>
            </w14:solidFill>
          </w14:textFill>
        </w:rPr>
      </w:pPr>
      <w:r>
        <w:rPr>
          <w:rFonts w:hint="eastAsia" w:ascii="TimesNewRoman" w:hAnsi="TimesNewRoman" w:eastAsia="黑体" w:cs="TimesNewRoman"/>
          <w:bCs/>
          <w:color w:val="000000" w:themeColor="text1"/>
          <w:sz w:val="32"/>
          <w:szCs w:val="32"/>
          <w14:textFill>
            <w14:solidFill>
              <w14:schemeClr w14:val="tx1"/>
            </w14:solidFill>
          </w14:textFill>
        </w:rPr>
        <w:t>七、关于2023年政府性基金预算支出表的说明</w:t>
      </w:r>
    </w:p>
    <w:p w14:paraId="754D8AFA">
      <w:pPr>
        <w:ind w:firstLine="640" w:firstLineChars="200"/>
        <w:rPr>
          <w:rFonts w:hint="eastAsia" w:ascii="TimesNewRoman" w:hAnsi="TimesNewRoman" w:eastAsia="仿宋_GB2312" w:cs="TimesNewRoman"/>
          <w:color w:val="000000" w:themeColor="text1"/>
          <w:kern w:val="0"/>
          <w:sz w:val="32"/>
          <w:szCs w:val="32"/>
          <w14:textFill>
            <w14:solidFill>
              <w14:schemeClr w14:val="tx1"/>
            </w14:solidFill>
          </w14:textFill>
        </w:rPr>
      </w:pPr>
      <w:r>
        <w:rPr>
          <w:rFonts w:hint="eastAsia" w:ascii="TimesNewRoman" w:hAnsi="TimesNewRoman" w:eastAsia="仿宋_GB2312" w:cs="TimesNewRoman"/>
          <w:color w:val="000000" w:themeColor="text1"/>
          <w:kern w:val="0"/>
          <w:sz w:val="32"/>
          <w:szCs w:val="32"/>
          <w:lang w:eastAsia="zh-CN"/>
          <w14:textFill>
            <w14:solidFill>
              <w14:schemeClr w14:val="tx1"/>
            </w14:solidFill>
          </w14:textFill>
        </w:rPr>
        <w:t>淮北市烈山区市场监督管理局本级</w:t>
      </w:r>
      <w:r>
        <w:rPr>
          <w:rFonts w:hint="eastAsia" w:ascii="TimesNewRoman" w:hAnsi="TimesNewRoman" w:eastAsia="仿宋_GB2312" w:cs="TimesNewRoman"/>
          <w:color w:val="000000" w:themeColor="text1"/>
          <w:kern w:val="0"/>
          <w:sz w:val="32"/>
          <w:szCs w:val="32"/>
          <w14:textFill>
            <w14:solidFill>
              <w14:schemeClr w14:val="tx1"/>
            </w14:solidFill>
          </w14:textFill>
        </w:rPr>
        <w:t>2023年没有政府性基金预算拨款收入，也没有使用政府性基金预算拨款安排的支出。</w:t>
      </w:r>
    </w:p>
    <w:p w14:paraId="2C8B248A">
      <w:pPr>
        <w:pStyle w:val="2"/>
        <w:adjustRightInd w:val="0"/>
        <w:snapToGrid w:val="0"/>
        <w:spacing w:line="560" w:lineRule="exact"/>
        <w:ind w:firstLine="627" w:firstLineChars="196"/>
        <w:rPr>
          <w:rFonts w:hint="eastAsia" w:ascii="TimesNewRoman" w:hAnsi="TimesNewRoman" w:eastAsia="黑体" w:cs="TimesNewRoman"/>
          <w:bCs/>
          <w:color w:val="000000" w:themeColor="text1"/>
          <w:sz w:val="32"/>
          <w:szCs w:val="32"/>
          <w14:textFill>
            <w14:solidFill>
              <w14:schemeClr w14:val="tx1"/>
            </w14:solidFill>
          </w14:textFill>
        </w:rPr>
      </w:pPr>
      <w:r>
        <w:rPr>
          <w:rFonts w:hint="eastAsia" w:ascii="TimesNewRoman" w:hAnsi="TimesNewRoman" w:eastAsia="黑体" w:cs="TimesNewRoman"/>
          <w:bCs/>
          <w:color w:val="000000" w:themeColor="text1"/>
          <w:sz w:val="32"/>
          <w:szCs w:val="32"/>
          <w14:textFill>
            <w14:solidFill>
              <w14:schemeClr w14:val="tx1"/>
            </w14:solidFill>
          </w14:textFill>
        </w:rPr>
        <w:t>八、关于2023年国有资本经营预算支出表的说明</w:t>
      </w:r>
    </w:p>
    <w:p w14:paraId="77A72B6E">
      <w:pPr>
        <w:ind w:firstLine="640" w:firstLineChars="200"/>
        <w:rPr>
          <w:rFonts w:hint="eastAsia" w:ascii="TimesNewRoman" w:hAnsi="TimesNewRoman" w:eastAsia="仿宋_GB2312" w:cs="TimesNewRoman"/>
          <w:color w:val="000000" w:themeColor="text1"/>
          <w:kern w:val="0"/>
          <w:sz w:val="32"/>
          <w:szCs w:val="32"/>
          <w14:textFill>
            <w14:solidFill>
              <w14:schemeClr w14:val="tx1"/>
            </w14:solidFill>
          </w14:textFill>
        </w:rPr>
      </w:pPr>
      <w:r>
        <w:rPr>
          <w:rFonts w:hint="eastAsia" w:ascii="TimesNewRoman" w:hAnsi="TimesNewRoman" w:eastAsia="仿宋_GB2312" w:cs="TimesNewRoman"/>
          <w:color w:val="000000" w:themeColor="text1"/>
          <w:kern w:val="0"/>
          <w:sz w:val="32"/>
          <w:szCs w:val="32"/>
          <w:lang w:eastAsia="zh-CN"/>
          <w14:textFill>
            <w14:solidFill>
              <w14:schemeClr w14:val="tx1"/>
            </w14:solidFill>
          </w14:textFill>
        </w:rPr>
        <w:t>淮北市烈山区市场监督管理局本级</w:t>
      </w:r>
      <w:r>
        <w:rPr>
          <w:rFonts w:hint="eastAsia" w:ascii="TimesNewRoman" w:hAnsi="TimesNewRoman" w:eastAsia="仿宋_GB2312" w:cs="TimesNewRoman"/>
          <w:color w:val="000000" w:themeColor="text1"/>
          <w:kern w:val="0"/>
          <w:sz w:val="32"/>
          <w:szCs w:val="32"/>
          <w14:textFill>
            <w14:solidFill>
              <w14:schemeClr w14:val="tx1"/>
            </w14:solidFill>
          </w14:textFill>
        </w:rPr>
        <w:t>2023年没有国有资本经营预算拨款收入，也没有使用国有资本经营预算拨款安排的支出。</w:t>
      </w:r>
    </w:p>
    <w:p w14:paraId="0CBCE229">
      <w:pPr>
        <w:pStyle w:val="2"/>
        <w:adjustRightInd w:val="0"/>
        <w:snapToGrid w:val="0"/>
        <w:spacing w:line="560" w:lineRule="exact"/>
        <w:ind w:firstLine="627" w:firstLineChars="196"/>
        <w:rPr>
          <w:rFonts w:hint="eastAsia" w:ascii="TimesNewRoman" w:hAnsi="TimesNewRoman" w:eastAsia="黑体" w:cs="TimesNewRoman"/>
          <w:bCs/>
          <w:color w:val="000000" w:themeColor="text1"/>
          <w:sz w:val="32"/>
          <w:szCs w:val="32"/>
          <w14:textFill>
            <w14:solidFill>
              <w14:schemeClr w14:val="tx1"/>
            </w14:solidFill>
          </w14:textFill>
        </w:rPr>
      </w:pPr>
      <w:r>
        <w:rPr>
          <w:rFonts w:hint="eastAsia" w:ascii="TimesNewRoman" w:hAnsi="TimesNewRoman" w:eastAsia="黑体" w:cs="TimesNewRoman"/>
          <w:bCs/>
          <w:color w:val="000000" w:themeColor="text1"/>
          <w:sz w:val="32"/>
          <w:szCs w:val="32"/>
          <w14:textFill>
            <w14:solidFill>
              <w14:schemeClr w14:val="tx1"/>
            </w14:solidFill>
          </w14:textFill>
        </w:rPr>
        <w:t>九、关于2023年项目支出表的说明</w:t>
      </w:r>
    </w:p>
    <w:p w14:paraId="4B040BAE">
      <w:pPr>
        <w:ind w:firstLine="640" w:firstLineChars="200"/>
        <w:rPr>
          <w:rFonts w:hint="eastAsia" w:ascii="TimesNewRoman" w:hAnsi="TimesNewRoman" w:eastAsia="仿宋_GB2312" w:cs="TimesNewRoman"/>
          <w:color w:val="000000" w:themeColor="text1"/>
          <w:kern w:val="0"/>
          <w:sz w:val="32"/>
          <w:szCs w:val="32"/>
          <w14:textFill>
            <w14:solidFill>
              <w14:schemeClr w14:val="tx1"/>
            </w14:solidFill>
          </w14:textFill>
        </w:rPr>
      </w:pPr>
      <w:r>
        <w:rPr>
          <w:rFonts w:hint="eastAsia" w:ascii="TimesNewRoman" w:hAnsi="TimesNewRoman" w:eastAsia="仿宋_GB2312" w:cs="TimesNewRoman"/>
          <w:color w:val="000000" w:themeColor="text1"/>
          <w:kern w:val="0"/>
          <w:sz w:val="32"/>
          <w:szCs w:val="32"/>
          <w:lang w:eastAsia="zh-CN"/>
          <w14:textFill>
            <w14:solidFill>
              <w14:schemeClr w14:val="tx1"/>
            </w14:solidFill>
          </w14:textFill>
        </w:rPr>
        <w:t>淮北市烈山区市场监督管理局本级</w:t>
      </w:r>
      <w:r>
        <w:rPr>
          <w:rFonts w:hint="eastAsia" w:ascii="TimesNewRoman" w:hAnsi="TimesNewRoman" w:eastAsia="仿宋_GB2312" w:cs="TimesNewRoman"/>
          <w:color w:val="000000" w:themeColor="text1"/>
          <w:kern w:val="0"/>
          <w:sz w:val="32"/>
          <w:szCs w:val="32"/>
          <w14:textFill>
            <w14:solidFill>
              <w14:schemeClr w14:val="tx1"/>
            </w14:solidFill>
          </w14:textFill>
        </w:rPr>
        <w:t>2023年预算共安排项目支出</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229.3</w:t>
      </w:r>
      <w:r>
        <w:rPr>
          <w:rFonts w:hint="eastAsia" w:ascii="TimesNewRoman" w:hAnsi="TimesNewRoman" w:eastAsia="仿宋_GB2312" w:cs="TimesNewRoman"/>
          <w:color w:val="000000" w:themeColor="text1"/>
          <w:kern w:val="0"/>
          <w:sz w:val="32"/>
          <w:szCs w:val="32"/>
          <w14:textFill>
            <w14:solidFill>
              <w14:schemeClr w14:val="tx1"/>
            </w14:solidFill>
          </w14:textFill>
        </w:rPr>
        <w:t>万元，比2022年预算增加</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114.01</w:t>
      </w:r>
      <w:r>
        <w:rPr>
          <w:rFonts w:hint="eastAsia" w:ascii="TimesNewRoman" w:hAnsi="TimesNewRoman" w:eastAsia="仿宋_GB2312" w:cs="TimesNewRoman"/>
          <w:color w:val="000000" w:themeColor="text1"/>
          <w:kern w:val="0"/>
          <w:sz w:val="32"/>
          <w:szCs w:val="32"/>
          <w14:textFill>
            <w14:solidFill>
              <w14:schemeClr w14:val="tx1"/>
            </w14:solidFill>
          </w14:textFill>
        </w:rPr>
        <w:t>万元，增长</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149.72</w:t>
      </w:r>
      <w:r>
        <w:rPr>
          <w:rFonts w:hint="eastAsia" w:ascii="TimesNewRoman" w:hAnsi="TimesNewRoman" w:eastAsia="仿宋_GB2312" w:cs="TimesNewRoman"/>
          <w:color w:val="000000" w:themeColor="text1"/>
          <w:kern w:val="0"/>
          <w:sz w:val="32"/>
          <w:szCs w:val="32"/>
          <w14:textFill>
            <w14:solidFill>
              <w14:schemeClr w14:val="tx1"/>
            </w14:solidFill>
          </w14:textFill>
        </w:rPr>
        <w:t>%，原因主要是</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增加市场主体管理经费、食品安全监管等项目资金</w:t>
      </w:r>
      <w:r>
        <w:rPr>
          <w:rFonts w:hint="eastAsia" w:ascii="TimesNewRoman" w:hAnsi="TimesNewRoman" w:eastAsia="仿宋_GB2312" w:cs="TimesNewRoman"/>
          <w:color w:val="000000" w:themeColor="text1"/>
          <w:kern w:val="0"/>
          <w:sz w:val="32"/>
          <w:szCs w:val="32"/>
          <w14:textFill>
            <w14:solidFill>
              <w14:schemeClr w14:val="tx1"/>
            </w14:solidFill>
          </w14:textFill>
        </w:rPr>
        <w:t>。主要包括：本年财政拨款安排</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229.3</w:t>
      </w:r>
      <w:r>
        <w:rPr>
          <w:rFonts w:hint="eastAsia" w:ascii="TimesNewRoman" w:hAnsi="TimesNewRoman" w:eastAsia="仿宋_GB2312" w:cs="TimesNewRoman"/>
          <w:color w:val="000000" w:themeColor="text1"/>
          <w:kern w:val="0"/>
          <w:sz w:val="32"/>
          <w:szCs w:val="32"/>
          <w14:textFill>
            <w14:solidFill>
              <w14:schemeClr w14:val="tx1"/>
            </w14:solidFill>
          </w14:textFill>
        </w:rPr>
        <w:t>万元（其中，一般公共预算拨款安排</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229.3</w:t>
      </w:r>
      <w:r>
        <w:rPr>
          <w:rFonts w:hint="eastAsia" w:ascii="TimesNewRoman" w:hAnsi="TimesNewRoman" w:eastAsia="仿宋_GB2312" w:cs="TimesNewRoman"/>
          <w:color w:val="000000" w:themeColor="text1"/>
          <w:kern w:val="0"/>
          <w:sz w:val="32"/>
          <w:szCs w:val="32"/>
          <w14:textFill>
            <w14:solidFill>
              <w14:schemeClr w14:val="tx1"/>
            </w14:solidFill>
          </w14:textFill>
        </w:rPr>
        <w:t>万元，政府性基金预算拨款安排</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0.00</w:t>
      </w:r>
      <w:r>
        <w:rPr>
          <w:rFonts w:hint="eastAsia" w:ascii="TimesNewRoman" w:hAnsi="TimesNewRoman" w:eastAsia="仿宋_GB2312" w:cs="TimesNewRoman"/>
          <w:color w:val="000000" w:themeColor="text1"/>
          <w:kern w:val="0"/>
          <w:sz w:val="32"/>
          <w:szCs w:val="32"/>
          <w14:textFill>
            <w14:solidFill>
              <w14:schemeClr w14:val="tx1"/>
            </w14:solidFill>
          </w14:textFill>
        </w:rPr>
        <w:t>万元），财政专户管理资金安排</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0.00</w:t>
      </w:r>
      <w:r>
        <w:rPr>
          <w:rFonts w:hint="eastAsia" w:ascii="TimesNewRoman" w:hAnsi="TimesNewRoman" w:eastAsia="仿宋_GB2312" w:cs="TimesNewRoman"/>
          <w:color w:val="000000" w:themeColor="text1"/>
          <w:kern w:val="0"/>
          <w:sz w:val="32"/>
          <w:szCs w:val="32"/>
          <w14:textFill>
            <w14:solidFill>
              <w14:schemeClr w14:val="tx1"/>
            </w14:solidFill>
          </w14:textFill>
        </w:rPr>
        <w:t>万元。</w:t>
      </w:r>
    </w:p>
    <w:p w14:paraId="721DD2E6">
      <w:pPr>
        <w:pStyle w:val="2"/>
        <w:adjustRightInd w:val="0"/>
        <w:snapToGrid w:val="0"/>
        <w:spacing w:line="560" w:lineRule="exact"/>
        <w:ind w:firstLine="627" w:firstLineChars="196"/>
        <w:rPr>
          <w:rFonts w:hint="eastAsia" w:ascii="TimesNewRoman" w:hAnsi="TimesNewRoman" w:eastAsia="仿宋_GB2312" w:cs="TimesNewRoman"/>
          <w:color w:val="000000" w:themeColor="text1"/>
          <w:kern w:val="0"/>
          <w:sz w:val="32"/>
          <w:szCs w:val="32"/>
          <w14:textFill>
            <w14:solidFill>
              <w14:schemeClr w14:val="tx1"/>
            </w14:solidFill>
          </w14:textFill>
        </w:rPr>
      </w:pPr>
      <w:r>
        <w:rPr>
          <w:rFonts w:hint="eastAsia" w:ascii="TimesNewRoman" w:hAnsi="TimesNewRoman" w:eastAsia="黑体" w:cs="TimesNewRoman"/>
          <w:bCs/>
          <w:color w:val="000000" w:themeColor="text1"/>
          <w:sz w:val="32"/>
          <w:szCs w:val="32"/>
          <w14:textFill>
            <w14:solidFill>
              <w14:schemeClr w14:val="tx1"/>
            </w14:solidFill>
          </w14:textFill>
        </w:rPr>
        <w:t>十、关于2023年政府采购支出表的说明</w:t>
      </w:r>
    </w:p>
    <w:p w14:paraId="09BB2AC8">
      <w:pPr>
        <w:pStyle w:val="2"/>
        <w:adjustRightInd w:val="0"/>
        <w:snapToGrid w:val="0"/>
        <w:spacing w:line="560" w:lineRule="exact"/>
        <w:ind w:firstLine="627" w:firstLineChars="196"/>
        <w:rPr>
          <w:rFonts w:hint="default" w:ascii="TimesNewRoman" w:hAnsi="TimesNewRoman" w:eastAsia="仿宋_GB2312" w:cs="TimesNewRoman"/>
          <w:color w:val="000000" w:themeColor="text1"/>
          <w:kern w:val="0"/>
          <w:sz w:val="32"/>
          <w:szCs w:val="32"/>
          <w:lang w:val="en-US" w:eastAsia="zh-CN"/>
          <w14:textFill>
            <w14:solidFill>
              <w14:schemeClr w14:val="tx1"/>
            </w14:solidFill>
          </w14:textFill>
        </w:rPr>
      </w:pPr>
      <w:r>
        <w:rPr>
          <w:rFonts w:hint="eastAsia" w:ascii="TimesNewRoman" w:hAnsi="TimesNewRoman" w:eastAsia="仿宋_GB2312" w:cs="TimesNewRoman"/>
          <w:color w:val="000000" w:themeColor="text1"/>
          <w:kern w:val="0"/>
          <w:sz w:val="32"/>
          <w:szCs w:val="32"/>
          <w:lang w:eastAsia="zh-CN"/>
          <w14:textFill>
            <w14:solidFill>
              <w14:schemeClr w14:val="tx1"/>
            </w14:solidFill>
          </w14:textFill>
        </w:rPr>
        <w:t>淮北市烈山区市场监督管理局本级</w:t>
      </w:r>
      <w:r>
        <w:rPr>
          <w:rFonts w:hint="eastAsia" w:ascii="TimesNewRoman" w:hAnsi="TimesNewRoman" w:eastAsia="仿宋_GB2312" w:cs="TimesNewRoman"/>
          <w:color w:val="000000" w:themeColor="text1"/>
          <w:kern w:val="0"/>
          <w:sz w:val="32"/>
          <w:szCs w:val="32"/>
          <w14:textFill>
            <w14:solidFill>
              <w14:schemeClr w14:val="tx1"/>
            </w14:solidFill>
          </w14:textFill>
        </w:rPr>
        <w:t>2023年没有安排政府</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采购支出。</w:t>
      </w:r>
    </w:p>
    <w:p w14:paraId="11214CD8">
      <w:pPr>
        <w:pStyle w:val="2"/>
        <w:adjustRightInd w:val="0"/>
        <w:snapToGrid w:val="0"/>
        <w:spacing w:line="560" w:lineRule="exact"/>
        <w:ind w:firstLine="627" w:firstLineChars="196"/>
        <w:rPr>
          <w:rFonts w:hint="eastAsia" w:ascii="TimesNewRoman" w:hAnsi="TimesNewRoman" w:eastAsia="楷体_GB2312" w:cs="TimesNewRoman"/>
          <w:color w:val="000000" w:themeColor="text1"/>
          <w:sz w:val="32"/>
          <w:szCs w:val="32"/>
          <w14:textFill>
            <w14:solidFill>
              <w14:schemeClr w14:val="tx1"/>
            </w14:solidFill>
          </w14:textFill>
        </w:rPr>
      </w:pPr>
      <w:r>
        <w:rPr>
          <w:rFonts w:hint="eastAsia" w:ascii="TimesNewRoman" w:hAnsi="TimesNewRoman" w:eastAsia="黑体" w:cs="TimesNewRoman"/>
          <w:bCs/>
          <w:color w:val="000000" w:themeColor="text1"/>
          <w:sz w:val="32"/>
          <w:szCs w:val="32"/>
          <w14:textFill>
            <w14:solidFill>
              <w14:schemeClr w14:val="tx1"/>
            </w14:solidFill>
          </w14:textFill>
        </w:rPr>
        <w:t>十一、关于2023年政府购买服务支出表的说明</w:t>
      </w:r>
    </w:p>
    <w:p w14:paraId="05A43243">
      <w:pPr>
        <w:ind w:firstLine="640" w:firstLineChars="200"/>
        <w:rPr>
          <w:rFonts w:hint="eastAsia" w:ascii="TimesNewRoman" w:hAnsi="TimesNewRoman" w:eastAsia="仿宋_GB2312" w:cs="TimesNewRoman"/>
          <w:color w:val="000000" w:themeColor="text1"/>
          <w:kern w:val="0"/>
          <w:sz w:val="32"/>
          <w:szCs w:val="32"/>
          <w14:textFill>
            <w14:solidFill>
              <w14:schemeClr w14:val="tx1"/>
            </w14:solidFill>
          </w14:textFill>
        </w:rPr>
      </w:pPr>
      <w:r>
        <w:rPr>
          <w:rFonts w:hint="eastAsia" w:ascii="TimesNewRoman" w:hAnsi="TimesNewRoman" w:eastAsia="仿宋_GB2312" w:cs="TimesNewRoman"/>
          <w:color w:val="000000" w:themeColor="text1"/>
          <w:kern w:val="0"/>
          <w:sz w:val="32"/>
          <w:szCs w:val="32"/>
          <w:lang w:eastAsia="zh-CN"/>
          <w14:textFill>
            <w14:solidFill>
              <w14:schemeClr w14:val="tx1"/>
            </w14:solidFill>
          </w14:textFill>
        </w:rPr>
        <w:t>淮北市烈山区市场监督管理局本级</w:t>
      </w:r>
      <w:r>
        <w:rPr>
          <w:rFonts w:hint="eastAsia" w:ascii="TimesNewRoman" w:hAnsi="TimesNewRoman" w:eastAsia="仿宋_GB2312" w:cs="TimesNewRoman"/>
          <w:color w:val="000000" w:themeColor="text1"/>
          <w:kern w:val="0"/>
          <w:sz w:val="32"/>
          <w:szCs w:val="32"/>
          <w14:textFill>
            <w14:solidFill>
              <w14:schemeClr w14:val="tx1"/>
            </w14:solidFill>
          </w14:textFill>
        </w:rPr>
        <w:t>2023年没有安排政府购买服务支出。</w:t>
      </w:r>
    </w:p>
    <w:p w14:paraId="70B6940A">
      <w:pPr>
        <w:pStyle w:val="2"/>
        <w:numPr>
          <w:ilvl w:val="0"/>
          <w:numId w:val="1"/>
        </w:numPr>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其他重要事项情况说明</w:t>
      </w:r>
    </w:p>
    <w:p w14:paraId="1D4740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（一）项目及绩效目标情况。</w:t>
      </w:r>
    </w:p>
    <w:p w14:paraId="441363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03"/>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1.“食品</w:t>
      </w:r>
      <w:r>
        <w:rPr>
          <w:rFonts w:hint="eastAsia" w:ascii="仿宋" w:hAnsi="仿宋" w:eastAsia="仿宋" w:cs="仿宋"/>
          <w:b/>
          <w:bCs/>
          <w:i w:val="0"/>
          <w:iCs w:val="0"/>
          <w:caps w:val="0"/>
          <w:color w:val="333333"/>
          <w:spacing w:val="0"/>
          <w:sz w:val="32"/>
          <w:szCs w:val="32"/>
          <w:shd w:val="clear" w:fill="FFFFFF"/>
          <w:lang w:val="en-US" w:eastAsia="zh-CN"/>
        </w:rPr>
        <w:t>安全“四员”专项经费</w:t>
      </w:r>
      <w:r>
        <w:rPr>
          <w:rFonts w:hint="eastAsia" w:ascii="仿宋" w:hAnsi="仿宋" w:eastAsia="仿宋" w:cs="仿宋"/>
          <w:b/>
          <w:bCs/>
          <w:i w:val="0"/>
          <w:iCs w:val="0"/>
          <w:caps w:val="0"/>
          <w:color w:val="333333"/>
          <w:spacing w:val="0"/>
          <w:sz w:val="32"/>
          <w:szCs w:val="32"/>
          <w:shd w:val="clear" w:fill="FFFFFF"/>
        </w:rPr>
        <w:t>”项目。</w:t>
      </w:r>
    </w:p>
    <w:p w14:paraId="33A596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（1）项目概述。为切实保障全区食品药品安全，结合实际，进一步加强食品药品安全工作，完善监管体系，构建长效机制，加强基层食安办组织建设。</w:t>
      </w:r>
    </w:p>
    <w:p w14:paraId="190944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86"/>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（2）立项依据。烈政【2016】77号</w:t>
      </w:r>
    </w:p>
    <w:p w14:paraId="6F78EE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（3）起止时间。</w:t>
      </w:r>
      <w:r>
        <w:rPr>
          <w:rFonts w:hint="eastAsia" w:ascii="仿宋" w:hAnsi="仿宋" w:eastAsia="仿宋" w:cs="仿宋"/>
          <w:i w:val="0"/>
          <w:iCs w:val="0"/>
          <w:caps w:val="0"/>
          <w:color w:val="333333"/>
          <w:spacing w:val="0"/>
          <w:sz w:val="32"/>
          <w:szCs w:val="32"/>
          <w:shd w:val="clear" w:fill="FFFFFF"/>
          <w:lang w:eastAsia="zh-CN"/>
        </w:rPr>
        <w:t>2023</w:t>
      </w:r>
      <w:r>
        <w:rPr>
          <w:rFonts w:hint="eastAsia" w:ascii="仿宋" w:hAnsi="仿宋" w:eastAsia="仿宋" w:cs="仿宋"/>
          <w:i w:val="0"/>
          <w:iCs w:val="0"/>
          <w:caps w:val="0"/>
          <w:color w:val="333333"/>
          <w:spacing w:val="0"/>
          <w:sz w:val="32"/>
          <w:szCs w:val="32"/>
          <w:shd w:val="clear" w:fill="FFFFFF"/>
        </w:rPr>
        <w:t>年</w:t>
      </w:r>
    </w:p>
    <w:p w14:paraId="5554FE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2"/>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（4）项目内容。区政府以全区非在编协管员、信息员、管理员、安全员每人每月</w:t>
      </w:r>
      <w:r>
        <w:rPr>
          <w:rFonts w:hint="eastAsia" w:ascii="仿宋" w:hAnsi="仿宋" w:eastAsia="仿宋" w:cs="仿宋"/>
          <w:i w:val="0"/>
          <w:iCs w:val="0"/>
          <w:caps w:val="0"/>
          <w:color w:val="333333"/>
          <w:spacing w:val="0"/>
          <w:sz w:val="32"/>
          <w:szCs w:val="32"/>
          <w:shd w:val="clear" w:fill="FFFFFF"/>
          <w:lang w:val="en-US" w:eastAsia="zh-CN"/>
        </w:rPr>
        <w:t>200</w:t>
      </w:r>
      <w:r>
        <w:rPr>
          <w:rFonts w:hint="eastAsia" w:ascii="仿宋" w:hAnsi="仿宋" w:eastAsia="仿宋" w:cs="仿宋"/>
          <w:i w:val="0"/>
          <w:iCs w:val="0"/>
          <w:caps w:val="0"/>
          <w:color w:val="333333"/>
          <w:spacing w:val="0"/>
          <w:sz w:val="32"/>
          <w:szCs w:val="32"/>
          <w:shd w:val="clear" w:fill="FFFFFF"/>
        </w:rPr>
        <w:t>元的标准安排工作经费奖补资金。</w:t>
      </w:r>
    </w:p>
    <w:p w14:paraId="184AF2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Times New Roman" w:hAnsi="Times New Roman" w:eastAsia="仿宋" w:cs="Times New Roman"/>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32"/>
          <w:szCs w:val="32"/>
          <w:shd w:val="clear" w:fill="FFFFFF"/>
        </w:rPr>
        <w:t>（5）年度预算安排</w:t>
      </w:r>
      <w:r>
        <w:rPr>
          <w:rFonts w:hint="eastAsia" w:ascii="仿宋" w:hAnsi="仿宋" w:eastAsia="仿宋" w:cs="仿宋"/>
          <w:i w:val="0"/>
          <w:iCs w:val="0"/>
          <w:caps w:val="0"/>
          <w:color w:val="333333"/>
          <w:spacing w:val="0"/>
          <w:sz w:val="32"/>
          <w:szCs w:val="32"/>
          <w:shd w:val="clear" w:fill="FFFFFF"/>
          <w:lang w:val="en-US" w:eastAsia="zh-CN"/>
        </w:rPr>
        <w:t>34.8</w:t>
      </w:r>
      <w:r>
        <w:rPr>
          <w:rFonts w:hint="eastAsia" w:ascii="仿宋" w:hAnsi="仿宋" w:eastAsia="仿宋" w:cs="仿宋"/>
          <w:i w:val="0"/>
          <w:iCs w:val="0"/>
          <w:caps w:val="0"/>
          <w:color w:val="333333"/>
          <w:spacing w:val="0"/>
          <w:sz w:val="32"/>
          <w:szCs w:val="32"/>
          <w:shd w:val="clear" w:fill="FFFFFF"/>
        </w:rPr>
        <w:t>万元</w:t>
      </w:r>
      <w:r>
        <w:rPr>
          <w:rFonts w:hint="eastAsia" w:ascii="仿宋" w:hAnsi="仿宋" w:eastAsia="仿宋" w:cs="仿宋"/>
          <w:i w:val="0"/>
          <w:iCs w:val="0"/>
          <w:caps w:val="0"/>
          <w:color w:val="333333"/>
          <w:spacing w:val="0"/>
          <w:sz w:val="32"/>
          <w:szCs w:val="32"/>
          <w:shd w:val="clear" w:fill="FFFFFF"/>
          <w:lang w:eastAsia="zh-CN"/>
        </w:rPr>
        <w:t>。</w:t>
      </w:r>
    </w:p>
    <w:p w14:paraId="3B3D22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（6）绩效目标和指标。</w:t>
      </w:r>
    </w:p>
    <w:p w14:paraId="4B7C53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 </w:t>
      </w:r>
    </w:p>
    <w:tbl>
      <w:tblPr>
        <w:tblStyle w:val="3"/>
        <w:tblW w:w="88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175"/>
        <w:gridCol w:w="941"/>
        <w:gridCol w:w="679"/>
        <w:gridCol w:w="455"/>
        <w:gridCol w:w="805"/>
        <w:gridCol w:w="1080"/>
        <w:gridCol w:w="720"/>
        <w:gridCol w:w="447"/>
        <w:gridCol w:w="455"/>
        <w:gridCol w:w="455"/>
        <w:gridCol w:w="673"/>
      </w:tblGrid>
      <w:tr w14:paraId="6B22E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885" w:type="dxa"/>
            <w:gridSpan w:val="11"/>
            <w:tcBorders>
              <w:top w:val="single" w:color="DDDDDD" w:sz="6" w:space="0"/>
              <w:left w:val="single" w:color="DDDDDD" w:sz="6" w:space="0"/>
              <w:bottom w:val="single" w:color="DDDDDD" w:sz="6" w:space="0"/>
              <w:right w:val="single" w:color="DDDDDD" w:sz="6" w:space="0"/>
            </w:tcBorders>
            <w:shd w:val="clear" w:color="auto" w:fill="FFFFFF"/>
            <w:noWrap/>
            <w:tcMar>
              <w:left w:w="108" w:type="dxa"/>
              <w:right w:w="108" w:type="dxa"/>
            </w:tcMar>
            <w:vAlign w:val="center"/>
          </w:tcPr>
          <w:p w14:paraId="35B8F9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i w:val="0"/>
                <w:iCs w:val="0"/>
                <w:caps w:val="0"/>
                <w:color w:val="333333"/>
                <w:spacing w:val="0"/>
                <w:sz w:val="28"/>
                <w:szCs w:val="28"/>
              </w:rPr>
              <w:t>项目支出绩效目标申报表</w:t>
            </w:r>
          </w:p>
        </w:tc>
      </w:tr>
      <w:tr w14:paraId="6EC12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9" w:hRule="atLeast"/>
        </w:trPr>
        <w:tc>
          <w:tcPr>
            <w:tcW w:w="8885" w:type="dxa"/>
            <w:gridSpan w:val="11"/>
            <w:tcBorders>
              <w:top w:val="single" w:color="DDDDDD" w:sz="6" w:space="0"/>
              <w:left w:val="single" w:color="DDDDDD" w:sz="6" w:space="0"/>
              <w:bottom w:val="single" w:color="DDDDDD" w:sz="6" w:space="0"/>
              <w:right w:val="single" w:color="DDDDDD" w:sz="6" w:space="0"/>
            </w:tcBorders>
            <w:shd w:val="clear" w:color="auto" w:fill="FFFFFF"/>
            <w:noWrap/>
            <w:tcMar>
              <w:left w:w="108" w:type="dxa"/>
              <w:right w:w="108" w:type="dxa"/>
            </w:tcMar>
            <w:vAlign w:val="center"/>
          </w:tcPr>
          <w:p w14:paraId="6872E2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 xml:space="preserve">（   </w:t>
            </w:r>
            <w:r>
              <w:rPr>
                <w:rFonts w:hint="eastAsia" w:ascii="宋体" w:hAnsi="宋体" w:eastAsia="宋体" w:cs="宋体"/>
                <w:i w:val="0"/>
                <w:iCs w:val="0"/>
                <w:caps w:val="0"/>
                <w:color w:val="333333"/>
                <w:spacing w:val="0"/>
                <w:sz w:val="22"/>
                <w:szCs w:val="22"/>
                <w:lang w:eastAsia="zh-CN"/>
              </w:rPr>
              <w:t>2023</w:t>
            </w:r>
            <w:r>
              <w:rPr>
                <w:rFonts w:hint="eastAsia" w:ascii="宋体" w:hAnsi="宋体" w:eastAsia="宋体" w:cs="宋体"/>
                <w:i w:val="0"/>
                <w:iCs w:val="0"/>
                <w:caps w:val="0"/>
                <w:color w:val="333333"/>
                <w:spacing w:val="0"/>
                <w:sz w:val="22"/>
                <w:szCs w:val="22"/>
              </w:rPr>
              <w:t>  年度）</w:t>
            </w:r>
          </w:p>
        </w:tc>
      </w:tr>
      <w:tr w14:paraId="25A31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2175" w:type="dxa"/>
            <w:tcBorders>
              <w:top w:val="single" w:color="DDDDDD" w:sz="6" w:space="0"/>
              <w:left w:val="single" w:color="DDDDDD" w:sz="6" w:space="0"/>
              <w:bottom w:val="single" w:color="DDDDDD" w:sz="6" w:space="0"/>
              <w:right w:val="single" w:color="DDDDDD" w:sz="6" w:space="0"/>
            </w:tcBorders>
            <w:shd w:val="clear" w:color="auto" w:fill="FFFFFF"/>
            <w:noWrap/>
            <w:tcMar>
              <w:left w:w="108" w:type="dxa"/>
              <w:right w:w="108" w:type="dxa"/>
            </w:tcMar>
            <w:vAlign w:val="center"/>
          </w:tcPr>
          <w:p w14:paraId="77F8D2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填报单位：烈山区市场监督管理局</w:t>
            </w:r>
          </w:p>
        </w:tc>
        <w:tc>
          <w:tcPr>
            <w:tcW w:w="941" w:type="dxa"/>
            <w:tcBorders>
              <w:top w:val="single" w:color="DDDDDD" w:sz="6" w:space="0"/>
              <w:left w:val="single" w:color="DDDDDD" w:sz="6" w:space="0"/>
              <w:bottom w:val="single" w:color="DDDDDD" w:sz="6" w:space="0"/>
              <w:right w:val="single" w:color="DDDDDD" w:sz="6" w:space="0"/>
            </w:tcBorders>
            <w:shd w:val="clear" w:color="auto" w:fill="FFFFFF"/>
            <w:noWrap/>
            <w:tcMar>
              <w:left w:w="108" w:type="dxa"/>
              <w:right w:w="108" w:type="dxa"/>
            </w:tcMar>
            <w:vAlign w:val="center"/>
          </w:tcPr>
          <w:p w14:paraId="78E32A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 </w:t>
            </w:r>
          </w:p>
        </w:tc>
        <w:tc>
          <w:tcPr>
            <w:tcW w:w="679" w:type="dxa"/>
            <w:tcBorders>
              <w:top w:val="single" w:color="DDDDDD" w:sz="6" w:space="0"/>
              <w:left w:val="single" w:color="DDDDDD" w:sz="6" w:space="0"/>
              <w:bottom w:val="single" w:color="DDDDDD" w:sz="6" w:space="0"/>
              <w:right w:val="single" w:color="DDDDDD" w:sz="6" w:space="0"/>
            </w:tcBorders>
            <w:shd w:val="clear" w:color="auto" w:fill="FFFFFF"/>
            <w:noWrap/>
            <w:tcMar>
              <w:left w:w="108" w:type="dxa"/>
              <w:right w:w="108" w:type="dxa"/>
            </w:tcMar>
            <w:vAlign w:val="center"/>
          </w:tcPr>
          <w:p w14:paraId="33488A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 </w:t>
            </w:r>
          </w:p>
        </w:tc>
        <w:tc>
          <w:tcPr>
            <w:tcW w:w="455" w:type="dxa"/>
            <w:tcBorders>
              <w:top w:val="single" w:color="DDDDDD" w:sz="6" w:space="0"/>
              <w:left w:val="single" w:color="DDDDDD" w:sz="6" w:space="0"/>
              <w:bottom w:val="single" w:color="DDDDDD" w:sz="6" w:space="0"/>
              <w:right w:val="single" w:color="DDDDDD" w:sz="6" w:space="0"/>
            </w:tcBorders>
            <w:shd w:val="clear" w:color="auto" w:fill="FFFFFF"/>
            <w:noWrap/>
            <w:tcMar>
              <w:left w:w="108" w:type="dxa"/>
              <w:right w:w="108" w:type="dxa"/>
            </w:tcMar>
            <w:vAlign w:val="center"/>
          </w:tcPr>
          <w:p w14:paraId="2FF9E4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 </w:t>
            </w:r>
          </w:p>
        </w:tc>
        <w:tc>
          <w:tcPr>
            <w:tcW w:w="805" w:type="dxa"/>
            <w:tcBorders>
              <w:top w:val="single" w:color="DDDDDD" w:sz="6" w:space="0"/>
              <w:left w:val="single" w:color="DDDDDD" w:sz="6" w:space="0"/>
              <w:bottom w:val="single" w:color="DDDDDD" w:sz="6" w:space="0"/>
              <w:right w:val="single" w:color="DDDDDD" w:sz="6" w:space="0"/>
            </w:tcBorders>
            <w:shd w:val="clear" w:color="auto" w:fill="FFFFFF"/>
            <w:noWrap/>
            <w:tcMar>
              <w:left w:w="108" w:type="dxa"/>
              <w:right w:w="108" w:type="dxa"/>
            </w:tcMar>
            <w:vAlign w:val="center"/>
          </w:tcPr>
          <w:p w14:paraId="244EBE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 </w:t>
            </w:r>
          </w:p>
        </w:tc>
        <w:tc>
          <w:tcPr>
            <w:tcW w:w="1080" w:type="dxa"/>
            <w:tcBorders>
              <w:top w:val="single" w:color="DDDDDD" w:sz="6" w:space="0"/>
              <w:left w:val="single" w:color="DDDDDD" w:sz="6" w:space="0"/>
              <w:bottom w:val="single" w:color="DDDDDD" w:sz="6" w:space="0"/>
              <w:right w:val="single" w:color="DDDDDD" w:sz="6" w:space="0"/>
            </w:tcBorders>
            <w:shd w:val="clear" w:color="auto" w:fill="FFFFFF"/>
            <w:noWrap/>
            <w:tcMar>
              <w:left w:w="108" w:type="dxa"/>
              <w:right w:w="108" w:type="dxa"/>
            </w:tcMar>
            <w:vAlign w:val="center"/>
          </w:tcPr>
          <w:p w14:paraId="3C97C5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 </w:t>
            </w:r>
          </w:p>
        </w:tc>
        <w:tc>
          <w:tcPr>
            <w:tcW w:w="720" w:type="dxa"/>
            <w:tcBorders>
              <w:top w:val="single" w:color="DDDDDD" w:sz="6" w:space="0"/>
              <w:left w:val="single" w:color="DDDDDD" w:sz="6" w:space="0"/>
              <w:bottom w:val="single" w:color="DDDDDD" w:sz="6" w:space="0"/>
              <w:right w:val="single" w:color="DDDDDD" w:sz="6" w:space="0"/>
            </w:tcBorders>
            <w:shd w:val="clear" w:color="auto" w:fill="FFFFFF"/>
            <w:noWrap/>
            <w:tcMar>
              <w:left w:w="108" w:type="dxa"/>
              <w:right w:w="108" w:type="dxa"/>
            </w:tcMar>
            <w:vAlign w:val="center"/>
          </w:tcPr>
          <w:p w14:paraId="5A4B04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 </w:t>
            </w:r>
          </w:p>
        </w:tc>
        <w:tc>
          <w:tcPr>
            <w:tcW w:w="447" w:type="dxa"/>
            <w:tcBorders>
              <w:top w:val="single" w:color="DDDDDD" w:sz="6" w:space="0"/>
              <w:left w:val="single" w:color="DDDDDD" w:sz="6" w:space="0"/>
              <w:bottom w:val="single" w:color="DDDDDD" w:sz="6" w:space="0"/>
              <w:right w:val="single" w:color="DDDDDD" w:sz="6" w:space="0"/>
            </w:tcBorders>
            <w:shd w:val="clear" w:color="auto" w:fill="FFFFFF"/>
            <w:noWrap/>
            <w:tcMar>
              <w:left w:w="108" w:type="dxa"/>
              <w:right w:w="108" w:type="dxa"/>
            </w:tcMar>
            <w:vAlign w:val="center"/>
          </w:tcPr>
          <w:p w14:paraId="27B40E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 </w:t>
            </w:r>
          </w:p>
        </w:tc>
        <w:tc>
          <w:tcPr>
            <w:tcW w:w="455" w:type="dxa"/>
            <w:tcBorders>
              <w:top w:val="single" w:color="DDDDDD" w:sz="6" w:space="0"/>
              <w:left w:val="single" w:color="DDDDDD" w:sz="6" w:space="0"/>
              <w:bottom w:val="single" w:color="DDDDDD" w:sz="6" w:space="0"/>
              <w:right w:val="single" w:color="DDDDDD" w:sz="6" w:space="0"/>
            </w:tcBorders>
            <w:shd w:val="clear" w:color="auto" w:fill="FFFFFF"/>
            <w:noWrap/>
            <w:tcMar>
              <w:left w:w="108" w:type="dxa"/>
              <w:right w:w="108" w:type="dxa"/>
            </w:tcMar>
            <w:vAlign w:val="center"/>
          </w:tcPr>
          <w:p w14:paraId="67085D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 </w:t>
            </w:r>
          </w:p>
        </w:tc>
        <w:tc>
          <w:tcPr>
            <w:tcW w:w="455" w:type="dxa"/>
            <w:tcBorders>
              <w:top w:val="single" w:color="DDDDDD" w:sz="6" w:space="0"/>
              <w:left w:val="single" w:color="DDDDDD" w:sz="6" w:space="0"/>
              <w:bottom w:val="single" w:color="DDDDDD" w:sz="6" w:space="0"/>
              <w:right w:val="single" w:color="DDDDDD" w:sz="6" w:space="0"/>
            </w:tcBorders>
            <w:shd w:val="clear" w:color="auto" w:fill="FFFFFF"/>
            <w:noWrap/>
            <w:tcMar>
              <w:left w:w="108" w:type="dxa"/>
              <w:right w:w="108" w:type="dxa"/>
            </w:tcMar>
            <w:vAlign w:val="center"/>
          </w:tcPr>
          <w:p w14:paraId="16912D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 </w:t>
            </w:r>
          </w:p>
        </w:tc>
        <w:tc>
          <w:tcPr>
            <w:tcW w:w="673" w:type="dxa"/>
            <w:tcBorders>
              <w:top w:val="single" w:color="DDDDDD" w:sz="6" w:space="0"/>
              <w:left w:val="single" w:color="DDDDDD" w:sz="6" w:space="0"/>
              <w:bottom w:val="single" w:color="DDDDDD" w:sz="6" w:space="0"/>
              <w:right w:val="single" w:color="DDDDDD" w:sz="6" w:space="0"/>
            </w:tcBorders>
            <w:shd w:val="clear" w:color="auto" w:fill="FFFFFF"/>
            <w:noWrap/>
            <w:tcMar>
              <w:left w:w="108" w:type="dxa"/>
              <w:right w:w="108" w:type="dxa"/>
            </w:tcMar>
            <w:vAlign w:val="center"/>
          </w:tcPr>
          <w:p w14:paraId="2C0001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 </w:t>
            </w:r>
          </w:p>
        </w:tc>
      </w:tr>
      <w:tr w14:paraId="11DD2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175" w:type="dxa"/>
            <w:tcBorders>
              <w:top w:val="single" w:color="auto" w:sz="8" w:space="0"/>
              <w:left w:val="single" w:color="auto" w:sz="8" w:space="0"/>
              <w:bottom w:val="single" w:color="auto" w:sz="8" w:space="0"/>
              <w:right w:val="nil"/>
            </w:tcBorders>
            <w:shd w:val="clear" w:color="auto" w:fill="FFFFFF"/>
            <w:noWrap/>
            <w:tcMar>
              <w:left w:w="108" w:type="dxa"/>
              <w:right w:w="108" w:type="dxa"/>
            </w:tcMar>
            <w:vAlign w:val="center"/>
          </w:tcPr>
          <w:p w14:paraId="3433F5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项目名称</w:t>
            </w:r>
          </w:p>
        </w:tc>
        <w:tc>
          <w:tcPr>
            <w:tcW w:w="2880" w:type="dxa"/>
            <w:gridSpan w:val="4"/>
            <w:tcBorders>
              <w:top w:val="single" w:color="auto" w:sz="8" w:space="0"/>
              <w:left w:val="single" w:color="auto" w:sz="8" w:space="0"/>
              <w:bottom w:val="nil"/>
              <w:right w:val="single" w:color="auto" w:sz="8" w:space="0"/>
            </w:tcBorders>
            <w:shd w:val="clear" w:color="auto" w:fill="CCCCFF"/>
            <w:noWrap/>
            <w:tcMar>
              <w:left w:w="108" w:type="dxa"/>
              <w:right w:w="108" w:type="dxa"/>
            </w:tcMar>
            <w:vAlign w:val="center"/>
          </w:tcPr>
          <w:p w14:paraId="631174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食品药品安全“四员”经费</w:t>
            </w:r>
          </w:p>
        </w:tc>
        <w:tc>
          <w:tcPr>
            <w:tcW w:w="1800" w:type="dxa"/>
            <w:gridSpan w:val="2"/>
            <w:tcBorders>
              <w:top w:val="single" w:color="auto" w:sz="8" w:space="0"/>
              <w:left w:val="nil"/>
              <w:bottom w:val="nil"/>
              <w:right w:val="single" w:color="auto" w:sz="8" w:space="0"/>
            </w:tcBorders>
            <w:shd w:val="clear" w:color="auto" w:fill="FFFFFF"/>
            <w:noWrap/>
            <w:tcMar>
              <w:left w:w="108" w:type="dxa"/>
              <w:right w:w="108" w:type="dxa"/>
            </w:tcMar>
            <w:vAlign w:val="center"/>
          </w:tcPr>
          <w:p w14:paraId="68EB40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项目属性</w:t>
            </w:r>
          </w:p>
        </w:tc>
        <w:tc>
          <w:tcPr>
            <w:tcW w:w="2030" w:type="dxa"/>
            <w:gridSpan w:val="4"/>
            <w:tcBorders>
              <w:top w:val="single" w:color="auto" w:sz="8" w:space="0"/>
              <w:left w:val="nil"/>
              <w:bottom w:val="nil"/>
              <w:right w:val="single" w:color="auto" w:sz="8" w:space="0"/>
            </w:tcBorders>
            <w:shd w:val="clear" w:color="auto" w:fill="CCCCFF"/>
            <w:noWrap/>
            <w:tcMar>
              <w:left w:w="108" w:type="dxa"/>
              <w:right w:w="108" w:type="dxa"/>
            </w:tcMar>
            <w:vAlign w:val="center"/>
          </w:tcPr>
          <w:p w14:paraId="56658F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经常性项目</w:t>
            </w:r>
          </w:p>
        </w:tc>
      </w:tr>
      <w:tr w14:paraId="36C72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175" w:type="dxa"/>
            <w:tcBorders>
              <w:top w:val="nil"/>
              <w:left w:val="single" w:color="auto" w:sz="8" w:space="0"/>
              <w:bottom w:val="single" w:color="auto" w:sz="8" w:space="0"/>
              <w:right w:val="nil"/>
            </w:tcBorders>
            <w:shd w:val="clear" w:color="auto" w:fill="FFFFFF"/>
            <w:noWrap/>
            <w:tcMar>
              <w:left w:w="108" w:type="dxa"/>
              <w:right w:w="108" w:type="dxa"/>
            </w:tcMar>
            <w:vAlign w:val="center"/>
          </w:tcPr>
          <w:p w14:paraId="6CEE9E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主管部门</w:t>
            </w:r>
          </w:p>
        </w:tc>
        <w:tc>
          <w:tcPr>
            <w:tcW w:w="2880" w:type="dxa"/>
            <w:gridSpan w:val="4"/>
            <w:tcBorders>
              <w:top w:val="single" w:color="auto" w:sz="8" w:space="0"/>
              <w:left w:val="single" w:color="auto" w:sz="8" w:space="0"/>
              <w:bottom w:val="single" w:color="auto" w:sz="8" w:space="0"/>
              <w:right w:val="nil"/>
            </w:tcBorders>
            <w:shd w:val="clear" w:color="auto" w:fill="CCCCFF"/>
            <w:noWrap/>
            <w:tcMar>
              <w:left w:w="108" w:type="dxa"/>
              <w:right w:w="108" w:type="dxa"/>
            </w:tcMar>
            <w:vAlign w:val="center"/>
          </w:tcPr>
          <w:p w14:paraId="3F0B13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 </w:t>
            </w:r>
          </w:p>
        </w:tc>
        <w:tc>
          <w:tcPr>
            <w:tcW w:w="1800" w:type="dxa"/>
            <w:gridSpan w:val="2"/>
            <w:tcBorders>
              <w:top w:val="single" w:color="auto" w:sz="8" w:space="0"/>
              <w:left w:val="single" w:color="auto" w:sz="8" w:space="0"/>
              <w:bottom w:val="single" w:color="auto" w:sz="8" w:space="0"/>
              <w:right w:val="nil"/>
            </w:tcBorders>
            <w:shd w:val="clear" w:color="auto" w:fill="FFFFFF"/>
            <w:noWrap/>
            <w:tcMar>
              <w:left w:w="108" w:type="dxa"/>
              <w:right w:w="108" w:type="dxa"/>
            </w:tcMar>
            <w:vAlign w:val="center"/>
          </w:tcPr>
          <w:p w14:paraId="732E91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功能科目</w:t>
            </w:r>
          </w:p>
        </w:tc>
        <w:tc>
          <w:tcPr>
            <w:tcW w:w="2030" w:type="dxa"/>
            <w:gridSpan w:val="4"/>
            <w:tcBorders>
              <w:top w:val="single" w:color="auto" w:sz="8" w:space="0"/>
              <w:left w:val="single" w:color="auto" w:sz="8" w:space="0"/>
              <w:bottom w:val="single" w:color="auto" w:sz="8" w:space="0"/>
              <w:right w:val="single" w:color="auto" w:sz="8" w:space="0"/>
            </w:tcBorders>
            <w:shd w:val="clear" w:color="auto" w:fill="CCCCFF"/>
            <w:tcMar>
              <w:left w:w="108" w:type="dxa"/>
              <w:right w:w="108" w:type="dxa"/>
            </w:tcMar>
            <w:vAlign w:val="center"/>
          </w:tcPr>
          <w:p w14:paraId="1A2D3E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2013899</w:t>
            </w:r>
          </w:p>
        </w:tc>
      </w:tr>
      <w:tr w14:paraId="09AE3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175" w:type="dxa"/>
            <w:tcBorders>
              <w:top w:val="nil"/>
              <w:left w:val="single" w:color="auto" w:sz="8" w:space="0"/>
              <w:bottom w:val="single" w:color="auto" w:sz="8" w:space="0"/>
              <w:right w:val="nil"/>
            </w:tcBorders>
            <w:shd w:val="clear" w:color="auto" w:fill="FFFFFF"/>
            <w:noWrap/>
            <w:tcMar>
              <w:left w:w="108" w:type="dxa"/>
              <w:right w:w="108" w:type="dxa"/>
            </w:tcMar>
            <w:vAlign w:val="center"/>
          </w:tcPr>
          <w:p w14:paraId="7D3099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项目起止时间</w:t>
            </w:r>
          </w:p>
        </w:tc>
        <w:tc>
          <w:tcPr>
            <w:tcW w:w="2880" w:type="dxa"/>
            <w:gridSpan w:val="4"/>
            <w:tcBorders>
              <w:top w:val="nil"/>
              <w:left w:val="single" w:color="auto" w:sz="8" w:space="0"/>
              <w:bottom w:val="single" w:color="auto" w:sz="8" w:space="0"/>
              <w:right w:val="nil"/>
            </w:tcBorders>
            <w:shd w:val="clear" w:color="auto" w:fill="CCCCFF"/>
            <w:noWrap/>
            <w:tcMar>
              <w:left w:w="108" w:type="dxa"/>
              <w:right w:w="108" w:type="dxa"/>
            </w:tcMar>
            <w:vAlign w:val="center"/>
          </w:tcPr>
          <w:p w14:paraId="070E6F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lang w:eastAsia="zh-CN"/>
              </w:rPr>
              <w:t>2023</w:t>
            </w:r>
            <w:r>
              <w:rPr>
                <w:rFonts w:hint="eastAsia" w:ascii="宋体" w:hAnsi="宋体" w:eastAsia="宋体" w:cs="宋体"/>
                <w:i w:val="0"/>
                <w:iCs w:val="0"/>
                <w:caps w:val="0"/>
                <w:color w:val="333333"/>
                <w:spacing w:val="0"/>
                <w:sz w:val="22"/>
                <w:szCs w:val="22"/>
              </w:rPr>
              <w:t>.1-</w:t>
            </w:r>
            <w:r>
              <w:rPr>
                <w:rFonts w:hint="eastAsia" w:ascii="宋体" w:hAnsi="宋体" w:eastAsia="宋体" w:cs="宋体"/>
                <w:i w:val="0"/>
                <w:iCs w:val="0"/>
                <w:caps w:val="0"/>
                <w:color w:val="333333"/>
                <w:spacing w:val="0"/>
                <w:sz w:val="22"/>
                <w:szCs w:val="22"/>
                <w:lang w:eastAsia="zh-CN"/>
              </w:rPr>
              <w:t>2023</w:t>
            </w:r>
            <w:r>
              <w:rPr>
                <w:rFonts w:hint="eastAsia" w:ascii="宋体" w:hAnsi="宋体" w:eastAsia="宋体" w:cs="宋体"/>
                <w:i w:val="0"/>
                <w:iCs w:val="0"/>
                <w:caps w:val="0"/>
                <w:color w:val="333333"/>
                <w:spacing w:val="0"/>
                <w:sz w:val="22"/>
                <w:szCs w:val="22"/>
              </w:rPr>
              <w:t>.12</w:t>
            </w:r>
          </w:p>
        </w:tc>
        <w:tc>
          <w:tcPr>
            <w:tcW w:w="1800" w:type="dxa"/>
            <w:gridSpan w:val="2"/>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084B2C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项目资金属性</w:t>
            </w:r>
          </w:p>
        </w:tc>
        <w:tc>
          <w:tcPr>
            <w:tcW w:w="2030" w:type="dxa"/>
            <w:gridSpan w:val="4"/>
            <w:tcBorders>
              <w:top w:val="nil"/>
              <w:left w:val="nil"/>
              <w:bottom w:val="single" w:color="auto" w:sz="8" w:space="0"/>
              <w:right w:val="single" w:color="auto" w:sz="8" w:space="0"/>
            </w:tcBorders>
            <w:shd w:val="clear" w:color="auto" w:fill="CCCCFF"/>
            <w:noWrap/>
            <w:tcMar>
              <w:left w:w="108" w:type="dxa"/>
              <w:right w:w="108" w:type="dxa"/>
            </w:tcMar>
            <w:vAlign w:val="center"/>
          </w:tcPr>
          <w:p w14:paraId="15E96D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一般预算</w:t>
            </w:r>
          </w:p>
        </w:tc>
      </w:tr>
      <w:tr w14:paraId="4E995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175" w:type="dxa"/>
            <w:tcBorders>
              <w:top w:val="nil"/>
              <w:left w:val="single" w:color="auto" w:sz="8" w:space="0"/>
              <w:bottom w:val="nil"/>
              <w:right w:val="nil"/>
            </w:tcBorders>
            <w:shd w:val="clear" w:color="auto" w:fill="FFFFFF"/>
            <w:noWrap/>
            <w:tcMar>
              <w:left w:w="108" w:type="dxa"/>
              <w:right w:w="108" w:type="dxa"/>
            </w:tcMar>
            <w:vAlign w:val="center"/>
          </w:tcPr>
          <w:p w14:paraId="1CF0CD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项目分类</w:t>
            </w:r>
          </w:p>
        </w:tc>
        <w:tc>
          <w:tcPr>
            <w:tcW w:w="2880" w:type="dxa"/>
            <w:gridSpan w:val="4"/>
            <w:tcBorders>
              <w:top w:val="nil"/>
              <w:left w:val="single" w:color="auto" w:sz="8" w:space="0"/>
              <w:bottom w:val="single" w:color="auto" w:sz="8" w:space="0"/>
              <w:right w:val="nil"/>
            </w:tcBorders>
            <w:shd w:val="clear" w:color="auto" w:fill="CCCCFF"/>
            <w:noWrap/>
            <w:tcMar>
              <w:left w:w="108" w:type="dxa"/>
              <w:right w:w="108" w:type="dxa"/>
            </w:tcMar>
            <w:vAlign w:val="center"/>
          </w:tcPr>
          <w:p w14:paraId="7D419F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 </w:t>
            </w:r>
          </w:p>
        </w:tc>
        <w:tc>
          <w:tcPr>
            <w:tcW w:w="1800" w:type="dxa"/>
            <w:gridSpan w:val="2"/>
            <w:tcBorders>
              <w:top w:val="nil"/>
              <w:left w:val="single" w:color="auto" w:sz="8" w:space="0"/>
              <w:bottom w:val="single" w:color="auto" w:sz="8" w:space="0"/>
              <w:right w:val="single" w:color="000000" w:sz="8" w:space="0"/>
            </w:tcBorders>
            <w:shd w:val="clear" w:color="auto" w:fill="FFFFFF"/>
            <w:noWrap/>
            <w:tcMar>
              <w:left w:w="108" w:type="dxa"/>
              <w:right w:w="108" w:type="dxa"/>
            </w:tcMar>
            <w:vAlign w:val="center"/>
          </w:tcPr>
          <w:p w14:paraId="1D69D7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项目级次</w:t>
            </w:r>
          </w:p>
        </w:tc>
        <w:tc>
          <w:tcPr>
            <w:tcW w:w="2030" w:type="dxa"/>
            <w:gridSpan w:val="4"/>
            <w:tcBorders>
              <w:top w:val="nil"/>
              <w:left w:val="nil"/>
              <w:bottom w:val="single" w:color="auto" w:sz="8" w:space="0"/>
              <w:right w:val="single" w:color="auto" w:sz="8" w:space="0"/>
            </w:tcBorders>
            <w:shd w:val="clear" w:color="auto" w:fill="CCCCFF"/>
            <w:noWrap/>
            <w:tcMar>
              <w:left w:w="108" w:type="dxa"/>
              <w:right w:w="108" w:type="dxa"/>
            </w:tcMar>
            <w:vAlign w:val="center"/>
          </w:tcPr>
          <w:p w14:paraId="6F260D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 </w:t>
            </w:r>
          </w:p>
        </w:tc>
      </w:tr>
      <w:tr w14:paraId="1E61B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175" w:type="dxa"/>
            <w:tcBorders>
              <w:top w:val="single" w:color="auto" w:sz="8" w:space="0"/>
              <w:left w:val="single" w:color="auto" w:sz="8" w:space="0"/>
              <w:bottom w:val="single" w:color="auto" w:sz="8" w:space="0"/>
              <w:right w:val="nil"/>
            </w:tcBorders>
            <w:shd w:val="clear" w:color="auto" w:fill="FFFFFF"/>
            <w:noWrap/>
            <w:tcMar>
              <w:left w:w="108" w:type="dxa"/>
              <w:right w:w="108" w:type="dxa"/>
            </w:tcMar>
            <w:vAlign w:val="center"/>
          </w:tcPr>
          <w:p w14:paraId="436B3B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项目实施单位</w:t>
            </w:r>
          </w:p>
        </w:tc>
        <w:tc>
          <w:tcPr>
            <w:tcW w:w="2880" w:type="dxa"/>
            <w:gridSpan w:val="4"/>
            <w:tcBorders>
              <w:top w:val="nil"/>
              <w:left w:val="single" w:color="auto" w:sz="8" w:space="0"/>
              <w:bottom w:val="single" w:color="auto" w:sz="8" w:space="0"/>
              <w:right w:val="single" w:color="auto" w:sz="8" w:space="0"/>
            </w:tcBorders>
            <w:shd w:val="clear" w:color="auto" w:fill="CCCCFF"/>
            <w:noWrap/>
            <w:tcMar>
              <w:left w:w="108" w:type="dxa"/>
              <w:right w:w="108" w:type="dxa"/>
            </w:tcMar>
            <w:vAlign w:val="center"/>
          </w:tcPr>
          <w:p w14:paraId="24BE84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18"/>
                <w:szCs w:val="18"/>
              </w:rPr>
              <w:t>烈山区市场局</w:t>
            </w:r>
          </w:p>
        </w:tc>
        <w:tc>
          <w:tcPr>
            <w:tcW w:w="1800" w:type="dxa"/>
            <w:gridSpan w:val="2"/>
            <w:tcBorders>
              <w:top w:val="nil"/>
              <w:left w:val="nil"/>
              <w:bottom w:val="single" w:color="auto" w:sz="8" w:space="0"/>
              <w:right w:val="single" w:color="auto" w:sz="8" w:space="0"/>
            </w:tcBorders>
            <w:shd w:val="clear" w:color="auto" w:fill="FFFFFF"/>
            <w:noWrap/>
            <w:tcMar>
              <w:left w:w="108" w:type="dxa"/>
              <w:right w:w="108" w:type="dxa"/>
            </w:tcMar>
            <w:vAlign w:val="center"/>
          </w:tcPr>
          <w:p w14:paraId="789394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项目负责人</w:t>
            </w:r>
          </w:p>
        </w:tc>
        <w:tc>
          <w:tcPr>
            <w:tcW w:w="2030" w:type="dxa"/>
            <w:gridSpan w:val="4"/>
            <w:tcBorders>
              <w:top w:val="nil"/>
              <w:left w:val="nil"/>
              <w:bottom w:val="nil"/>
              <w:right w:val="single" w:color="auto" w:sz="8" w:space="0"/>
            </w:tcBorders>
            <w:shd w:val="clear" w:color="auto" w:fill="CCCCFF"/>
            <w:noWrap/>
            <w:tcMar>
              <w:left w:w="108" w:type="dxa"/>
              <w:right w:w="108" w:type="dxa"/>
            </w:tcMar>
            <w:vAlign w:val="center"/>
          </w:tcPr>
          <w:p w14:paraId="2BE8F9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cs="Times New Roman" w:eastAsiaTheme="minorEastAsia"/>
                <w:sz w:val="21"/>
                <w:szCs w:val="21"/>
                <w:lang w:eastAsia="zh-CN"/>
              </w:rPr>
            </w:pPr>
            <w:r>
              <w:rPr>
                <w:rFonts w:hint="eastAsia" w:ascii="宋体" w:hAnsi="宋体" w:eastAsia="宋体" w:cs="宋体"/>
                <w:i w:val="0"/>
                <w:iCs w:val="0"/>
                <w:caps w:val="0"/>
                <w:color w:val="333333"/>
                <w:spacing w:val="0"/>
                <w:sz w:val="18"/>
                <w:szCs w:val="18"/>
                <w:lang w:val="en-US" w:eastAsia="zh-CN"/>
              </w:rPr>
              <w:t>孙超</w:t>
            </w:r>
          </w:p>
        </w:tc>
      </w:tr>
      <w:tr w14:paraId="0EF18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175" w:type="dxa"/>
            <w:tcBorders>
              <w:top w:val="nil"/>
              <w:left w:val="single" w:color="auto" w:sz="8" w:space="0"/>
              <w:bottom w:val="nil"/>
              <w:right w:val="single" w:color="auto" w:sz="8" w:space="0"/>
            </w:tcBorders>
            <w:shd w:val="clear" w:color="auto" w:fill="FFFFFF"/>
            <w:noWrap/>
            <w:tcMar>
              <w:left w:w="108" w:type="dxa"/>
              <w:right w:w="108" w:type="dxa"/>
            </w:tcMar>
            <w:vAlign w:val="center"/>
          </w:tcPr>
          <w:p w14:paraId="680609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联系电话</w:t>
            </w:r>
          </w:p>
        </w:tc>
        <w:tc>
          <w:tcPr>
            <w:tcW w:w="2880" w:type="dxa"/>
            <w:gridSpan w:val="4"/>
            <w:tcBorders>
              <w:top w:val="single" w:color="DDDDDD" w:sz="6" w:space="0"/>
              <w:left w:val="single" w:color="DDDDDD" w:sz="6" w:space="0"/>
              <w:bottom w:val="single" w:color="DDDDDD" w:sz="6" w:space="0"/>
              <w:right w:val="single" w:color="DDDDDD" w:sz="6" w:space="0"/>
            </w:tcBorders>
            <w:shd w:val="clear" w:color="auto" w:fill="FFFFFF"/>
            <w:noWrap/>
            <w:tcMar>
              <w:left w:w="108" w:type="dxa"/>
              <w:right w:w="108" w:type="dxa"/>
            </w:tcMar>
            <w:vAlign w:val="center"/>
          </w:tcPr>
          <w:p w14:paraId="302EFE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18"/>
                <w:szCs w:val="18"/>
              </w:rPr>
              <w:t>4661315</w:t>
            </w:r>
          </w:p>
        </w:tc>
        <w:tc>
          <w:tcPr>
            <w:tcW w:w="1800" w:type="dxa"/>
            <w:gridSpan w:val="2"/>
            <w:tcBorders>
              <w:top w:val="nil"/>
              <w:left w:val="single" w:color="auto" w:sz="8" w:space="0"/>
              <w:bottom w:val="single" w:color="auto" w:sz="8" w:space="0"/>
              <w:right w:val="single" w:color="000000" w:sz="8" w:space="0"/>
            </w:tcBorders>
            <w:shd w:val="clear" w:color="auto" w:fill="FFFFFF"/>
            <w:noWrap/>
            <w:tcMar>
              <w:left w:w="108" w:type="dxa"/>
              <w:right w:w="108" w:type="dxa"/>
            </w:tcMar>
            <w:vAlign w:val="center"/>
          </w:tcPr>
          <w:p w14:paraId="5ACCFC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项目实施时限</w:t>
            </w:r>
          </w:p>
        </w:tc>
        <w:tc>
          <w:tcPr>
            <w:tcW w:w="2030" w:type="dxa"/>
            <w:gridSpan w:val="4"/>
            <w:tcBorders>
              <w:top w:val="single" w:color="auto" w:sz="8" w:space="0"/>
              <w:left w:val="nil"/>
              <w:bottom w:val="nil"/>
              <w:right w:val="single" w:color="auto" w:sz="8" w:space="0"/>
            </w:tcBorders>
            <w:shd w:val="clear" w:color="auto" w:fill="CCCCFF"/>
            <w:noWrap/>
            <w:tcMar>
              <w:left w:w="108" w:type="dxa"/>
              <w:right w:w="108" w:type="dxa"/>
            </w:tcMar>
            <w:vAlign w:val="center"/>
          </w:tcPr>
          <w:p w14:paraId="0709F4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18"/>
                <w:szCs w:val="18"/>
              </w:rPr>
              <w:t> </w:t>
            </w:r>
          </w:p>
        </w:tc>
      </w:tr>
      <w:tr w14:paraId="274D0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3" w:hRule="atLeast"/>
        </w:trPr>
        <w:tc>
          <w:tcPr>
            <w:tcW w:w="2175" w:type="dxa"/>
            <w:tcBorders>
              <w:top w:val="single" w:color="auto" w:sz="8" w:space="0"/>
              <w:left w:val="single" w:color="auto" w:sz="8" w:space="0"/>
              <w:bottom w:val="nil"/>
              <w:right w:val="nil"/>
            </w:tcBorders>
            <w:shd w:val="clear" w:color="auto" w:fill="FFFFFF"/>
            <w:tcMar>
              <w:left w:w="108" w:type="dxa"/>
              <w:right w:w="108" w:type="dxa"/>
            </w:tcMar>
            <w:vAlign w:val="center"/>
          </w:tcPr>
          <w:p w14:paraId="7565E2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项目实施单位职能概述</w:t>
            </w:r>
          </w:p>
        </w:tc>
        <w:tc>
          <w:tcPr>
            <w:tcW w:w="6710" w:type="dxa"/>
            <w:gridSpan w:val="10"/>
            <w:tcBorders>
              <w:top w:val="single" w:color="auto" w:sz="8" w:space="0"/>
              <w:left w:val="single" w:color="auto" w:sz="8" w:space="0"/>
              <w:bottom w:val="single" w:color="auto" w:sz="8" w:space="0"/>
              <w:right w:val="single" w:color="auto" w:sz="8" w:space="0"/>
            </w:tcBorders>
            <w:shd w:val="clear" w:color="auto" w:fill="CCCCFF"/>
            <w:tcMar>
              <w:left w:w="108" w:type="dxa"/>
              <w:right w:w="108" w:type="dxa"/>
            </w:tcMar>
            <w:vAlign w:val="center"/>
          </w:tcPr>
          <w:p w14:paraId="0AF0E9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ascii="微软雅黑" w:hAnsi="微软雅黑" w:eastAsia="微软雅黑" w:cs="微软雅黑"/>
                <w:i w:val="0"/>
                <w:iCs w:val="0"/>
                <w:caps w:val="0"/>
                <w:color w:val="333333"/>
                <w:spacing w:val="0"/>
                <w:sz w:val="18"/>
                <w:szCs w:val="18"/>
              </w:rPr>
              <w:t>建立覆盖食品生产、流通、消费全过程的监督检查制度和隐患排查治理机制并组织实施，防范区域性、系统性食品安全风险。</w:t>
            </w:r>
          </w:p>
        </w:tc>
      </w:tr>
      <w:tr w14:paraId="7FE4B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7" w:hRule="atLeast"/>
        </w:trPr>
        <w:tc>
          <w:tcPr>
            <w:tcW w:w="2175" w:type="dxa"/>
            <w:tcBorders>
              <w:top w:val="single" w:color="auto" w:sz="8" w:space="0"/>
              <w:left w:val="single" w:color="auto" w:sz="8" w:space="0"/>
              <w:bottom w:val="single" w:color="auto" w:sz="8" w:space="0"/>
              <w:right w:val="nil"/>
            </w:tcBorders>
            <w:shd w:val="clear" w:color="auto" w:fill="FFFFFF"/>
            <w:noWrap/>
            <w:tcMar>
              <w:left w:w="108" w:type="dxa"/>
              <w:right w:w="108" w:type="dxa"/>
            </w:tcMar>
            <w:vAlign w:val="center"/>
          </w:tcPr>
          <w:p w14:paraId="43A16A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项目概况</w:t>
            </w:r>
          </w:p>
        </w:tc>
        <w:tc>
          <w:tcPr>
            <w:tcW w:w="6710" w:type="dxa"/>
            <w:gridSpan w:val="10"/>
            <w:tcBorders>
              <w:top w:val="nil"/>
              <w:left w:val="single" w:color="auto" w:sz="8" w:space="0"/>
              <w:bottom w:val="single" w:color="auto" w:sz="8" w:space="0"/>
              <w:right w:val="single" w:color="auto" w:sz="8" w:space="0"/>
            </w:tcBorders>
            <w:shd w:val="clear" w:color="auto" w:fill="CCCCFF"/>
            <w:tcMar>
              <w:left w:w="108" w:type="dxa"/>
              <w:right w:w="108" w:type="dxa"/>
            </w:tcMar>
            <w:vAlign w:val="center"/>
          </w:tcPr>
          <w:p w14:paraId="2BE0A0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1"/>
                <w:szCs w:val="21"/>
              </w:rPr>
              <w:t>为切实保障全区食品药品安全，结合实际，进一步加强食品药品安全工作，完善监管体系，构建长效机制，加强基层食安办组织建设。</w:t>
            </w:r>
          </w:p>
        </w:tc>
      </w:tr>
      <w:tr w14:paraId="79FB5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2175" w:type="dxa"/>
            <w:tcBorders>
              <w:top w:val="nil"/>
              <w:left w:val="single" w:color="auto" w:sz="8" w:space="0"/>
              <w:bottom w:val="single" w:color="auto" w:sz="8" w:space="0"/>
              <w:right w:val="nil"/>
            </w:tcBorders>
            <w:shd w:val="clear" w:color="auto" w:fill="FFFFFF"/>
            <w:noWrap/>
            <w:tcMar>
              <w:left w:w="108" w:type="dxa"/>
              <w:right w:w="108" w:type="dxa"/>
            </w:tcMar>
            <w:vAlign w:val="center"/>
          </w:tcPr>
          <w:p w14:paraId="15ACF0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项目立项依据类型</w:t>
            </w:r>
          </w:p>
        </w:tc>
        <w:tc>
          <w:tcPr>
            <w:tcW w:w="6710" w:type="dxa"/>
            <w:gridSpan w:val="10"/>
            <w:tcBorders>
              <w:top w:val="nil"/>
              <w:left w:val="single" w:color="auto" w:sz="8" w:space="0"/>
              <w:bottom w:val="single" w:color="auto" w:sz="8" w:space="0"/>
              <w:right w:val="single" w:color="auto" w:sz="8" w:space="0"/>
            </w:tcBorders>
            <w:shd w:val="clear" w:color="auto" w:fill="CCCCFF"/>
            <w:noWrap/>
            <w:tcMar>
              <w:left w:w="108" w:type="dxa"/>
              <w:right w:w="108" w:type="dxa"/>
            </w:tcMar>
            <w:vAlign w:val="center"/>
          </w:tcPr>
          <w:p w14:paraId="4B15E3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淮北市烈山区人民政府文件</w:t>
            </w:r>
          </w:p>
        </w:tc>
      </w:tr>
      <w:tr w14:paraId="0D35E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9" w:hRule="atLeast"/>
        </w:trPr>
        <w:tc>
          <w:tcPr>
            <w:tcW w:w="2175" w:type="dxa"/>
            <w:tcBorders>
              <w:top w:val="nil"/>
              <w:left w:val="single" w:color="auto" w:sz="8" w:space="0"/>
              <w:bottom w:val="single" w:color="auto" w:sz="8" w:space="0"/>
              <w:right w:val="nil"/>
            </w:tcBorders>
            <w:shd w:val="clear" w:color="auto" w:fill="FFFFFF"/>
            <w:noWrap/>
            <w:tcMar>
              <w:left w:w="108" w:type="dxa"/>
              <w:right w:w="108" w:type="dxa"/>
            </w:tcMar>
            <w:vAlign w:val="center"/>
          </w:tcPr>
          <w:p w14:paraId="2D0DEB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项目立项依据</w:t>
            </w:r>
          </w:p>
        </w:tc>
        <w:tc>
          <w:tcPr>
            <w:tcW w:w="6710" w:type="dxa"/>
            <w:gridSpan w:val="10"/>
            <w:tcBorders>
              <w:top w:val="nil"/>
              <w:left w:val="single" w:color="auto" w:sz="8" w:space="0"/>
              <w:bottom w:val="single" w:color="auto" w:sz="8" w:space="0"/>
              <w:right w:val="single" w:color="auto" w:sz="8" w:space="0"/>
            </w:tcBorders>
            <w:shd w:val="clear" w:color="auto" w:fill="CCCCFF"/>
            <w:tcMar>
              <w:left w:w="108" w:type="dxa"/>
              <w:right w:w="108" w:type="dxa"/>
            </w:tcMar>
            <w:vAlign w:val="center"/>
          </w:tcPr>
          <w:p w14:paraId="75CBE6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1"/>
                <w:szCs w:val="21"/>
              </w:rPr>
              <w:t>烈政【2016】77号</w:t>
            </w:r>
          </w:p>
        </w:tc>
      </w:tr>
      <w:tr w14:paraId="0A370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8" w:hRule="atLeast"/>
        </w:trPr>
        <w:tc>
          <w:tcPr>
            <w:tcW w:w="2175" w:type="dxa"/>
            <w:tcBorders>
              <w:top w:val="nil"/>
              <w:left w:val="single" w:color="auto" w:sz="8" w:space="0"/>
              <w:bottom w:val="single" w:color="auto" w:sz="8" w:space="0"/>
              <w:right w:val="nil"/>
            </w:tcBorders>
            <w:shd w:val="clear" w:color="auto" w:fill="FFFFFF"/>
            <w:tcMar>
              <w:left w:w="108" w:type="dxa"/>
              <w:right w:w="108" w:type="dxa"/>
            </w:tcMar>
            <w:vAlign w:val="center"/>
          </w:tcPr>
          <w:p w14:paraId="47091D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项目实施可行性必要性</w:t>
            </w:r>
          </w:p>
        </w:tc>
        <w:tc>
          <w:tcPr>
            <w:tcW w:w="6710" w:type="dxa"/>
            <w:gridSpan w:val="10"/>
            <w:tcBorders>
              <w:top w:val="nil"/>
              <w:left w:val="single" w:color="auto" w:sz="8" w:space="0"/>
              <w:bottom w:val="single" w:color="auto" w:sz="8" w:space="0"/>
              <w:right w:val="single" w:color="auto" w:sz="8" w:space="0"/>
            </w:tcBorders>
            <w:shd w:val="clear" w:color="auto" w:fill="CCCCFF"/>
            <w:tcMar>
              <w:left w:w="108" w:type="dxa"/>
              <w:right w:w="108" w:type="dxa"/>
            </w:tcMar>
            <w:vAlign w:val="center"/>
          </w:tcPr>
          <w:p w14:paraId="29FEF5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为切实保障全区食品药品安全，根据《中华人民共和国食品安全法》和《中华人民共和国药品管理法》等法律法规规定，结合实际，进一步加强食品药品安全工作，全面落实基层“四员”制度。</w:t>
            </w:r>
          </w:p>
        </w:tc>
      </w:tr>
      <w:tr w14:paraId="51553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2175" w:type="dxa"/>
            <w:vMerge w:val="restar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32A35B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项目绩效目标概述</w:t>
            </w:r>
          </w:p>
        </w:tc>
        <w:tc>
          <w:tcPr>
            <w:tcW w:w="3960" w:type="dxa"/>
            <w:gridSpan w:val="5"/>
            <w:tcBorders>
              <w:top w:val="nil"/>
              <w:left w:val="nil"/>
              <w:bottom w:val="nil"/>
              <w:right w:val="single" w:color="auto" w:sz="8" w:space="0"/>
            </w:tcBorders>
            <w:shd w:val="clear" w:color="auto" w:fill="FFFFFF"/>
            <w:noWrap/>
            <w:tcMar>
              <w:left w:w="108" w:type="dxa"/>
              <w:right w:w="108" w:type="dxa"/>
            </w:tcMar>
            <w:vAlign w:val="center"/>
          </w:tcPr>
          <w:p w14:paraId="6D2022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i w:val="0"/>
                <w:iCs w:val="0"/>
                <w:caps w:val="0"/>
                <w:color w:val="333333"/>
                <w:spacing w:val="0"/>
                <w:sz w:val="22"/>
                <w:szCs w:val="22"/>
              </w:rPr>
              <w:t>总体目标</w:t>
            </w:r>
          </w:p>
        </w:tc>
        <w:tc>
          <w:tcPr>
            <w:tcW w:w="2750" w:type="dxa"/>
            <w:gridSpan w:val="5"/>
            <w:tcBorders>
              <w:top w:val="nil"/>
              <w:left w:val="nil"/>
              <w:bottom w:val="nil"/>
              <w:right w:val="single" w:color="auto" w:sz="8" w:space="0"/>
            </w:tcBorders>
            <w:shd w:val="clear" w:color="auto" w:fill="FFFFFF"/>
            <w:noWrap/>
            <w:tcMar>
              <w:left w:w="108" w:type="dxa"/>
              <w:right w:w="108" w:type="dxa"/>
            </w:tcMar>
            <w:vAlign w:val="center"/>
          </w:tcPr>
          <w:p w14:paraId="15A302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i w:val="0"/>
                <w:iCs w:val="0"/>
                <w:caps w:val="0"/>
                <w:color w:val="333333"/>
                <w:spacing w:val="0"/>
                <w:sz w:val="22"/>
                <w:szCs w:val="22"/>
              </w:rPr>
              <w:t>年度目标</w:t>
            </w:r>
          </w:p>
        </w:tc>
      </w:tr>
      <w:tr w14:paraId="39BB2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2175"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21925C2B">
            <w:pPr>
              <w:jc w:val="both"/>
              <w:rPr>
                <w:rFonts w:hint="eastAsia" w:ascii="宋体" w:hAnsi="宋体" w:eastAsia="宋体" w:cs="宋体"/>
                <w:i w:val="0"/>
                <w:iCs w:val="0"/>
                <w:caps w:val="0"/>
                <w:color w:val="333333"/>
                <w:spacing w:val="0"/>
                <w:sz w:val="24"/>
                <w:szCs w:val="24"/>
              </w:rPr>
            </w:pPr>
          </w:p>
        </w:tc>
        <w:tc>
          <w:tcPr>
            <w:tcW w:w="3960" w:type="dxa"/>
            <w:gridSpan w:val="5"/>
            <w:tcBorders>
              <w:top w:val="single" w:color="auto" w:sz="8" w:space="0"/>
              <w:left w:val="nil"/>
              <w:bottom w:val="nil"/>
              <w:right w:val="single" w:color="auto" w:sz="8" w:space="0"/>
            </w:tcBorders>
            <w:shd w:val="clear" w:color="auto" w:fill="CCCCFF"/>
            <w:tcMar>
              <w:left w:w="108" w:type="dxa"/>
              <w:right w:w="108" w:type="dxa"/>
            </w:tcMar>
            <w:vAlign w:val="center"/>
          </w:tcPr>
          <w:p w14:paraId="642269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保障食品药品安全工作顺利开展</w:t>
            </w:r>
          </w:p>
        </w:tc>
        <w:tc>
          <w:tcPr>
            <w:tcW w:w="2750" w:type="dxa"/>
            <w:gridSpan w:val="5"/>
            <w:tcBorders>
              <w:top w:val="single" w:color="auto" w:sz="8" w:space="0"/>
              <w:left w:val="nil"/>
              <w:bottom w:val="single" w:color="auto" w:sz="8" w:space="0"/>
              <w:right w:val="single" w:color="auto" w:sz="8" w:space="0"/>
            </w:tcBorders>
            <w:shd w:val="clear" w:color="auto" w:fill="CCCCFF"/>
            <w:tcMar>
              <w:left w:w="108" w:type="dxa"/>
              <w:right w:w="108" w:type="dxa"/>
            </w:tcMar>
            <w:vAlign w:val="center"/>
          </w:tcPr>
          <w:p w14:paraId="3796C9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进一步加强食品药品安全工作</w:t>
            </w:r>
          </w:p>
        </w:tc>
      </w:tr>
      <w:tr w14:paraId="19D83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2175" w:type="dxa"/>
            <w:tcBorders>
              <w:top w:val="nil"/>
              <w:left w:val="single" w:color="auto" w:sz="8" w:space="0"/>
              <w:bottom w:val="single" w:color="auto" w:sz="8" w:space="0"/>
              <w:right w:val="nil"/>
            </w:tcBorders>
            <w:shd w:val="clear" w:color="auto" w:fill="FFFFFF"/>
            <w:noWrap/>
            <w:tcMar>
              <w:left w:w="108" w:type="dxa"/>
              <w:right w:w="108" w:type="dxa"/>
            </w:tcMar>
            <w:vAlign w:val="center"/>
          </w:tcPr>
          <w:p w14:paraId="66A22D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   项目完成数量</w:t>
            </w:r>
          </w:p>
        </w:tc>
        <w:tc>
          <w:tcPr>
            <w:tcW w:w="3960" w:type="dxa"/>
            <w:gridSpan w:val="5"/>
            <w:tcBorders>
              <w:top w:val="single" w:color="auto" w:sz="8" w:space="0"/>
              <w:left w:val="single" w:color="auto" w:sz="8" w:space="0"/>
              <w:bottom w:val="nil"/>
              <w:right w:val="single" w:color="auto" w:sz="8" w:space="0"/>
            </w:tcBorders>
            <w:shd w:val="clear" w:color="auto" w:fill="CCCCFF"/>
            <w:tcMar>
              <w:left w:w="108" w:type="dxa"/>
              <w:right w:w="108" w:type="dxa"/>
            </w:tcMar>
            <w:vAlign w:val="center"/>
          </w:tcPr>
          <w:p w14:paraId="209F42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lang w:val="en-US" w:eastAsia="zh-CN"/>
              </w:rPr>
              <w:t>34.8</w:t>
            </w:r>
            <w:r>
              <w:rPr>
                <w:rFonts w:hint="eastAsia" w:ascii="宋体" w:hAnsi="宋体" w:eastAsia="宋体" w:cs="宋体"/>
                <w:i w:val="0"/>
                <w:iCs w:val="0"/>
                <w:caps w:val="0"/>
                <w:color w:val="333333"/>
                <w:spacing w:val="0"/>
                <w:sz w:val="22"/>
                <w:szCs w:val="22"/>
              </w:rPr>
              <w:t>万</w:t>
            </w:r>
          </w:p>
        </w:tc>
        <w:tc>
          <w:tcPr>
            <w:tcW w:w="2750" w:type="dxa"/>
            <w:gridSpan w:val="5"/>
            <w:tcBorders>
              <w:top w:val="nil"/>
              <w:left w:val="nil"/>
              <w:bottom w:val="single" w:color="auto" w:sz="8" w:space="0"/>
              <w:right w:val="single" w:color="auto" w:sz="8" w:space="0"/>
            </w:tcBorders>
            <w:shd w:val="clear" w:color="auto" w:fill="CCCCFF"/>
            <w:tcMar>
              <w:left w:w="108" w:type="dxa"/>
              <w:right w:w="108" w:type="dxa"/>
            </w:tcMar>
            <w:vAlign w:val="center"/>
          </w:tcPr>
          <w:p w14:paraId="0D6BBB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lang w:val="en-US" w:eastAsia="zh-CN"/>
              </w:rPr>
              <w:t>34.8</w:t>
            </w:r>
            <w:r>
              <w:rPr>
                <w:rFonts w:hint="eastAsia" w:ascii="宋体" w:hAnsi="宋体" w:eastAsia="宋体" w:cs="宋体"/>
                <w:i w:val="0"/>
                <w:iCs w:val="0"/>
                <w:caps w:val="0"/>
                <w:color w:val="333333"/>
                <w:spacing w:val="0"/>
                <w:sz w:val="22"/>
                <w:szCs w:val="22"/>
              </w:rPr>
              <w:t>万</w:t>
            </w:r>
          </w:p>
        </w:tc>
      </w:tr>
      <w:tr w14:paraId="3C86F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2175" w:type="dxa"/>
            <w:tcBorders>
              <w:top w:val="nil"/>
              <w:left w:val="single" w:color="auto" w:sz="8" w:space="0"/>
              <w:bottom w:val="single" w:color="auto" w:sz="8" w:space="0"/>
              <w:right w:val="nil"/>
            </w:tcBorders>
            <w:shd w:val="clear" w:color="auto" w:fill="FFFFFF"/>
            <w:noWrap/>
            <w:tcMar>
              <w:left w:w="108" w:type="dxa"/>
              <w:right w:w="108" w:type="dxa"/>
            </w:tcMar>
            <w:vAlign w:val="center"/>
          </w:tcPr>
          <w:p w14:paraId="2226B6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   项目实施进度</w:t>
            </w:r>
          </w:p>
        </w:tc>
        <w:tc>
          <w:tcPr>
            <w:tcW w:w="3960" w:type="dxa"/>
            <w:gridSpan w:val="5"/>
            <w:tcBorders>
              <w:top w:val="single" w:color="auto" w:sz="8" w:space="0"/>
              <w:left w:val="single" w:color="auto" w:sz="8" w:space="0"/>
              <w:bottom w:val="nil"/>
              <w:right w:val="single" w:color="auto" w:sz="8" w:space="0"/>
            </w:tcBorders>
            <w:shd w:val="clear" w:color="auto" w:fill="CCCCFF"/>
            <w:tcMar>
              <w:left w:w="108" w:type="dxa"/>
              <w:right w:w="108" w:type="dxa"/>
            </w:tcMar>
            <w:vAlign w:val="center"/>
          </w:tcPr>
          <w:p w14:paraId="3E1245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年末结转不超过10%</w:t>
            </w:r>
          </w:p>
        </w:tc>
        <w:tc>
          <w:tcPr>
            <w:tcW w:w="2750" w:type="dxa"/>
            <w:gridSpan w:val="5"/>
            <w:tcBorders>
              <w:top w:val="nil"/>
              <w:left w:val="nil"/>
              <w:bottom w:val="single" w:color="auto" w:sz="8" w:space="0"/>
              <w:right w:val="single" w:color="auto" w:sz="8" w:space="0"/>
            </w:tcBorders>
            <w:shd w:val="clear" w:color="auto" w:fill="CCCCFF"/>
            <w:tcMar>
              <w:left w:w="108" w:type="dxa"/>
              <w:right w:w="108" w:type="dxa"/>
            </w:tcMar>
            <w:vAlign w:val="center"/>
          </w:tcPr>
          <w:p w14:paraId="76855D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年末结转不超过10%</w:t>
            </w:r>
          </w:p>
        </w:tc>
      </w:tr>
      <w:tr w14:paraId="7EA09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2175" w:type="dxa"/>
            <w:tcBorders>
              <w:top w:val="nil"/>
              <w:left w:val="single" w:color="auto" w:sz="8" w:space="0"/>
              <w:bottom w:val="single" w:color="auto" w:sz="8" w:space="0"/>
              <w:right w:val="nil"/>
            </w:tcBorders>
            <w:shd w:val="clear" w:color="auto" w:fill="FFFFFF"/>
            <w:noWrap/>
            <w:tcMar>
              <w:left w:w="108" w:type="dxa"/>
              <w:right w:w="108" w:type="dxa"/>
            </w:tcMar>
            <w:vAlign w:val="center"/>
          </w:tcPr>
          <w:p w14:paraId="04DD6C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   项目完成质量</w:t>
            </w:r>
          </w:p>
        </w:tc>
        <w:tc>
          <w:tcPr>
            <w:tcW w:w="3960" w:type="dxa"/>
            <w:gridSpan w:val="5"/>
            <w:tcBorders>
              <w:top w:val="single" w:color="auto" w:sz="8" w:space="0"/>
              <w:left w:val="single" w:color="auto" w:sz="8" w:space="0"/>
              <w:bottom w:val="nil"/>
              <w:right w:val="single" w:color="auto" w:sz="8" w:space="0"/>
            </w:tcBorders>
            <w:shd w:val="clear" w:color="auto" w:fill="CCCCFF"/>
            <w:tcMar>
              <w:left w:w="108" w:type="dxa"/>
              <w:right w:w="108" w:type="dxa"/>
            </w:tcMar>
            <w:vAlign w:val="center"/>
          </w:tcPr>
          <w:p w14:paraId="74AC74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专款专用</w:t>
            </w:r>
          </w:p>
        </w:tc>
        <w:tc>
          <w:tcPr>
            <w:tcW w:w="2750" w:type="dxa"/>
            <w:gridSpan w:val="5"/>
            <w:tcBorders>
              <w:top w:val="nil"/>
              <w:left w:val="nil"/>
              <w:bottom w:val="single" w:color="auto" w:sz="8" w:space="0"/>
              <w:right w:val="single" w:color="auto" w:sz="8" w:space="0"/>
            </w:tcBorders>
            <w:shd w:val="clear" w:color="auto" w:fill="CCCCFF"/>
            <w:tcMar>
              <w:left w:w="108" w:type="dxa"/>
              <w:right w:w="108" w:type="dxa"/>
            </w:tcMar>
            <w:vAlign w:val="center"/>
          </w:tcPr>
          <w:p w14:paraId="530372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保障食品药品安全工作开展</w:t>
            </w:r>
          </w:p>
        </w:tc>
      </w:tr>
      <w:tr w14:paraId="0DC53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2175" w:type="dxa"/>
            <w:tcBorders>
              <w:top w:val="nil"/>
              <w:left w:val="single" w:color="auto" w:sz="8" w:space="0"/>
              <w:bottom w:val="single" w:color="auto" w:sz="8" w:space="0"/>
              <w:right w:val="nil"/>
            </w:tcBorders>
            <w:shd w:val="clear" w:color="auto" w:fill="FFFFFF"/>
            <w:noWrap/>
            <w:tcMar>
              <w:left w:w="108" w:type="dxa"/>
              <w:right w:w="108" w:type="dxa"/>
            </w:tcMar>
            <w:vAlign w:val="center"/>
          </w:tcPr>
          <w:p w14:paraId="238D95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   项目金额测算</w:t>
            </w:r>
          </w:p>
        </w:tc>
        <w:tc>
          <w:tcPr>
            <w:tcW w:w="3960" w:type="dxa"/>
            <w:gridSpan w:val="5"/>
            <w:tcBorders>
              <w:top w:val="single" w:color="auto" w:sz="8" w:space="0"/>
              <w:left w:val="single" w:color="auto" w:sz="8" w:space="0"/>
              <w:bottom w:val="nil"/>
              <w:right w:val="single" w:color="auto" w:sz="8" w:space="0"/>
            </w:tcBorders>
            <w:shd w:val="clear" w:color="auto" w:fill="CCCCFF"/>
            <w:tcMar>
              <w:left w:w="108" w:type="dxa"/>
              <w:right w:w="108" w:type="dxa"/>
            </w:tcMar>
            <w:vAlign w:val="center"/>
          </w:tcPr>
          <w:p w14:paraId="53E071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lang w:val="en-US" w:eastAsia="zh-CN"/>
              </w:rPr>
              <w:t>34.8</w:t>
            </w:r>
            <w:r>
              <w:rPr>
                <w:rFonts w:hint="eastAsia" w:ascii="宋体" w:hAnsi="宋体" w:eastAsia="宋体" w:cs="宋体"/>
                <w:i w:val="0"/>
                <w:iCs w:val="0"/>
                <w:caps w:val="0"/>
                <w:color w:val="333333"/>
                <w:spacing w:val="0"/>
                <w:sz w:val="22"/>
                <w:szCs w:val="22"/>
              </w:rPr>
              <w:t>万</w:t>
            </w:r>
          </w:p>
        </w:tc>
        <w:tc>
          <w:tcPr>
            <w:tcW w:w="2750" w:type="dxa"/>
            <w:gridSpan w:val="5"/>
            <w:tcBorders>
              <w:top w:val="nil"/>
              <w:left w:val="nil"/>
              <w:bottom w:val="single" w:color="auto" w:sz="8" w:space="0"/>
              <w:right w:val="single" w:color="auto" w:sz="8" w:space="0"/>
            </w:tcBorders>
            <w:shd w:val="clear" w:color="auto" w:fill="CCCCFF"/>
            <w:tcMar>
              <w:left w:w="108" w:type="dxa"/>
              <w:right w:w="108" w:type="dxa"/>
            </w:tcMar>
            <w:vAlign w:val="center"/>
          </w:tcPr>
          <w:p w14:paraId="7F72CE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lang w:val="en-US" w:eastAsia="zh-CN"/>
              </w:rPr>
              <w:t>34.8</w:t>
            </w:r>
            <w:r>
              <w:rPr>
                <w:rFonts w:hint="eastAsia" w:ascii="宋体" w:hAnsi="宋体" w:eastAsia="宋体" w:cs="宋体"/>
                <w:i w:val="0"/>
                <w:iCs w:val="0"/>
                <w:caps w:val="0"/>
                <w:color w:val="333333"/>
                <w:spacing w:val="0"/>
                <w:sz w:val="22"/>
                <w:szCs w:val="22"/>
              </w:rPr>
              <w:t>万</w:t>
            </w:r>
          </w:p>
        </w:tc>
      </w:tr>
      <w:tr w14:paraId="2E3EA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2175" w:type="dxa"/>
            <w:tcBorders>
              <w:top w:val="nil"/>
              <w:left w:val="single" w:color="auto" w:sz="8" w:space="0"/>
              <w:bottom w:val="single" w:color="auto" w:sz="8" w:space="0"/>
              <w:right w:val="nil"/>
            </w:tcBorders>
            <w:shd w:val="clear" w:color="auto" w:fill="FFFFFF"/>
            <w:noWrap/>
            <w:tcMar>
              <w:left w:w="108" w:type="dxa"/>
              <w:right w:w="108" w:type="dxa"/>
            </w:tcMar>
            <w:vAlign w:val="center"/>
          </w:tcPr>
          <w:p w14:paraId="166E1C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   项目预计效益</w:t>
            </w:r>
          </w:p>
        </w:tc>
        <w:tc>
          <w:tcPr>
            <w:tcW w:w="3960" w:type="dxa"/>
            <w:gridSpan w:val="5"/>
            <w:tcBorders>
              <w:top w:val="single" w:color="auto" w:sz="8" w:space="0"/>
              <w:left w:val="single" w:color="auto" w:sz="8" w:space="0"/>
              <w:bottom w:val="nil"/>
              <w:right w:val="single" w:color="auto" w:sz="8" w:space="0"/>
            </w:tcBorders>
            <w:shd w:val="clear" w:color="auto" w:fill="CCCCFF"/>
            <w:tcMar>
              <w:left w:w="108" w:type="dxa"/>
              <w:right w:w="108" w:type="dxa"/>
            </w:tcMar>
            <w:vAlign w:val="center"/>
          </w:tcPr>
          <w:p w14:paraId="5800DB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保障食品药品安全工作顺利开展</w:t>
            </w:r>
          </w:p>
        </w:tc>
        <w:tc>
          <w:tcPr>
            <w:tcW w:w="2750" w:type="dxa"/>
            <w:gridSpan w:val="5"/>
            <w:tcBorders>
              <w:top w:val="nil"/>
              <w:left w:val="nil"/>
              <w:bottom w:val="single" w:color="auto" w:sz="8" w:space="0"/>
              <w:right w:val="single" w:color="auto" w:sz="8" w:space="0"/>
            </w:tcBorders>
            <w:shd w:val="clear" w:color="auto" w:fill="CCCCFF"/>
            <w:tcMar>
              <w:left w:w="108" w:type="dxa"/>
              <w:right w:w="108" w:type="dxa"/>
            </w:tcMar>
            <w:vAlign w:val="center"/>
          </w:tcPr>
          <w:p w14:paraId="79EA6D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保障食品药品安全工作顺利开展</w:t>
            </w:r>
          </w:p>
        </w:tc>
      </w:tr>
      <w:tr w14:paraId="28B8E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2175" w:type="dxa"/>
            <w:tcBorders>
              <w:top w:val="nil"/>
              <w:left w:val="single" w:color="auto" w:sz="8" w:space="0"/>
              <w:bottom w:val="single" w:color="auto" w:sz="8" w:space="0"/>
              <w:right w:val="nil"/>
            </w:tcBorders>
            <w:shd w:val="clear" w:color="auto" w:fill="FFFFFF"/>
            <w:noWrap/>
            <w:tcMar>
              <w:left w:w="108" w:type="dxa"/>
              <w:right w:w="108" w:type="dxa"/>
            </w:tcMar>
            <w:vAlign w:val="center"/>
          </w:tcPr>
          <w:p w14:paraId="458434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   服务对象满意度</w:t>
            </w:r>
          </w:p>
        </w:tc>
        <w:tc>
          <w:tcPr>
            <w:tcW w:w="3960" w:type="dxa"/>
            <w:gridSpan w:val="5"/>
            <w:tcBorders>
              <w:top w:val="single" w:color="auto" w:sz="8" w:space="0"/>
              <w:left w:val="single" w:color="auto" w:sz="8" w:space="0"/>
              <w:bottom w:val="single" w:color="auto" w:sz="8" w:space="0"/>
              <w:right w:val="single" w:color="auto" w:sz="8" w:space="0"/>
            </w:tcBorders>
            <w:shd w:val="clear" w:color="auto" w:fill="CCCCFF"/>
            <w:tcMar>
              <w:left w:w="108" w:type="dxa"/>
              <w:right w:w="108" w:type="dxa"/>
            </w:tcMar>
            <w:vAlign w:val="center"/>
          </w:tcPr>
          <w:p w14:paraId="7B218C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满意</w:t>
            </w:r>
          </w:p>
        </w:tc>
        <w:tc>
          <w:tcPr>
            <w:tcW w:w="2750" w:type="dxa"/>
            <w:gridSpan w:val="5"/>
            <w:tcBorders>
              <w:top w:val="nil"/>
              <w:left w:val="nil"/>
              <w:bottom w:val="single" w:color="auto" w:sz="8" w:space="0"/>
              <w:right w:val="single" w:color="auto" w:sz="8" w:space="0"/>
            </w:tcBorders>
            <w:shd w:val="clear" w:color="auto" w:fill="CCCCFF"/>
            <w:tcMar>
              <w:left w:w="108" w:type="dxa"/>
              <w:right w:w="108" w:type="dxa"/>
            </w:tcMar>
            <w:vAlign w:val="center"/>
          </w:tcPr>
          <w:p w14:paraId="27D718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满意</w:t>
            </w:r>
          </w:p>
        </w:tc>
      </w:tr>
      <w:tr w14:paraId="52B90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2175" w:type="dxa"/>
            <w:tcBorders>
              <w:top w:val="nil"/>
              <w:left w:val="single" w:color="auto" w:sz="8" w:space="0"/>
              <w:bottom w:val="single" w:color="auto" w:sz="8" w:space="0"/>
              <w:right w:val="nil"/>
            </w:tcBorders>
            <w:shd w:val="clear" w:color="auto" w:fill="FFFFFF"/>
            <w:noWrap/>
            <w:tcMar>
              <w:left w:w="108" w:type="dxa"/>
              <w:right w:w="108" w:type="dxa"/>
            </w:tcMar>
            <w:vAlign w:val="center"/>
          </w:tcPr>
          <w:p w14:paraId="72D2BA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   其他</w:t>
            </w:r>
          </w:p>
        </w:tc>
        <w:tc>
          <w:tcPr>
            <w:tcW w:w="3960" w:type="dxa"/>
            <w:gridSpan w:val="5"/>
            <w:tcBorders>
              <w:top w:val="nil"/>
              <w:left w:val="single" w:color="auto" w:sz="8" w:space="0"/>
              <w:bottom w:val="single" w:color="auto" w:sz="8" w:space="0"/>
              <w:right w:val="single" w:color="auto" w:sz="8" w:space="0"/>
            </w:tcBorders>
            <w:shd w:val="clear" w:color="auto" w:fill="CCCCFF"/>
            <w:tcMar>
              <w:left w:w="108" w:type="dxa"/>
              <w:right w:w="108" w:type="dxa"/>
            </w:tcMar>
            <w:vAlign w:val="center"/>
          </w:tcPr>
          <w:p w14:paraId="267E48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 </w:t>
            </w:r>
          </w:p>
        </w:tc>
        <w:tc>
          <w:tcPr>
            <w:tcW w:w="2750" w:type="dxa"/>
            <w:gridSpan w:val="5"/>
            <w:tcBorders>
              <w:top w:val="nil"/>
              <w:left w:val="nil"/>
              <w:bottom w:val="single" w:color="auto" w:sz="8" w:space="0"/>
              <w:right w:val="single" w:color="auto" w:sz="8" w:space="0"/>
            </w:tcBorders>
            <w:shd w:val="clear" w:color="auto" w:fill="CCCCFF"/>
            <w:tcMar>
              <w:left w:w="108" w:type="dxa"/>
              <w:right w:w="108" w:type="dxa"/>
            </w:tcMar>
            <w:vAlign w:val="center"/>
          </w:tcPr>
          <w:p w14:paraId="3BE7C8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 </w:t>
            </w:r>
          </w:p>
        </w:tc>
      </w:tr>
      <w:tr w14:paraId="274F5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175" w:type="dxa"/>
            <w:vMerge w:val="restart"/>
            <w:tcBorders>
              <w:top w:val="nil"/>
              <w:left w:val="single" w:color="auto" w:sz="8" w:space="0"/>
              <w:bottom w:val="single" w:color="000000" w:sz="8" w:space="0"/>
              <w:right w:val="single" w:color="auto" w:sz="8" w:space="0"/>
            </w:tcBorders>
            <w:shd w:val="clear" w:color="auto" w:fill="FFFFFF"/>
            <w:tcMar>
              <w:left w:w="108" w:type="dxa"/>
              <w:right w:w="108" w:type="dxa"/>
            </w:tcMar>
            <w:vAlign w:val="center"/>
          </w:tcPr>
          <w:p w14:paraId="18F6FB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项目资金申报数（万元）</w:t>
            </w:r>
          </w:p>
        </w:tc>
        <w:tc>
          <w:tcPr>
            <w:tcW w:w="941" w:type="dxa"/>
            <w:vMerge w:val="restart"/>
            <w:tcBorders>
              <w:top w:val="nil"/>
              <w:left w:val="nil"/>
              <w:bottom w:val="nil"/>
              <w:right w:val="single" w:color="auto" w:sz="8" w:space="0"/>
            </w:tcBorders>
            <w:shd w:val="clear" w:color="auto" w:fill="FFFFFF"/>
            <w:tcMar>
              <w:left w:w="108" w:type="dxa"/>
              <w:right w:w="108" w:type="dxa"/>
            </w:tcMar>
            <w:vAlign w:val="center"/>
          </w:tcPr>
          <w:p w14:paraId="7C9E76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总计</w:t>
            </w:r>
          </w:p>
        </w:tc>
        <w:tc>
          <w:tcPr>
            <w:tcW w:w="3019"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14:paraId="780B3B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预算拨款安排</w:t>
            </w:r>
          </w:p>
        </w:tc>
        <w:tc>
          <w:tcPr>
            <w:tcW w:w="1167" w:type="dxa"/>
            <w:gridSpan w:val="2"/>
            <w:vMerge w:val="restart"/>
            <w:tcBorders>
              <w:top w:val="nil"/>
              <w:left w:val="nil"/>
              <w:bottom w:val="nil"/>
              <w:right w:val="single" w:color="000000" w:sz="8" w:space="0"/>
            </w:tcBorders>
            <w:shd w:val="clear" w:color="auto" w:fill="FFFFFF"/>
            <w:tcMar>
              <w:left w:w="108" w:type="dxa"/>
              <w:right w:w="108" w:type="dxa"/>
            </w:tcMar>
            <w:vAlign w:val="center"/>
          </w:tcPr>
          <w:p w14:paraId="497FE5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纳入专户管理政府非税收入</w:t>
            </w:r>
          </w:p>
        </w:tc>
        <w:tc>
          <w:tcPr>
            <w:tcW w:w="910" w:type="dxa"/>
            <w:gridSpan w:val="2"/>
            <w:vMerge w:val="restart"/>
            <w:tcBorders>
              <w:top w:val="nil"/>
              <w:left w:val="nil"/>
              <w:bottom w:val="nil"/>
              <w:right w:val="single" w:color="000000" w:sz="8" w:space="0"/>
            </w:tcBorders>
            <w:shd w:val="clear" w:color="auto" w:fill="FFFFFF"/>
            <w:tcMar>
              <w:left w:w="108" w:type="dxa"/>
              <w:right w:w="108" w:type="dxa"/>
            </w:tcMar>
            <w:vAlign w:val="center"/>
          </w:tcPr>
          <w:p w14:paraId="4BF739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基金支出安排</w:t>
            </w:r>
          </w:p>
        </w:tc>
        <w:tc>
          <w:tcPr>
            <w:tcW w:w="673" w:type="dxa"/>
            <w:vMerge w:val="restart"/>
            <w:tcBorders>
              <w:top w:val="nil"/>
              <w:left w:val="nil"/>
              <w:bottom w:val="nil"/>
              <w:right w:val="single" w:color="auto" w:sz="8" w:space="0"/>
            </w:tcBorders>
            <w:shd w:val="clear" w:color="auto" w:fill="FFFFFF"/>
            <w:tcMar>
              <w:left w:w="108" w:type="dxa"/>
              <w:right w:w="108" w:type="dxa"/>
            </w:tcMar>
            <w:vAlign w:val="center"/>
          </w:tcPr>
          <w:p w14:paraId="101863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上年结余</w:t>
            </w:r>
          </w:p>
        </w:tc>
      </w:tr>
      <w:tr w14:paraId="09DCB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175" w:type="dxa"/>
            <w:vMerge w:val="continue"/>
            <w:tcBorders>
              <w:top w:val="nil"/>
              <w:left w:val="single" w:color="auto" w:sz="8" w:space="0"/>
              <w:bottom w:val="single" w:color="000000" w:sz="8" w:space="0"/>
              <w:right w:val="single" w:color="auto" w:sz="8" w:space="0"/>
            </w:tcBorders>
            <w:shd w:val="clear" w:color="auto" w:fill="FFFFFF"/>
            <w:tcMar>
              <w:left w:w="108" w:type="dxa"/>
              <w:right w:w="108" w:type="dxa"/>
            </w:tcMar>
            <w:vAlign w:val="center"/>
          </w:tcPr>
          <w:p w14:paraId="4DE289D0">
            <w:pPr>
              <w:jc w:val="both"/>
              <w:rPr>
                <w:rFonts w:hint="eastAsia" w:ascii="宋体" w:hAnsi="宋体" w:eastAsia="宋体" w:cs="宋体"/>
                <w:i w:val="0"/>
                <w:iCs w:val="0"/>
                <w:caps w:val="0"/>
                <w:color w:val="333333"/>
                <w:spacing w:val="0"/>
                <w:sz w:val="24"/>
                <w:szCs w:val="24"/>
              </w:rPr>
            </w:pPr>
          </w:p>
        </w:tc>
        <w:tc>
          <w:tcPr>
            <w:tcW w:w="941" w:type="dxa"/>
            <w:vMerge w:val="continue"/>
            <w:tcBorders>
              <w:top w:val="nil"/>
              <w:left w:val="nil"/>
              <w:bottom w:val="nil"/>
              <w:right w:val="single" w:color="auto" w:sz="8" w:space="0"/>
            </w:tcBorders>
            <w:shd w:val="clear" w:color="auto" w:fill="FFFFFF"/>
            <w:tcMar>
              <w:left w:w="108" w:type="dxa"/>
              <w:right w:w="108" w:type="dxa"/>
            </w:tcMar>
            <w:vAlign w:val="center"/>
          </w:tcPr>
          <w:p w14:paraId="574BA5C0">
            <w:pPr>
              <w:jc w:val="both"/>
              <w:rPr>
                <w:rFonts w:hint="eastAsia" w:ascii="宋体" w:hAnsi="宋体" w:eastAsia="宋体" w:cs="宋体"/>
                <w:i w:val="0"/>
                <w:iCs w:val="0"/>
                <w:caps w:val="0"/>
                <w:color w:val="333333"/>
                <w:spacing w:val="0"/>
                <w:sz w:val="24"/>
                <w:szCs w:val="24"/>
              </w:rPr>
            </w:pPr>
          </w:p>
        </w:tc>
        <w:tc>
          <w:tcPr>
            <w:tcW w:w="679" w:type="dxa"/>
            <w:tcBorders>
              <w:top w:val="single" w:color="DDDDDD" w:sz="6" w:space="0"/>
              <w:left w:val="single" w:color="DDDDDD" w:sz="6" w:space="0"/>
              <w:bottom w:val="single" w:color="DDDDDD" w:sz="6" w:space="0"/>
              <w:right w:val="single" w:color="DDDDDD" w:sz="6" w:space="0"/>
            </w:tcBorders>
            <w:shd w:val="clear" w:color="auto" w:fill="FFFFFF"/>
            <w:tcMar>
              <w:left w:w="108" w:type="dxa"/>
              <w:right w:w="108" w:type="dxa"/>
            </w:tcMar>
            <w:vAlign w:val="center"/>
          </w:tcPr>
          <w:p w14:paraId="2A069E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小计</w:t>
            </w:r>
          </w:p>
        </w:tc>
        <w:tc>
          <w:tcPr>
            <w:tcW w:w="1260" w:type="dxa"/>
            <w:gridSpan w:val="2"/>
            <w:tcBorders>
              <w:top w:val="single" w:color="auto" w:sz="8" w:space="0"/>
              <w:left w:val="single" w:color="auto" w:sz="8" w:space="0"/>
              <w:bottom w:val="nil"/>
              <w:right w:val="single" w:color="auto" w:sz="8" w:space="0"/>
            </w:tcBorders>
            <w:shd w:val="clear" w:color="auto" w:fill="FFFFFF"/>
            <w:tcMar>
              <w:left w:w="108" w:type="dxa"/>
              <w:right w:w="108" w:type="dxa"/>
            </w:tcMar>
            <w:vAlign w:val="center"/>
          </w:tcPr>
          <w:p w14:paraId="72AAEB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财政拨款安排</w:t>
            </w:r>
          </w:p>
        </w:tc>
        <w:tc>
          <w:tcPr>
            <w:tcW w:w="1080" w:type="dxa"/>
            <w:tcBorders>
              <w:top w:val="nil"/>
              <w:left w:val="nil"/>
              <w:bottom w:val="nil"/>
              <w:right w:val="single" w:color="auto" w:sz="8" w:space="0"/>
            </w:tcBorders>
            <w:shd w:val="clear" w:color="auto" w:fill="FFFFFF"/>
            <w:tcMar>
              <w:left w:w="108" w:type="dxa"/>
              <w:right w:w="108" w:type="dxa"/>
            </w:tcMar>
            <w:vAlign w:val="center"/>
          </w:tcPr>
          <w:p w14:paraId="327087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预算内政府非税收入</w:t>
            </w:r>
          </w:p>
        </w:tc>
        <w:tc>
          <w:tcPr>
            <w:tcW w:w="1167" w:type="dxa"/>
            <w:gridSpan w:val="2"/>
            <w:vMerge w:val="continue"/>
            <w:tcBorders>
              <w:top w:val="nil"/>
              <w:left w:val="nil"/>
              <w:bottom w:val="nil"/>
              <w:right w:val="single" w:color="000000" w:sz="8" w:space="0"/>
            </w:tcBorders>
            <w:shd w:val="clear" w:color="auto" w:fill="FFFFFF"/>
            <w:tcMar>
              <w:left w:w="108" w:type="dxa"/>
              <w:right w:w="108" w:type="dxa"/>
            </w:tcMar>
            <w:vAlign w:val="center"/>
          </w:tcPr>
          <w:p w14:paraId="21872589">
            <w:pPr>
              <w:jc w:val="both"/>
              <w:rPr>
                <w:rFonts w:hint="eastAsia" w:ascii="宋体" w:hAnsi="宋体" w:eastAsia="宋体" w:cs="宋体"/>
                <w:i w:val="0"/>
                <w:iCs w:val="0"/>
                <w:caps w:val="0"/>
                <w:color w:val="333333"/>
                <w:spacing w:val="0"/>
                <w:sz w:val="24"/>
                <w:szCs w:val="24"/>
              </w:rPr>
            </w:pPr>
          </w:p>
        </w:tc>
        <w:tc>
          <w:tcPr>
            <w:tcW w:w="910" w:type="dxa"/>
            <w:gridSpan w:val="2"/>
            <w:vMerge w:val="continue"/>
            <w:tcBorders>
              <w:top w:val="nil"/>
              <w:left w:val="nil"/>
              <w:bottom w:val="nil"/>
              <w:right w:val="single" w:color="000000" w:sz="8" w:space="0"/>
            </w:tcBorders>
            <w:shd w:val="clear" w:color="auto" w:fill="FFFFFF"/>
            <w:tcMar>
              <w:left w:w="108" w:type="dxa"/>
              <w:right w:w="108" w:type="dxa"/>
            </w:tcMar>
            <w:vAlign w:val="center"/>
          </w:tcPr>
          <w:p w14:paraId="4C9C4F46">
            <w:pPr>
              <w:jc w:val="both"/>
              <w:rPr>
                <w:rFonts w:hint="eastAsia" w:ascii="宋体" w:hAnsi="宋体" w:eastAsia="宋体" w:cs="宋体"/>
                <w:i w:val="0"/>
                <w:iCs w:val="0"/>
                <w:caps w:val="0"/>
                <w:color w:val="333333"/>
                <w:spacing w:val="0"/>
                <w:sz w:val="24"/>
                <w:szCs w:val="24"/>
              </w:rPr>
            </w:pPr>
          </w:p>
        </w:tc>
        <w:tc>
          <w:tcPr>
            <w:tcW w:w="673" w:type="dxa"/>
            <w:vMerge w:val="continue"/>
            <w:tcBorders>
              <w:top w:val="nil"/>
              <w:left w:val="nil"/>
              <w:bottom w:val="nil"/>
              <w:right w:val="single" w:color="auto" w:sz="8" w:space="0"/>
            </w:tcBorders>
            <w:shd w:val="clear" w:color="auto" w:fill="FFFFFF"/>
            <w:tcMar>
              <w:left w:w="108" w:type="dxa"/>
              <w:right w:w="108" w:type="dxa"/>
            </w:tcMar>
            <w:vAlign w:val="center"/>
          </w:tcPr>
          <w:p w14:paraId="11F5A7A5">
            <w:pPr>
              <w:jc w:val="both"/>
              <w:rPr>
                <w:rFonts w:hint="eastAsia" w:ascii="宋体" w:hAnsi="宋体" w:eastAsia="宋体" w:cs="宋体"/>
                <w:i w:val="0"/>
                <w:iCs w:val="0"/>
                <w:caps w:val="0"/>
                <w:color w:val="333333"/>
                <w:spacing w:val="0"/>
                <w:sz w:val="24"/>
                <w:szCs w:val="24"/>
              </w:rPr>
            </w:pPr>
          </w:p>
        </w:tc>
      </w:tr>
      <w:tr w14:paraId="65A26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9" w:hRule="atLeast"/>
        </w:trPr>
        <w:tc>
          <w:tcPr>
            <w:tcW w:w="2175"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14:paraId="2B35F51E">
            <w:pPr>
              <w:jc w:val="both"/>
              <w:rPr>
                <w:rFonts w:hint="eastAsia" w:ascii="宋体" w:hAnsi="宋体" w:eastAsia="宋体" w:cs="宋体"/>
                <w:i w:val="0"/>
                <w:iCs w:val="0"/>
                <w:caps w:val="0"/>
                <w:color w:val="333333"/>
                <w:spacing w:val="0"/>
                <w:sz w:val="24"/>
                <w:szCs w:val="24"/>
              </w:rPr>
            </w:pPr>
          </w:p>
        </w:tc>
        <w:tc>
          <w:tcPr>
            <w:tcW w:w="941" w:type="dxa"/>
            <w:tcBorders>
              <w:top w:val="single" w:color="auto" w:sz="8" w:space="0"/>
              <w:left w:val="nil"/>
              <w:bottom w:val="single" w:color="auto" w:sz="8" w:space="0"/>
              <w:right w:val="nil"/>
            </w:tcBorders>
            <w:shd w:val="clear" w:color="auto" w:fill="CCCCFF"/>
            <w:noWrap/>
            <w:tcMar>
              <w:left w:w="108" w:type="dxa"/>
              <w:right w:w="108" w:type="dxa"/>
            </w:tcMar>
            <w:vAlign w:val="center"/>
          </w:tcPr>
          <w:p w14:paraId="5F5E19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eastAsiaTheme="minorEastAsia"/>
                <w:sz w:val="21"/>
                <w:szCs w:val="21"/>
                <w:lang w:val="en-US" w:eastAsia="zh-CN"/>
              </w:rPr>
            </w:pPr>
            <w:r>
              <w:rPr>
                <w:rFonts w:hint="eastAsia" w:ascii="宋体" w:hAnsi="宋体" w:eastAsia="宋体" w:cs="宋体"/>
                <w:i w:val="0"/>
                <w:iCs w:val="0"/>
                <w:caps w:val="0"/>
                <w:color w:val="333333"/>
                <w:spacing w:val="0"/>
                <w:sz w:val="22"/>
                <w:szCs w:val="22"/>
                <w:lang w:val="en-US" w:eastAsia="zh-CN"/>
              </w:rPr>
              <w:t>34.8</w:t>
            </w:r>
          </w:p>
        </w:tc>
        <w:tc>
          <w:tcPr>
            <w:tcW w:w="679" w:type="dxa"/>
            <w:tcBorders>
              <w:top w:val="single" w:color="auto" w:sz="8" w:space="0"/>
              <w:left w:val="single" w:color="auto" w:sz="8" w:space="0"/>
              <w:bottom w:val="single" w:color="auto" w:sz="8" w:space="0"/>
              <w:right w:val="nil"/>
            </w:tcBorders>
            <w:shd w:val="clear" w:color="auto" w:fill="CCCCFF"/>
            <w:noWrap/>
            <w:tcMar>
              <w:left w:w="108" w:type="dxa"/>
              <w:right w:w="108" w:type="dxa"/>
            </w:tcMar>
            <w:vAlign w:val="center"/>
          </w:tcPr>
          <w:p w14:paraId="69106A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eastAsiaTheme="minorEastAsia"/>
                <w:sz w:val="21"/>
                <w:szCs w:val="21"/>
                <w:lang w:val="en-US" w:eastAsia="zh-CN"/>
              </w:rPr>
            </w:pPr>
            <w:r>
              <w:rPr>
                <w:rFonts w:hint="eastAsia" w:ascii="宋体" w:hAnsi="宋体" w:eastAsia="宋体" w:cs="宋体"/>
                <w:i w:val="0"/>
                <w:iCs w:val="0"/>
                <w:caps w:val="0"/>
                <w:color w:val="333333"/>
                <w:spacing w:val="0"/>
                <w:sz w:val="22"/>
                <w:szCs w:val="22"/>
                <w:lang w:val="en-US" w:eastAsia="zh-CN"/>
              </w:rPr>
              <w:t>34.8</w:t>
            </w:r>
          </w:p>
        </w:tc>
        <w:tc>
          <w:tcPr>
            <w:tcW w:w="1260" w:type="dxa"/>
            <w:gridSpan w:val="2"/>
            <w:tcBorders>
              <w:top w:val="single" w:color="auto" w:sz="8" w:space="0"/>
              <w:left w:val="single" w:color="auto" w:sz="8" w:space="0"/>
              <w:bottom w:val="single" w:color="auto" w:sz="8" w:space="0"/>
              <w:right w:val="single" w:color="auto" w:sz="8" w:space="0"/>
            </w:tcBorders>
            <w:shd w:val="clear" w:color="auto" w:fill="CCCCFF"/>
            <w:noWrap/>
            <w:tcMar>
              <w:left w:w="108" w:type="dxa"/>
              <w:right w:w="108" w:type="dxa"/>
            </w:tcMar>
            <w:vAlign w:val="center"/>
          </w:tcPr>
          <w:p w14:paraId="7B6A1C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20"/>
              <w:jc w:val="right"/>
              <w:rPr>
                <w:rFonts w:hint="default" w:ascii="Times New Roman" w:hAnsi="Times New Roman" w:cs="Times New Roman" w:eastAsiaTheme="minorEastAsia"/>
                <w:sz w:val="21"/>
                <w:szCs w:val="21"/>
                <w:lang w:val="en-US" w:eastAsia="zh-CN"/>
              </w:rPr>
            </w:pPr>
            <w:r>
              <w:rPr>
                <w:rFonts w:hint="eastAsia" w:ascii="宋体" w:hAnsi="宋体" w:eastAsia="宋体" w:cs="宋体"/>
                <w:i w:val="0"/>
                <w:iCs w:val="0"/>
                <w:caps w:val="0"/>
                <w:color w:val="333333"/>
                <w:spacing w:val="0"/>
                <w:sz w:val="22"/>
                <w:szCs w:val="22"/>
                <w:lang w:val="en-US" w:eastAsia="zh-CN"/>
              </w:rPr>
              <w:t>34.8</w:t>
            </w:r>
          </w:p>
        </w:tc>
        <w:tc>
          <w:tcPr>
            <w:tcW w:w="1080" w:type="dxa"/>
            <w:tcBorders>
              <w:top w:val="single" w:color="auto" w:sz="8" w:space="0"/>
              <w:left w:val="nil"/>
              <w:bottom w:val="single" w:color="auto" w:sz="8" w:space="0"/>
              <w:right w:val="nil"/>
            </w:tcBorders>
            <w:shd w:val="clear" w:color="auto" w:fill="CCCCFF"/>
            <w:noWrap/>
            <w:tcMar>
              <w:left w:w="108" w:type="dxa"/>
              <w:right w:w="108" w:type="dxa"/>
            </w:tcMar>
            <w:vAlign w:val="center"/>
          </w:tcPr>
          <w:p w14:paraId="391728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 </w:t>
            </w:r>
          </w:p>
        </w:tc>
        <w:tc>
          <w:tcPr>
            <w:tcW w:w="1167" w:type="dxa"/>
            <w:gridSpan w:val="2"/>
            <w:tcBorders>
              <w:top w:val="single" w:color="auto" w:sz="8" w:space="0"/>
              <w:left w:val="single" w:color="auto" w:sz="8" w:space="0"/>
              <w:bottom w:val="single" w:color="auto" w:sz="8" w:space="0"/>
              <w:right w:val="single" w:color="auto" w:sz="8" w:space="0"/>
            </w:tcBorders>
            <w:shd w:val="clear" w:color="auto" w:fill="CCCCFF"/>
            <w:noWrap/>
            <w:tcMar>
              <w:left w:w="108" w:type="dxa"/>
              <w:right w:w="108" w:type="dxa"/>
            </w:tcMar>
            <w:vAlign w:val="center"/>
          </w:tcPr>
          <w:p w14:paraId="57D8B2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 </w:t>
            </w:r>
          </w:p>
        </w:tc>
        <w:tc>
          <w:tcPr>
            <w:tcW w:w="910" w:type="dxa"/>
            <w:gridSpan w:val="2"/>
            <w:tcBorders>
              <w:top w:val="single" w:color="auto" w:sz="8" w:space="0"/>
              <w:left w:val="nil"/>
              <w:bottom w:val="single" w:color="auto" w:sz="8" w:space="0"/>
              <w:right w:val="single" w:color="auto" w:sz="8" w:space="0"/>
            </w:tcBorders>
            <w:shd w:val="clear" w:color="auto" w:fill="CCCCFF"/>
            <w:noWrap/>
            <w:tcMar>
              <w:left w:w="108" w:type="dxa"/>
              <w:right w:w="108" w:type="dxa"/>
            </w:tcMar>
            <w:vAlign w:val="center"/>
          </w:tcPr>
          <w:p w14:paraId="45B73F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 </w:t>
            </w:r>
          </w:p>
        </w:tc>
        <w:tc>
          <w:tcPr>
            <w:tcW w:w="673" w:type="dxa"/>
            <w:tcBorders>
              <w:top w:val="single" w:color="auto" w:sz="8" w:space="0"/>
              <w:left w:val="nil"/>
              <w:bottom w:val="single" w:color="auto" w:sz="8" w:space="0"/>
              <w:right w:val="single" w:color="auto" w:sz="8" w:space="0"/>
            </w:tcBorders>
            <w:shd w:val="clear" w:color="auto" w:fill="CCCCFF"/>
            <w:noWrap/>
            <w:tcMar>
              <w:left w:w="108" w:type="dxa"/>
              <w:right w:w="108" w:type="dxa"/>
            </w:tcMar>
            <w:vAlign w:val="center"/>
          </w:tcPr>
          <w:p w14:paraId="606BDB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2"/>
                <w:szCs w:val="22"/>
              </w:rPr>
              <w:t> </w:t>
            </w:r>
          </w:p>
        </w:tc>
      </w:tr>
      <w:tr w14:paraId="06FB7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2175" w:type="dxa"/>
            <w:tcBorders>
              <w:top w:val="nil"/>
              <w:left w:val="single" w:color="auto" w:sz="8" w:space="0"/>
              <w:bottom w:val="single" w:color="000000" w:sz="8" w:space="0"/>
              <w:right w:val="single" w:color="auto" w:sz="8" w:space="0"/>
            </w:tcBorders>
            <w:shd w:val="clear" w:color="auto" w:fill="FFFFFF"/>
            <w:tcMar>
              <w:left w:w="108" w:type="dxa"/>
              <w:right w:w="108" w:type="dxa"/>
            </w:tcMar>
            <w:vAlign w:val="center"/>
          </w:tcPr>
          <w:p w14:paraId="617A0B11">
            <w:pPr>
              <w:jc w:val="both"/>
              <w:rPr>
                <w:rFonts w:hint="eastAsia" w:ascii="宋体" w:hAnsi="宋体" w:eastAsia="宋体" w:cs="宋体"/>
                <w:i w:val="0"/>
                <w:iCs w:val="0"/>
                <w:caps w:val="0"/>
                <w:color w:val="333333"/>
                <w:spacing w:val="0"/>
                <w:sz w:val="24"/>
                <w:szCs w:val="24"/>
              </w:rPr>
            </w:pPr>
          </w:p>
        </w:tc>
        <w:tc>
          <w:tcPr>
            <w:tcW w:w="941" w:type="dxa"/>
            <w:tcBorders>
              <w:top w:val="single" w:color="auto" w:sz="8" w:space="0"/>
              <w:left w:val="nil"/>
              <w:bottom w:val="single" w:color="auto" w:sz="8" w:space="0"/>
              <w:right w:val="nil"/>
            </w:tcBorders>
            <w:shd w:val="clear" w:color="auto" w:fill="CCCCFF"/>
            <w:noWrap/>
            <w:tcMar>
              <w:left w:w="108" w:type="dxa"/>
              <w:right w:w="108" w:type="dxa"/>
            </w:tcMar>
            <w:vAlign w:val="center"/>
          </w:tcPr>
          <w:p w14:paraId="15F09C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i w:val="0"/>
                <w:iCs w:val="0"/>
                <w:caps w:val="0"/>
                <w:color w:val="333333"/>
                <w:spacing w:val="0"/>
                <w:sz w:val="22"/>
                <w:szCs w:val="22"/>
                <w:lang w:val="en-US" w:eastAsia="zh-CN"/>
              </w:rPr>
            </w:pPr>
          </w:p>
        </w:tc>
        <w:tc>
          <w:tcPr>
            <w:tcW w:w="679" w:type="dxa"/>
            <w:tcBorders>
              <w:top w:val="single" w:color="auto" w:sz="8" w:space="0"/>
              <w:left w:val="single" w:color="auto" w:sz="8" w:space="0"/>
              <w:bottom w:val="single" w:color="auto" w:sz="8" w:space="0"/>
              <w:right w:val="nil"/>
            </w:tcBorders>
            <w:shd w:val="clear" w:color="auto" w:fill="CCCCFF"/>
            <w:noWrap/>
            <w:tcMar>
              <w:left w:w="108" w:type="dxa"/>
              <w:right w:w="108" w:type="dxa"/>
            </w:tcMar>
            <w:vAlign w:val="center"/>
          </w:tcPr>
          <w:p w14:paraId="41847D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i w:val="0"/>
                <w:iCs w:val="0"/>
                <w:caps w:val="0"/>
                <w:color w:val="333333"/>
                <w:spacing w:val="0"/>
                <w:sz w:val="22"/>
                <w:szCs w:val="22"/>
                <w:lang w:val="en-US" w:eastAsia="zh-CN"/>
              </w:rPr>
            </w:pPr>
          </w:p>
        </w:tc>
        <w:tc>
          <w:tcPr>
            <w:tcW w:w="1260" w:type="dxa"/>
            <w:gridSpan w:val="2"/>
            <w:tcBorders>
              <w:top w:val="single" w:color="auto" w:sz="8" w:space="0"/>
              <w:left w:val="single" w:color="auto" w:sz="8" w:space="0"/>
              <w:bottom w:val="single" w:color="auto" w:sz="8" w:space="0"/>
              <w:right w:val="single" w:color="auto" w:sz="8" w:space="0"/>
            </w:tcBorders>
            <w:shd w:val="clear" w:color="auto" w:fill="CCCCFF"/>
            <w:noWrap/>
            <w:tcMar>
              <w:left w:w="108" w:type="dxa"/>
              <w:right w:w="108" w:type="dxa"/>
            </w:tcMar>
            <w:vAlign w:val="center"/>
          </w:tcPr>
          <w:p w14:paraId="08B40C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20"/>
              <w:jc w:val="right"/>
              <w:rPr>
                <w:rFonts w:hint="eastAsia" w:ascii="宋体" w:hAnsi="宋体" w:eastAsia="宋体" w:cs="宋体"/>
                <w:i w:val="0"/>
                <w:iCs w:val="0"/>
                <w:caps w:val="0"/>
                <w:color w:val="333333"/>
                <w:spacing w:val="0"/>
                <w:sz w:val="22"/>
                <w:szCs w:val="22"/>
                <w:lang w:val="en-US" w:eastAsia="zh-CN"/>
              </w:rPr>
            </w:pPr>
          </w:p>
        </w:tc>
        <w:tc>
          <w:tcPr>
            <w:tcW w:w="1080" w:type="dxa"/>
            <w:tcBorders>
              <w:top w:val="single" w:color="auto" w:sz="8" w:space="0"/>
              <w:left w:val="nil"/>
              <w:bottom w:val="single" w:color="auto" w:sz="8" w:space="0"/>
              <w:right w:val="nil"/>
            </w:tcBorders>
            <w:shd w:val="clear" w:color="auto" w:fill="CCCCFF"/>
            <w:noWrap/>
            <w:tcMar>
              <w:left w:w="108" w:type="dxa"/>
              <w:right w:w="108" w:type="dxa"/>
            </w:tcMar>
            <w:vAlign w:val="center"/>
          </w:tcPr>
          <w:p w14:paraId="7F7869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i w:val="0"/>
                <w:iCs w:val="0"/>
                <w:caps w:val="0"/>
                <w:color w:val="333333"/>
                <w:spacing w:val="0"/>
                <w:sz w:val="22"/>
                <w:szCs w:val="22"/>
              </w:rPr>
            </w:pPr>
          </w:p>
        </w:tc>
        <w:tc>
          <w:tcPr>
            <w:tcW w:w="1167" w:type="dxa"/>
            <w:gridSpan w:val="2"/>
            <w:tcBorders>
              <w:top w:val="single" w:color="auto" w:sz="8" w:space="0"/>
              <w:left w:val="single" w:color="auto" w:sz="8" w:space="0"/>
              <w:bottom w:val="single" w:color="auto" w:sz="8" w:space="0"/>
              <w:right w:val="single" w:color="auto" w:sz="8" w:space="0"/>
            </w:tcBorders>
            <w:shd w:val="clear" w:color="auto" w:fill="CCCCFF"/>
            <w:noWrap/>
            <w:tcMar>
              <w:left w:w="108" w:type="dxa"/>
              <w:right w:w="108" w:type="dxa"/>
            </w:tcMar>
            <w:vAlign w:val="center"/>
          </w:tcPr>
          <w:p w14:paraId="214EF4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i w:val="0"/>
                <w:iCs w:val="0"/>
                <w:caps w:val="0"/>
                <w:color w:val="333333"/>
                <w:spacing w:val="0"/>
                <w:sz w:val="22"/>
                <w:szCs w:val="22"/>
              </w:rPr>
            </w:pPr>
          </w:p>
        </w:tc>
        <w:tc>
          <w:tcPr>
            <w:tcW w:w="910" w:type="dxa"/>
            <w:gridSpan w:val="2"/>
            <w:tcBorders>
              <w:top w:val="single" w:color="auto" w:sz="8" w:space="0"/>
              <w:left w:val="nil"/>
              <w:bottom w:val="single" w:color="auto" w:sz="8" w:space="0"/>
              <w:right w:val="single" w:color="auto" w:sz="8" w:space="0"/>
            </w:tcBorders>
            <w:shd w:val="clear" w:color="auto" w:fill="CCCCFF"/>
            <w:noWrap/>
            <w:tcMar>
              <w:left w:w="108" w:type="dxa"/>
              <w:right w:w="108" w:type="dxa"/>
            </w:tcMar>
            <w:vAlign w:val="center"/>
          </w:tcPr>
          <w:p w14:paraId="0935C7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i w:val="0"/>
                <w:iCs w:val="0"/>
                <w:caps w:val="0"/>
                <w:color w:val="333333"/>
                <w:spacing w:val="0"/>
                <w:sz w:val="22"/>
                <w:szCs w:val="22"/>
              </w:rPr>
            </w:pPr>
          </w:p>
        </w:tc>
        <w:tc>
          <w:tcPr>
            <w:tcW w:w="673" w:type="dxa"/>
            <w:tcBorders>
              <w:top w:val="single" w:color="auto" w:sz="8" w:space="0"/>
              <w:left w:val="nil"/>
              <w:bottom w:val="single" w:color="auto" w:sz="8" w:space="0"/>
              <w:right w:val="single" w:color="auto" w:sz="8" w:space="0"/>
            </w:tcBorders>
            <w:shd w:val="clear" w:color="auto" w:fill="CCCCFF"/>
            <w:noWrap/>
            <w:tcMar>
              <w:left w:w="108" w:type="dxa"/>
              <w:right w:w="108" w:type="dxa"/>
            </w:tcMar>
            <w:vAlign w:val="center"/>
          </w:tcPr>
          <w:p w14:paraId="4BEABE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i w:val="0"/>
                <w:iCs w:val="0"/>
                <w:caps w:val="0"/>
                <w:color w:val="333333"/>
                <w:spacing w:val="0"/>
                <w:sz w:val="22"/>
                <w:szCs w:val="22"/>
              </w:rPr>
            </w:pPr>
          </w:p>
        </w:tc>
      </w:tr>
    </w:tbl>
    <w:p w14:paraId="344624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03"/>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lang w:val="en-US" w:eastAsia="zh-CN"/>
        </w:rPr>
        <w:t>2</w:t>
      </w:r>
      <w:r>
        <w:rPr>
          <w:rFonts w:hint="eastAsia" w:ascii="仿宋" w:hAnsi="仿宋" w:eastAsia="仿宋" w:cs="仿宋"/>
          <w:b/>
          <w:bCs/>
          <w:i w:val="0"/>
          <w:iCs w:val="0"/>
          <w:caps w:val="0"/>
          <w:color w:val="333333"/>
          <w:spacing w:val="0"/>
          <w:sz w:val="32"/>
          <w:szCs w:val="32"/>
          <w:shd w:val="clear" w:fill="FFFFFF"/>
        </w:rPr>
        <w:t>.</w:t>
      </w:r>
      <w:r>
        <w:rPr>
          <w:rFonts w:hint="eastAsia" w:ascii="仿宋" w:hAnsi="仿宋" w:eastAsia="仿宋" w:cs="仿宋"/>
          <w:b/>
          <w:bCs/>
          <w:i w:val="0"/>
          <w:iCs w:val="0"/>
          <w:caps w:val="0"/>
          <w:color w:val="333333"/>
          <w:spacing w:val="0"/>
          <w:sz w:val="32"/>
          <w:szCs w:val="32"/>
          <w:shd w:val="clear" w:fill="FFFFFF"/>
          <w:lang w:val="en-US" w:eastAsia="zh-CN"/>
        </w:rPr>
        <w:t>2023年食品安全检验室抽检专项经费</w:t>
      </w:r>
      <w:r>
        <w:rPr>
          <w:rFonts w:hint="eastAsia" w:ascii="仿宋" w:hAnsi="仿宋" w:eastAsia="仿宋" w:cs="仿宋"/>
          <w:b/>
          <w:bCs/>
          <w:i w:val="0"/>
          <w:iCs w:val="0"/>
          <w:caps w:val="0"/>
          <w:color w:val="333333"/>
          <w:spacing w:val="0"/>
          <w:sz w:val="32"/>
          <w:szCs w:val="32"/>
          <w:shd w:val="clear" w:fill="FFFFFF"/>
        </w:rPr>
        <w:t>项目。</w:t>
      </w:r>
    </w:p>
    <w:p w14:paraId="28F535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（1）项目概述。2016年在区政府的大力支持下建设的社区食品安全民生工程快速检测室，按照上级文件及通知要求，一年要完成540组的食品安全检测务。</w:t>
      </w:r>
    </w:p>
    <w:p w14:paraId="10CA8B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86"/>
        <w:jc w:val="both"/>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rPr>
        <w:t>（2）立项依据。2016年在区政府大力支持下，建设</w:t>
      </w: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套食品安全民生工程检验室</w:t>
      </w:r>
      <w:r>
        <w:rPr>
          <w:rFonts w:hint="eastAsia" w:ascii="仿宋" w:hAnsi="仿宋" w:eastAsia="仿宋" w:cs="仿宋"/>
          <w:i w:val="0"/>
          <w:iCs w:val="0"/>
          <w:caps w:val="0"/>
          <w:color w:val="333333"/>
          <w:spacing w:val="0"/>
          <w:sz w:val="32"/>
          <w:szCs w:val="32"/>
          <w:shd w:val="clear" w:fill="FFFFFF"/>
          <w:lang w:val="en-US" w:eastAsia="zh-CN"/>
        </w:rPr>
        <w:t>.</w:t>
      </w:r>
    </w:p>
    <w:p w14:paraId="4F2F4C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（3）起止时间。</w:t>
      </w:r>
      <w:r>
        <w:rPr>
          <w:rFonts w:hint="eastAsia" w:ascii="仿宋" w:hAnsi="仿宋" w:eastAsia="仿宋" w:cs="仿宋"/>
          <w:i w:val="0"/>
          <w:iCs w:val="0"/>
          <w:caps w:val="0"/>
          <w:color w:val="333333"/>
          <w:spacing w:val="0"/>
          <w:sz w:val="32"/>
          <w:szCs w:val="32"/>
          <w:shd w:val="clear" w:fill="FFFFFF"/>
          <w:lang w:val="en-US" w:eastAsia="zh-CN"/>
        </w:rPr>
        <w:t>2021年-至今</w:t>
      </w:r>
    </w:p>
    <w:p w14:paraId="3C20D9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2"/>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（4）项目内容。</w:t>
      </w:r>
      <w:r>
        <w:rPr>
          <w:rFonts w:hint="eastAsia" w:ascii="仿宋" w:hAnsi="仿宋" w:eastAsia="仿宋" w:cs="仿宋"/>
          <w:i w:val="0"/>
          <w:iCs w:val="0"/>
          <w:caps w:val="0"/>
          <w:color w:val="333333"/>
          <w:spacing w:val="0"/>
          <w:sz w:val="32"/>
          <w:szCs w:val="32"/>
          <w:shd w:val="clear" w:fill="FFFFFF"/>
          <w:lang w:val="en-US" w:eastAsia="zh-CN"/>
        </w:rPr>
        <w:t>我区共设立6个食品快检室，分别设在4个市场监管所和1个农贸市场内。按照省市政府食品安全民生工程建设方案要求，市场监管所按每个工作日10批次，农贸市场每天15批次来开展快检工作。</w:t>
      </w:r>
    </w:p>
    <w:p w14:paraId="781850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Times New Roman" w:hAnsi="Times New Roman" w:eastAsia="仿宋" w:cs="Times New Roman"/>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32"/>
          <w:szCs w:val="32"/>
          <w:shd w:val="clear" w:fill="FFFFFF"/>
        </w:rPr>
        <w:t>（5）年度预算安排</w:t>
      </w:r>
      <w:r>
        <w:rPr>
          <w:rFonts w:hint="eastAsia" w:ascii="仿宋" w:hAnsi="仿宋" w:eastAsia="仿宋" w:cs="仿宋"/>
          <w:i w:val="0"/>
          <w:iCs w:val="0"/>
          <w:caps w:val="0"/>
          <w:color w:val="333333"/>
          <w:spacing w:val="0"/>
          <w:sz w:val="32"/>
          <w:szCs w:val="32"/>
          <w:shd w:val="clear" w:fill="FFFFFF"/>
          <w:lang w:val="en-US" w:eastAsia="zh-CN"/>
        </w:rPr>
        <w:t>27.5</w:t>
      </w:r>
      <w:r>
        <w:rPr>
          <w:rFonts w:hint="eastAsia" w:ascii="仿宋" w:hAnsi="仿宋" w:eastAsia="仿宋" w:cs="仿宋"/>
          <w:i w:val="0"/>
          <w:iCs w:val="0"/>
          <w:caps w:val="0"/>
          <w:color w:val="333333"/>
          <w:spacing w:val="0"/>
          <w:sz w:val="32"/>
          <w:szCs w:val="32"/>
          <w:shd w:val="clear" w:fill="FFFFFF"/>
        </w:rPr>
        <w:t>万元</w:t>
      </w:r>
      <w:r>
        <w:rPr>
          <w:rFonts w:hint="eastAsia" w:ascii="仿宋" w:hAnsi="仿宋" w:eastAsia="仿宋" w:cs="仿宋"/>
          <w:i w:val="0"/>
          <w:iCs w:val="0"/>
          <w:caps w:val="0"/>
          <w:color w:val="333333"/>
          <w:spacing w:val="0"/>
          <w:sz w:val="32"/>
          <w:szCs w:val="32"/>
          <w:shd w:val="clear" w:fill="FFFFFF"/>
          <w:lang w:eastAsia="zh-CN"/>
        </w:rPr>
        <w:t>。</w:t>
      </w:r>
    </w:p>
    <w:p w14:paraId="0E3843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（6）绩效目标和指标。</w:t>
      </w:r>
    </w:p>
    <w:p w14:paraId="13292916"/>
    <w:tbl>
      <w:tblPr>
        <w:tblStyle w:val="3"/>
        <w:tblW w:w="97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590"/>
        <w:gridCol w:w="1080"/>
        <w:gridCol w:w="870"/>
        <w:gridCol w:w="1770"/>
        <w:gridCol w:w="1290"/>
        <w:gridCol w:w="2055"/>
      </w:tblGrid>
      <w:tr w14:paraId="1301D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735" w:type="dxa"/>
            <w:gridSpan w:val="7"/>
            <w:tcBorders>
              <w:top w:val="nil"/>
              <w:left w:val="nil"/>
              <w:bottom w:val="nil"/>
              <w:right w:val="nil"/>
            </w:tcBorders>
            <w:shd w:val="clear" w:color="auto" w:fill="auto"/>
            <w:noWrap/>
            <w:vAlign w:val="center"/>
          </w:tcPr>
          <w:p w14:paraId="6DEC9BB7">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项目支出绩效目标表</w:t>
            </w:r>
          </w:p>
        </w:tc>
      </w:tr>
      <w:tr w14:paraId="72E80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735" w:type="dxa"/>
            <w:gridSpan w:val="7"/>
            <w:tcBorders>
              <w:top w:val="nil"/>
              <w:left w:val="nil"/>
              <w:bottom w:val="nil"/>
              <w:right w:val="nil"/>
            </w:tcBorders>
            <w:shd w:val="clear" w:color="auto" w:fill="auto"/>
            <w:vAlign w:val="center"/>
          </w:tcPr>
          <w:p w14:paraId="0E2FC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（2023年度）                                </w:t>
            </w:r>
          </w:p>
        </w:tc>
      </w:tr>
      <w:tr w14:paraId="53C29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A4DC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9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B0A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食品安全检验室抽检经费</w:t>
            </w:r>
          </w:p>
        </w:tc>
      </w:tr>
      <w:tr w14:paraId="40123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9930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11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烈山区市场监督管理局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15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BF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烈山区市场监督管理局</w:t>
            </w:r>
          </w:p>
        </w:tc>
      </w:tr>
      <w:tr w14:paraId="54FC6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0B69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59489">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3B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5EF7">
            <w:pPr>
              <w:jc w:val="center"/>
              <w:rPr>
                <w:rFonts w:hint="eastAsia" w:ascii="Calibri" w:hAnsi="Calibri" w:eastAsia="宋体" w:cs="Calibri"/>
                <w:i w:val="0"/>
                <w:iCs w:val="0"/>
                <w:color w:val="000000"/>
                <w:sz w:val="21"/>
                <w:szCs w:val="21"/>
                <w:u w:val="none"/>
              </w:rPr>
            </w:pPr>
          </w:p>
        </w:tc>
      </w:tr>
      <w:tr w14:paraId="143BC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7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9B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469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B0C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r>
      <w:tr w14:paraId="72D0A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951D9">
            <w:pPr>
              <w:jc w:val="center"/>
              <w:rPr>
                <w:rFonts w:hint="eastAsia" w:ascii="宋体" w:hAnsi="宋体" w:eastAsia="宋体" w:cs="宋体"/>
                <w:i w:val="0"/>
                <w:iCs w:val="0"/>
                <w:color w:val="000000"/>
                <w:sz w:val="20"/>
                <w:szCs w:val="20"/>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15CD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249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r>
      <w:tr w14:paraId="4BCB2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BFAA7">
            <w:pPr>
              <w:jc w:val="center"/>
              <w:rPr>
                <w:rFonts w:hint="eastAsia" w:ascii="宋体" w:hAnsi="宋体" w:eastAsia="宋体" w:cs="宋体"/>
                <w:i w:val="0"/>
                <w:iCs w:val="0"/>
                <w:color w:val="000000"/>
                <w:sz w:val="20"/>
                <w:szCs w:val="20"/>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0AD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0ACF38">
            <w:pPr>
              <w:jc w:val="center"/>
              <w:rPr>
                <w:rFonts w:hint="eastAsia" w:ascii="宋体" w:hAnsi="宋体" w:eastAsia="宋体" w:cs="宋体"/>
                <w:i w:val="0"/>
                <w:iCs w:val="0"/>
                <w:color w:val="000000"/>
                <w:sz w:val="20"/>
                <w:szCs w:val="20"/>
                <w:u w:val="none"/>
              </w:rPr>
            </w:pPr>
          </w:p>
        </w:tc>
      </w:tr>
      <w:tr w14:paraId="0BEEB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F5F28">
            <w:pPr>
              <w:jc w:val="center"/>
              <w:rPr>
                <w:rFonts w:hint="eastAsia" w:ascii="宋体" w:hAnsi="宋体" w:eastAsia="宋体" w:cs="宋体"/>
                <w:i w:val="0"/>
                <w:iCs w:val="0"/>
                <w:color w:val="000000"/>
                <w:sz w:val="20"/>
                <w:szCs w:val="20"/>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624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2DBEC">
            <w:pPr>
              <w:jc w:val="right"/>
              <w:rPr>
                <w:rFonts w:hint="eastAsia" w:ascii="宋体" w:hAnsi="宋体" w:eastAsia="宋体" w:cs="宋体"/>
                <w:i w:val="0"/>
                <w:iCs w:val="0"/>
                <w:color w:val="000000"/>
                <w:sz w:val="20"/>
                <w:szCs w:val="20"/>
                <w:u w:val="none"/>
              </w:rPr>
            </w:pPr>
          </w:p>
        </w:tc>
      </w:tr>
      <w:tr w14:paraId="51558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A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c>
          <w:tcPr>
            <w:tcW w:w="86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4761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通过食品安全检验，有效避免不合格产品产生的危害和经济损失，杜绝不合格产品在市场上继续流通，以专业技术为社会提供公益性服务，确保人民群众饮食安全，始终坚持全心全意为人民服务的宗旨。</w:t>
            </w:r>
          </w:p>
        </w:tc>
      </w:tr>
      <w:tr w14:paraId="76F21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011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D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51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9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E7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18BB4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7B333">
            <w:pPr>
              <w:jc w:val="center"/>
              <w:rPr>
                <w:rFonts w:hint="eastAsia" w:ascii="宋体" w:hAnsi="宋体" w:eastAsia="宋体" w:cs="宋体"/>
                <w:i w:val="0"/>
                <w:iCs w:val="0"/>
                <w:color w:val="000000"/>
                <w:sz w:val="20"/>
                <w:szCs w:val="20"/>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2D3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1A1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33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指标1：检验室数量</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C3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0DD6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FE1D5">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40205">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47AD9">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68C9">
            <w:pPr>
              <w:keepNext w:val="0"/>
              <w:keepLines w:val="0"/>
              <w:widowControl/>
              <w:suppressLineNumbers w:val="0"/>
              <w:jc w:val="left"/>
              <w:textAlignment w:val="center"/>
              <w:rPr>
                <w:rFonts w:ascii="汉仪中秀体简" w:hAnsi="汉仪中秀体简" w:eastAsia="汉仪中秀体简" w:cs="汉仪中秀体简"/>
                <w:i w:val="0"/>
                <w:iCs w:val="0"/>
                <w:color w:val="000000"/>
                <w:sz w:val="20"/>
                <w:szCs w:val="20"/>
                <w:u w:val="none"/>
              </w:rPr>
            </w:pPr>
            <w:r>
              <w:rPr>
                <w:rFonts w:hint="default" w:ascii="汉仪中秀体简" w:hAnsi="汉仪中秀体简" w:eastAsia="汉仪中秀体简" w:cs="汉仪中秀体简"/>
                <w:i w:val="0"/>
                <w:iCs w:val="0"/>
                <w:color w:val="000000"/>
                <w:kern w:val="0"/>
                <w:sz w:val="20"/>
                <w:szCs w:val="20"/>
                <w:u w:val="none"/>
                <w:lang w:val="en-US" w:eastAsia="zh-CN" w:bidi="ar"/>
              </w:rPr>
              <w:t>…</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83B0D">
            <w:pPr>
              <w:jc w:val="center"/>
              <w:rPr>
                <w:rFonts w:hint="eastAsia" w:ascii="宋体" w:hAnsi="宋体" w:eastAsia="宋体" w:cs="宋体"/>
                <w:i w:val="0"/>
                <w:iCs w:val="0"/>
                <w:color w:val="000000"/>
                <w:sz w:val="20"/>
                <w:szCs w:val="20"/>
                <w:u w:val="none"/>
              </w:rPr>
            </w:pPr>
          </w:p>
        </w:tc>
      </w:tr>
      <w:tr w14:paraId="0C219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5F498">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EA073">
            <w:pPr>
              <w:jc w:val="center"/>
              <w:rPr>
                <w:rFonts w:hint="eastAsia" w:ascii="宋体" w:hAnsi="宋体" w:eastAsia="宋体" w:cs="宋体"/>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9A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62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指标1：经费支出合规率</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94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合规</w:t>
            </w:r>
          </w:p>
        </w:tc>
      </w:tr>
      <w:tr w14:paraId="65F04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37B63">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C9839">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1E7FE">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E033">
            <w:pPr>
              <w:keepNext w:val="0"/>
              <w:keepLines w:val="0"/>
              <w:widowControl/>
              <w:suppressLineNumbers w:val="0"/>
              <w:jc w:val="left"/>
              <w:textAlignment w:val="center"/>
              <w:rPr>
                <w:rFonts w:hint="default" w:ascii="汉仪中秀体简" w:hAnsi="汉仪中秀体简" w:eastAsia="汉仪中秀体简" w:cs="汉仪中秀体简"/>
                <w:i w:val="0"/>
                <w:iCs w:val="0"/>
                <w:color w:val="000000"/>
                <w:sz w:val="20"/>
                <w:szCs w:val="20"/>
                <w:u w:val="none"/>
              </w:rPr>
            </w:pPr>
            <w:r>
              <w:rPr>
                <w:rFonts w:hint="default" w:ascii="汉仪中秀体简" w:hAnsi="汉仪中秀体简" w:eastAsia="汉仪中秀体简" w:cs="汉仪中秀体简"/>
                <w:i w:val="0"/>
                <w:iCs w:val="0"/>
                <w:color w:val="000000"/>
                <w:kern w:val="0"/>
                <w:sz w:val="20"/>
                <w:szCs w:val="20"/>
                <w:u w:val="none"/>
                <w:lang w:val="en-US" w:eastAsia="zh-CN" w:bidi="ar"/>
              </w:rPr>
              <w:t>指标2：抽检流程合规性</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BE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合规</w:t>
            </w:r>
          </w:p>
        </w:tc>
      </w:tr>
      <w:tr w14:paraId="55650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85B6D">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8A9CE">
            <w:pPr>
              <w:jc w:val="center"/>
              <w:rPr>
                <w:rFonts w:hint="eastAsia" w:ascii="宋体" w:hAnsi="宋体" w:eastAsia="宋体" w:cs="宋体"/>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7B3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FE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指标1：支付及时率</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7A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7636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2D4EE">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732C4">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246E0">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67FD">
            <w:pPr>
              <w:keepNext w:val="0"/>
              <w:keepLines w:val="0"/>
              <w:widowControl/>
              <w:suppressLineNumbers w:val="0"/>
              <w:jc w:val="left"/>
              <w:textAlignment w:val="center"/>
              <w:rPr>
                <w:rFonts w:hint="default" w:ascii="汉仪中秀体简" w:hAnsi="汉仪中秀体简" w:eastAsia="汉仪中秀体简" w:cs="汉仪中秀体简"/>
                <w:i w:val="0"/>
                <w:iCs w:val="0"/>
                <w:color w:val="000000"/>
                <w:sz w:val="20"/>
                <w:szCs w:val="20"/>
                <w:u w:val="none"/>
              </w:rPr>
            </w:pPr>
            <w:r>
              <w:rPr>
                <w:rFonts w:hint="default" w:ascii="汉仪中秀体简" w:hAnsi="汉仪中秀体简" w:eastAsia="汉仪中秀体简" w:cs="汉仪中秀体简"/>
                <w:i w:val="0"/>
                <w:iCs w:val="0"/>
                <w:color w:val="000000"/>
                <w:kern w:val="0"/>
                <w:sz w:val="20"/>
                <w:szCs w:val="20"/>
                <w:u w:val="none"/>
                <w:lang w:val="en-US" w:eastAsia="zh-CN" w:bidi="ar"/>
              </w:rPr>
              <w:t>…</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1ECF1">
            <w:pPr>
              <w:jc w:val="center"/>
              <w:rPr>
                <w:rFonts w:hint="eastAsia" w:ascii="宋体" w:hAnsi="宋体" w:eastAsia="宋体" w:cs="宋体"/>
                <w:i w:val="0"/>
                <w:iCs w:val="0"/>
                <w:color w:val="000000"/>
                <w:sz w:val="20"/>
                <w:szCs w:val="20"/>
                <w:u w:val="none"/>
              </w:rPr>
            </w:pPr>
          </w:p>
        </w:tc>
      </w:tr>
      <w:tr w14:paraId="619A5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1A0D2">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D2A85">
            <w:pPr>
              <w:jc w:val="center"/>
              <w:rPr>
                <w:rFonts w:hint="eastAsia" w:ascii="宋体" w:hAnsi="宋体" w:eastAsia="宋体" w:cs="宋体"/>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7D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1E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指标1：项目总成本</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AA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27.5万元</w:t>
            </w:r>
          </w:p>
        </w:tc>
      </w:tr>
      <w:tr w14:paraId="05516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E6FA6">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245F3">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F06C2">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3E25">
            <w:pPr>
              <w:keepNext w:val="0"/>
              <w:keepLines w:val="0"/>
              <w:widowControl/>
              <w:suppressLineNumbers w:val="0"/>
              <w:jc w:val="left"/>
              <w:textAlignment w:val="center"/>
              <w:rPr>
                <w:rFonts w:hint="default" w:ascii="汉仪中秀体简" w:hAnsi="汉仪中秀体简" w:eastAsia="汉仪中秀体简" w:cs="汉仪中秀体简"/>
                <w:i w:val="0"/>
                <w:iCs w:val="0"/>
                <w:color w:val="000000"/>
                <w:sz w:val="20"/>
                <w:szCs w:val="20"/>
                <w:u w:val="none"/>
              </w:rPr>
            </w:pPr>
            <w:r>
              <w:rPr>
                <w:rFonts w:hint="default" w:ascii="汉仪中秀体简" w:hAnsi="汉仪中秀体简" w:eastAsia="汉仪中秀体简" w:cs="汉仪中秀体简"/>
                <w:i w:val="0"/>
                <w:iCs w:val="0"/>
                <w:color w:val="000000"/>
                <w:kern w:val="0"/>
                <w:sz w:val="20"/>
                <w:szCs w:val="20"/>
                <w:u w:val="none"/>
                <w:lang w:val="en-US" w:eastAsia="zh-CN" w:bidi="ar"/>
              </w:rPr>
              <w:t>…</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B2435">
            <w:pPr>
              <w:jc w:val="center"/>
              <w:rPr>
                <w:rFonts w:hint="eastAsia" w:ascii="宋体" w:hAnsi="宋体" w:eastAsia="宋体" w:cs="宋体"/>
                <w:i w:val="0"/>
                <w:iCs w:val="0"/>
                <w:color w:val="000000"/>
                <w:sz w:val="20"/>
                <w:szCs w:val="20"/>
                <w:u w:val="none"/>
              </w:rPr>
            </w:pPr>
          </w:p>
        </w:tc>
      </w:tr>
      <w:tr w14:paraId="6224D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A89A6">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30F8E">
            <w:pPr>
              <w:jc w:val="center"/>
              <w:rPr>
                <w:rFonts w:hint="eastAsia" w:ascii="宋体" w:hAnsi="宋体" w:eastAsia="宋体" w:cs="宋体"/>
                <w:i w:val="0"/>
                <w:iCs w:val="0"/>
                <w:color w:val="000000"/>
                <w:sz w:val="20"/>
                <w:szCs w:val="20"/>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B1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72EC">
            <w:pPr>
              <w:jc w:val="left"/>
              <w:rPr>
                <w:rFonts w:hint="eastAsia" w:ascii="宋体" w:hAnsi="宋体" w:eastAsia="宋体" w:cs="宋体"/>
                <w:i w:val="0"/>
                <w:iCs w:val="0"/>
                <w:color w:val="000000"/>
                <w:sz w:val="20"/>
                <w:szCs w:val="20"/>
                <w:u w:val="none"/>
              </w:rPr>
            </w:pP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03F7A">
            <w:pPr>
              <w:jc w:val="center"/>
              <w:rPr>
                <w:rFonts w:hint="eastAsia" w:ascii="宋体" w:hAnsi="宋体" w:eastAsia="宋体" w:cs="宋体"/>
                <w:i w:val="0"/>
                <w:iCs w:val="0"/>
                <w:color w:val="000000"/>
                <w:sz w:val="20"/>
                <w:szCs w:val="20"/>
                <w:u w:val="none"/>
              </w:rPr>
            </w:pPr>
          </w:p>
        </w:tc>
      </w:tr>
      <w:tr w14:paraId="06B5B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E5CA6">
            <w:pPr>
              <w:jc w:val="center"/>
              <w:rPr>
                <w:rFonts w:hint="eastAsia" w:ascii="宋体" w:hAnsi="宋体" w:eastAsia="宋体" w:cs="宋体"/>
                <w:i w:val="0"/>
                <w:iCs w:val="0"/>
                <w:color w:val="000000"/>
                <w:sz w:val="20"/>
                <w:szCs w:val="20"/>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070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60E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9D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指标1：推动地方经济发展</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F5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影响较好</w:t>
            </w:r>
          </w:p>
        </w:tc>
      </w:tr>
      <w:tr w14:paraId="2A6A2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31B05">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9F2BB">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2B791">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E68C">
            <w:pPr>
              <w:keepNext w:val="0"/>
              <w:keepLines w:val="0"/>
              <w:widowControl/>
              <w:suppressLineNumbers w:val="0"/>
              <w:jc w:val="left"/>
              <w:textAlignment w:val="center"/>
              <w:rPr>
                <w:rFonts w:hint="default" w:ascii="汉仪中秀体简" w:hAnsi="汉仪中秀体简" w:eastAsia="汉仪中秀体简" w:cs="汉仪中秀体简"/>
                <w:i w:val="0"/>
                <w:iCs w:val="0"/>
                <w:color w:val="000000"/>
                <w:sz w:val="20"/>
                <w:szCs w:val="20"/>
                <w:u w:val="none"/>
              </w:rPr>
            </w:pPr>
            <w:r>
              <w:rPr>
                <w:rFonts w:hint="default" w:ascii="汉仪中秀体简" w:hAnsi="汉仪中秀体简" w:eastAsia="汉仪中秀体简" w:cs="汉仪中秀体简"/>
                <w:i w:val="0"/>
                <w:iCs w:val="0"/>
                <w:color w:val="000000"/>
                <w:kern w:val="0"/>
                <w:sz w:val="20"/>
                <w:szCs w:val="20"/>
                <w:u w:val="none"/>
                <w:lang w:val="en-US" w:eastAsia="zh-CN" w:bidi="ar"/>
              </w:rPr>
              <w:t>…</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B27CF">
            <w:pPr>
              <w:jc w:val="center"/>
              <w:rPr>
                <w:rFonts w:hint="eastAsia" w:ascii="宋体" w:hAnsi="宋体" w:eastAsia="宋体" w:cs="宋体"/>
                <w:i w:val="0"/>
                <w:iCs w:val="0"/>
                <w:color w:val="000000"/>
                <w:sz w:val="20"/>
                <w:szCs w:val="20"/>
                <w:u w:val="none"/>
              </w:rPr>
            </w:pPr>
          </w:p>
        </w:tc>
      </w:tr>
      <w:tr w14:paraId="212BB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76B91">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3CAFD">
            <w:pPr>
              <w:jc w:val="center"/>
              <w:rPr>
                <w:rFonts w:hint="eastAsia" w:ascii="宋体" w:hAnsi="宋体" w:eastAsia="宋体" w:cs="宋体"/>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1DE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D5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指标1：对保障机构正常运转的影响程度</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74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影响较好</w:t>
            </w:r>
          </w:p>
        </w:tc>
      </w:tr>
      <w:tr w14:paraId="5C2F5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7A0F5">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2F025">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2D36B">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0E85">
            <w:pPr>
              <w:keepNext w:val="0"/>
              <w:keepLines w:val="0"/>
              <w:widowControl/>
              <w:suppressLineNumbers w:val="0"/>
              <w:jc w:val="left"/>
              <w:textAlignment w:val="center"/>
              <w:rPr>
                <w:rFonts w:hint="default" w:ascii="汉仪中秀体简" w:hAnsi="汉仪中秀体简" w:eastAsia="汉仪中秀体简" w:cs="汉仪中秀体简"/>
                <w:i w:val="0"/>
                <w:iCs w:val="0"/>
                <w:color w:val="000000"/>
                <w:sz w:val="20"/>
                <w:szCs w:val="20"/>
                <w:u w:val="none"/>
              </w:rPr>
            </w:pPr>
            <w:r>
              <w:rPr>
                <w:rFonts w:hint="default" w:ascii="汉仪中秀体简" w:hAnsi="汉仪中秀体简" w:eastAsia="汉仪中秀体简" w:cs="汉仪中秀体简"/>
                <w:i w:val="0"/>
                <w:iCs w:val="0"/>
                <w:color w:val="000000"/>
                <w:kern w:val="0"/>
                <w:sz w:val="20"/>
                <w:szCs w:val="20"/>
                <w:u w:val="none"/>
                <w:lang w:val="en-US" w:eastAsia="zh-CN" w:bidi="ar"/>
              </w:rPr>
              <w:t>…</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8F218">
            <w:pPr>
              <w:jc w:val="center"/>
              <w:rPr>
                <w:rFonts w:hint="eastAsia" w:ascii="宋体" w:hAnsi="宋体" w:eastAsia="宋体" w:cs="宋体"/>
                <w:i w:val="0"/>
                <w:iCs w:val="0"/>
                <w:color w:val="000000"/>
                <w:sz w:val="20"/>
                <w:szCs w:val="20"/>
                <w:u w:val="none"/>
              </w:rPr>
            </w:pPr>
          </w:p>
        </w:tc>
      </w:tr>
      <w:tr w14:paraId="3E031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E1A4F">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B7D3F">
            <w:pPr>
              <w:jc w:val="center"/>
              <w:rPr>
                <w:rFonts w:hint="eastAsia" w:ascii="宋体" w:hAnsi="宋体" w:eastAsia="宋体" w:cs="宋体"/>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F0D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41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指标1：不适用</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F8ECB">
            <w:pPr>
              <w:jc w:val="center"/>
              <w:rPr>
                <w:rFonts w:hint="eastAsia" w:ascii="宋体" w:hAnsi="宋体" w:eastAsia="宋体" w:cs="宋体"/>
                <w:i w:val="0"/>
                <w:iCs w:val="0"/>
                <w:color w:val="000000"/>
                <w:sz w:val="20"/>
                <w:szCs w:val="20"/>
                <w:u w:val="none"/>
              </w:rPr>
            </w:pPr>
          </w:p>
        </w:tc>
      </w:tr>
      <w:tr w14:paraId="2308A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39759">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E9923">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8BBEC">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37C9">
            <w:pPr>
              <w:keepNext w:val="0"/>
              <w:keepLines w:val="0"/>
              <w:widowControl/>
              <w:suppressLineNumbers w:val="0"/>
              <w:jc w:val="left"/>
              <w:textAlignment w:val="center"/>
              <w:rPr>
                <w:rFonts w:hint="default" w:ascii="汉仪中秀体简" w:hAnsi="汉仪中秀体简" w:eastAsia="汉仪中秀体简" w:cs="汉仪中秀体简"/>
                <w:i w:val="0"/>
                <w:iCs w:val="0"/>
                <w:color w:val="000000"/>
                <w:sz w:val="20"/>
                <w:szCs w:val="20"/>
                <w:u w:val="none"/>
              </w:rPr>
            </w:pPr>
            <w:r>
              <w:rPr>
                <w:rFonts w:hint="default" w:ascii="汉仪中秀体简" w:hAnsi="汉仪中秀体简" w:eastAsia="汉仪中秀体简" w:cs="汉仪中秀体简"/>
                <w:i w:val="0"/>
                <w:iCs w:val="0"/>
                <w:color w:val="000000"/>
                <w:kern w:val="0"/>
                <w:sz w:val="20"/>
                <w:szCs w:val="20"/>
                <w:u w:val="none"/>
                <w:lang w:val="en-US" w:eastAsia="zh-CN" w:bidi="ar"/>
              </w:rPr>
              <w:t>…</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D5561">
            <w:pPr>
              <w:jc w:val="left"/>
              <w:rPr>
                <w:rFonts w:hint="default" w:ascii="汉仪中秀体简" w:hAnsi="汉仪中秀体简" w:eastAsia="汉仪中秀体简" w:cs="汉仪中秀体简"/>
                <w:i w:val="0"/>
                <w:iCs w:val="0"/>
                <w:color w:val="000000"/>
                <w:sz w:val="20"/>
                <w:szCs w:val="20"/>
                <w:u w:val="none"/>
              </w:rPr>
            </w:pPr>
          </w:p>
        </w:tc>
      </w:tr>
      <w:tr w14:paraId="5FD35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CA72A">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1BC90">
            <w:pPr>
              <w:jc w:val="center"/>
              <w:rPr>
                <w:rFonts w:hint="eastAsia" w:ascii="宋体" w:hAnsi="宋体" w:eastAsia="宋体" w:cs="宋体"/>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DC3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3E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指标1：可持续影响</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61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影响较好</w:t>
            </w:r>
          </w:p>
        </w:tc>
      </w:tr>
      <w:tr w14:paraId="7DE52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D7A95">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3D98F">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E5003">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0D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22FDD">
            <w:pPr>
              <w:jc w:val="center"/>
              <w:rPr>
                <w:rFonts w:hint="eastAsia" w:ascii="宋体" w:hAnsi="宋体" w:eastAsia="宋体" w:cs="宋体"/>
                <w:i w:val="0"/>
                <w:iCs w:val="0"/>
                <w:color w:val="000000"/>
                <w:sz w:val="20"/>
                <w:szCs w:val="20"/>
                <w:u w:val="none"/>
              </w:rPr>
            </w:pPr>
          </w:p>
        </w:tc>
      </w:tr>
      <w:tr w14:paraId="23312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0DD25">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39C75">
            <w:pPr>
              <w:jc w:val="center"/>
              <w:rPr>
                <w:rFonts w:hint="eastAsia" w:ascii="宋体" w:hAnsi="宋体" w:eastAsia="宋体" w:cs="宋体"/>
                <w:i w:val="0"/>
                <w:iCs w:val="0"/>
                <w:color w:val="000000"/>
                <w:sz w:val="20"/>
                <w:szCs w:val="20"/>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F8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EE47">
            <w:pPr>
              <w:jc w:val="left"/>
              <w:rPr>
                <w:rFonts w:hint="eastAsia" w:ascii="宋体" w:hAnsi="宋体" w:eastAsia="宋体" w:cs="宋体"/>
                <w:i w:val="0"/>
                <w:iCs w:val="0"/>
                <w:color w:val="000000"/>
                <w:sz w:val="20"/>
                <w:szCs w:val="20"/>
                <w:u w:val="none"/>
              </w:rPr>
            </w:pP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7B3F3">
            <w:pPr>
              <w:jc w:val="center"/>
              <w:rPr>
                <w:rFonts w:hint="eastAsia" w:ascii="宋体" w:hAnsi="宋体" w:eastAsia="宋体" w:cs="宋体"/>
                <w:i w:val="0"/>
                <w:iCs w:val="0"/>
                <w:color w:val="000000"/>
                <w:sz w:val="20"/>
                <w:szCs w:val="20"/>
                <w:u w:val="none"/>
              </w:rPr>
            </w:pPr>
          </w:p>
        </w:tc>
      </w:tr>
      <w:tr w14:paraId="3A324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711D5">
            <w:pPr>
              <w:jc w:val="center"/>
              <w:rPr>
                <w:rFonts w:hint="eastAsia" w:ascii="宋体" w:hAnsi="宋体" w:eastAsia="宋体" w:cs="宋体"/>
                <w:i w:val="0"/>
                <w:iCs w:val="0"/>
                <w:color w:val="000000"/>
                <w:sz w:val="20"/>
                <w:szCs w:val="20"/>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49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0B9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CC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指标1：群众对食品安全满意度</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74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p>
        </w:tc>
      </w:tr>
      <w:tr w14:paraId="11A98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CD406">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BF8ED">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A50E3">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EF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3FC5C">
            <w:pPr>
              <w:jc w:val="center"/>
              <w:rPr>
                <w:rFonts w:hint="eastAsia" w:ascii="宋体" w:hAnsi="宋体" w:eastAsia="宋体" w:cs="宋体"/>
                <w:i w:val="0"/>
                <w:iCs w:val="0"/>
                <w:color w:val="000000"/>
                <w:sz w:val="20"/>
                <w:szCs w:val="20"/>
                <w:u w:val="none"/>
              </w:rPr>
            </w:pPr>
          </w:p>
        </w:tc>
      </w:tr>
    </w:tbl>
    <w:p w14:paraId="3CCCAF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21"/>
          <w:szCs w:val="21"/>
        </w:rPr>
      </w:pPr>
      <w:bookmarkStart w:id="0" w:name="_GoBack"/>
      <w:bookmarkEnd w:id="0"/>
      <w:r>
        <w:rPr>
          <w:rFonts w:hint="eastAsia" w:ascii="仿宋" w:hAnsi="仿宋" w:eastAsia="仿宋" w:cs="仿宋"/>
          <w:i w:val="0"/>
          <w:iCs w:val="0"/>
          <w:caps w:val="0"/>
          <w:color w:val="333333"/>
          <w:spacing w:val="0"/>
          <w:sz w:val="32"/>
          <w:szCs w:val="32"/>
          <w:shd w:val="clear" w:fill="FFFFFF"/>
        </w:rPr>
        <w:t> </w:t>
      </w:r>
    </w:p>
    <w:p w14:paraId="7503EC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（二）机关运行经费。</w:t>
      </w:r>
    </w:p>
    <w:p w14:paraId="2A50D9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21"/>
          <w:szCs w:val="21"/>
          <w:highlight w:val="none"/>
        </w:rPr>
      </w:pPr>
      <w:r>
        <w:rPr>
          <w:rFonts w:hint="eastAsia" w:ascii="仿宋" w:hAnsi="仿宋" w:eastAsia="仿宋" w:cs="仿宋"/>
          <w:i w:val="0"/>
          <w:iCs w:val="0"/>
          <w:caps w:val="0"/>
          <w:color w:val="333333"/>
          <w:spacing w:val="0"/>
          <w:sz w:val="32"/>
          <w:szCs w:val="32"/>
          <w:highlight w:val="none"/>
          <w:shd w:val="clear" w:fill="FFFFFF"/>
        </w:rPr>
        <w:t>烈山区市场监督管理局</w:t>
      </w:r>
      <w:r>
        <w:rPr>
          <w:rFonts w:hint="eastAsia" w:ascii="仿宋" w:hAnsi="仿宋" w:eastAsia="仿宋" w:cs="仿宋"/>
          <w:i w:val="0"/>
          <w:iCs w:val="0"/>
          <w:caps w:val="0"/>
          <w:color w:val="333333"/>
          <w:spacing w:val="0"/>
          <w:sz w:val="32"/>
          <w:szCs w:val="32"/>
          <w:highlight w:val="none"/>
          <w:shd w:val="clear" w:fill="FFFFFF"/>
          <w:lang w:eastAsia="zh-CN"/>
        </w:rPr>
        <w:t>2023</w:t>
      </w:r>
      <w:r>
        <w:rPr>
          <w:rFonts w:hint="eastAsia" w:ascii="仿宋" w:hAnsi="仿宋" w:eastAsia="仿宋" w:cs="仿宋"/>
          <w:i w:val="0"/>
          <w:iCs w:val="0"/>
          <w:caps w:val="0"/>
          <w:color w:val="333333"/>
          <w:spacing w:val="0"/>
          <w:sz w:val="32"/>
          <w:szCs w:val="32"/>
          <w:highlight w:val="none"/>
          <w:shd w:val="clear" w:fill="FFFFFF"/>
        </w:rPr>
        <w:t>年机关运行经费财政拨款预算102.68万元，比</w:t>
      </w:r>
      <w:r>
        <w:rPr>
          <w:rFonts w:hint="eastAsia" w:ascii="仿宋" w:hAnsi="仿宋" w:eastAsia="仿宋" w:cs="仿宋"/>
          <w:i w:val="0"/>
          <w:iCs w:val="0"/>
          <w:caps w:val="0"/>
          <w:color w:val="333333"/>
          <w:spacing w:val="0"/>
          <w:sz w:val="32"/>
          <w:szCs w:val="32"/>
          <w:highlight w:val="none"/>
          <w:shd w:val="clear" w:fill="FFFFFF"/>
          <w:lang w:eastAsia="zh-CN"/>
        </w:rPr>
        <w:t>2022</w:t>
      </w:r>
      <w:r>
        <w:rPr>
          <w:rFonts w:hint="eastAsia" w:ascii="仿宋" w:hAnsi="仿宋" w:eastAsia="仿宋" w:cs="仿宋"/>
          <w:i w:val="0"/>
          <w:iCs w:val="0"/>
          <w:caps w:val="0"/>
          <w:color w:val="333333"/>
          <w:spacing w:val="0"/>
          <w:sz w:val="32"/>
          <w:szCs w:val="32"/>
          <w:highlight w:val="none"/>
          <w:shd w:val="clear" w:fill="FFFFFF"/>
        </w:rPr>
        <w:t>年减少8.7万元，下降7.81%，原因主要是</w:t>
      </w:r>
      <w:r>
        <w:rPr>
          <w:rFonts w:hint="eastAsia" w:ascii="仿宋" w:hAnsi="仿宋" w:eastAsia="仿宋" w:cs="仿宋"/>
          <w:i w:val="0"/>
          <w:iCs w:val="0"/>
          <w:caps w:val="0"/>
          <w:color w:val="333333"/>
          <w:spacing w:val="0"/>
          <w:sz w:val="32"/>
          <w:szCs w:val="32"/>
          <w:highlight w:val="none"/>
          <w:shd w:val="clear" w:fill="FFFFFF"/>
          <w:lang w:eastAsia="zh-CN"/>
        </w:rPr>
        <w:t>节省开支</w:t>
      </w:r>
      <w:r>
        <w:rPr>
          <w:rFonts w:hint="eastAsia" w:ascii="仿宋" w:hAnsi="仿宋" w:eastAsia="仿宋" w:cs="仿宋"/>
          <w:i w:val="0"/>
          <w:iCs w:val="0"/>
          <w:caps w:val="0"/>
          <w:color w:val="333333"/>
          <w:spacing w:val="0"/>
          <w:sz w:val="32"/>
          <w:szCs w:val="32"/>
          <w:highlight w:val="none"/>
          <w:shd w:val="clear" w:fill="FFFFFF"/>
        </w:rPr>
        <w:t>。</w:t>
      </w:r>
    </w:p>
    <w:p w14:paraId="022A0B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Times New Roman" w:hAnsi="Times New Roman" w:cs="Times New Roman"/>
          <w:i w:val="0"/>
          <w:iCs w:val="0"/>
          <w:caps w:val="0"/>
          <w:color w:val="000000" w:themeColor="text1"/>
          <w:spacing w:val="0"/>
          <w:sz w:val="21"/>
          <w:szCs w:val="21"/>
          <w:highlight w:val="none"/>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highlight w:val="none"/>
          <w:shd w:val="clear" w:fill="FFFFFF"/>
          <w14:textFill>
            <w14:solidFill>
              <w14:schemeClr w14:val="tx1"/>
            </w14:solidFill>
          </w14:textFill>
        </w:rPr>
        <w:t>（三）政府采购情况。</w:t>
      </w:r>
    </w:p>
    <w:p w14:paraId="03956D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themeColor="text1"/>
          <w:spacing w:val="0"/>
          <w:sz w:val="21"/>
          <w:szCs w:val="21"/>
          <w:highlight w:val="none"/>
          <w14:textFill>
            <w14:solidFill>
              <w14:schemeClr w14:val="tx1"/>
            </w14:solidFill>
          </w14:textFill>
        </w:rPr>
      </w:pPr>
      <w:r>
        <w:rPr>
          <w:rFonts w:hint="eastAsia" w:ascii="仿宋" w:hAnsi="仿宋" w:eastAsia="仿宋" w:cs="仿宋"/>
          <w:i w:val="0"/>
          <w:iCs w:val="0"/>
          <w:caps w:val="0"/>
          <w:color w:val="000000" w:themeColor="text1"/>
          <w:spacing w:val="0"/>
          <w:sz w:val="32"/>
          <w:szCs w:val="32"/>
          <w:highlight w:val="none"/>
          <w:shd w:val="clear" w:fill="FFFFFF"/>
          <w14:textFill>
            <w14:solidFill>
              <w14:schemeClr w14:val="tx1"/>
            </w14:solidFill>
          </w14:textFill>
        </w:rPr>
        <w:t>烈山区市场监督管理局</w:t>
      </w:r>
      <w:r>
        <w:rPr>
          <w:rFonts w:hint="eastAsia" w:ascii="仿宋" w:hAnsi="仿宋" w:eastAsia="仿宋" w:cs="仿宋"/>
          <w:i w:val="0"/>
          <w:iCs w:val="0"/>
          <w:caps w:val="0"/>
          <w:color w:val="000000" w:themeColor="text1"/>
          <w:spacing w:val="0"/>
          <w:sz w:val="32"/>
          <w:szCs w:val="32"/>
          <w:highlight w:val="none"/>
          <w:shd w:val="clear" w:fill="FFFFFF"/>
          <w:lang w:eastAsia="zh-CN"/>
          <w14:textFill>
            <w14:solidFill>
              <w14:schemeClr w14:val="tx1"/>
            </w14:solidFill>
          </w14:textFill>
        </w:rPr>
        <w:t>2023</w:t>
      </w:r>
      <w:r>
        <w:rPr>
          <w:rFonts w:hint="eastAsia" w:ascii="仿宋" w:hAnsi="仿宋" w:eastAsia="仿宋" w:cs="仿宋"/>
          <w:i w:val="0"/>
          <w:iCs w:val="0"/>
          <w:caps w:val="0"/>
          <w:color w:val="000000" w:themeColor="text1"/>
          <w:spacing w:val="0"/>
          <w:sz w:val="32"/>
          <w:szCs w:val="32"/>
          <w:highlight w:val="none"/>
          <w:shd w:val="clear" w:fill="FFFFFF"/>
          <w14:textFill>
            <w14:solidFill>
              <w14:schemeClr w14:val="tx1"/>
            </w14:solidFill>
          </w14:textFill>
        </w:rPr>
        <w:t>年各部门政府采购预算总额</w:t>
      </w:r>
      <w:r>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t>0</w:t>
      </w:r>
      <w:r>
        <w:rPr>
          <w:rFonts w:hint="eastAsia" w:ascii="仿宋" w:hAnsi="仿宋" w:eastAsia="仿宋" w:cs="仿宋"/>
          <w:i w:val="0"/>
          <w:iCs w:val="0"/>
          <w:caps w:val="0"/>
          <w:color w:val="000000" w:themeColor="text1"/>
          <w:spacing w:val="0"/>
          <w:sz w:val="32"/>
          <w:szCs w:val="32"/>
          <w:highlight w:val="none"/>
          <w:shd w:val="clear" w:fill="FFFFFF"/>
          <w14:textFill>
            <w14:solidFill>
              <w14:schemeClr w14:val="tx1"/>
            </w14:solidFill>
          </w14:textFill>
        </w:rPr>
        <w:t>万元。其中：政府采购货物预算0万元，政府采购工程预算0万元，政府采购服务预算</w:t>
      </w:r>
      <w:r>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t>0</w:t>
      </w:r>
      <w:r>
        <w:rPr>
          <w:rFonts w:hint="eastAsia" w:ascii="仿宋" w:hAnsi="仿宋" w:eastAsia="仿宋" w:cs="仿宋"/>
          <w:i w:val="0"/>
          <w:iCs w:val="0"/>
          <w:caps w:val="0"/>
          <w:color w:val="000000" w:themeColor="text1"/>
          <w:spacing w:val="0"/>
          <w:sz w:val="32"/>
          <w:szCs w:val="32"/>
          <w:highlight w:val="none"/>
          <w:shd w:val="clear" w:fill="FFFFFF"/>
          <w14:textFill>
            <w14:solidFill>
              <w14:schemeClr w14:val="tx1"/>
            </w14:solidFill>
          </w14:textFill>
        </w:rPr>
        <w:t>万元。</w:t>
      </w:r>
    </w:p>
    <w:p w14:paraId="6036B9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Times New Roman" w:hAnsi="Times New Roman" w:cs="Times New Roman"/>
          <w:i w:val="0"/>
          <w:iCs w:val="0"/>
          <w:caps w:val="0"/>
          <w:color w:val="333333"/>
          <w:spacing w:val="0"/>
          <w:sz w:val="21"/>
          <w:szCs w:val="21"/>
          <w:highlight w:val="none"/>
        </w:rPr>
      </w:pPr>
      <w:r>
        <w:rPr>
          <w:rFonts w:hint="eastAsia" w:ascii="仿宋" w:hAnsi="仿宋" w:eastAsia="仿宋" w:cs="仿宋"/>
          <w:b/>
          <w:bCs/>
          <w:i w:val="0"/>
          <w:iCs w:val="0"/>
          <w:caps w:val="0"/>
          <w:color w:val="333333"/>
          <w:spacing w:val="0"/>
          <w:sz w:val="32"/>
          <w:szCs w:val="32"/>
          <w:highlight w:val="none"/>
          <w:shd w:val="clear" w:fill="FFFFFF"/>
        </w:rPr>
        <w:t>（四）政府购买服务情况。</w:t>
      </w:r>
    </w:p>
    <w:p w14:paraId="78532B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21"/>
          <w:szCs w:val="21"/>
          <w:highlight w:val="none"/>
        </w:rPr>
      </w:pPr>
      <w:r>
        <w:rPr>
          <w:rFonts w:hint="eastAsia" w:ascii="仿宋" w:hAnsi="仿宋" w:eastAsia="仿宋" w:cs="仿宋"/>
          <w:i w:val="0"/>
          <w:iCs w:val="0"/>
          <w:caps w:val="0"/>
          <w:color w:val="333333"/>
          <w:spacing w:val="0"/>
          <w:sz w:val="32"/>
          <w:szCs w:val="32"/>
          <w:highlight w:val="none"/>
          <w:shd w:val="clear" w:fill="FFFFFF"/>
        </w:rPr>
        <w:t>烈山区市场监督管理局</w:t>
      </w:r>
      <w:r>
        <w:rPr>
          <w:rFonts w:hint="eastAsia" w:ascii="仿宋" w:hAnsi="仿宋" w:eastAsia="仿宋" w:cs="仿宋"/>
          <w:i w:val="0"/>
          <w:iCs w:val="0"/>
          <w:caps w:val="0"/>
          <w:color w:val="333333"/>
          <w:spacing w:val="0"/>
          <w:sz w:val="32"/>
          <w:szCs w:val="32"/>
          <w:highlight w:val="none"/>
          <w:shd w:val="clear" w:fill="FFFFFF"/>
          <w:lang w:eastAsia="zh-CN"/>
        </w:rPr>
        <w:t>2023</w:t>
      </w:r>
      <w:r>
        <w:rPr>
          <w:rFonts w:hint="eastAsia" w:ascii="仿宋" w:hAnsi="仿宋" w:eastAsia="仿宋" w:cs="仿宋"/>
          <w:i w:val="0"/>
          <w:iCs w:val="0"/>
          <w:caps w:val="0"/>
          <w:color w:val="333333"/>
          <w:spacing w:val="0"/>
          <w:sz w:val="32"/>
          <w:szCs w:val="32"/>
          <w:highlight w:val="none"/>
          <w:shd w:val="clear" w:fill="FFFFFF"/>
        </w:rPr>
        <w:t>年各部门政府购买服务预算总额</w:t>
      </w:r>
      <w:r>
        <w:rPr>
          <w:rFonts w:hint="eastAsia" w:ascii="仿宋" w:hAnsi="仿宋" w:eastAsia="仿宋" w:cs="仿宋"/>
          <w:i w:val="0"/>
          <w:iCs w:val="0"/>
          <w:caps w:val="0"/>
          <w:color w:val="333333"/>
          <w:spacing w:val="0"/>
          <w:sz w:val="32"/>
          <w:szCs w:val="32"/>
          <w:highlight w:val="none"/>
          <w:shd w:val="clear" w:fill="FFFFFF"/>
          <w:lang w:val="en-US" w:eastAsia="zh-CN"/>
        </w:rPr>
        <w:t>0</w:t>
      </w:r>
      <w:r>
        <w:rPr>
          <w:rFonts w:hint="eastAsia" w:ascii="仿宋" w:hAnsi="仿宋" w:eastAsia="仿宋" w:cs="仿宋"/>
          <w:i w:val="0"/>
          <w:iCs w:val="0"/>
          <w:caps w:val="0"/>
          <w:color w:val="333333"/>
          <w:spacing w:val="0"/>
          <w:sz w:val="32"/>
          <w:szCs w:val="32"/>
          <w:highlight w:val="none"/>
          <w:shd w:val="clear" w:fill="FFFFFF"/>
        </w:rPr>
        <w:t>万元。其中：基本公共服务0万元、社会管理性服务0万元、行业管理与协调性服务0万元、技术性服务</w:t>
      </w:r>
      <w:r>
        <w:rPr>
          <w:rFonts w:hint="eastAsia" w:ascii="仿宋" w:hAnsi="仿宋" w:eastAsia="仿宋" w:cs="仿宋"/>
          <w:i w:val="0"/>
          <w:iCs w:val="0"/>
          <w:caps w:val="0"/>
          <w:color w:val="333333"/>
          <w:spacing w:val="0"/>
          <w:sz w:val="32"/>
          <w:szCs w:val="32"/>
          <w:highlight w:val="none"/>
          <w:shd w:val="clear" w:fill="FFFFFF"/>
          <w:lang w:val="en-US" w:eastAsia="zh-CN"/>
        </w:rPr>
        <w:t>0</w:t>
      </w:r>
      <w:r>
        <w:rPr>
          <w:rFonts w:hint="eastAsia" w:ascii="仿宋" w:hAnsi="仿宋" w:eastAsia="仿宋" w:cs="仿宋"/>
          <w:i w:val="0"/>
          <w:iCs w:val="0"/>
          <w:caps w:val="0"/>
          <w:color w:val="333333"/>
          <w:spacing w:val="0"/>
          <w:sz w:val="32"/>
          <w:szCs w:val="32"/>
          <w:highlight w:val="none"/>
          <w:shd w:val="clear" w:fill="FFFFFF"/>
        </w:rPr>
        <w:t>万元、政府履职所需辅助性事项0万元、其他适宜由社会力量承担的服务事项0万元。</w:t>
      </w:r>
    </w:p>
    <w:p w14:paraId="50FF62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Times New Roman" w:hAnsi="Times New Roman" w:cs="Times New Roman"/>
          <w:i w:val="0"/>
          <w:iCs w:val="0"/>
          <w:caps w:val="0"/>
          <w:color w:val="333333"/>
          <w:spacing w:val="0"/>
          <w:sz w:val="21"/>
          <w:szCs w:val="21"/>
          <w:highlight w:val="none"/>
        </w:rPr>
      </w:pPr>
      <w:r>
        <w:rPr>
          <w:rFonts w:hint="eastAsia" w:ascii="仿宋" w:hAnsi="仿宋" w:eastAsia="仿宋" w:cs="仿宋"/>
          <w:b/>
          <w:bCs/>
          <w:i w:val="0"/>
          <w:iCs w:val="0"/>
          <w:caps w:val="0"/>
          <w:color w:val="333333"/>
          <w:spacing w:val="0"/>
          <w:sz w:val="32"/>
          <w:szCs w:val="32"/>
          <w:highlight w:val="none"/>
          <w:shd w:val="clear" w:fill="FFFFFF"/>
        </w:rPr>
        <w:t>（五）国有资产占有使用情况。</w:t>
      </w:r>
    </w:p>
    <w:p w14:paraId="1976B5F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截至2022年12月31日，</w:t>
      </w:r>
      <w:r>
        <w:rPr>
          <w:rFonts w:hint="eastAsia" w:ascii="TimesNewRoman" w:hAnsi="TimesNewRoman" w:eastAsia="仿宋_GB2312" w:cs="TimesNewRoman"/>
          <w:kern w:val="0"/>
          <w:sz w:val="32"/>
          <w:szCs w:val="32"/>
          <w:lang w:eastAsia="zh-CN"/>
        </w:rPr>
        <w:t>淮北市</w:t>
      </w:r>
      <w:r>
        <w:rPr>
          <w:rFonts w:hint="eastAsia" w:ascii="TimesNewRoman" w:hAnsi="TimesNewRoman" w:eastAsia="仿宋_GB2312" w:cs="TimesNewRoman"/>
          <w:kern w:val="0"/>
          <w:sz w:val="32"/>
          <w:szCs w:val="32"/>
          <w:lang w:val="en-US" w:eastAsia="zh-CN"/>
        </w:rPr>
        <w:t>烈山区市场监督管理局</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辆。</w:t>
      </w:r>
      <w:r>
        <w:rPr>
          <w:rFonts w:hint="eastAsia" w:ascii="TimesNewRoman" w:hAnsi="TimesNewRoman" w:eastAsia="仿宋_GB2312" w:cs="TimesNewRoman"/>
          <w:kern w:val="0"/>
          <w:sz w:val="32"/>
          <w:szCs w:val="32"/>
          <w:lang w:val="en-US" w:eastAsia="zh-CN"/>
        </w:rPr>
        <w:t>其中：执法执勤车辆5辆，</w:t>
      </w:r>
      <w:r>
        <w:rPr>
          <w:rFonts w:hint="eastAsia" w:ascii="TimesNewRoman" w:hAnsi="TimesNewRoman" w:eastAsia="仿宋_GB2312" w:cs="TimesNewRoman"/>
          <w:kern w:val="0"/>
          <w:sz w:val="32"/>
          <w:szCs w:val="32"/>
        </w:rPr>
        <w:t>单价50万元以上的通用设备</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台（套）。</w:t>
      </w:r>
    </w:p>
    <w:p w14:paraId="1AB513A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2023年</w:t>
      </w:r>
      <w:r>
        <w:rPr>
          <w:rFonts w:hint="eastAsia" w:ascii="TimesNewRoman" w:hAnsi="TimesNewRoman" w:eastAsia="仿宋_GB2312" w:cs="TimesNewRoman"/>
          <w:kern w:val="0"/>
          <w:sz w:val="32"/>
          <w:szCs w:val="32"/>
          <w:lang w:eastAsia="zh-CN"/>
        </w:rPr>
        <w:t>单位</w:t>
      </w:r>
      <w:r>
        <w:rPr>
          <w:rFonts w:hint="eastAsia" w:ascii="TimesNewRoman" w:hAnsi="TimesNewRoman" w:eastAsia="仿宋_GB2312" w:cs="TimesNewRoman"/>
          <w:kern w:val="0"/>
          <w:sz w:val="32"/>
          <w:szCs w:val="32"/>
        </w:rPr>
        <w:t>预算安排购置公务用车</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万元；安排购置单价100万元以上专用设备*台（套），购置费</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w:t>
      </w:r>
    </w:p>
    <w:p w14:paraId="1238F7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highlight w:val="none"/>
        </w:rPr>
      </w:pPr>
    </w:p>
    <w:p w14:paraId="3C13F7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 </w:t>
      </w:r>
    </w:p>
    <w:p w14:paraId="42A55E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（六）绩效目标设置情况。</w:t>
      </w:r>
    </w:p>
    <w:p w14:paraId="3081A2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i w:val="0"/>
          <w:iCs w:val="0"/>
          <w:caps w:val="0"/>
          <w:color w:val="FF0000"/>
          <w:spacing w:val="0"/>
          <w:sz w:val="32"/>
          <w:szCs w:val="32"/>
          <w:shd w:val="clear" w:fill="FFFFFF"/>
        </w:rPr>
        <w:t> </w:t>
      </w:r>
    </w:p>
    <w:p w14:paraId="535C25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烈山区市场监督管理局</w:t>
      </w:r>
      <w:r>
        <w:rPr>
          <w:rFonts w:hint="eastAsia" w:ascii="仿宋" w:hAnsi="仿宋" w:eastAsia="仿宋" w:cs="仿宋"/>
          <w:i w:val="0"/>
          <w:iCs w:val="0"/>
          <w:caps w:val="0"/>
          <w:color w:val="333333"/>
          <w:spacing w:val="0"/>
          <w:sz w:val="32"/>
          <w:szCs w:val="32"/>
          <w:shd w:val="clear" w:fill="FFFFFF"/>
          <w:lang w:eastAsia="zh-CN"/>
        </w:rPr>
        <w:t>2023</w:t>
      </w:r>
      <w:r>
        <w:rPr>
          <w:rFonts w:hint="eastAsia" w:ascii="仿宋" w:hAnsi="仿宋" w:eastAsia="仿宋" w:cs="仿宋"/>
          <w:i w:val="0"/>
          <w:iCs w:val="0"/>
          <w:caps w:val="0"/>
          <w:color w:val="333333"/>
          <w:spacing w:val="0"/>
          <w:sz w:val="32"/>
          <w:szCs w:val="32"/>
          <w:shd w:val="clear" w:fill="FFFFFF"/>
        </w:rPr>
        <w:t>年项目支出按规定设置支出绩效目标，其中，部门预算批复了食品药品安全“四员”专项经费1个项目支出绩效目标，涉及金额</w:t>
      </w:r>
      <w:r>
        <w:rPr>
          <w:rFonts w:hint="eastAsia" w:ascii="仿宋" w:hAnsi="仿宋" w:eastAsia="仿宋" w:cs="仿宋"/>
          <w:i w:val="0"/>
          <w:iCs w:val="0"/>
          <w:caps w:val="0"/>
          <w:color w:val="333333"/>
          <w:spacing w:val="0"/>
          <w:sz w:val="32"/>
          <w:szCs w:val="32"/>
          <w:shd w:val="clear" w:fill="FFFFFF"/>
          <w:lang w:val="en-US" w:eastAsia="zh-CN"/>
        </w:rPr>
        <w:t>34.8</w:t>
      </w:r>
      <w:r>
        <w:rPr>
          <w:rFonts w:hint="eastAsia" w:ascii="仿宋" w:hAnsi="仿宋" w:eastAsia="仿宋" w:cs="仿宋"/>
          <w:i w:val="0"/>
          <w:iCs w:val="0"/>
          <w:caps w:val="0"/>
          <w:color w:val="333333"/>
          <w:spacing w:val="0"/>
          <w:sz w:val="32"/>
          <w:szCs w:val="32"/>
          <w:shd w:val="clear" w:fill="FFFFFF"/>
        </w:rPr>
        <w:t>万元；其他项目实行部门自评或第三方评价。</w:t>
      </w:r>
    </w:p>
    <w:p w14:paraId="38C037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both"/>
        <w:rPr>
          <w:rFonts w:hint="default" w:ascii="Times New Roman" w:hAnsi="Times New Roman" w:cs="Times New Roman"/>
          <w:i w:val="0"/>
          <w:iCs w:val="0"/>
          <w:caps w:val="0"/>
          <w:color w:val="333333"/>
          <w:spacing w:val="0"/>
          <w:sz w:val="21"/>
          <w:szCs w:val="21"/>
        </w:rPr>
      </w:pPr>
    </w:p>
    <w:p w14:paraId="632FB0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黑体" w:hAnsi="宋体" w:eastAsia="黑体" w:cs="黑体"/>
          <w:i w:val="0"/>
          <w:iCs w:val="0"/>
          <w:caps w:val="0"/>
          <w:color w:val="333333"/>
          <w:spacing w:val="0"/>
          <w:sz w:val="36"/>
          <w:szCs w:val="36"/>
          <w:shd w:val="clear" w:fill="FFFFFF"/>
        </w:rPr>
        <w:t>第四部分 名词解释</w:t>
      </w:r>
    </w:p>
    <w:p w14:paraId="42FFEA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 </w:t>
      </w:r>
    </w:p>
    <w:p w14:paraId="7D1D42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一、一般公共预算收入</w:t>
      </w:r>
      <w:r>
        <w:rPr>
          <w:rFonts w:hint="eastAsia" w:ascii="仿宋" w:hAnsi="仿宋" w:eastAsia="仿宋" w:cs="仿宋"/>
          <w:b/>
          <w:bCs/>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指市财政当年拨付的资金，主要包括财政拨款收入、纳入国库管理的非税收入。</w:t>
      </w:r>
    </w:p>
    <w:p w14:paraId="065F9B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7"/>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二、纳入专户管理非税收入：</w:t>
      </w:r>
      <w:r>
        <w:rPr>
          <w:rFonts w:hint="eastAsia" w:ascii="仿宋" w:hAnsi="仿宋" w:eastAsia="仿宋" w:cs="仿宋"/>
          <w:i w:val="0"/>
          <w:iCs w:val="0"/>
          <w:caps w:val="0"/>
          <w:color w:val="333333"/>
          <w:spacing w:val="0"/>
          <w:sz w:val="32"/>
          <w:szCs w:val="32"/>
          <w:shd w:val="clear" w:fill="FFFFFF"/>
        </w:rPr>
        <w:t>指按照非税收入管理相关规定，纳入专户管理的收费等。</w:t>
      </w:r>
    </w:p>
    <w:p w14:paraId="762AAE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7"/>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三、基本支出</w:t>
      </w:r>
      <w:r>
        <w:rPr>
          <w:rFonts w:hint="eastAsia" w:ascii="仿宋" w:hAnsi="仿宋" w:eastAsia="仿宋" w:cs="仿宋"/>
          <w:b/>
          <w:bCs/>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指为保障机构正常运转、完成日常工作任务而发生的人员支出和公用支出。</w:t>
      </w:r>
    </w:p>
    <w:p w14:paraId="56D71B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7"/>
        <w:jc w:val="both"/>
        <w:rPr>
          <w:rFonts w:hint="eastAsia" w:ascii="仿宋" w:hAnsi="仿宋" w:eastAsia="仿宋" w:cs="仿宋"/>
          <w:i w:val="0"/>
          <w:iCs w:val="0"/>
          <w:caps w:val="0"/>
          <w:color w:val="333333"/>
          <w:spacing w:val="0"/>
          <w:sz w:val="32"/>
          <w:szCs w:val="32"/>
          <w:shd w:val="clear" w:fill="FFFFFF"/>
          <w:lang w:eastAsia="zh-CN"/>
        </w:rPr>
      </w:pPr>
      <w:r>
        <w:rPr>
          <w:rFonts w:hint="eastAsia" w:ascii="黑体" w:hAnsi="宋体" w:eastAsia="黑体" w:cs="黑体"/>
          <w:i w:val="0"/>
          <w:iCs w:val="0"/>
          <w:caps w:val="0"/>
          <w:color w:val="333333"/>
          <w:spacing w:val="0"/>
          <w:sz w:val="32"/>
          <w:szCs w:val="32"/>
          <w:shd w:val="clear" w:fill="FFFFFF"/>
        </w:rPr>
        <w:t>四、项目支出</w:t>
      </w:r>
      <w:r>
        <w:rPr>
          <w:rFonts w:hint="eastAsia" w:ascii="仿宋" w:hAnsi="仿宋" w:eastAsia="仿宋" w:cs="仿宋"/>
          <w:b/>
          <w:bCs/>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指在基本支出之外为完成特定行政任务和事业发展目标所发生的支出。</w:t>
      </w:r>
    </w:p>
    <w:p w14:paraId="6763E4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7"/>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 五、“三公”经费：</w:t>
      </w:r>
      <w:r>
        <w:rPr>
          <w:rFonts w:hint="eastAsia" w:ascii="仿宋" w:hAnsi="仿宋" w:eastAsia="仿宋" w:cs="仿宋"/>
          <w:i w:val="0"/>
          <w:iCs w:val="0"/>
          <w:caps w:val="0"/>
          <w:color w:val="333333"/>
          <w:spacing w:val="0"/>
          <w:sz w:val="32"/>
          <w:szCs w:val="32"/>
          <w:shd w:val="clear" w:fill="FFFFFF"/>
        </w:rPr>
        <w:t>纳入财政预决算管理的“三公”经费，是指单位预算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支出。</w:t>
      </w:r>
    </w:p>
    <w:p w14:paraId="322B8F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7"/>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六、机关运行经费</w:t>
      </w:r>
      <w:r>
        <w:rPr>
          <w:rFonts w:hint="eastAsia" w:ascii="仿宋" w:hAnsi="仿宋" w:eastAsia="仿宋" w:cs="仿宋"/>
          <w:i w:val="0"/>
          <w:iCs w:val="0"/>
          <w:caps w:val="0"/>
          <w:color w:val="333333"/>
          <w:spacing w:val="0"/>
          <w:sz w:val="32"/>
          <w:szCs w:val="32"/>
          <w:shd w:val="clear" w:fill="FFFFFF"/>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14:paraId="788CF5E8"/>
    <w:sectPr>
      <w:pgSz w:w="11906" w:h="16838"/>
      <w:pgMar w:top="1440" w:right="1463" w:bottom="1440"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B0604020202020204"/>
    <w:charset w:val="00"/>
    <w:family w:val="auto"/>
    <w:pitch w:val="default"/>
    <w:sig w:usb0="00000000" w:usb1="00000000" w:usb2="00000000" w:usb3="00000000" w:csb0="00040001" w:csb1="00000000"/>
  </w:font>
  <w:font w:name="TimesNewRoman">
    <w:altName w:val="Segoe Print"/>
    <w:panose1 w:val="00000000000000000000"/>
    <w:charset w:val="00"/>
    <w:family w:val="auto"/>
    <w:pitch w:val="default"/>
    <w:sig w:usb0="00000000" w:usb1="00000000" w:usb2="00000029" w:usb3="00000000" w:csb0="600001FF" w:csb1="FF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汉仪中秀体简">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64F1D0"/>
    <w:multiLevelType w:val="singleLevel"/>
    <w:tmpl w:val="6864F1D0"/>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mMDZlYjlmYTA4YWY3ZWM2YmE2MWYwNGRkNmQ5YzMifQ=="/>
  </w:docVars>
  <w:rsids>
    <w:rsidRoot w:val="521D049E"/>
    <w:rsid w:val="06257B8A"/>
    <w:rsid w:val="0B243F7A"/>
    <w:rsid w:val="1C410FB0"/>
    <w:rsid w:val="25A612D4"/>
    <w:rsid w:val="26282CFF"/>
    <w:rsid w:val="2A0B4F4C"/>
    <w:rsid w:val="2F832844"/>
    <w:rsid w:val="36AA5F8A"/>
    <w:rsid w:val="3F450160"/>
    <w:rsid w:val="45264590"/>
    <w:rsid w:val="4B851A87"/>
    <w:rsid w:val="521D049E"/>
    <w:rsid w:val="6703252B"/>
    <w:rsid w:val="68CD2DF1"/>
    <w:rsid w:val="789B0816"/>
    <w:rsid w:val="7F192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6933</Words>
  <Characters>7593</Characters>
  <Lines>0</Lines>
  <Paragraphs>0</Paragraphs>
  <TotalTime>0</TotalTime>
  <ScaleCrop>false</ScaleCrop>
  <LinksUpToDate>false</LinksUpToDate>
  <CharactersWithSpaces>7663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2023-02-20T02:38:00Z</dcterms:created>
  <dc:creator>Leo°</dc:creator>
  <cp:lastModifiedBy>S</cp:lastModifiedBy>
  <dcterms:modified xsi:type="dcterms:W3CDTF">2024-10-08T09:25:12Z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3D186093AE384EEF9C57280296A3380E_13</vt:lpwstr>
  </property>
</Properties>
</file>