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ED5CCF">
      <w:pPr>
        <w:pStyle w:val="27"/>
        <w:rPr>
          <w:color w:val="auto"/>
          <w:highlight w:val="none"/>
        </w:rPr>
      </w:pPr>
    </w:p>
    <w:p w14:paraId="71E134BB">
      <w:pPr>
        <w:pStyle w:val="27"/>
        <w:rPr>
          <w:color w:val="auto"/>
          <w:highlight w:val="none"/>
        </w:rPr>
      </w:pPr>
    </w:p>
    <w:p w14:paraId="1B441128">
      <w:pPr>
        <w:pStyle w:val="27"/>
        <w:rPr>
          <w:color w:val="auto"/>
          <w:highlight w:val="none"/>
        </w:rPr>
      </w:pPr>
    </w:p>
    <w:p w14:paraId="594FA69E">
      <w:pPr>
        <w:adjustRightInd w:val="0"/>
        <w:snapToGrid w:val="0"/>
        <w:jc w:val="center"/>
        <w:outlineLvl w:val="0"/>
        <w:rPr>
          <w:rFonts w:ascii="宋体"/>
          <w:b/>
          <w:bCs/>
          <w:color w:val="auto"/>
          <w:sz w:val="72"/>
          <w:szCs w:val="72"/>
          <w:highlight w:val="none"/>
        </w:rPr>
      </w:pPr>
      <w:r>
        <w:rPr>
          <w:rFonts w:hint="eastAsia"/>
          <w:color w:val="auto"/>
          <w:highlight w:val="none"/>
        </w:rPr>
        <w:t xml:space="preserve">  </w:t>
      </w:r>
      <w:r>
        <w:rPr>
          <w:rFonts w:hint="eastAsia" w:ascii="宋体" w:hAnsi="宋体" w:cs="宋体"/>
          <w:b/>
          <w:bCs/>
          <w:color w:val="auto"/>
          <w:sz w:val="72"/>
          <w:szCs w:val="72"/>
          <w:highlight w:val="none"/>
        </w:rPr>
        <w:t>建设项目环境影响报告表</w:t>
      </w:r>
    </w:p>
    <w:p w14:paraId="56CCA6BD">
      <w:pPr>
        <w:adjustRightInd w:val="0"/>
        <w:snapToGrid w:val="0"/>
        <w:spacing w:line="480" w:lineRule="auto"/>
        <w:ind w:firstLine="172" w:firstLineChars="39"/>
        <w:jc w:val="center"/>
        <w:rPr>
          <w:rFonts w:ascii="楷体" w:hAnsi="楷体" w:eastAsia="楷体"/>
          <w:b/>
          <w:bCs/>
          <w:color w:val="auto"/>
          <w:sz w:val="44"/>
          <w:szCs w:val="44"/>
          <w:highlight w:val="none"/>
        </w:rPr>
      </w:pPr>
      <w:r>
        <w:rPr>
          <w:rFonts w:hint="eastAsia" w:ascii="楷体" w:hAnsi="楷体" w:eastAsia="楷体" w:cs="楷体"/>
          <w:b/>
          <w:bCs/>
          <w:color w:val="auto"/>
          <w:sz w:val="44"/>
          <w:szCs w:val="44"/>
          <w:highlight w:val="none"/>
        </w:rPr>
        <w:t>（污染影响类）</w:t>
      </w:r>
    </w:p>
    <w:p w14:paraId="5278C7E8">
      <w:pPr>
        <w:jc w:val="center"/>
        <w:rPr>
          <w:rFonts w:ascii="华文仿宋" w:hAnsi="华文仿宋" w:eastAsia="华文仿宋"/>
          <w:b/>
          <w:bCs/>
          <w:color w:val="auto"/>
          <w:kern w:val="44"/>
          <w:sz w:val="44"/>
          <w:szCs w:val="44"/>
          <w:highlight w:val="none"/>
        </w:rPr>
      </w:pPr>
    </w:p>
    <w:p w14:paraId="302917D7">
      <w:pPr>
        <w:jc w:val="center"/>
        <w:rPr>
          <w:rFonts w:eastAsia="仿宋"/>
          <w:b/>
          <w:bCs/>
          <w:color w:val="auto"/>
          <w:sz w:val="52"/>
          <w:szCs w:val="52"/>
          <w:highlight w:val="none"/>
        </w:rPr>
      </w:pPr>
      <w:r>
        <w:rPr>
          <w:rFonts w:hint="eastAsia" w:eastAsia="仿宋"/>
          <w:b/>
          <w:bCs/>
          <w:color w:val="auto"/>
          <w:sz w:val="52"/>
          <w:szCs w:val="52"/>
          <w:highlight w:val="none"/>
        </w:rPr>
        <w:t xml:space="preserve">                </w:t>
      </w:r>
    </w:p>
    <w:p w14:paraId="64BDAB36">
      <w:pPr>
        <w:ind w:firstLine="1040"/>
        <w:rPr>
          <w:rFonts w:eastAsia="仿宋"/>
          <w:b/>
          <w:bCs/>
          <w:color w:val="auto"/>
          <w:sz w:val="44"/>
          <w:szCs w:val="44"/>
          <w:highlight w:val="none"/>
        </w:rPr>
      </w:pPr>
    </w:p>
    <w:p w14:paraId="1148C325">
      <w:pPr>
        <w:ind w:firstLine="1040"/>
        <w:rPr>
          <w:rFonts w:eastAsia="仿宋"/>
          <w:b/>
          <w:bCs/>
          <w:color w:val="auto"/>
          <w:sz w:val="44"/>
          <w:szCs w:val="44"/>
          <w:highlight w:val="none"/>
        </w:rPr>
      </w:pPr>
    </w:p>
    <w:p w14:paraId="238745FB">
      <w:pPr>
        <w:ind w:firstLine="1040"/>
        <w:rPr>
          <w:rFonts w:eastAsia="仿宋"/>
          <w:b/>
          <w:bCs/>
          <w:color w:val="auto"/>
          <w:sz w:val="44"/>
          <w:szCs w:val="44"/>
          <w:highlight w:val="none"/>
        </w:rPr>
      </w:pPr>
    </w:p>
    <w:p w14:paraId="596B8672">
      <w:pPr>
        <w:ind w:firstLine="1040"/>
        <w:rPr>
          <w:rFonts w:eastAsia="仿宋"/>
          <w:b/>
          <w:bCs/>
          <w:color w:val="auto"/>
          <w:sz w:val="44"/>
          <w:szCs w:val="44"/>
          <w:highlight w:val="none"/>
        </w:rPr>
      </w:pPr>
    </w:p>
    <w:p w14:paraId="17F4E678">
      <w:pPr>
        <w:adjustRightInd w:val="0"/>
        <w:snapToGrid w:val="0"/>
        <w:spacing w:line="480" w:lineRule="auto"/>
        <w:ind w:firstLine="643" w:firstLineChars="200"/>
        <w:rPr>
          <w:rFonts w:hint="eastAsia" w:eastAsia="楷体"/>
          <w:b/>
          <w:bCs/>
          <w:color w:val="auto"/>
          <w:sz w:val="32"/>
          <w:szCs w:val="32"/>
          <w:highlight w:val="none"/>
          <w:lang w:eastAsia="zh-CN"/>
        </w:rPr>
      </w:pPr>
      <w:bookmarkStart w:id="0" w:name="_Hlk57884087"/>
      <w:r>
        <w:rPr>
          <w:rFonts w:hint="eastAsia" w:ascii="楷体" w:hAnsi="楷体" w:eastAsia="楷体" w:cs="楷体"/>
          <w:b/>
          <w:bCs/>
          <w:color w:val="auto"/>
          <w:sz w:val="32"/>
          <w:szCs w:val="32"/>
          <w:highlight w:val="none"/>
        </w:rPr>
        <w:t>项目名称：</w:t>
      </w:r>
      <w:r>
        <w:rPr>
          <w:rFonts w:hint="eastAsia" w:ascii="楷体" w:hAnsi="楷体" w:eastAsia="楷体" w:cs="楷体"/>
          <w:b/>
          <w:bCs/>
          <w:color w:val="auto"/>
          <w:sz w:val="32"/>
          <w:szCs w:val="32"/>
          <w:highlight w:val="none"/>
          <w:u w:val="single"/>
          <w:lang w:eastAsia="zh-CN"/>
        </w:rPr>
        <w:t>年加工20万吨生物质颗粒建设项目</w:t>
      </w:r>
    </w:p>
    <w:p w14:paraId="43DCAA55">
      <w:pPr>
        <w:adjustRightInd w:val="0"/>
        <w:snapToGrid w:val="0"/>
        <w:spacing w:line="480" w:lineRule="auto"/>
        <w:ind w:firstLine="643" w:firstLineChars="200"/>
        <w:rPr>
          <w:rFonts w:ascii="楷体" w:hAnsi="楷体" w:eastAsia="楷体" w:cs="楷体"/>
          <w:b/>
          <w:bCs/>
          <w:color w:val="auto"/>
          <w:sz w:val="32"/>
          <w:szCs w:val="32"/>
          <w:highlight w:val="none"/>
          <w:u w:val="single"/>
        </w:rPr>
      </w:pPr>
      <w:r>
        <w:rPr>
          <w:rFonts w:hint="eastAsia" w:ascii="楷体" w:hAnsi="楷体" w:eastAsia="楷体" w:cs="楷体"/>
          <w:b/>
          <w:bCs/>
          <w:color w:val="auto"/>
          <w:sz w:val="32"/>
          <w:szCs w:val="32"/>
          <w:highlight w:val="none"/>
        </w:rPr>
        <w:t>建设单位（盖章）：</w:t>
      </w:r>
      <w:r>
        <w:rPr>
          <w:rFonts w:hint="eastAsia" w:ascii="楷体" w:hAnsi="楷体" w:eastAsia="楷体" w:cs="楷体"/>
          <w:b/>
          <w:bCs/>
          <w:color w:val="auto"/>
          <w:sz w:val="32"/>
          <w:szCs w:val="32"/>
          <w:highlight w:val="none"/>
          <w:u w:val="single"/>
          <w:lang w:eastAsia="zh-CN"/>
        </w:rPr>
        <w:t>安徽金之源生物科技有限公司</w:t>
      </w:r>
      <w:r>
        <w:rPr>
          <w:rFonts w:ascii="楷体" w:hAnsi="楷体" w:eastAsia="楷体" w:cs="楷体"/>
          <w:b/>
          <w:bCs/>
          <w:color w:val="auto"/>
          <w:sz w:val="32"/>
          <w:szCs w:val="32"/>
          <w:highlight w:val="none"/>
          <w:u w:val="single"/>
        </w:rPr>
        <w:t xml:space="preserve"> </w:t>
      </w:r>
    </w:p>
    <w:p w14:paraId="2084ADFE">
      <w:pPr>
        <w:adjustRightInd w:val="0"/>
        <w:snapToGrid w:val="0"/>
        <w:spacing w:line="480" w:lineRule="auto"/>
        <w:ind w:firstLine="643" w:firstLineChars="200"/>
        <w:rPr>
          <w:rFonts w:ascii="仿宋_GB2312" w:eastAsia="楷体"/>
          <w:b/>
          <w:bCs/>
          <w:color w:val="auto"/>
          <w:sz w:val="32"/>
          <w:szCs w:val="32"/>
          <w:highlight w:val="none"/>
          <w:u w:val="single"/>
        </w:rPr>
      </w:pPr>
      <w:r>
        <w:rPr>
          <w:rFonts w:hint="eastAsia" w:ascii="楷体" w:hAnsi="楷体" w:eastAsia="楷体" w:cs="楷体"/>
          <w:b/>
          <w:bCs/>
          <w:color w:val="auto"/>
          <w:sz w:val="32"/>
          <w:szCs w:val="32"/>
          <w:highlight w:val="none"/>
        </w:rPr>
        <w:t>编制日期：</w:t>
      </w:r>
      <w:r>
        <w:rPr>
          <w:rFonts w:ascii="楷体" w:hAnsi="楷体" w:eastAsia="楷体" w:cs="楷体"/>
          <w:b/>
          <w:bCs/>
          <w:color w:val="auto"/>
          <w:sz w:val="32"/>
          <w:szCs w:val="32"/>
          <w:highlight w:val="none"/>
          <w:u w:val="single"/>
        </w:rPr>
        <w:t xml:space="preserve">          202</w:t>
      </w:r>
      <w:r>
        <w:rPr>
          <w:rFonts w:hint="eastAsia" w:ascii="楷体" w:hAnsi="楷体" w:eastAsia="楷体" w:cs="楷体"/>
          <w:b/>
          <w:bCs/>
          <w:color w:val="auto"/>
          <w:sz w:val="32"/>
          <w:szCs w:val="32"/>
          <w:highlight w:val="none"/>
          <w:u w:val="single"/>
          <w:lang w:val="en-US" w:eastAsia="zh-CN"/>
        </w:rPr>
        <w:t>5</w:t>
      </w:r>
      <w:r>
        <w:rPr>
          <w:rFonts w:hint="eastAsia" w:ascii="楷体" w:hAnsi="楷体" w:eastAsia="楷体" w:cs="楷体"/>
          <w:b/>
          <w:bCs/>
          <w:color w:val="auto"/>
          <w:sz w:val="32"/>
          <w:szCs w:val="32"/>
          <w:highlight w:val="none"/>
          <w:u w:val="single"/>
        </w:rPr>
        <w:t>年</w:t>
      </w:r>
      <w:r>
        <w:rPr>
          <w:rFonts w:hint="eastAsia" w:ascii="楷体" w:hAnsi="楷体" w:eastAsia="楷体" w:cs="楷体"/>
          <w:b/>
          <w:bCs/>
          <w:color w:val="auto"/>
          <w:sz w:val="32"/>
          <w:szCs w:val="32"/>
          <w:highlight w:val="none"/>
          <w:u w:val="single"/>
          <w:lang w:val="en-US" w:eastAsia="zh-CN"/>
        </w:rPr>
        <w:t>06</w:t>
      </w:r>
      <w:r>
        <w:rPr>
          <w:rFonts w:hint="eastAsia" w:ascii="楷体" w:hAnsi="楷体" w:eastAsia="楷体" w:cs="楷体"/>
          <w:b/>
          <w:bCs/>
          <w:color w:val="auto"/>
          <w:sz w:val="32"/>
          <w:szCs w:val="32"/>
          <w:highlight w:val="none"/>
          <w:u w:val="single"/>
        </w:rPr>
        <w:t>月</w:t>
      </w:r>
      <w:r>
        <w:rPr>
          <w:rFonts w:ascii="楷体" w:hAnsi="楷体" w:eastAsia="楷体" w:cs="楷体"/>
          <w:b/>
          <w:bCs/>
          <w:color w:val="auto"/>
          <w:sz w:val="32"/>
          <w:szCs w:val="32"/>
          <w:highlight w:val="none"/>
          <w:u w:val="single"/>
        </w:rPr>
        <w:t xml:space="preserve">             </w:t>
      </w:r>
      <w:r>
        <w:rPr>
          <w:rFonts w:hint="eastAsia" w:ascii="楷体" w:hAnsi="楷体" w:eastAsia="楷体" w:cs="楷体"/>
          <w:b/>
          <w:bCs/>
          <w:color w:val="auto"/>
          <w:sz w:val="32"/>
          <w:szCs w:val="32"/>
          <w:highlight w:val="none"/>
          <w:u w:val="single"/>
        </w:rPr>
        <w:t xml:space="preserve">   </w:t>
      </w:r>
      <w:r>
        <w:rPr>
          <w:rFonts w:ascii="楷体" w:hAnsi="楷体" w:eastAsia="楷体" w:cs="楷体"/>
          <w:b/>
          <w:bCs/>
          <w:color w:val="auto"/>
          <w:sz w:val="32"/>
          <w:szCs w:val="32"/>
          <w:highlight w:val="none"/>
          <w:u w:val="single"/>
        </w:rPr>
        <w:t xml:space="preserve"> </w:t>
      </w:r>
    </w:p>
    <w:p w14:paraId="264DE825">
      <w:pPr>
        <w:adjustRightInd w:val="0"/>
        <w:snapToGrid w:val="0"/>
        <w:spacing w:line="288" w:lineRule="auto"/>
        <w:ind w:firstLine="1040"/>
        <w:rPr>
          <w:rFonts w:ascii="楷体_GB2312" w:eastAsia="楷体_GB2312"/>
          <w:b/>
          <w:bCs/>
          <w:color w:val="auto"/>
          <w:sz w:val="36"/>
          <w:szCs w:val="36"/>
          <w:highlight w:val="none"/>
        </w:rPr>
      </w:pPr>
    </w:p>
    <w:p w14:paraId="218218D7">
      <w:pPr>
        <w:adjustRightInd w:val="0"/>
        <w:snapToGrid w:val="0"/>
        <w:spacing w:line="288" w:lineRule="auto"/>
        <w:ind w:firstLine="1040"/>
        <w:rPr>
          <w:rFonts w:ascii="楷体_GB2312" w:eastAsia="楷体_GB2312"/>
          <w:b/>
          <w:bCs/>
          <w:color w:val="auto"/>
          <w:sz w:val="36"/>
          <w:szCs w:val="36"/>
          <w:highlight w:val="none"/>
        </w:rPr>
      </w:pPr>
    </w:p>
    <w:p w14:paraId="4B415A51">
      <w:pPr>
        <w:pStyle w:val="33"/>
        <w:rPr>
          <w:rFonts w:ascii="楷体_GB2312" w:eastAsia="楷体_GB2312"/>
          <w:b/>
          <w:bCs/>
          <w:color w:val="auto"/>
          <w:sz w:val="36"/>
          <w:szCs w:val="36"/>
          <w:highlight w:val="none"/>
        </w:rPr>
      </w:pPr>
    </w:p>
    <w:p w14:paraId="70224159">
      <w:pPr>
        <w:rPr>
          <w:color w:val="auto"/>
          <w:highlight w:val="none"/>
        </w:rPr>
      </w:pPr>
    </w:p>
    <w:p w14:paraId="74CA0536">
      <w:pPr>
        <w:adjustRightInd w:val="0"/>
        <w:snapToGrid w:val="0"/>
        <w:spacing w:line="288" w:lineRule="auto"/>
        <w:jc w:val="center"/>
        <w:rPr>
          <w:rFonts w:hint="eastAsia" w:ascii="楷体_GB2312" w:eastAsia="楷体_GB2312" w:cs="楷体_GB2312"/>
          <w:b/>
          <w:bCs/>
          <w:color w:val="auto"/>
          <w:sz w:val="32"/>
          <w:szCs w:val="32"/>
          <w:highlight w:val="none"/>
        </w:rPr>
      </w:pPr>
      <w:r>
        <w:rPr>
          <w:rFonts w:hint="eastAsia" w:ascii="楷体_GB2312" w:eastAsia="楷体_GB2312" w:cs="楷体_GB2312"/>
          <w:b/>
          <w:bCs/>
          <w:color w:val="auto"/>
          <w:sz w:val="32"/>
          <w:szCs w:val="32"/>
          <w:highlight w:val="none"/>
        </w:rPr>
        <w:t>中华人民共和国生态环境部制</w:t>
      </w:r>
    </w:p>
    <w:p w14:paraId="563E4DA7">
      <w:pPr>
        <w:pStyle w:val="3"/>
        <w:rPr>
          <w:rFonts w:hint="eastAsia"/>
          <w:b/>
          <w:bCs/>
          <w:color w:val="auto"/>
          <w:sz w:val="32"/>
          <w:szCs w:val="32"/>
          <w:highlight w:val="none"/>
        </w:rPr>
      </w:pPr>
    </w:p>
    <w:p w14:paraId="39B2DC70">
      <w:pPr>
        <w:rPr>
          <w:color w:val="auto"/>
        </w:rPr>
      </w:pPr>
    </w:p>
    <w:p w14:paraId="0DD8EAB5">
      <w:pPr>
        <w:adjustRightInd w:val="0"/>
        <w:snapToGrid w:val="0"/>
        <w:spacing w:line="288" w:lineRule="auto"/>
        <w:ind w:firstLine="1040"/>
        <w:jc w:val="center"/>
        <w:rPr>
          <w:rFonts w:ascii="仿宋_GB2312" w:eastAsia="仿宋_GB2312"/>
          <w:color w:val="auto"/>
          <w:sz w:val="36"/>
          <w:szCs w:val="36"/>
          <w:highlight w:val="none"/>
          <w:u w:val="single"/>
        </w:rPr>
      </w:pPr>
    </w:p>
    <w:p w14:paraId="3FD296D9">
      <w:pPr>
        <w:pStyle w:val="33"/>
        <w:rPr>
          <w:rFonts w:ascii="仿宋_GB2312" w:eastAsia="仿宋_GB2312"/>
          <w:color w:val="auto"/>
          <w:sz w:val="36"/>
          <w:szCs w:val="36"/>
          <w:highlight w:val="none"/>
          <w:u w:val="single"/>
        </w:rPr>
      </w:pPr>
    </w:p>
    <w:p w14:paraId="3E432339">
      <w:pPr>
        <w:rPr>
          <w:color w:val="auto"/>
          <w:highlight w:val="none"/>
        </w:rPr>
        <w:sectPr>
          <w:footerReference r:id="rId3" w:type="default"/>
          <w:pgSz w:w="11906" w:h="16838"/>
          <w:pgMar w:top="1701" w:right="1531" w:bottom="1701" w:left="1531" w:header="851" w:footer="1077" w:gutter="0"/>
          <w:cols w:space="720" w:num="1"/>
          <w:docGrid w:linePitch="312" w:charSpace="0"/>
        </w:sectPr>
      </w:pPr>
    </w:p>
    <w:bookmarkEnd w:id="0"/>
    <w:p w14:paraId="6C0BC556">
      <w:pPr>
        <w:pStyle w:val="34"/>
        <w:jc w:val="center"/>
        <w:outlineLvl w:val="0"/>
        <w:rPr>
          <w:rFonts w:ascii="黑体" w:hAnsi="黑体" w:eastAsia="黑体" w:cs="Times New Roman"/>
          <w:snapToGrid w:val="0"/>
          <w:color w:val="auto"/>
          <w:sz w:val="30"/>
          <w:szCs w:val="30"/>
          <w:highlight w:val="none"/>
        </w:rPr>
      </w:pPr>
      <w:r>
        <w:rPr>
          <w:rFonts w:hint="eastAsia" w:ascii="黑体" w:hAnsi="黑体" w:eastAsia="黑体" w:cs="黑体"/>
          <w:snapToGrid w:val="0"/>
          <w:color w:val="auto"/>
          <w:sz w:val="30"/>
          <w:szCs w:val="30"/>
          <w:highlight w:val="none"/>
        </w:rPr>
        <w:t>一、建设项目基本情况</w:t>
      </w:r>
    </w:p>
    <w:tbl>
      <w:tblPr>
        <w:tblStyle w:val="37"/>
        <w:tblW w:w="897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606"/>
        <w:gridCol w:w="2237"/>
        <w:gridCol w:w="1877"/>
        <w:gridCol w:w="3257"/>
      </w:tblGrid>
      <w:tr w14:paraId="08C4A8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78" w:hRule="atLeast"/>
          <w:jc w:val="center"/>
        </w:trPr>
        <w:tc>
          <w:tcPr>
            <w:tcW w:w="1606" w:type="dxa"/>
            <w:tcBorders>
              <w:top w:val="single" w:color="auto" w:sz="8" w:space="0"/>
            </w:tcBorders>
            <w:tcMar>
              <w:top w:w="16" w:type="dxa"/>
              <w:left w:w="16" w:type="dxa"/>
              <w:right w:w="16" w:type="dxa"/>
            </w:tcMar>
            <w:vAlign w:val="center"/>
          </w:tcPr>
          <w:p w14:paraId="4879F1BD">
            <w:pPr>
              <w:adjustRightInd w:val="0"/>
              <w:snapToGrid w:val="0"/>
              <w:jc w:val="center"/>
              <w:rPr>
                <w:rFonts w:ascii="宋体"/>
                <w:color w:val="auto"/>
                <w:sz w:val="24"/>
                <w:szCs w:val="24"/>
                <w:highlight w:val="none"/>
              </w:rPr>
            </w:pPr>
            <w:r>
              <w:rPr>
                <w:rFonts w:hint="eastAsia" w:ascii="宋体" w:hAnsi="宋体" w:cs="宋体"/>
                <w:color w:val="auto"/>
                <w:sz w:val="24"/>
                <w:szCs w:val="24"/>
                <w:highlight w:val="none"/>
              </w:rPr>
              <w:t>建设项目名称</w:t>
            </w:r>
          </w:p>
        </w:tc>
        <w:tc>
          <w:tcPr>
            <w:tcW w:w="7371" w:type="dxa"/>
            <w:gridSpan w:val="3"/>
            <w:tcBorders>
              <w:top w:val="single" w:color="auto" w:sz="8" w:space="0"/>
            </w:tcBorders>
            <w:vAlign w:val="center"/>
          </w:tcPr>
          <w:p w14:paraId="365B1AED">
            <w:pPr>
              <w:adjustRightInd w:val="0"/>
              <w:snapToGrid w:val="0"/>
              <w:jc w:val="center"/>
              <w:rPr>
                <w:rFonts w:hint="eastAsia" w:ascii="宋体" w:eastAsia="宋体"/>
                <w:color w:val="auto"/>
                <w:sz w:val="24"/>
                <w:szCs w:val="24"/>
                <w:highlight w:val="none"/>
                <w:lang w:eastAsia="zh-CN"/>
              </w:rPr>
            </w:pPr>
            <w:r>
              <w:rPr>
                <w:rFonts w:hint="eastAsia" w:ascii="宋体" w:hAnsi="宋体" w:cs="宋体"/>
                <w:color w:val="auto"/>
                <w:sz w:val="24"/>
                <w:szCs w:val="24"/>
                <w:highlight w:val="none"/>
                <w:lang w:eastAsia="zh-CN"/>
              </w:rPr>
              <w:t>年加工20万吨生物质颗粒建设项目</w:t>
            </w:r>
          </w:p>
        </w:tc>
      </w:tr>
      <w:tr w14:paraId="076814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606" w:type="dxa"/>
            <w:tcMar>
              <w:top w:w="16" w:type="dxa"/>
              <w:left w:w="16" w:type="dxa"/>
              <w:right w:w="16" w:type="dxa"/>
            </w:tcMar>
            <w:vAlign w:val="center"/>
          </w:tcPr>
          <w:p w14:paraId="05397614">
            <w:pPr>
              <w:adjustRightInd w:val="0"/>
              <w:snapToGrid w:val="0"/>
              <w:jc w:val="center"/>
              <w:rPr>
                <w:rFonts w:ascii="宋体"/>
                <w:color w:val="auto"/>
                <w:sz w:val="24"/>
                <w:szCs w:val="24"/>
                <w:highlight w:val="none"/>
              </w:rPr>
            </w:pPr>
            <w:r>
              <w:rPr>
                <w:rFonts w:hint="eastAsia" w:ascii="宋体" w:hAnsi="宋体" w:cs="宋体"/>
                <w:color w:val="auto"/>
                <w:sz w:val="24"/>
                <w:szCs w:val="24"/>
                <w:highlight w:val="none"/>
              </w:rPr>
              <w:t>项目代码</w:t>
            </w:r>
          </w:p>
        </w:tc>
        <w:tc>
          <w:tcPr>
            <w:tcW w:w="7371" w:type="dxa"/>
            <w:gridSpan w:val="3"/>
            <w:vAlign w:val="center"/>
          </w:tcPr>
          <w:p w14:paraId="6A06EC9F">
            <w:pPr>
              <w:widowControl/>
              <w:jc w:val="center"/>
              <w:rPr>
                <w:rFonts w:hint="default" w:ascii="宋体" w:eastAsia="新宋体"/>
                <w:color w:val="auto"/>
                <w:sz w:val="24"/>
                <w:szCs w:val="24"/>
                <w:highlight w:val="none"/>
                <w:lang w:val="en-US" w:eastAsia="zh-CN"/>
              </w:rPr>
            </w:pPr>
            <w:r>
              <w:rPr>
                <w:rFonts w:ascii="新宋体" w:hAnsi="新宋体" w:eastAsia="新宋体" w:cs="新宋体"/>
                <w:color w:val="auto"/>
                <w:kern w:val="0"/>
                <w:sz w:val="24"/>
                <w:szCs w:val="24"/>
                <w:highlight w:val="none"/>
                <w:lang w:bidi="ar"/>
              </w:rPr>
              <w:t>2</w:t>
            </w:r>
            <w:r>
              <w:rPr>
                <w:rFonts w:hint="eastAsia" w:ascii="新宋体" w:hAnsi="新宋体" w:eastAsia="新宋体" w:cs="新宋体"/>
                <w:color w:val="auto"/>
                <w:kern w:val="0"/>
                <w:sz w:val="24"/>
                <w:szCs w:val="24"/>
                <w:highlight w:val="none"/>
                <w:lang w:val="en-US" w:eastAsia="zh-CN" w:bidi="ar"/>
              </w:rPr>
              <w:t>51</w:t>
            </w:r>
            <w:r>
              <w:rPr>
                <w:rFonts w:ascii="新宋体" w:hAnsi="新宋体" w:eastAsia="新宋体" w:cs="新宋体"/>
                <w:color w:val="auto"/>
                <w:kern w:val="0"/>
                <w:sz w:val="24"/>
                <w:szCs w:val="24"/>
                <w:highlight w:val="none"/>
                <w:lang w:bidi="ar"/>
              </w:rPr>
              <w:t>4-3406</w:t>
            </w:r>
            <w:r>
              <w:rPr>
                <w:rFonts w:hint="eastAsia" w:ascii="新宋体" w:hAnsi="新宋体" w:eastAsia="新宋体" w:cs="新宋体"/>
                <w:color w:val="auto"/>
                <w:kern w:val="0"/>
                <w:sz w:val="24"/>
                <w:szCs w:val="24"/>
                <w:highlight w:val="none"/>
                <w:lang w:val="en-US" w:eastAsia="zh-CN" w:bidi="ar"/>
              </w:rPr>
              <w:t>04</w:t>
            </w:r>
            <w:r>
              <w:rPr>
                <w:rFonts w:ascii="新宋体" w:hAnsi="新宋体" w:eastAsia="新宋体" w:cs="新宋体"/>
                <w:color w:val="auto"/>
                <w:kern w:val="0"/>
                <w:sz w:val="24"/>
                <w:szCs w:val="24"/>
                <w:highlight w:val="none"/>
                <w:lang w:bidi="ar"/>
              </w:rPr>
              <w:t>-04-01-</w:t>
            </w:r>
            <w:r>
              <w:rPr>
                <w:rFonts w:hint="eastAsia" w:ascii="新宋体" w:hAnsi="新宋体" w:eastAsia="新宋体" w:cs="新宋体"/>
                <w:color w:val="auto"/>
                <w:kern w:val="0"/>
                <w:sz w:val="24"/>
                <w:szCs w:val="24"/>
                <w:highlight w:val="none"/>
                <w:lang w:val="en-US" w:eastAsia="zh-CN" w:bidi="ar"/>
              </w:rPr>
              <w:t>407973</w:t>
            </w:r>
          </w:p>
        </w:tc>
      </w:tr>
      <w:tr w14:paraId="294AC4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06" w:type="dxa"/>
            <w:tcMar>
              <w:top w:w="16" w:type="dxa"/>
              <w:left w:w="16" w:type="dxa"/>
              <w:right w:w="16" w:type="dxa"/>
            </w:tcMar>
            <w:vAlign w:val="center"/>
          </w:tcPr>
          <w:p w14:paraId="48555FC7">
            <w:pPr>
              <w:adjustRightInd w:val="0"/>
              <w:snapToGrid w:val="0"/>
              <w:jc w:val="center"/>
              <w:rPr>
                <w:rFonts w:ascii="宋体"/>
                <w:color w:val="auto"/>
                <w:sz w:val="24"/>
                <w:szCs w:val="24"/>
                <w:highlight w:val="none"/>
              </w:rPr>
            </w:pPr>
            <w:r>
              <w:rPr>
                <w:rFonts w:hint="eastAsia" w:ascii="宋体" w:hAnsi="宋体" w:cs="宋体"/>
                <w:color w:val="auto"/>
                <w:sz w:val="24"/>
                <w:szCs w:val="24"/>
                <w:highlight w:val="none"/>
              </w:rPr>
              <w:t>建设单位联系人</w:t>
            </w:r>
          </w:p>
        </w:tc>
        <w:tc>
          <w:tcPr>
            <w:tcW w:w="2237" w:type="dxa"/>
            <w:vAlign w:val="center"/>
          </w:tcPr>
          <w:p w14:paraId="1276AFEC">
            <w:pPr>
              <w:adjustRightInd w:val="0"/>
              <w:snapToGrid w:val="0"/>
              <w:jc w:val="center"/>
              <w:rPr>
                <w:rFonts w:hint="eastAsia" w:ascii="宋体" w:eastAsia="宋体"/>
                <w:color w:val="auto"/>
                <w:sz w:val="24"/>
                <w:szCs w:val="24"/>
                <w:highlight w:val="none"/>
                <w:lang w:eastAsia="zh-CN"/>
              </w:rPr>
            </w:pPr>
            <w:r>
              <w:rPr>
                <w:rFonts w:hint="eastAsia" w:ascii="宋体" w:hAnsi="宋体" w:cs="宋体"/>
                <w:color w:val="auto"/>
                <w:sz w:val="24"/>
                <w:szCs w:val="24"/>
                <w:highlight w:val="none"/>
                <w:lang w:eastAsia="zh-CN"/>
              </w:rPr>
              <w:t>杜本雪</w:t>
            </w:r>
          </w:p>
        </w:tc>
        <w:tc>
          <w:tcPr>
            <w:tcW w:w="1877" w:type="dxa"/>
            <w:vAlign w:val="center"/>
          </w:tcPr>
          <w:p w14:paraId="30237679">
            <w:pPr>
              <w:adjustRightInd w:val="0"/>
              <w:snapToGrid w:val="0"/>
              <w:jc w:val="center"/>
              <w:rPr>
                <w:rFonts w:ascii="宋体"/>
                <w:color w:val="auto"/>
                <w:sz w:val="24"/>
                <w:szCs w:val="24"/>
                <w:highlight w:val="none"/>
              </w:rPr>
            </w:pPr>
            <w:r>
              <w:rPr>
                <w:rFonts w:hint="eastAsia" w:ascii="宋体" w:hAnsi="宋体" w:cs="宋体"/>
                <w:color w:val="auto"/>
                <w:sz w:val="24"/>
                <w:szCs w:val="24"/>
                <w:highlight w:val="none"/>
              </w:rPr>
              <w:t>联系方式</w:t>
            </w:r>
          </w:p>
        </w:tc>
        <w:tc>
          <w:tcPr>
            <w:tcW w:w="3257" w:type="dxa"/>
            <w:vAlign w:val="center"/>
          </w:tcPr>
          <w:p w14:paraId="62981B6C">
            <w:pPr>
              <w:adjustRightInd w:val="0"/>
              <w:snapToGrid w:val="0"/>
              <w:jc w:val="center"/>
              <w:rPr>
                <w:rFonts w:hint="default" w:ascii="宋体" w:eastAsia="宋体"/>
                <w:color w:val="auto"/>
                <w:sz w:val="24"/>
                <w:szCs w:val="24"/>
                <w:highlight w:val="none"/>
                <w:lang w:val="en-US" w:eastAsia="zh-CN"/>
              </w:rPr>
            </w:pPr>
            <w:r>
              <w:rPr>
                <w:rFonts w:hint="eastAsia" w:ascii="宋体" w:hAnsi="宋体" w:cs="宋体"/>
                <w:color w:val="auto"/>
                <w:sz w:val="24"/>
                <w:szCs w:val="24"/>
                <w:highlight w:val="none"/>
                <w:lang w:val="en-US" w:eastAsia="zh-CN"/>
              </w:rPr>
              <w:t>18205612707</w:t>
            </w:r>
          </w:p>
        </w:tc>
      </w:tr>
      <w:tr w14:paraId="706728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06" w:type="dxa"/>
            <w:tcMar>
              <w:top w:w="16" w:type="dxa"/>
              <w:left w:w="16" w:type="dxa"/>
              <w:right w:w="16" w:type="dxa"/>
            </w:tcMar>
            <w:vAlign w:val="center"/>
          </w:tcPr>
          <w:p w14:paraId="13442761">
            <w:pPr>
              <w:adjustRightInd w:val="0"/>
              <w:snapToGrid w:val="0"/>
              <w:jc w:val="center"/>
              <w:rPr>
                <w:rFonts w:ascii="宋体"/>
                <w:color w:val="auto"/>
                <w:sz w:val="24"/>
                <w:szCs w:val="24"/>
                <w:highlight w:val="none"/>
              </w:rPr>
            </w:pPr>
            <w:r>
              <w:rPr>
                <w:rFonts w:hint="eastAsia" w:ascii="宋体" w:hAnsi="宋体" w:cs="宋体"/>
                <w:color w:val="auto"/>
                <w:sz w:val="24"/>
                <w:szCs w:val="24"/>
                <w:highlight w:val="none"/>
              </w:rPr>
              <w:t>建设地点</w:t>
            </w:r>
          </w:p>
        </w:tc>
        <w:tc>
          <w:tcPr>
            <w:tcW w:w="7371" w:type="dxa"/>
            <w:gridSpan w:val="3"/>
            <w:vAlign w:val="center"/>
          </w:tcPr>
          <w:p w14:paraId="04D82602">
            <w:pPr>
              <w:widowControl/>
              <w:jc w:val="center"/>
              <w:rPr>
                <w:rFonts w:hint="eastAsia" w:ascii="宋体" w:eastAsia="宋体"/>
                <w:color w:val="auto"/>
                <w:sz w:val="24"/>
                <w:szCs w:val="24"/>
                <w:highlight w:val="none"/>
                <w:lang w:eastAsia="zh-CN"/>
              </w:rPr>
            </w:pPr>
            <w:r>
              <w:rPr>
                <w:rFonts w:hint="eastAsia" w:ascii="新宋体" w:hAnsi="新宋体" w:eastAsia="新宋体" w:cs="新宋体"/>
                <w:color w:val="auto"/>
                <w:kern w:val="0"/>
                <w:sz w:val="24"/>
                <w:szCs w:val="24"/>
                <w:highlight w:val="none"/>
                <w:lang w:eastAsia="zh-CN" w:bidi="ar"/>
              </w:rPr>
              <w:t>淮北市烈山区古饶镇烈山经济开发区南塘路与邱家沟交叉口东北角1号</w:t>
            </w:r>
          </w:p>
        </w:tc>
      </w:tr>
      <w:tr w14:paraId="6D3396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06" w:type="dxa"/>
            <w:tcMar>
              <w:top w:w="16" w:type="dxa"/>
              <w:left w:w="16" w:type="dxa"/>
              <w:right w:w="16" w:type="dxa"/>
            </w:tcMar>
            <w:vAlign w:val="center"/>
          </w:tcPr>
          <w:p w14:paraId="5550D95F">
            <w:pPr>
              <w:adjustRightInd w:val="0"/>
              <w:snapToGrid w:val="0"/>
              <w:jc w:val="center"/>
              <w:rPr>
                <w:rFonts w:ascii="宋体"/>
                <w:color w:val="auto"/>
                <w:sz w:val="24"/>
                <w:szCs w:val="24"/>
                <w:highlight w:val="none"/>
              </w:rPr>
            </w:pPr>
            <w:r>
              <w:rPr>
                <w:rFonts w:hint="eastAsia" w:ascii="宋体" w:hAnsi="宋体" w:cs="宋体"/>
                <w:color w:val="auto"/>
                <w:sz w:val="24"/>
                <w:szCs w:val="24"/>
                <w:highlight w:val="none"/>
              </w:rPr>
              <w:t>地理坐标</w:t>
            </w:r>
          </w:p>
        </w:tc>
        <w:tc>
          <w:tcPr>
            <w:tcW w:w="7371" w:type="dxa"/>
            <w:gridSpan w:val="3"/>
            <w:vAlign w:val="center"/>
          </w:tcPr>
          <w:p w14:paraId="39C84F04">
            <w:pPr>
              <w:adjustRightInd w:val="0"/>
              <w:snapToGrid w:val="0"/>
              <w:jc w:val="center"/>
              <w:rPr>
                <w:rFonts w:ascii="宋体"/>
                <w:color w:val="auto"/>
                <w:sz w:val="24"/>
                <w:szCs w:val="24"/>
                <w:highlight w:val="none"/>
              </w:rPr>
            </w:pPr>
            <w:r>
              <w:rPr>
                <w:rFonts w:ascii="Times New Roman" w:hAnsi="Times New Roman" w:cs="Times New Roman"/>
                <w:color w:val="auto"/>
                <w:sz w:val="24"/>
                <w:highlight w:val="none"/>
              </w:rPr>
              <w:t>东经：</w:t>
            </w:r>
            <w:r>
              <w:rPr>
                <w:rFonts w:hint="eastAsia" w:ascii="Times New Roman" w:hAnsi="Times New Roman" w:cs="Times New Roman"/>
                <w:color w:val="auto"/>
                <w:sz w:val="24"/>
                <w:highlight w:val="none"/>
                <w:u w:val="single"/>
                <w:lang w:val="en-US" w:eastAsia="zh-CN"/>
              </w:rPr>
              <w:t xml:space="preserve"> </w:t>
            </w:r>
            <w:r>
              <w:rPr>
                <w:rFonts w:hint="eastAsia" w:cs="Times New Roman"/>
                <w:color w:val="auto"/>
                <w:sz w:val="24"/>
                <w:highlight w:val="none"/>
                <w:u w:val="single"/>
                <w:lang w:val="en-US" w:eastAsia="zh-CN"/>
              </w:rPr>
              <w:t>116</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度</w:t>
            </w:r>
            <w:r>
              <w:rPr>
                <w:rFonts w:ascii="Times New Roman" w:hAnsi="Times New Roman" w:cs="Times New Roman"/>
                <w:color w:val="auto"/>
                <w:sz w:val="24"/>
                <w:highlight w:val="none"/>
                <w:u w:val="single"/>
              </w:rPr>
              <w:t xml:space="preserve"> </w:t>
            </w:r>
            <w:r>
              <w:rPr>
                <w:rFonts w:hint="eastAsia" w:cs="Times New Roman"/>
                <w:color w:val="auto"/>
                <w:sz w:val="24"/>
                <w:highlight w:val="none"/>
                <w:u w:val="single"/>
                <w:lang w:val="en-US" w:eastAsia="zh-CN"/>
              </w:rPr>
              <w:t xml:space="preserve">51 </w:t>
            </w:r>
            <w:r>
              <w:rPr>
                <w:rFonts w:ascii="Times New Roman" w:hAnsi="Times New Roman" w:cs="Times New Roman"/>
                <w:color w:val="auto"/>
                <w:sz w:val="24"/>
                <w:highlight w:val="none"/>
              </w:rPr>
              <w:t>分</w:t>
            </w:r>
            <w:r>
              <w:rPr>
                <w:rFonts w:ascii="Times New Roman" w:hAnsi="Times New Roman" w:cs="Times New Roman"/>
                <w:color w:val="auto"/>
                <w:sz w:val="24"/>
                <w:highlight w:val="none"/>
                <w:u w:val="single"/>
              </w:rPr>
              <w:t xml:space="preserve"> </w:t>
            </w:r>
            <w:r>
              <w:rPr>
                <w:rFonts w:hint="eastAsia" w:cs="Times New Roman"/>
                <w:color w:val="auto"/>
                <w:sz w:val="24"/>
                <w:highlight w:val="none"/>
                <w:u w:val="single"/>
                <w:lang w:val="en-US" w:eastAsia="zh-CN"/>
              </w:rPr>
              <w:t>7.996</w:t>
            </w:r>
            <w:r>
              <w:rPr>
                <w:rFonts w:hint="eastAsia" w:ascii="Times New Roman" w:hAnsi="Times New Roman" w:cs="Times New Roman"/>
                <w:color w:val="auto"/>
                <w:sz w:val="24"/>
                <w:highlight w:val="none"/>
                <w:u w:val="single"/>
                <w:lang w:val="en-US" w:eastAsia="zh-CN"/>
              </w:rPr>
              <w:t xml:space="preserve"> </w:t>
            </w:r>
            <w:r>
              <w:rPr>
                <w:rFonts w:ascii="Times New Roman" w:hAnsi="Times New Roman" w:cs="Times New Roman"/>
                <w:color w:val="auto"/>
                <w:sz w:val="24"/>
                <w:highlight w:val="none"/>
              </w:rPr>
              <w:t>秒，北纬：</w:t>
            </w:r>
            <w:r>
              <w:rPr>
                <w:rFonts w:ascii="Times New Roman" w:hAnsi="Times New Roman" w:cs="Times New Roman"/>
                <w:color w:val="auto"/>
                <w:sz w:val="24"/>
                <w:highlight w:val="none"/>
                <w:u w:val="single"/>
              </w:rPr>
              <w:t xml:space="preserve"> </w:t>
            </w:r>
            <w:r>
              <w:rPr>
                <w:rFonts w:hint="eastAsia" w:cs="Times New Roman"/>
                <w:color w:val="auto"/>
                <w:sz w:val="24"/>
                <w:highlight w:val="none"/>
                <w:u w:val="single"/>
                <w:lang w:val="en-US" w:eastAsia="zh-CN"/>
              </w:rPr>
              <w:t>33</w:t>
            </w:r>
            <w:r>
              <w:rPr>
                <w:rFonts w:hint="eastAsia" w:ascii="Times New Roman" w:hAnsi="Times New Roman" w:cs="Times New Roman"/>
                <w:color w:val="auto"/>
                <w:sz w:val="24"/>
                <w:highlight w:val="none"/>
                <w:u w:val="single"/>
                <w:lang w:val="en-US" w:eastAsia="zh-CN"/>
              </w:rPr>
              <w:t xml:space="preserve"> </w:t>
            </w:r>
            <w:r>
              <w:rPr>
                <w:rFonts w:ascii="Times New Roman" w:hAnsi="Times New Roman" w:cs="Times New Roman"/>
                <w:color w:val="auto"/>
                <w:sz w:val="24"/>
                <w:highlight w:val="none"/>
              </w:rPr>
              <w:t>度</w:t>
            </w:r>
            <w:r>
              <w:rPr>
                <w:rFonts w:ascii="Times New Roman" w:hAnsi="Times New Roman" w:cs="Times New Roman"/>
                <w:color w:val="auto"/>
                <w:sz w:val="24"/>
                <w:highlight w:val="none"/>
                <w:u w:val="single"/>
              </w:rPr>
              <w:t xml:space="preserve"> </w:t>
            </w:r>
            <w:r>
              <w:rPr>
                <w:rFonts w:hint="eastAsia" w:cs="Times New Roman"/>
                <w:color w:val="auto"/>
                <w:sz w:val="24"/>
                <w:highlight w:val="none"/>
                <w:u w:val="single"/>
                <w:lang w:val="en-US" w:eastAsia="zh-CN"/>
              </w:rPr>
              <w:t>48</w:t>
            </w:r>
            <w:r>
              <w:rPr>
                <w:rFonts w:ascii="Times New Roman" w:hAnsi="Times New Roman" w:cs="Times New Roman"/>
                <w:color w:val="auto"/>
                <w:sz w:val="24"/>
                <w:highlight w:val="none"/>
                <w:u w:val="single"/>
              </w:rPr>
              <w:t xml:space="preserve"> </w:t>
            </w:r>
            <w:r>
              <w:rPr>
                <w:rFonts w:ascii="Times New Roman" w:hAnsi="Times New Roman" w:cs="Times New Roman"/>
                <w:color w:val="auto"/>
                <w:sz w:val="24"/>
                <w:highlight w:val="none"/>
              </w:rPr>
              <w:t>分</w:t>
            </w:r>
            <w:r>
              <w:rPr>
                <w:rFonts w:ascii="Times New Roman" w:hAnsi="Times New Roman" w:cs="Times New Roman"/>
                <w:color w:val="auto"/>
                <w:sz w:val="24"/>
                <w:highlight w:val="none"/>
                <w:u w:val="single"/>
              </w:rPr>
              <w:t xml:space="preserve"> </w:t>
            </w:r>
            <w:r>
              <w:rPr>
                <w:rFonts w:hint="eastAsia" w:cs="Times New Roman"/>
                <w:color w:val="auto"/>
                <w:sz w:val="24"/>
                <w:highlight w:val="none"/>
                <w:u w:val="single"/>
                <w:lang w:val="en-US" w:eastAsia="zh-CN"/>
              </w:rPr>
              <w:t>46.145</w:t>
            </w:r>
            <w:r>
              <w:rPr>
                <w:rFonts w:hint="eastAsia" w:ascii="Times New Roman" w:hAnsi="Times New Roman" w:cs="Times New Roman"/>
                <w:color w:val="auto"/>
                <w:sz w:val="24"/>
                <w:highlight w:val="none"/>
                <w:u w:val="single"/>
                <w:lang w:val="en-US" w:eastAsia="zh-CN"/>
              </w:rPr>
              <w:t xml:space="preserve"> </w:t>
            </w:r>
            <w:r>
              <w:rPr>
                <w:rFonts w:ascii="Times New Roman" w:hAnsi="Times New Roman" w:cs="Times New Roman"/>
                <w:color w:val="auto"/>
                <w:sz w:val="24"/>
                <w:highlight w:val="none"/>
              </w:rPr>
              <w:t>秒</w:t>
            </w:r>
          </w:p>
        </w:tc>
      </w:tr>
      <w:tr w14:paraId="7F9FFA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09" w:hRule="atLeast"/>
          <w:jc w:val="center"/>
        </w:trPr>
        <w:tc>
          <w:tcPr>
            <w:tcW w:w="1606" w:type="dxa"/>
            <w:tcMar>
              <w:top w:w="16" w:type="dxa"/>
              <w:left w:w="16" w:type="dxa"/>
              <w:right w:w="16" w:type="dxa"/>
            </w:tcMar>
            <w:vAlign w:val="center"/>
          </w:tcPr>
          <w:p w14:paraId="60DD8603">
            <w:pPr>
              <w:adjustRightInd w:val="0"/>
              <w:snapToGrid w:val="0"/>
              <w:jc w:val="center"/>
              <w:rPr>
                <w:rFonts w:ascii="宋体"/>
                <w:color w:val="auto"/>
                <w:sz w:val="24"/>
                <w:szCs w:val="24"/>
                <w:highlight w:val="none"/>
              </w:rPr>
            </w:pPr>
            <w:r>
              <w:rPr>
                <w:rFonts w:hint="eastAsia" w:ascii="宋体" w:hAnsi="宋体" w:cs="宋体"/>
                <w:color w:val="auto"/>
                <w:sz w:val="24"/>
                <w:szCs w:val="24"/>
                <w:highlight w:val="none"/>
              </w:rPr>
              <w:t>国民经济</w:t>
            </w:r>
          </w:p>
          <w:p w14:paraId="6C2057D0">
            <w:pPr>
              <w:adjustRightInd w:val="0"/>
              <w:snapToGrid w:val="0"/>
              <w:jc w:val="center"/>
              <w:rPr>
                <w:rFonts w:ascii="宋体"/>
                <w:color w:val="auto"/>
                <w:sz w:val="24"/>
                <w:szCs w:val="24"/>
                <w:highlight w:val="none"/>
              </w:rPr>
            </w:pPr>
            <w:r>
              <w:rPr>
                <w:rFonts w:hint="eastAsia" w:ascii="宋体" w:hAnsi="宋体" w:cs="宋体"/>
                <w:color w:val="auto"/>
                <w:sz w:val="24"/>
                <w:szCs w:val="24"/>
                <w:highlight w:val="none"/>
              </w:rPr>
              <w:t>行业类别</w:t>
            </w:r>
          </w:p>
        </w:tc>
        <w:tc>
          <w:tcPr>
            <w:tcW w:w="2237" w:type="dxa"/>
            <w:vAlign w:val="center"/>
          </w:tcPr>
          <w:p w14:paraId="074A86E2">
            <w:pPr>
              <w:adjustRightInd w:val="0"/>
              <w:snapToGrid w:val="0"/>
              <w:jc w:val="center"/>
              <w:rPr>
                <w:rFonts w:ascii="宋体"/>
                <w:color w:val="auto"/>
                <w:sz w:val="24"/>
                <w:szCs w:val="24"/>
                <w:highlight w:val="none"/>
              </w:rPr>
            </w:pPr>
            <w:r>
              <w:rPr>
                <w:color w:val="auto"/>
                <w:sz w:val="24"/>
                <w:highlight w:val="none"/>
              </w:rPr>
              <w:t>C</w:t>
            </w:r>
            <w:r>
              <w:rPr>
                <w:rFonts w:hint="eastAsia"/>
                <w:color w:val="auto"/>
                <w:sz w:val="24"/>
                <w:highlight w:val="none"/>
              </w:rPr>
              <w:t>2542 生物质致密成型燃料加工</w:t>
            </w:r>
          </w:p>
        </w:tc>
        <w:tc>
          <w:tcPr>
            <w:tcW w:w="1877" w:type="dxa"/>
            <w:vAlign w:val="center"/>
          </w:tcPr>
          <w:p w14:paraId="30A92165">
            <w:pPr>
              <w:adjustRightInd w:val="0"/>
              <w:snapToGrid w:val="0"/>
              <w:jc w:val="center"/>
              <w:rPr>
                <w:rFonts w:ascii="宋体"/>
                <w:color w:val="auto"/>
                <w:sz w:val="24"/>
                <w:szCs w:val="24"/>
                <w:highlight w:val="none"/>
              </w:rPr>
            </w:pPr>
            <w:bookmarkStart w:id="1" w:name="_Hlk49843745"/>
            <w:r>
              <w:rPr>
                <w:rFonts w:hint="eastAsia" w:ascii="宋体" w:hAnsi="宋体" w:cs="宋体"/>
                <w:color w:val="auto"/>
                <w:sz w:val="24"/>
                <w:szCs w:val="24"/>
                <w:highlight w:val="none"/>
              </w:rPr>
              <w:t>建设项目</w:t>
            </w:r>
          </w:p>
          <w:p w14:paraId="07B500B3">
            <w:pPr>
              <w:adjustRightInd w:val="0"/>
              <w:snapToGrid w:val="0"/>
              <w:jc w:val="center"/>
              <w:rPr>
                <w:rFonts w:ascii="宋体"/>
                <w:color w:val="auto"/>
                <w:sz w:val="24"/>
                <w:szCs w:val="24"/>
                <w:highlight w:val="none"/>
              </w:rPr>
            </w:pPr>
            <w:r>
              <w:rPr>
                <w:rFonts w:hint="eastAsia" w:ascii="宋体" w:hAnsi="宋体" w:cs="宋体"/>
                <w:color w:val="auto"/>
                <w:sz w:val="24"/>
                <w:szCs w:val="24"/>
                <w:highlight w:val="none"/>
              </w:rPr>
              <w:t>行业类别</w:t>
            </w:r>
            <w:bookmarkEnd w:id="1"/>
          </w:p>
        </w:tc>
        <w:tc>
          <w:tcPr>
            <w:tcW w:w="3257" w:type="dxa"/>
            <w:vAlign w:val="center"/>
          </w:tcPr>
          <w:p w14:paraId="6AB5E6C5">
            <w:pPr>
              <w:widowControl/>
              <w:jc w:val="center"/>
              <w:rPr>
                <w:rFonts w:ascii="宋体"/>
                <w:color w:val="auto"/>
                <w:sz w:val="24"/>
                <w:szCs w:val="24"/>
                <w:highlight w:val="none"/>
              </w:rPr>
            </w:pPr>
            <w:r>
              <w:rPr>
                <w:rFonts w:hint="eastAsia" w:ascii="宋体" w:hAnsi="宋体" w:cs="宋体"/>
                <w:color w:val="auto"/>
                <w:sz w:val="24"/>
                <w:szCs w:val="24"/>
                <w:highlight w:val="none"/>
              </w:rPr>
              <w:t>二十二、石油、煤炭及其他燃料加工业  25 43生物质燃料加工 254</w:t>
            </w:r>
          </w:p>
        </w:tc>
      </w:tr>
      <w:tr w14:paraId="0CF91D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92" w:hRule="atLeast"/>
          <w:jc w:val="center"/>
        </w:trPr>
        <w:tc>
          <w:tcPr>
            <w:tcW w:w="1606" w:type="dxa"/>
            <w:tcMar>
              <w:top w:w="16" w:type="dxa"/>
              <w:left w:w="16" w:type="dxa"/>
              <w:right w:w="16" w:type="dxa"/>
            </w:tcMar>
            <w:vAlign w:val="center"/>
          </w:tcPr>
          <w:p w14:paraId="16897250">
            <w:pPr>
              <w:adjustRightInd w:val="0"/>
              <w:snapToGrid w:val="0"/>
              <w:jc w:val="center"/>
              <w:rPr>
                <w:rFonts w:ascii="宋体"/>
                <w:color w:val="auto"/>
                <w:sz w:val="24"/>
                <w:szCs w:val="24"/>
                <w:highlight w:val="none"/>
              </w:rPr>
            </w:pPr>
            <w:r>
              <w:rPr>
                <w:rFonts w:hint="eastAsia" w:ascii="宋体" w:hAnsi="宋体" w:cs="宋体"/>
                <w:color w:val="auto"/>
                <w:sz w:val="24"/>
                <w:szCs w:val="24"/>
                <w:highlight w:val="none"/>
              </w:rPr>
              <w:t>建设性质</w:t>
            </w:r>
          </w:p>
        </w:tc>
        <w:tc>
          <w:tcPr>
            <w:tcW w:w="2237" w:type="dxa"/>
            <w:vAlign w:val="center"/>
          </w:tcPr>
          <w:p w14:paraId="299CB5F3">
            <w:pPr>
              <w:adjustRightInd w:val="0"/>
              <w:snapToGrid w:val="0"/>
              <w:ind w:left="210" w:leftChars="100"/>
              <w:jc w:val="left"/>
              <w:rPr>
                <w:rFonts w:ascii="宋体"/>
                <w:color w:val="auto"/>
                <w:sz w:val="24"/>
                <w:szCs w:val="24"/>
                <w:highlight w:val="none"/>
              </w:rPr>
            </w:pPr>
            <w:r>
              <w:rPr>
                <w:rFonts w:hint="eastAsia" w:ascii="MS Mincho" w:hAnsi="MS Mincho" w:cs="MS Mincho"/>
                <w:color w:val="auto"/>
                <w:sz w:val="24"/>
                <w:szCs w:val="24"/>
                <w:highlight w:val="none"/>
              </w:rPr>
              <w:t>☑</w:t>
            </w:r>
            <w:r>
              <w:rPr>
                <w:rFonts w:hint="eastAsia" w:ascii="宋体" w:hAnsi="宋体" w:cs="宋体"/>
                <w:color w:val="auto"/>
                <w:sz w:val="24"/>
                <w:szCs w:val="24"/>
                <w:highlight w:val="none"/>
              </w:rPr>
              <w:t>新建</w:t>
            </w:r>
          </w:p>
          <w:p w14:paraId="439B07EB">
            <w:pPr>
              <w:adjustRightInd w:val="0"/>
              <w:snapToGrid w:val="0"/>
              <w:ind w:left="210" w:leftChars="100"/>
              <w:jc w:val="left"/>
              <w:rPr>
                <w:rFonts w:ascii="宋体"/>
                <w:color w:val="auto"/>
                <w:sz w:val="24"/>
                <w:szCs w:val="24"/>
                <w:highlight w:val="none"/>
              </w:rPr>
            </w:pPr>
            <w:r>
              <w:rPr>
                <w:rFonts w:ascii="宋体" w:hAnsi="宋体" w:cs="宋体"/>
                <w:color w:val="auto"/>
                <w:sz w:val="24"/>
                <w:szCs w:val="24"/>
                <w:highlight w:val="none"/>
              </w:rPr>
              <w:fldChar w:fldCharType="begin"/>
            </w:r>
            <w:r>
              <w:rPr>
                <w:rFonts w:ascii="宋体" w:hAnsi="宋体" w:cs="宋体"/>
                <w:color w:val="auto"/>
                <w:sz w:val="24"/>
                <w:szCs w:val="24"/>
                <w:highlight w:val="none"/>
              </w:rPr>
              <w:instrText xml:space="preserve">eq \o\ac(</w:instrText>
            </w:r>
            <w:r>
              <w:rPr>
                <w:rFonts w:hint="eastAsia" w:ascii="宋体" w:hAnsi="宋体" w:cs="宋体"/>
                <w:color w:val="auto"/>
                <w:sz w:val="24"/>
                <w:szCs w:val="24"/>
                <w:highlight w:val="none"/>
              </w:rPr>
              <w:instrText xml:space="preserve">□</w:instrText>
            </w:r>
            <w:r>
              <w:rPr>
                <w:rFonts w:ascii="宋体" w:hAnsi="宋体" w:cs="宋体"/>
                <w:color w:val="auto"/>
                <w:sz w:val="24"/>
                <w:szCs w:val="24"/>
                <w:highlight w:val="none"/>
              </w:rPr>
              <w:instrText xml:space="preserve">)</w:instrText>
            </w:r>
            <w:r>
              <w:rPr>
                <w:rFonts w:ascii="宋体" w:hAnsi="宋体" w:cs="宋体"/>
                <w:color w:val="auto"/>
                <w:sz w:val="24"/>
                <w:szCs w:val="24"/>
                <w:highlight w:val="none"/>
              </w:rPr>
              <w:fldChar w:fldCharType="end"/>
            </w:r>
            <w:r>
              <w:rPr>
                <w:rFonts w:hint="eastAsia" w:ascii="宋体" w:hAnsi="宋体" w:cs="宋体"/>
                <w:color w:val="auto"/>
                <w:sz w:val="24"/>
                <w:szCs w:val="24"/>
                <w:highlight w:val="none"/>
              </w:rPr>
              <w:t>改建</w:t>
            </w:r>
          </w:p>
          <w:p w14:paraId="0AF1C2E5">
            <w:pPr>
              <w:adjustRightInd w:val="0"/>
              <w:snapToGrid w:val="0"/>
              <w:ind w:left="210" w:leftChars="100"/>
              <w:jc w:val="left"/>
              <w:rPr>
                <w:rFonts w:ascii="宋体"/>
                <w:color w:val="auto"/>
                <w:sz w:val="24"/>
                <w:szCs w:val="24"/>
                <w:highlight w:val="none"/>
              </w:rPr>
            </w:pPr>
            <w:r>
              <w:rPr>
                <w:rFonts w:ascii="宋体" w:hAnsi="宋体" w:cs="宋体"/>
                <w:color w:val="auto"/>
                <w:sz w:val="24"/>
                <w:szCs w:val="24"/>
                <w:highlight w:val="none"/>
              </w:rPr>
              <w:fldChar w:fldCharType="begin"/>
            </w:r>
            <w:r>
              <w:rPr>
                <w:rFonts w:ascii="宋体" w:hAnsi="宋体" w:cs="宋体"/>
                <w:color w:val="auto"/>
                <w:sz w:val="24"/>
                <w:szCs w:val="24"/>
                <w:highlight w:val="none"/>
              </w:rPr>
              <w:instrText xml:space="preserve">eq \o\ac(</w:instrText>
            </w:r>
            <w:r>
              <w:rPr>
                <w:rFonts w:hint="eastAsia" w:ascii="宋体" w:hAnsi="宋体" w:cs="宋体"/>
                <w:color w:val="auto"/>
                <w:sz w:val="24"/>
                <w:szCs w:val="24"/>
                <w:highlight w:val="none"/>
              </w:rPr>
              <w:instrText xml:space="preserve">□</w:instrText>
            </w:r>
            <w:r>
              <w:rPr>
                <w:rFonts w:ascii="宋体" w:hAnsi="宋体" w:cs="宋体"/>
                <w:color w:val="auto"/>
                <w:sz w:val="24"/>
                <w:szCs w:val="24"/>
                <w:highlight w:val="none"/>
              </w:rPr>
              <w:instrText xml:space="preserve">)</w:instrText>
            </w:r>
            <w:r>
              <w:rPr>
                <w:rFonts w:ascii="宋体" w:hAnsi="宋体" w:cs="宋体"/>
                <w:color w:val="auto"/>
                <w:sz w:val="24"/>
                <w:szCs w:val="24"/>
                <w:highlight w:val="none"/>
              </w:rPr>
              <w:fldChar w:fldCharType="end"/>
            </w:r>
            <w:r>
              <w:rPr>
                <w:rFonts w:hint="eastAsia" w:ascii="宋体" w:hAnsi="宋体" w:cs="宋体"/>
                <w:color w:val="auto"/>
                <w:sz w:val="24"/>
                <w:szCs w:val="24"/>
                <w:highlight w:val="none"/>
              </w:rPr>
              <w:t>扩建</w:t>
            </w:r>
          </w:p>
          <w:p w14:paraId="74117C79">
            <w:pPr>
              <w:adjustRightInd w:val="0"/>
              <w:snapToGrid w:val="0"/>
              <w:ind w:left="210" w:leftChars="100"/>
              <w:jc w:val="left"/>
              <w:rPr>
                <w:rFonts w:ascii="宋体"/>
                <w:color w:val="auto"/>
                <w:sz w:val="24"/>
                <w:szCs w:val="24"/>
                <w:highlight w:val="none"/>
              </w:rPr>
            </w:pPr>
            <w:r>
              <w:rPr>
                <w:rFonts w:hint="eastAsia" w:ascii="宋体" w:hAnsi="宋体" w:cs="宋体"/>
                <w:color w:val="auto"/>
                <w:sz w:val="24"/>
                <w:szCs w:val="24"/>
                <w:highlight w:val="none"/>
              </w:rPr>
              <w:t>□技术改造</w:t>
            </w:r>
          </w:p>
        </w:tc>
        <w:tc>
          <w:tcPr>
            <w:tcW w:w="1877" w:type="dxa"/>
            <w:vAlign w:val="center"/>
          </w:tcPr>
          <w:p w14:paraId="5C62F403">
            <w:pPr>
              <w:adjustRightInd w:val="0"/>
              <w:snapToGrid w:val="0"/>
              <w:jc w:val="center"/>
              <w:rPr>
                <w:rFonts w:ascii="宋体"/>
                <w:color w:val="auto"/>
                <w:sz w:val="24"/>
                <w:szCs w:val="24"/>
                <w:highlight w:val="none"/>
              </w:rPr>
            </w:pPr>
            <w:r>
              <w:rPr>
                <w:rFonts w:hint="eastAsia" w:ascii="宋体" w:hAnsi="宋体" w:cs="宋体"/>
                <w:color w:val="auto"/>
                <w:sz w:val="24"/>
                <w:szCs w:val="24"/>
                <w:highlight w:val="none"/>
              </w:rPr>
              <w:t>建设项目</w:t>
            </w:r>
          </w:p>
          <w:p w14:paraId="2915131C">
            <w:pPr>
              <w:adjustRightInd w:val="0"/>
              <w:snapToGrid w:val="0"/>
              <w:jc w:val="center"/>
              <w:rPr>
                <w:rFonts w:ascii="宋体"/>
                <w:color w:val="auto"/>
                <w:sz w:val="24"/>
                <w:szCs w:val="24"/>
                <w:highlight w:val="none"/>
              </w:rPr>
            </w:pPr>
            <w:r>
              <w:rPr>
                <w:rFonts w:hint="eastAsia" w:ascii="宋体" w:hAnsi="宋体" w:cs="宋体"/>
                <w:color w:val="auto"/>
                <w:sz w:val="24"/>
                <w:szCs w:val="24"/>
                <w:highlight w:val="none"/>
              </w:rPr>
              <w:t>申报情形</w:t>
            </w:r>
          </w:p>
        </w:tc>
        <w:tc>
          <w:tcPr>
            <w:tcW w:w="3257" w:type="dxa"/>
            <w:vAlign w:val="center"/>
          </w:tcPr>
          <w:p w14:paraId="70E37569">
            <w:pPr>
              <w:adjustRightInd w:val="0"/>
              <w:snapToGrid w:val="0"/>
              <w:ind w:left="210" w:leftChars="100"/>
              <w:jc w:val="left"/>
              <w:rPr>
                <w:rFonts w:ascii="宋体"/>
                <w:color w:val="auto"/>
                <w:sz w:val="24"/>
                <w:szCs w:val="24"/>
                <w:highlight w:val="none"/>
              </w:rPr>
            </w:pPr>
            <w:r>
              <w:rPr>
                <w:rFonts w:hint="eastAsia" w:ascii="MS Mincho" w:hAnsi="MS Mincho" w:cs="MS Mincho"/>
                <w:color w:val="auto"/>
                <w:sz w:val="24"/>
                <w:szCs w:val="24"/>
                <w:highlight w:val="none"/>
              </w:rPr>
              <w:t>☑</w:t>
            </w:r>
            <w:r>
              <w:rPr>
                <w:rFonts w:hint="eastAsia" w:ascii="宋体" w:hAnsi="宋体" w:cs="宋体"/>
                <w:color w:val="auto"/>
                <w:sz w:val="24"/>
                <w:szCs w:val="24"/>
                <w:highlight w:val="none"/>
              </w:rPr>
              <w:t>首次申报项目</w:t>
            </w:r>
          </w:p>
          <w:p w14:paraId="03BA832C">
            <w:pPr>
              <w:adjustRightInd w:val="0"/>
              <w:snapToGrid w:val="0"/>
              <w:ind w:left="210" w:leftChars="100"/>
              <w:jc w:val="left"/>
              <w:rPr>
                <w:rFonts w:ascii="宋体"/>
                <w:color w:val="auto"/>
                <w:sz w:val="24"/>
                <w:szCs w:val="24"/>
                <w:highlight w:val="none"/>
              </w:rPr>
            </w:pPr>
            <w:r>
              <w:rPr>
                <w:rFonts w:hint="eastAsia" w:ascii="宋体" w:hAnsi="宋体" w:cs="宋体"/>
                <w:color w:val="auto"/>
                <w:sz w:val="24"/>
                <w:szCs w:val="24"/>
                <w:highlight w:val="none"/>
              </w:rPr>
              <w:t>□不予批准后再次申报项目</w:t>
            </w:r>
          </w:p>
          <w:p w14:paraId="0905698E">
            <w:pPr>
              <w:adjustRightInd w:val="0"/>
              <w:snapToGrid w:val="0"/>
              <w:ind w:left="210" w:leftChars="100"/>
              <w:jc w:val="left"/>
              <w:rPr>
                <w:rFonts w:ascii="宋体"/>
                <w:color w:val="auto"/>
                <w:sz w:val="24"/>
                <w:szCs w:val="24"/>
                <w:highlight w:val="none"/>
              </w:rPr>
            </w:pPr>
            <w:r>
              <w:rPr>
                <w:rFonts w:hint="eastAsia" w:ascii="宋体" w:hAnsi="宋体" w:cs="宋体"/>
                <w:color w:val="auto"/>
                <w:sz w:val="24"/>
                <w:szCs w:val="24"/>
                <w:highlight w:val="none"/>
              </w:rPr>
              <w:t>□超五年重新审核项目</w:t>
            </w:r>
          </w:p>
          <w:p w14:paraId="093B3FCD">
            <w:pPr>
              <w:adjustRightInd w:val="0"/>
              <w:snapToGrid w:val="0"/>
              <w:ind w:left="210" w:leftChars="100"/>
              <w:jc w:val="left"/>
              <w:rPr>
                <w:rFonts w:ascii="宋体"/>
                <w:color w:val="auto"/>
                <w:sz w:val="24"/>
                <w:szCs w:val="24"/>
                <w:highlight w:val="none"/>
              </w:rPr>
            </w:pPr>
            <w:r>
              <w:rPr>
                <w:rFonts w:hint="eastAsia" w:ascii="宋体" w:hAnsi="宋体" w:cs="宋体"/>
                <w:color w:val="auto"/>
                <w:sz w:val="24"/>
                <w:szCs w:val="24"/>
                <w:highlight w:val="none"/>
              </w:rPr>
              <w:t>□重大变动重新报批项目</w:t>
            </w:r>
          </w:p>
        </w:tc>
      </w:tr>
      <w:tr w14:paraId="0C3B13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09" w:hRule="atLeast"/>
          <w:jc w:val="center"/>
        </w:trPr>
        <w:tc>
          <w:tcPr>
            <w:tcW w:w="1606" w:type="dxa"/>
            <w:tcMar>
              <w:top w:w="16" w:type="dxa"/>
              <w:left w:w="16" w:type="dxa"/>
              <w:right w:w="16" w:type="dxa"/>
            </w:tcMar>
            <w:vAlign w:val="center"/>
          </w:tcPr>
          <w:p w14:paraId="4AF5694E">
            <w:pPr>
              <w:adjustRightInd w:val="0"/>
              <w:snapToGrid w:val="0"/>
              <w:jc w:val="center"/>
              <w:rPr>
                <w:rFonts w:ascii="宋体"/>
                <w:color w:val="auto"/>
                <w:sz w:val="24"/>
                <w:szCs w:val="24"/>
                <w:highlight w:val="none"/>
              </w:rPr>
            </w:pPr>
            <w:r>
              <w:rPr>
                <w:rFonts w:hint="eastAsia" w:ascii="宋体" w:hAnsi="宋体" w:cs="宋体"/>
                <w:color w:val="auto"/>
                <w:sz w:val="24"/>
                <w:szCs w:val="24"/>
                <w:highlight w:val="none"/>
              </w:rPr>
              <w:t>项目审批（核准</w:t>
            </w:r>
            <w:r>
              <w:rPr>
                <w:rFonts w:ascii="宋体" w:hAnsi="宋体" w:cs="宋体"/>
                <w:color w:val="auto"/>
                <w:sz w:val="24"/>
                <w:szCs w:val="24"/>
                <w:highlight w:val="none"/>
              </w:rPr>
              <w:t>/</w:t>
            </w:r>
          </w:p>
          <w:p w14:paraId="51E35F8B">
            <w:pPr>
              <w:adjustRightInd w:val="0"/>
              <w:snapToGrid w:val="0"/>
              <w:jc w:val="center"/>
              <w:rPr>
                <w:rFonts w:ascii="宋体"/>
                <w:color w:val="auto"/>
                <w:sz w:val="24"/>
                <w:szCs w:val="24"/>
                <w:highlight w:val="none"/>
              </w:rPr>
            </w:pPr>
            <w:r>
              <w:rPr>
                <w:rFonts w:hint="eastAsia" w:ascii="宋体" w:hAnsi="宋体" w:cs="宋体"/>
                <w:color w:val="auto"/>
                <w:sz w:val="24"/>
                <w:szCs w:val="24"/>
                <w:highlight w:val="none"/>
              </w:rPr>
              <w:t>备案）部门（选填）</w:t>
            </w:r>
          </w:p>
        </w:tc>
        <w:tc>
          <w:tcPr>
            <w:tcW w:w="2237" w:type="dxa"/>
            <w:vAlign w:val="center"/>
          </w:tcPr>
          <w:p w14:paraId="40982857">
            <w:pPr>
              <w:adjustRightInd w:val="0"/>
              <w:snapToGrid w:val="0"/>
              <w:jc w:val="center"/>
              <w:rPr>
                <w:rFonts w:hint="eastAsia" w:ascii="宋体" w:eastAsia="宋体"/>
                <w:color w:val="auto"/>
                <w:sz w:val="24"/>
                <w:szCs w:val="24"/>
                <w:highlight w:val="none"/>
                <w:lang w:eastAsia="zh-CN"/>
              </w:rPr>
            </w:pPr>
            <w:r>
              <w:rPr>
                <w:rFonts w:hint="eastAsia" w:ascii="宋体" w:hAnsi="宋体" w:cs="宋体"/>
                <w:color w:val="auto"/>
                <w:sz w:val="24"/>
                <w:szCs w:val="24"/>
                <w:highlight w:val="none"/>
                <w:lang w:eastAsia="zh-CN"/>
              </w:rPr>
              <w:t>安徽淮北烈山经济开发区管委会</w:t>
            </w:r>
          </w:p>
        </w:tc>
        <w:tc>
          <w:tcPr>
            <w:tcW w:w="1877" w:type="dxa"/>
            <w:vAlign w:val="center"/>
          </w:tcPr>
          <w:p w14:paraId="5FE93541">
            <w:pPr>
              <w:adjustRightInd w:val="0"/>
              <w:snapToGrid w:val="0"/>
              <w:jc w:val="center"/>
              <w:rPr>
                <w:rFonts w:ascii="宋体"/>
                <w:color w:val="auto"/>
                <w:sz w:val="24"/>
                <w:szCs w:val="24"/>
                <w:highlight w:val="none"/>
              </w:rPr>
            </w:pPr>
            <w:r>
              <w:rPr>
                <w:rFonts w:hint="eastAsia" w:ascii="宋体" w:hAnsi="宋体" w:cs="宋体"/>
                <w:color w:val="auto"/>
                <w:sz w:val="24"/>
                <w:szCs w:val="24"/>
                <w:highlight w:val="none"/>
              </w:rPr>
              <w:t>项目审批（核准</w:t>
            </w:r>
            <w:r>
              <w:rPr>
                <w:rFonts w:ascii="宋体" w:hAnsi="宋体" w:cs="宋体"/>
                <w:color w:val="auto"/>
                <w:sz w:val="24"/>
                <w:szCs w:val="24"/>
                <w:highlight w:val="none"/>
              </w:rPr>
              <w:t>/</w:t>
            </w:r>
          </w:p>
          <w:p w14:paraId="111CE661">
            <w:pPr>
              <w:adjustRightInd w:val="0"/>
              <w:snapToGrid w:val="0"/>
              <w:jc w:val="center"/>
              <w:rPr>
                <w:rFonts w:ascii="宋体"/>
                <w:color w:val="auto"/>
                <w:sz w:val="24"/>
                <w:szCs w:val="24"/>
                <w:highlight w:val="none"/>
              </w:rPr>
            </w:pPr>
            <w:r>
              <w:rPr>
                <w:rFonts w:hint="eastAsia" w:ascii="宋体" w:hAnsi="宋体" w:cs="宋体"/>
                <w:color w:val="auto"/>
                <w:sz w:val="24"/>
                <w:szCs w:val="24"/>
                <w:highlight w:val="none"/>
              </w:rPr>
              <w:t>备案）文号（选填）</w:t>
            </w:r>
          </w:p>
        </w:tc>
        <w:tc>
          <w:tcPr>
            <w:tcW w:w="3257" w:type="dxa"/>
            <w:vAlign w:val="center"/>
          </w:tcPr>
          <w:p w14:paraId="60C8A34F">
            <w:pPr>
              <w:adjustRightInd w:val="0"/>
              <w:snapToGrid w:val="0"/>
              <w:jc w:val="center"/>
              <w:rPr>
                <w:rFonts w:ascii="宋体"/>
                <w:color w:val="auto"/>
                <w:sz w:val="24"/>
                <w:szCs w:val="24"/>
                <w:highlight w:val="none"/>
              </w:rPr>
            </w:pPr>
            <w:r>
              <w:rPr>
                <w:rFonts w:hint="eastAsia" w:ascii="宋体" w:hAnsi="宋体" w:cs="宋体"/>
                <w:color w:val="auto"/>
                <w:sz w:val="24"/>
                <w:szCs w:val="24"/>
                <w:highlight w:val="none"/>
              </w:rPr>
              <w:t>无</w:t>
            </w:r>
          </w:p>
        </w:tc>
      </w:tr>
      <w:tr w14:paraId="1AFCFF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06" w:type="dxa"/>
            <w:tcMar>
              <w:top w:w="16" w:type="dxa"/>
              <w:left w:w="16" w:type="dxa"/>
              <w:right w:w="16" w:type="dxa"/>
            </w:tcMar>
            <w:vAlign w:val="center"/>
          </w:tcPr>
          <w:p w14:paraId="5C1D072E">
            <w:pPr>
              <w:adjustRightInd w:val="0"/>
              <w:snapToGrid w:val="0"/>
              <w:jc w:val="center"/>
              <w:rPr>
                <w:rFonts w:ascii="宋体"/>
                <w:color w:val="auto"/>
                <w:sz w:val="24"/>
                <w:szCs w:val="24"/>
                <w:highlight w:val="none"/>
              </w:rPr>
            </w:pPr>
            <w:r>
              <w:rPr>
                <w:rFonts w:hint="eastAsia" w:ascii="宋体" w:hAnsi="宋体" w:cs="宋体"/>
                <w:color w:val="auto"/>
                <w:sz w:val="24"/>
                <w:szCs w:val="24"/>
                <w:highlight w:val="none"/>
              </w:rPr>
              <w:t>总投资（万元）</w:t>
            </w:r>
          </w:p>
        </w:tc>
        <w:tc>
          <w:tcPr>
            <w:tcW w:w="2237" w:type="dxa"/>
            <w:vAlign w:val="center"/>
          </w:tcPr>
          <w:p w14:paraId="4EE79B4F">
            <w:pPr>
              <w:adjustRightInd w:val="0"/>
              <w:snapToGrid w:val="0"/>
              <w:jc w:val="center"/>
              <w:rPr>
                <w:rFonts w:hint="default" w:ascii="宋体" w:eastAsia="宋体"/>
                <w:color w:val="auto"/>
                <w:sz w:val="24"/>
                <w:szCs w:val="24"/>
                <w:highlight w:val="none"/>
                <w:lang w:val="en-US" w:eastAsia="zh-CN"/>
              </w:rPr>
            </w:pPr>
            <w:r>
              <w:rPr>
                <w:rFonts w:hint="eastAsia" w:ascii="宋体" w:hAnsi="宋体" w:cs="宋体"/>
                <w:color w:val="auto"/>
                <w:sz w:val="24"/>
                <w:szCs w:val="24"/>
                <w:highlight w:val="none"/>
                <w:lang w:val="en-US" w:eastAsia="zh-CN"/>
              </w:rPr>
              <w:t>15000</w:t>
            </w:r>
          </w:p>
        </w:tc>
        <w:tc>
          <w:tcPr>
            <w:tcW w:w="1877" w:type="dxa"/>
            <w:tcMar>
              <w:top w:w="16" w:type="dxa"/>
              <w:left w:w="16" w:type="dxa"/>
              <w:right w:w="16" w:type="dxa"/>
            </w:tcMar>
            <w:vAlign w:val="center"/>
          </w:tcPr>
          <w:p w14:paraId="64AA5F82">
            <w:pPr>
              <w:adjustRightInd w:val="0"/>
              <w:snapToGrid w:val="0"/>
              <w:jc w:val="center"/>
              <w:rPr>
                <w:rFonts w:ascii="宋体"/>
                <w:color w:val="auto"/>
                <w:sz w:val="24"/>
                <w:szCs w:val="24"/>
                <w:highlight w:val="none"/>
              </w:rPr>
            </w:pPr>
            <w:r>
              <w:rPr>
                <w:rFonts w:hint="eastAsia" w:ascii="宋体" w:hAnsi="宋体" w:cs="宋体"/>
                <w:color w:val="auto"/>
                <w:sz w:val="24"/>
                <w:szCs w:val="24"/>
                <w:highlight w:val="none"/>
              </w:rPr>
              <w:t>环保投资（万元）</w:t>
            </w:r>
          </w:p>
        </w:tc>
        <w:tc>
          <w:tcPr>
            <w:tcW w:w="3257" w:type="dxa"/>
            <w:vAlign w:val="center"/>
          </w:tcPr>
          <w:p w14:paraId="1106CF5F">
            <w:pPr>
              <w:adjustRightInd w:val="0"/>
              <w:snapToGrid w:val="0"/>
              <w:jc w:val="center"/>
              <w:rPr>
                <w:rFonts w:hint="default" w:ascii="宋体" w:eastAsia="宋体"/>
                <w:color w:val="auto"/>
                <w:sz w:val="24"/>
                <w:szCs w:val="24"/>
                <w:highlight w:val="none"/>
                <w:lang w:val="en-US" w:eastAsia="zh-CN"/>
              </w:rPr>
            </w:pPr>
            <w:r>
              <w:rPr>
                <w:rFonts w:hint="eastAsia" w:ascii="宋体"/>
                <w:color w:val="auto"/>
                <w:sz w:val="24"/>
                <w:szCs w:val="24"/>
                <w:highlight w:val="none"/>
                <w:lang w:val="en-US" w:eastAsia="zh-CN"/>
              </w:rPr>
              <w:t>114.5</w:t>
            </w:r>
          </w:p>
        </w:tc>
      </w:tr>
      <w:tr w14:paraId="1FD266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48" w:hRule="atLeast"/>
          <w:jc w:val="center"/>
        </w:trPr>
        <w:tc>
          <w:tcPr>
            <w:tcW w:w="1606" w:type="dxa"/>
            <w:tcMar>
              <w:top w:w="16" w:type="dxa"/>
              <w:left w:w="16" w:type="dxa"/>
              <w:right w:w="16" w:type="dxa"/>
            </w:tcMar>
            <w:vAlign w:val="center"/>
          </w:tcPr>
          <w:p w14:paraId="55FA294D">
            <w:pPr>
              <w:adjustRightInd w:val="0"/>
              <w:snapToGrid w:val="0"/>
              <w:jc w:val="center"/>
              <w:rPr>
                <w:rFonts w:ascii="宋体"/>
                <w:color w:val="auto"/>
                <w:sz w:val="24"/>
                <w:szCs w:val="24"/>
                <w:highlight w:val="none"/>
              </w:rPr>
            </w:pPr>
            <w:r>
              <w:rPr>
                <w:rFonts w:hint="eastAsia" w:ascii="宋体" w:hAnsi="宋体" w:cs="宋体"/>
                <w:color w:val="auto"/>
                <w:sz w:val="24"/>
                <w:szCs w:val="24"/>
                <w:highlight w:val="none"/>
              </w:rPr>
              <w:t>环保投资占比（</w:t>
            </w:r>
            <w:r>
              <w:rPr>
                <w:rFonts w:ascii="宋体" w:hAnsi="宋体" w:cs="宋体"/>
                <w:color w:val="auto"/>
                <w:sz w:val="24"/>
                <w:szCs w:val="24"/>
                <w:highlight w:val="none"/>
              </w:rPr>
              <w:t>%</w:t>
            </w:r>
            <w:r>
              <w:rPr>
                <w:rFonts w:hint="eastAsia" w:ascii="宋体" w:hAnsi="宋体" w:cs="宋体"/>
                <w:color w:val="auto"/>
                <w:sz w:val="24"/>
                <w:szCs w:val="24"/>
                <w:highlight w:val="none"/>
              </w:rPr>
              <w:t>）</w:t>
            </w:r>
          </w:p>
        </w:tc>
        <w:tc>
          <w:tcPr>
            <w:tcW w:w="2237" w:type="dxa"/>
            <w:vAlign w:val="center"/>
          </w:tcPr>
          <w:p w14:paraId="4C097BEE">
            <w:pPr>
              <w:adjustRightInd w:val="0"/>
              <w:snapToGrid w:val="0"/>
              <w:jc w:val="center"/>
              <w:rPr>
                <w:rFonts w:ascii="宋体"/>
                <w:color w:val="auto"/>
                <w:sz w:val="24"/>
                <w:szCs w:val="24"/>
                <w:highlight w:val="none"/>
              </w:rPr>
            </w:pPr>
            <w:r>
              <w:rPr>
                <w:rFonts w:hint="eastAsia" w:cs="宋体"/>
                <w:color w:val="auto"/>
                <w:sz w:val="24"/>
                <w:szCs w:val="24"/>
                <w:highlight w:val="none"/>
                <w:lang w:val="en-US" w:eastAsia="zh-CN"/>
              </w:rPr>
              <w:t>0.764</w:t>
            </w:r>
            <w:r>
              <w:rPr>
                <w:rFonts w:ascii="宋体" w:hAnsi="宋体" w:cs="宋体"/>
                <w:color w:val="auto"/>
                <w:sz w:val="24"/>
                <w:szCs w:val="24"/>
                <w:highlight w:val="none"/>
              </w:rPr>
              <w:t>%</w:t>
            </w:r>
          </w:p>
        </w:tc>
        <w:tc>
          <w:tcPr>
            <w:tcW w:w="1877" w:type="dxa"/>
            <w:tcMar>
              <w:top w:w="16" w:type="dxa"/>
              <w:left w:w="16" w:type="dxa"/>
              <w:right w:w="16" w:type="dxa"/>
            </w:tcMar>
            <w:vAlign w:val="center"/>
          </w:tcPr>
          <w:p w14:paraId="3F53AA9C">
            <w:pPr>
              <w:adjustRightInd w:val="0"/>
              <w:snapToGrid w:val="0"/>
              <w:jc w:val="center"/>
              <w:rPr>
                <w:rFonts w:ascii="宋体"/>
                <w:color w:val="auto"/>
                <w:sz w:val="24"/>
                <w:szCs w:val="24"/>
                <w:highlight w:val="none"/>
              </w:rPr>
            </w:pPr>
            <w:r>
              <w:rPr>
                <w:rFonts w:hint="eastAsia" w:ascii="宋体" w:hAnsi="宋体" w:cs="宋体"/>
                <w:color w:val="auto"/>
                <w:sz w:val="24"/>
                <w:szCs w:val="24"/>
                <w:highlight w:val="none"/>
              </w:rPr>
              <w:t>施工工期</w:t>
            </w:r>
          </w:p>
        </w:tc>
        <w:tc>
          <w:tcPr>
            <w:tcW w:w="3257" w:type="dxa"/>
            <w:vAlign w:val="center"/>
          </w:tcPr>
          <w:p w14:paraId="2218F151">
            <w:pPr>
              <w:adjustRightInd w:val="0"/>
              <w:snapToGrid w:val="0"/>
              <w:jc w:val="center"/>
              <w:rPr>
                <w:rFonts w:ascii="宋体"/>
                <w:color w:val="auto"/>
                <w:sz w:val="24"/>
                <w:szCs w:val="24"/>
                <w:highlight w:val="none"/>
              </w:rPr>
            </w:pPr>
            <w:r>
              <w:rPr>
                <w:rFonts w:hint="eastAsia" w:ascii="宋体" w:hAnsi="宋体" w:cs="宋体"/>
                <w:color w:val="auto"/>
                <w:sz w:val="24"/>
                <w:szCs w:val="24"/>
                <w:highlight w:val="none"/>
              </w:rPr>
              <w:t>1</w:t>
            </w:r>
            <w:r>
              <w:rPr>
                <w:rFonts w:hint="eastAsia" w:ascii="宋体" w:hAnsi="宋体" w:cs="宋体"/>
                <w:color w:val="auto"/>
                <w:sz w:val="24"/>
                <w:szCs w:val="24"/>
                <w:highlight w:val="none"/>
                <w:lang w:val="en-US" w:eastAsia="zh-CN"/>
              </w:rPr>
              <w:t>2</w:t>
            </w:r>
            <w:r>
              <w:rPr>
                <w:rFonts w:hint="eastAsia" w:ascii="宋体" w:hAnsi="宋体" w:cs="宋体"/>
                <w:color w:val="auto"/>
                <w:sz w:val="24"/>
                <w:szCs w:val="24"/>
                <w:highlight w:val="none"/>
              </w:rPr>
              <w:t>个月</w:t>
            </w:r>
          </w:p>
        </w:tc>
      </w:tr>
      <w:tr w14:paraId="551209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64" w:hRule="atLeast"/>
          <w:jc w:val="center"/>
        </w:trPr>
        <w:tc>
          <w:tcPr>
            <w:tcW w:w="1606" w:type="dxa"/>
            <w:tcMar>
              <w:top w:w="16" w:type="dxa"/>
              <w:left w:w="16" w:type="dxa"/>
              <w:right w:w="16" w:type="dxa"/>
            </w:tcMar>
            <w:vAlign w:val="center"/>
          </w:tcPr>
          <w:p w14:paraId="630561C0">
            <w:pPr>
              <w:adjustRightInd w:val="0"/>
              <w:snapToGrid w:val="0"/>
              <w:jc w:val="center"/>
              <w:rPr>
                <w:rFonts w:ascii="宋体"/>
                <w:color w:val="auto"/>
                <w:sz w:val="24"/>
                <w:szCs w:val="24"/>
                <w:highlight w:val="none"/>
              </w:rPr>
            </w:pPr>
            <w:r>
              <w:rPr>
                <w:rFonts w:hint="eastAsia" w:ascii="宋体" w:hAnsi="宋体" w:cs="宋体"/>
                <w:color w:val="auto"/>
                <w:sz w:val="24"/>
                <w:szCs w:val="24"/>
                <w:highlight w:val="none"/>
              </w:rPr>
              <w:t>是否开工建设</w:t>
            </w:r>
          </w:p>
        </w:tc>
        <w:tc>
          <w:tcPr>
            <w:tcW w:w="2237" w:type="dxa"/>
            <w:vAlign w:val="center"/>
          </w:tcPr>
          <w:p w14:paraId="01691D6D">
            <w:pPr>
              <w:adjustRightInd w:val="0"/>
              <w:snapToGrid w:val="0"/>
              <w:ind w:left="210" w:leftChars="100"/>
              <w:jc w:val="left"/>
              <w:rPr>
                <w:rFonts w:ascii="宋体"/>
                <w:color w:val="auto"/>
                <w:sz w:val="24"/>
                <w:szCs w:val="24"/>
                <w:highlight w:val="none"/>
              </w:rPr>
            </w:pPr>
            <w:r>
              <w:rPr>
                <w:rFonts w:hint="eastAsia" w:ascii="MS Mincho" w:hAnsi="MS Mincho" w:cs="MS Mincho"/>
                <w:color w:val="auto"/>
                <w:sz w:val="24"/>
                <w:szCs w:val="24"/>
                <w:highlight w:val="none"/>
              </w:rPr>
              <w:t>☑</w:t>
            </w:r>
            <w:r>
              <w:rPr>
                <w:rFonts w:hint="eastAsia" w:ascii="宋体" w:hAnsi="宋体" w:cs="宋体"/>
                <w:color w:val="auto"/>
                <w:sz w:val="24"/>
                <w:szCs w:val="24"/>
                <w:highlight w:val="none"/>
              </w:rPr>
              <w:t>否</w:t>
            </w:r>
          </w:p>
          <w:p w14:paraId="2314BE55">
            <w:pPr>
              <w:adjustRightInd w:val="0"/>
              <w:snapToGrid w:val="0"/>
              <w:ind w:left="210" w:leftChars="100"/>
              <w:rPr>
                <w:rFonts w:ascii="宋体"/>
                <w:color w:val="auto"/>
                <w:sz w:val="24"/>
                <w:szCs w:val="24"/>
                <w:highlight w:val="none"/>
                <w:u w:val="single"/>
              </w:rPr>
            </w:pPr>
            <w:r>
              <w:rPr>
                <w:rFonts w:hint="eastAsia" w:ascii="MS Mincho" w:hAnsi="MS Mincho" w:cs="MS Mincho"/>
                <w:color w:val="auto"/>
                <w:sz w:val="24"/>
                <w:szCs w:val="24"/>
                <w:highlight w:val="none"/>
              </w:rPr>
              <w:t>□</w:t>
            </w:r>
            <w:r>
              <w:rPr>
                <w:rFonts w:hint="eastAsia" w:ascii="宋体" w:hAnsi="宋体" w:cs="宋体"/>
                <w:color w:val="auto"/>
                <w:sz w:val="24"/>
                <w:szCs w:val="24"/>
                <w:highlight w:val="none"/>
              </w:rPr>
              <w:t>是</w:t>
            </w:r>
          </w:p>
        </w:tc>
        <w:tc>
          <w:tcPr>
            <w:tcW w:w="1877" w:type="dxa"/>
            <w:tcMar>
              <w:top w:w="16" w:type="dxa"/>
              <w:left w:w="16" w:type="dxa"/>
              <w:right w:w="16" w:type="dxa"/>
            </w:tcMar>
            <w:vAlign w:val="center"/>
          </w:tcPr>
          <w:p w14:paraId="4AB21E38">
            <w:pPr>
              <w:adjustRightInd w:val="0"/>
              <w:snapToGrid w:val="0"/>
              <w:jc w:val="center"/>
              <w:rPr>
                <w:rFonts w:ascii="宋体"/>
                <w:color w:val="auto"/>
                <w:sz w:val="24"/>
                <w:szCs w:val="24"/>
                <w:highlight w:val="none"/>
              </w:rPr>
            </w:pPr>
            <w:r>
              <w:rPr>
                <w:rFonts w:hint="eastAsia" w:ascii="宋体" w:hAnsi="宋体" w:cs="宋体"/>
                <w:color w:val="auto"/>
                <w:sz w:val="24"/>
                <w:szCs w:val="24"/>
                <w:highlight w:val="none"/>
              </w:rPr>
              <w:t>用地（用海）</w:t>
            </w:r>
          </w:p>
          <w:p w14:paraId="7E0890C5">
            <w:pPr>
              <w:adjustRightInd w:val="0"/>
              <w:snapToGrid w:val="0"/>
              <w:jc w:val="center"/>
              <w:rPr>
                <w:rFonts w:ascii="宋体"/>
                <w:color w:val="auto"/>
                <w:sz w:val="24"/>
                <w:szCs w:val="24"/>
                <w:highlight w:val="none"/>
              </w:rPr>
            </w:pPr>
            <w:r>
              <w:rPr>
                <w:rFonts w:hint="eastAsia" w:ascii="宋体" w:hAnsi="宋体" w:cs="宋体"/>
                <w:color w:val="auto"/>
                <w:sz w:val="24"/>
                <w:szCs w:val="24"/>
                <w:highlight w:val="none"/>
              </w:rPr>
              <w:t>面积（</w:t>
            </w:r>
            <w:r>
              <w:rPr>
                <w:rFonts w:ascii="宋体" w:hAnsi="宋体" w:cs="宋体"/>
                <w:color w:val="auto"/>
                <w:sz w:val="24"/>
                <w:szCs w:val="24"/>
                <w:highlight w:val="none"/>
              </w:rPr>
              <w:t>m</w:t>
            </w:r>
            <w:r>
              <w:rPr>
                <w:rFonts w:ascii="宋体" w:hAnsi="宋体" w:cs="宋体"/>
                <w:color w:val="auto"/>
                <w:sz w:val="24"/>
                <w:szCs w:val="24"/>
                <w:highlight w:val="none"/>
                <w:vertAlign w:val="superscript"/>
              </w:rPr>
              <w:t>2</w:t>
            </w:r>
            <w:r>
              <w:rPr>
                <w:rFonts w:hint="eastAsia" w:ascii="宋体" w:hAnsi="宋体" w:cs="宋体"/>
                <w:color w:val="auto"/>
                <w:sz w:val="24"/>
                <w:szCs w:val="24"/>
                <w:highlight w:val="none"/>
              </w:rPr>
              <w:t>）</w:t>
            </w:r>
          </w:p>
        </w:tc>
        <w:tc>
          <w:tcPr>
            <w:tcW w:w="3257" w:type="dxa"/>
            <w:vAlign w:val="center"/>
          </w:tcPr>
          <w:p w14:paraId="1AB7B16F">
            <w:pPr>
              <w:adjustRightInd w:val="0"/>
              <w:snapToGrid w:val="0"/>
              <w:jc w:val="center"/>
              <w:rPr>
                <w:rFonts w:hint="default" w:ascii="宋体" w:eastAsia="宋体"/>
                <w:color w:val="auto"/>
                <w:sz w:val="24"/>
                <w:szCs w:val="24"/>
                <w:highlight w:val="none"/>
                <w:lang w:val="en-US" w:eastAsia="zh-CN"/>
              </w:rPr>
            </w:pPr>
            <w:r>
              <w:rPr>
                <w:rFonts w:hint="eastAsia" w:ascii="宋体" w:hAnsi="宋体" w:cs="宋体"/>
                <w:color w:val="auto"/>
                <w:sz w:val="24"/>
                <w:szCs w:val="24"/>
                <w:highlight w:val="none"/>
              </w:rPr>
              <w:t>约</w:t>
            </w:r>
            <w:r>
              <w:rPr>
                <w:rFonts w:hint="eastAsia" w:ascii="宋体" w:hAnsi="宋体" w:cs="宋体"/>
                <w:color w:val="auto"/>
                <w:sz w:val="24"/>
                <w:szCs w:val="24"/>
                <w:highlight w:val="none"/>
                <w:lang w:val="en-US" w:eastAsia="zh-CN"/>
              </w:rPr>
              <w:t>41468</w:t>
            </w:r>
          </w:p>
        </w:tc>
      </w:tr>
      <w:tr w14:paraId="06D6B5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1606" w:type="dxa"/>
            <w:vAlign w:val="center"/>
          </w:tcPr>
          <w:p w14:paraId="72C8B13B">
            <w:pPr>
              <w:adjustRightInd w:val="0"/>
              <w:snapToGrid w:val="0"/>
              <w:jc w:val="center"/>
              <w:rPr>
                <w:rFonts w:ascii="宋体"/>
                <w:color w:val="auto"/>
                <w:sz w:val="24"/>
                <w:szCs w:val="24"/>
                <w:highlight w:val="none"/>
              </w:rPr>
            </w:pPr>
            <w:r>
              <w:rPr>
                <w:rFonts w:hint="eastAsia" w:ascii="宋体" w:hAnsi="宋体" w:cs="宋体"/>
                <w:color w:val="auto"/>
                <w:sz w:val="24"/>
                <w:szCs w:val="24"/>
                <w:highlight w:val="none"/>
              </w:rPr>
              <w:t>专项评价设置情况</w:t>
            </w:r>
          </w:p>
        </w:tc>
        <w:tc>
          <w:tcPr>
            <w:tcW w:w="7371" w:type="dxa"/>
            <w:gridSpan w:val="3"/>
            <w:vAlign w:val="center"/>
          </w:tcPr>
          <w:p w14:paraId="0D7D28EB">
            <w:pPr>
              <w:adjustRightInd w:val="0"/>
              <w:snapToGrid w:val="0"/>
              <w:jc w:val="center"/>
              <w:rPr>
                <w:rFonts w:ascii="宋体"/>
                <w:color w:val="auto"/>
                <w:sz w:val="24"/>
                <w:szCs w:val="24"/>
                <w:highlight w:val="none"/>
              </w:rPr>
            </w:pPr>
            <w:r>
              <w:rPr>
                <w:rFonts w:hint="eastAsia" w:ascii="宋体" w:hAnsi="宋体" w:cs="宋体"/>
                <w:color w:val="auto"/>
                <w:sz w:val="24"/>
                <w:szCs w:val="24"/>
                <w:highlight w:val="none"/>
              </w:rPr>
              <w:t>无</w:t>
            </w:r>
          </w:p>
        </w:tc>
      </w:tr>
      <w:tr w14:paraId="2E2509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606" w:type="dxa"/>
            <w:vAlign w:val="center"/>
          </w:tcPr>
          <w:p w14:paraId="29DC8886">
            <w:pPr>
              <w:adjustRightInd w:val="0"/>
              <w:snapToGrid w:val="0"/>
              <w:jc w:val="center"/>
              <w:rPr>
                <w:rFonts w:ascii="宋体"/>
                <w:color w:val="auto"/>
                <w:sz w:val="24"/>
                <w:szCs w:val="24"/>
                <w:highlight w:val="none"/>
              </w:rPr>
            </w:pPr>
            <w:r>
              <w:rPr>
                <w:rFonts w:hint="eastAsia" w:ascii="宋体" w:hAnsi="宋体" w:cs="宋体"/>
                <w:color w:val="auto"/>
                <w:sz w:val="24"/>
                <w:szCs w:val="24"/>
                <w:highlight w:val="none"/>
              </w:rPr>
              <w:t>规划情况</w:t>
            </w:r>
          </w:p>
        </w:tc>
        <w:tc>
          <w:tcPr>
            <w:tcW w:w="7371" w:type="dxa"/>
            <w:gridSpan w:val="3"/>
            <w:vAlign w:val="center"/>
          </w:tcPr>
          <w:p w14:paraId="52269D24">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规划名称：《</w:t>
            </w:r>
            <w:r>
              <w:rPr>
                <w:rFonts w:hint="default" w:ascii="Times New Roman" w:hAnsi="Times New Roman" w:eastAsia="宋体" w:cs="Times New Roman"/>
                <w:color w:val="auto"/>
                <w:sz w:val="24"/>
                <w:highlight w:val="none"/>
                <w:lang w:eastAsia="zh-CN"/>
              </w:rPr>
              <w:t>淮北经济开发区扩区总体规划</w:t>
            </w:r>
            <w:r>
              <w:rPr>
                <w:rFonts w:hint="default" w:ascii="Times New Roman" w:hAnsi="Times New Roman" w:eastAsia="宋体" w:cs="Times New Roman"/>
                <w:color w:val="auto"/>
                <w:sz w:val="24"/>
                <w:highlight w:val="none"/>
                <w:lang w:val="en-US" w:eastAsia="zh-CN"/>
              </w:rPr>
              <w:t>》</w:t>
            </w:r>
          </w:p>
          <w:p w14:paraId="2227C4E4">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审批机关：安徽省人民政府</w:t>
            </w:r>
          </w:p>
          <w:p w14:paraId="45E57B5C">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审批文件：《关于同意&lt;</w:t>
            </w:r>
            <w:r>
              <w:rPr>
                <w:rFonts w:hint="default" w:ascii="Times New Roman" w:hAnsi="Times New Roman" w:eastAsia="宋体" w:cs="Times New Roman"/>
                <w:color w:val="auto"/>
                <w:sz w:val="24"/>
                <w:highlight w:val="none"/>
                <w:lang w:eastAsia="zh-CN"/>
              </w:rPr>
              <w:t>淮北经济开发区扩区</w:t>
            </w:r>
            <w:r>
              <w:rPr>
                <w:rFonts w:hint="default" w:ascii="Times New Roman" w:hAnsi="Times New Roman" w:eastAsia="宋体" w:cs="Times New Roman"/>
                <w:color w:val="auto"/>
                <w:sz w:val="24"/>
                <w:highlight w:val="none"/>
                <w:lang w:val="en-US" w:eastAsia="zh-CN"/>
              </w:rPr>
              <w:t>&gt;的批复》</w:t>
            </w:r>
          </w:p>
          <w:p w14:paraId="2F264874">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审批文号：皖政秘【2011】314号</w:t>
            </w:r>
          </w:p>
          <w:p w14:paraId="3CBCBD16">
            <w:pPr>
              <w:spacing w:line="360" w:lineRule="auto"/>
              <w:ind w:firstLine="480" w:firstLineChars="200"/>
              <w:rPr>
                <w:rFonts w:ascii="宋体"/>
                <w:color w:val="auto"/>
                <w:sz w:val="24"/>
                <w:szCs w:val="24"/>
                <w:highlight w:val="none"/>
              </w:rPr>
            </w:pPr>
            <w:r>
              <w:rPr>
                <w:rFonts w:hint="default" w:ascii="Times New Roman" w:hAnsi="Times New Roman" w:eastAsia="宋体" w:cs="Times New Roman"/>
                <w:color w:val="auto"/>
                <w:sz w:val="24"/>
                <w:highlight w:val="none"/>
                <w:lang w:val="en-US" w:eastAsia="zh-CN"/>
              </w:rPr>
              <w:t>《关于&lt;淮北市省级以上开发区优化整合方案&gt;的批复》（皖政秘【2018】</w:t>
            </w:r>
            <w:r>
              <w:rPr>
                <w:rFonts w:hint="eastAsia"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val="en-US" w:eastAsia="zh-CN"/>
              </w:rPr>
              <w:t>36号）：</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同意撤销安徽淮北龙湖高新技术产业开发区，将其整体并入安徽淮北经济开发区，并更名为安徽淮北高新技术产业开发区</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w:t>
            </w:r>
          </w:p>
        </w:tc>
      </w:tr>
      <w:tr w14:paraId="3DAAC8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1606" w:type="dxa"/>
            <w:vAlign w:val="center"/>
          </w:tcPr>
          <w:p w14:paraId="40A42D17">
            <w:pPr>
              <w:adjustRightInd w:val="0"/>
              <w:snapToGrid w:val="0"/>
              <w:jc w:val="center"/>
              <w:rPr>
                <w:rFonts w:ascii="宋体"/>
                <w:color w:val="auto"/>
                <w:sz w:val="24"/>
                <w:szCs w:val="24"/>
                <w:highlight w:val="none"/>
              </w:rPr>
            </w:pPr>
            <w:r>
              <w:rPr>
                <w:rFonts w:hint="eastAsia" w:ascii="宋体" w:hAnsi="宋体" w:cs="宋体"/>
                <w:color w:val="auto"/>
                <w:sz w:val="24"/>
                <w:szCs w:val="24"/>
                <w:highlight w:val="none"/>
              </w:rPr>
              <w:t>规划环境影响评价情况</w:t>
            </w:r>
          </w:p>
        </w:tc>
        <w:tc>
          <w:tcPr>
            <w:tcW w:w="7371" w:type="dxa"/>
            <w:gridSpan w:val="3"/>
            <w:vAlign w:val="center"/>
          </w:tcPr>
          <w:p w14:paraId="1A6B7BFF">
            <w:pPr>
              <w:spacing w:line="360" w:lineRule="auto"/>
              <w:ind w:firstLine="480" w:firstLineChars="200"/>
              <w:rPr>
                <w:rFonts w:hint="default" w:cs="Times New Roman"/>
                <w:color w:val="auto"/>
                <w:sz w:val="24"/>
                <w:highlight w:val="none"/>
                <w:lang w:eastAsia="zh-CN"/>
              </w:rPr>
            </w:pPr>
            <w:r>
              <w:rPr>
                <w:rFonts w:hint="default" w:cs="Times New Roman"/>
                <w:color w:val="auto"/>
                <w:sz w:val="24"/>
                <w:highlight w:val="none"/>
                <w:lang w:eastAsia="zh-CN"/>
              </w:rPr>
              <w:t>规划环评名称：《淮北经济技术开发区扩区规划环境影响报告书》</w:t>
            </w:r>
          </w:p>
          <w:p w14:paraId="0D168AF2">
            <w:pPr>
              <w:spacing w:line="360" w:lineRule="auto"/>
              <w:ind w:firstLine="480" w:firstLineChars="200"/>
              <w:rPr>
                <w:rFonts w:hint="default" w:cs="Times New Roman"/>
                <w:color w:val="auto"/>
                <w:sz w:val="24"/>
                <w:highlight w:val="none"/>
                <w:lang w:eastAsia="zh-CN"/>
              </w:rPr>
            </w:pPr>
            <w:r>
              <w:rPr>
                <w:rFonts w:hint="default" w:cs="Times New Roman"/>
                <w:color w:val="auto"/>
                <w:sz w:val="24"/>
                <w:highlight w:val="none"/>
                <w:lang w:eastAsia="zh-CN"/>
              </w:rPr>
              <w:t>规划环评审查机关：安徽省环境保护厅</w:t>
            </w:r>
          </w:p>
          <w:p w14:paraId="02184DA4">
            <w:pPr>
              <w:spacing w:line="360" w:lineRule="auto"/>
              <w:ind w:firstLine="480" w:firstLineChars="200"/>
              <w:rPr>
                <w:rFonts w:hint="default" w:cs="Times New Roman"/>
                <w:color w:val="auto"/>
                <w:sz w:val="24"/>
                <w:highlight w:val="none"/>
                <w:lang w:eastAsia="zh-CN"/>
              </w:rPr>
            </w:pPr>
            <w:r>
              <w:rPr>
                <w:rFonts w:hint="default" w:cs="Times New Roman"/>
                <w:color w:val="auto"/>
                <w:sz w:val="24"/>
                <w:highlight w:val="none"/>
                <w:lang w:eastAsia="zh-CN"/>
              </w:rPr>
              <w:t>审查文件名称及文号：《关于&lt;淮北经济技术开发区扩区规划环境影响报告书&gt;的审查意见》</w:t>
            </w:r>
          </w:p>
          <w:p w14:paraId="04BCFCA0">
            <w:pPr>
              <w:spacing w:line="360" w:lineRule="auto"/>
              <w:ind w:firstLine="480" w:firstLineChars="200"/>
              <w:rPr>
                <w:rFonts w:hint="default" w:cs="Times New Roman"/>
                <w:color w:val="auto"/>
                <w:sz w:val="24"/>
                <w:highlight w:val="none"/>
                <w:lang w:eastAsia="zh-CN"/>
              </w:rPr>
            </w:pPr>
            <w:r>
              <w:rPr>
                <w:rFonts w:hint="default" w:cs="Times New Roman"/>
                <w:color w:val="auto"/>
                <w:sz w:val="24"/>
                <w:highlight w:val="none"/>
                <w:lang w:eastAsia="zh-CN"/>
              </w:rPr>
              <w:t>审查文号：环评函【2011】1129号</w:t>
            </w:r>
          </w:p>
          <w:p w14:paraId="59498016">
            <w:pPr>
              <w:spacing w:line="360" w:lineRule="auto"/>
              <w:ind w:firstLine="480" w:firstLineChars="200"/>
              <w:rPr>
                <w:rFonts w:hint="default" w:cs="Times New Roman"/>
                <w:color w:val="auto"/>
                <w:sz w:val="24"/>
                <w:highlight w:val="none"/>
                <w:lang w:eastAsia="zh-CN"/>
              </w:rPr>
            </w:pPr>
            <w:r>
              <w:rPr>
                <w:rFonts w:hint="default" w:cs="Times New Roman"/>
                <w:color w:val="auto"/>
                <w:sz w:val="24"/>
                <w:highlight w:val="none"/>
                <w:lang w:eastAsia="zh-CN"/>
              </w:rPr>
              <w:t>规划跟踪评价名称：《安徽淮北高新技术产业开发区规划环境影响跟踪评价报告书》；</w:t>
            </w:r>
          </w:p>
          <w:p w14:paraId="0D9607CE">
            <w:pPr>
              <w:spacing w:line="360" w:lineRule="auto"/>
              <w:ind w:firstLine="480" w:firstLineChars="200"/>
              <w:rPr>
                <w:rFonts w:hint="default" w:cs="Times New Roman"/>
                <w:color w:val="auto"/>
                <w:sz w:val="24"/>
                <w:highlight w:val="none"/>
                <w:lang w:eastAsia="zh-CN"/>
              </w:rPr>
            </w:pPr>
            <w:r>
              <w:rPr>
                <w:rFonts w:hint="default" w:cs="Times New Roman"/>
                <w:color w:val="auto"/>
                <w:sz w:val="24"/>
                <w:highlight w:val="none"/>
                <w:lang w:eastAsia="zh-CN"/>
              </w:rPr>
              <w:t>规划环评审查机关：淮北市生态环境局</w:t>
            </w:r>
          </w:p>
          <w:p w14:paraId="51BC914C">
            <w:pPr>
              <w:spacing w:line="360" w:lineRule="auto"/>
              <w:ind w:firstLine="480" w:firstLineChars="200"/>
              <w:rPr>
                <w:rFonts w:hint="default" w:cs="Times New Roman"/>
                <w:color w:val="auto"/>
                <w:sz w:val="24"/>
                <w:highlight w:val="none"/>
                <w:lang w:eastAsia="zh-CN"/>
              </w:rPr>
            </w:pPr>
            <w:r>
              <w:rPr>
                <w:rFonts w:hint="default" w:cs="Times New Roman"/>
                <w:color w:val="auto"/>
                <w:sz w:val="24"/>
                <w:highlight w:val="none"/>
                <w:lang w:eastAsia="zh-CN"/>
              </w:rPr>
              <w:t>审查文件名称及文号：《关于印发&lt;安徽淮北高新技术产业开发区规划环境影响跟踪评价报告书&gt;审查意见的函》</w:t>
            </w:r>
          </w:p>
          <w:p w14:paraId="438483E0">
            <w:pPr>
              <w:spacing w:line="360" w:lineRule="auto"/>
              <w:ind w:firstLine="480" w:firstLineChars="200"/>
              <w:rPr>
                <w:rFonts w:ascii="宋体"/>
                <w:color w:val="auto"/>
                <w:sz w:val="24"/>
                <w:szCs w:val="24"/>
                <w:highlight w:val="none"/>
              </w:rPr>
            </w:pPr>
            <w:r>
              <w:rPr>
                <w:rFonts w:hint="default" w:cs="Times New Roman"/>
                <w:color w:val="auto"/>
                <w:sz w:val="24"/>
                <w:highlight w:val="none"/>
                <w:lang w:eastAsia="zh-CN"/>
              </w:rPr>
              <w:t>审查文号：淮环函【2020】173号</w:t>
            </w:r>
          </w:p>
        </w:tc>
      </w:tr>
      <w:tr w14:paraId="6F1A08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06" w:type="dxa"/>
            <w:vAlign w:val="center"/>
          </w:tcPr>
          <w:p w14:paraId="3A118EFE">
            <w:pPr>
              <w:adjustRightInd w:val="0"/>
              <w:snapToGrid w:val="0"/>
              <w:jc w:val="center"/>
              <w:rPr>
                <w:rFonts w:ascii="宋体"/>
                <w:color w:val="auto"/>
                <w:sz w:val="24"/>
                <w:szCs w:val="24"/>
                <w:highlight w:val="none"/>
              </w:rPr>
            </w:pPr>
            <w:r>
              <w:rPr>
                <w:rFonts w:hint="eastAsia" w:ascii="宋体" w:hAnsi="宋体" w:cs="宋体"/>
                <w:color w:val="auto"/>
                <w:sz w:val="24"/>
                <w:szCs w:val="24"/>
                <w:highlight w:val="none"/>
              </w:rPr>
              <w:t>规划及规划环境影响评价符合性分析</w:t>
            </w:r>
          </w:p>
        </w:tc>
        <w:tc>
          <w:tcPr>
            <w:tcW w:w="7371" w:type="dxa"/>
            <w:gridSpan w:val="3"/>
            <w:vAlign w:val="center"/>
          </w:tcPr>
          <w:p w14:paraId="55EC1460">
            <w:pPr>
              <w:keepNext w:val="0"/>
              <w:keepLines w:val="0"/>
              <w:pageBreakBefore w:val="0"/>
              <w:widowControl w:val="0"/>
              <w:kinsoku/>
              <w:wordWrap/>
              <w:overflowPunct/>
              <w:topLinePunct w:val="0"/>
              <w:autoSpaceDE/>
              <w:autoSpaceDN/>
              <w:bidi w:val="0"/>
              <w:adjustRightInd/>
              <w:snapToGrid/>
              <w:spacing w:before="313" w:beforeLines="100" w:line="360" w:lineRule="auto"/>
              <w:ind w:firstLine="482" w:firstLineChars="200"/>
              <w:textAlignment w:val="auto"/>
              <w:rPr>
                <w:rFonts w:hint="eastAsia" w:cs="Times New Roman"/>
                <w:b/>
                <w:bCs/>
                <w:color w:val="auto"/>
                <w:sz w:val="24"/>
                <w:highlight w:val="none"/>
                <w:lang w:val="en-US" w:eastAsia="zh-CN"/>
              </w:rPr>
            </w:pPr>
            <w:r>
              <w:rPr>
                <w:rFonts w:hint="eastAsia" w:cs="Times New Roman"/>
                <w:b/>
                <w:bCs/>
                <w:color w:val="auto"/>
                <w:sz w:val="24"/>
                <w:highlight w:val="none"/>
                <w:lang w:val="en-US" w:eastAsia="zh-CN"/>
              </w:rPr>
              <w:t>1、规划符合性分析</w:t>
            </w:r>
          </w:p>
          <w:p w14:paraId="7F9F8DE5">
            <w:pPr>
              <w:spacing w:line="360" w:lineRule="auto"/>
              <w:ind w:firstLine="480" w:firstLineChars="200"/>
              <w:rPr>
                <w:rFonts w:hint="default" w:cs="Times New Roman"/>
                <w:color w:val="auto"/>
                <w:sz w:val="24"/>
                <w:highlight w:val="none"/>
                <w:lang w:val="en-US" w:eastAsia="zh-CN"/>
              </w:rPr>
            </w:pPr>
            <w:r>
              <w:rPr>
                <w:rFonts w:hint="eastAsia" w:cs="Times New Roman"/>
                <w:color w:val="auto"/>
                <w:sz w:val="24"/>
                <w:highlight w:val="none"/>
                <w:lang w:val="en-US" w:eastAsia="zh-CN"/>
              </w:rPr>
              <w:t>（1）产业规划</w:t>
            </w:r>
          </w:p>
          <w:p w14:paraId="6135CAF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eastAsia" w:cs="宋体"/>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对照</w:t>
            </w:r>
            <w:r>
              <w:rPr>
                <w:rFonts w:hint="eastAsia" w:cs="Times New Roman"/>
                <w:color w:val="auto"/>
                <w:sz w:val="24"/>
                <w:szCs w:val="24"/>
                <w:highlight w:val="none"/>
                <w:lang w:val="en-US" w:eastAsia="zh-CN"/>
              </w:rPr>
              <w:t>《国民经济行业分类》（GB/T 4754—2017），</w:t>
            </w:r>
            <w:r>
              <w:rPr>
                <w:rFonts w:hint="eastAsia" w:ascii="Times New Roman" w:hAnsi="Times New Roman" w:eastAsia="宋体" w:cs="Times New Roman"/>
                <w:color w:val="auto"/>
                <w:sz w:val="24"/>
                <w:szCs w:val="24"/>
                <w:highlight w:val="none"/>
                <w:lang w:val="en-US" w:eastAsia="zh-CN"/>
              </w:rPr>
              <w:t>本项目属于</w:t>
            </w:r>
            <w:r>
              <w:rPr>
                <w:color w:val="auto"/>
                <w:sz w:val="24"/>
                <w:highlight w:val="none"/>
              </w:rPr>
              <w:t>C</w:t>
            </w:r>
            <w:r>
              <w:rPr>
                <w:rFonts w:hint="eastAsia"/>
                <w:color w:val="auto"/>
                <w:sz w:val="24"/>
                <w:highlight w:val="none"/>
              </w:rPr>
              <w:t>2542 生物质致密成型燃料加工</w:t>
            </w:r>
            <w:r>
              <w:rPr>
                <w:rFonts w:hint="eastAsia"/>
                <w:color w:val="auto"/>
                <w:sz w:val="24"/>
                <w:highlight w:val="none"/>
                <w:lang w:eastAsia="zh-CN"/>
              </w:rPr>
              <w:t>，</w:t>
            </w:r>
            <w:r>
              <w:rPr>
                <w:rFonts w:hint="eastAsia" w:ascii="Times New Roman" w:hAnsi="Times New Roman" w:eastAsia="宋体" w:cs="Times New Roman"/>
                <w:color w:val="auto"/>
                <w:sz w:val="24"/>
                <w:szCs w:val="24"/>
                <w:highlight w:val="none"/>
                <w:lang w:val="en-US" w:eastAsia="zh-CN"/>
              </w:rPr>
              <w:t>对照《建设项目环境影响评价分类管理名录（2021年版）》</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本项目属于</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二十二、石油、煤炭及其他燃料加工业  25 43生物质燃料加工 254</w:t>
            </w:r>
            <w:r>
              <w:rPr>
                <w:rFonts w:hint="eastAsia" w:cs="Times New Roman"/>
                <w:color w:val="auto"/>
                <w:sz w:val="24"/>
                <w:szCs w:val="24"/>
                <w:highlight w:val="none"/>
                <w:lang w:val="en-US" w:eastAsia="zh-CN"/>
              </w:rPr>
              <w:t>”。不在园区禁止和限制的产业范围内，且本项目未被列入国土资源部国家发展和改革委员会关于发布实施《限制用地项目目录（2012年本）》和《禁止用地项目目录（2012年本）》，</w:t>
            </w:r>
            <w:r>
              <w:rPr>
                <w:rFonts w:hint="eastAsia" w:eastAsia="宋体" w:cs="Times New Roman"/>
                <w:color w:val="auto"/>
                <w:kern w:val="0"/>
                <w:sz w:val="24"/>
                <w:highlight w:val="none"/>
                <w:lang w:eastAsia="zh-CN"/>
              </w:rPr>
              <w:t>可视</w:t>
            </w:r>
            <w:r>
              <w:rPr>
                <w:rFonts w:hint="eastAsia" w:cs="宋体"/>
                <w:color w:val="auto"/>
                <w:sz w:val="24"/>
                <w:szCs w:val="24"/>
                <w:highlight w:val="none"/>
                <w:lang w:val="en-US" w:eastAsia="zh-CN"/>
              </w:rPr>
              <w:t>为允许类项目。</w:t>
            </w:r>
          </w:p>
          <w:p w14:paraId="7841AF57">
            <w:pPr>
              <w:keepNext w:val="0"/>
              <w:keepLines w:val="0"/>
              <w:pageBreakBefore w:val="0"/>
              <w:widowControl w:val="0"/>
              <w:numPr>
                <w:ilvl w:val="0"/>
                <w:numId w:val="2"/>
              </w:numPr>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eastAsia" w:cs="宋体"/>
                <w:color w:val="auto"/>
                <w:sz w:val="24"/>
                <w:szCs w:val="24"/>
                <w:highlight w:val="none"/>
                <w:lang w:val="en-US" w:eastAsia="zh-CN"/>
              </w:rPr>
            </w:pPr>
            <w:r>
              <w:rPr>
                <w:rFonts w:hint="eastAsia" w:cs="宋体"/>
                <w:color w:val="auto"/>
                <w:sz w:val="24"/>
                <w:szCs w:val="24"/>
                <w:highlight w:val="none"/>
                <w:lang w:val="en-US" w:eastAsia="zh-CN"/>
              </w:rPr>
              <w:t xml:space="preserve">用地规划 </w:t>
            </w:r>
          </w:p>
          <w:p w14:paraId="29758763">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60" w:lineRule="auto"/>
              <w:ind w:right="0" w:rightChars="0" w:firstLine="480" w:firstLineChars="200"/>
              <w:textAlignment w:val="auto"/>
              <w:rPr>
                <w:rFonts w:hint="default" w:cs="宋体"/>
                <w:color w:val="auto"/>
                <w:sz w:val="24"/>
                <w:szCs w:val="24"/>
                <w:highlight w:val="none"/>
                <w:lang w:val="en-US" w:eastAsia="zh-CN"/>
              </w:rPr>
            </w:pPr>
            <w:r>
              <w:rPr>
                <w:rFonts w:hint="eastAsia" w:cs="宋体"/>
                <w:color w:val="auto"/>
                <w:sz w:val="24"/>
                <w:szCs w:val="24"/>
                <w:highlight w:val="none"/>
                <w:lang w:val="en-US" w:eastAsia="zh-CN"/>
              </w:rPr>
              <w:t>项目位于淮北市烈山区古饶镇烈山经济开发区南塘路与邱家沟交叉口东北角1号。项目选址位于园区规划的工业用地，项目的选址符合园区用地布局规划要求。</w:t>
            </w:r>
          </w:p>
          <w:p w14:paraId="2117ADF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eastAsia" w:cs="宋体"/>
                <w:color w:val="auto"/>
                <w:sz w:val="24"/>
                <w:szCs w:val="24"/>
                <w:highlight w:val="none"/>
                <w:lang w:val="en-US" w:eastAsia="zh-CN"/>
              </w:rPr>
            </w:pPr>
            <w:r>
              <w:rPr>
                <w:rFonts w:hint="eastAsia" w:cs="宋体"/>
                <w:b/>
                <w:bCs/>
                <w:color w:val="auto"/>
                <w:sz w:val="24"/>
                <w:szCs w:val="24"/>
                <w:highlight w:val="none"/>
                <w:lang w:val="en-US" w:eastAsia="zh-CN"/>
              </w:rPr>
              <w:t>2、规划环境影响评价符合性分析</w:t>
            </w:r>
            <w:r>
              <w:rPr>
                <w:rFonts w:hint="eastAsia" w:cs="宋体"/>
                <w:color w:val="auto"/>
                <w:sz w:val="24"/>
                <w:szCs w:val="24"/>
                <w:highlight w:val="none"/>
                <w:lang w:val="en-US" w:eastAsia="zh-CN"/>
              </w:rPr>
              <w:t xml:space="preserve"> </w:t>
            </w:r>
          </w:p>
          <w:p w14:paraId="62756CA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cs="宋体"/>
                <w:color w:val="auto"/>
                <w:sz w:val="24"/>
                <w:szCs w:val="24"/>
                <w:highlight w:val="none"/>
                <w:lang w:val="en-US" w:eastAsia="zh-CN"/>
              </w:rPr>
            </w:pPr>
            <w:r>
              <w:rPr>
                <w:rFonts w:hint="eastAsia" w:cs="宋体"/>
                <w:color w:val="auto"/>
                <w:sz w:val="24"/>
                <w:szCs w:val="24"/>
                <w:highlight w:val="none"/>
                <w:lang w:val="en-US" w:eastAsia="zh-CN"/>
              </w:rPr>
              <w:t>（1）项目</w:t>
            </w:r>
            <w:r>
              <w:rPr>
                <w:rFonts w:hint="default" w:cs="宋体"/>
                <w:color w:val="auto"/>
                <w:sz w:val="24"/>
                <w:szCs w:val="24"/>
                <w:highlight w:val="none"/>
                <w:lang w:val="en-US" w:eastAsia="zh-CN"/>
              </w:rPr>
              <w:t>与《关于</w:t>
            </w:r>
            <w:r>
              <w:rPr>
                <w:rFonts w:hint="eastAsia" w:cs="宋体"/>
                <w:color w:val="auto"/>
                <w:sz w:val="24"/>
                <w:szCs w:val="24"/>
                <w:highlight w:val="none"/>
                <w:lang w:val="en-US" w:eastAsia="zh-CN"/>
              </w:rPr>
              <w:t>&lt;淮北经济技术开发区扩区规划</w:t>
            </w:r>
            <w:r>
              <w:rPr>
                <w:rFonts w:hint="default" w:cs="宋体"/>
                <w:color w:val="auto"/>
                <w:sz w:val="24"/>
                <w:szCs w:val="24"/>
                <w:highlight w:val="none"/>
                <w:lang w:val="en-US" w:eastAsia="zh-CN"/>
              </w:rPr>
              <w:t>环境影响报告书</w:t>
            </w:r>
            <w:r>
              <w:rPr>
                <w:rFonts w:hint="eastAsia" w:cs="宋体"/>
                <w:color w:val="auto"/>
                <w:sz w:val="24"/>
                <w:szCs w:val="24"/>
                <w:highlight w:val="none"/>
                <w:lang w:val="en-US" w:eastAsia="zh-CN"/>
              </w:rPr>
              <w:t>&gt;</w:t>
            </w:r>
            <w:r>
              <w:rPr>
                <w:rFonts w:hint="default" w:cs="宋体"/>
                <w:color w:val="auto"/>
                <w:sz w:val="24"/>
                <w:szCs w:val="24"/>
                <w:highlight w:val="none"/>
                <w:lang w:val="en-US" w:eastAsia="zh-CN"/>
              </w:rPr>
              <w:t>的审查意见》</w:t>
            </w:r>
            <w:r>
              <w:rPr>
                <w:rFonts w:hint="eastAsia" w:cs="宋体"/>
                <w:color w:val="auto"/>
                <w:sz w:val="24"/>
                <w:szCs w:val="24"/>
                <w:highlight w:val="none"/>
                <w:lang w:val="en-US" w:eastAsia="zh-CN"/>
              </w:rPr>
              <w:t>（</w:t>
            </w:r>
            <w:r>
              <w:rPr>
                <w:rFonts w:hint="default" w:cs="宋体"/>
                <w:color w:val="auto"/>
                <w:sz w:val="24"/>
                <w:szCs w:val="24"/>
                <w:highlight w:val="none"/>
                <w:lang w:val="en-US" w:eastAsia="zh-CN"/>
              </w:rPr>
              <w:t>环评函</w:t>
            </w:r>
            <w:r>
              <w:rPr>
                <w:rFonts w:hint="eastAsia" w:cs="宋体"/>
                <w:color w:val="auto"/>
                <w:sz w:val="24"/>
                <w:szCs w:val="24"/>
                <w:highlight w:val="none"/>
                <w:lang w:val="en-US" w:eastAsia="zh-CN"/>
              </w:rPr>
              <w:t>【2011】</w:t>
            </w:r>
            <w:r>
              <w:rPr>
                <w:rFonts w:hint="default" w:cs="宋体"/>
                <w:color w:val="auto"/>
                <w:sz w:val="24"/>
                <w:szCs w:val="24"/>
                <w:highlight w:val="none"/>
                <w:lang w:val="en-US" w:eastAsia="zh-CN"/>
              </w:rPr>
              <w:t>11</w:t>
            </w:r>
            <w:r>
              <w:rPr>
                <w:rFonts w:hint="eastAsia" w:cs="宋体"/>
                <w:color w:val="auto"/>
                <w:sz w:val="24"/>
                <w:szCs w:val="24"/>
                <w:highlight w:val="none"/>
                <w:lang w:val="en-US" w:eastAsia="zh-CN"/>
              </w:rPr>
              <w:t>29</w:t>
            </w:r>
            <w:r>
              <w:rPr>
                <w:rFonts w:hint="default" w:cs="宋体"/>
                <w:color w:val="auto"/>
                <w:sz w:val="24"/>
                <w:szCs w:val="24"/>
                <w:highlight w:val="none"/>
                <w:lang w:val="en-US" w:eastAsia="zh-CN"/>
              </w:rPr>
              <w:t>号</w:t>
            </w:r>
            <w:r>
              <w:rPr>
                <w:rFonts w:hint="eastAsia" w:cs="宋体"/>
                <w:color w:val="auto"/>
                <w:sz w:val="24"/>
                <w:szCs w:val="24"/>
                <w:highlight w:val="none"/>
                <w:lang w:val="en-US" w:eastAsia="zh-CN"/>
              </w:rPr>
              <w:t>，安徽省环境保护厅，2011年10月31日）</w:t>
            </w:r>
            <w:r>
              <w:rPr>
                <w:rFonts w:hint="default" w:cs="宋体"/>
                <w:color w:val="auto"/>
                <w:sz w:val="24"/>
                <w:szCs w:val="24"/>
                <w:highlight w:val="none"/>
                <w:lang w:val="en-US" w:eastAsia="zh-CN"/>
              </w:rPr>
              <w:t>的相符性分析</w:t>
            </w:r>
          </w:p>
          <w:p w14:paraId="34DDF33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b w:val="0"/>
                <w:bCs w:val="0"/>
                <w:color w:val="auto"/>
                <w:sz w:val="24"/>
                <w:szCs w:val="24"/>
                <w:highlight w:val="none"/>
                <w:lang w:val="en-US" w:eastAsia="zh-CN"/>
              </w:rPr>
              <w:t>本项目与《关于</w:t>
            </w:r>
            <w:r>
              <w:rPr>
                <w:rFonts w:hint="eastAsia" w:ascii="Times New Roman" w:hAnsi="Times New Roman" w:cs="Times New Roman"/>
                <w:b w:val="0"/>
                <w:bCs w:val="0"/>
                <w:color w:val="auto"/>
                <w:sz w:val="24"/>
                <w:szCs w:val="24"/>
                <w:highlight w:val="none"/>
                <w:lang w:val="en-US" w:eastAsia="zh-CN"/>
              </w:rPr>
              <w:t>&lt;淮北经济技术开发区扩区规划</w:t>
            </w:r>
            <w:r>
              <w:rPr>
                <w:rFonts w:hint="default" w:ascii="Times New Roman" w:hAnsi="Times New Roman" w:eastAsia="宋体" w:cs="Times New Roman"/>
                <w:b w:val="0"/>
                <w:bCs w:val="0"/>
                <w:color w:val="auto"/>
                <w:sz w:val="24"/>
                <w:szCs w:val="24"/>
                <w:highlight w:val="none"/>
                <w:lang w:val="en-US" w:eastAsia="zh-CN"/>
              </w:rPr>
              <w:t>环境影响报告书</w:t>
            </w:r>
            <w:r>
              <w:rPr>
                <w:rFonts w:hint="eastAsia" w:ascii="Times New Roman" w:hAnsi="Times New Roman" w:eastAsia="宋体" w:cs="Times New Roman"/>
                <w:b w:val="0"/>
                <w:bCs w:val="0"/>
                <w:color w:val="auto"/>
                <w:sz w:val="24"/>
                <w:szCs w:val="24"/>
                <w:highlight w:val="none"/>
                <w:lang w:val="en-US" w:eastAsia="zh-CN"/>
              </w:rPr>
              <w:t>&gt;</w:t>
            </w:r>
            <w:r>
              <w:rPr>
                <w:rFonts w:hint="default" w:ascii="Times New Roman" w:hAnsi="Times New Roman" w:eastAsia="宋体" w:cs="Times New Roman"/>
                <w:b w:val="0"/>
                <w:bCs w:val="0"/>
                <w:color w:val="auto"/>
                <w:sz w:val="24"/>
                <w:szCs w:val="24"/>
                <w:highlight w:val="none"/>
                <w:lang w:val="en-US" w:eastAsia="zh-CN"/>
              </w:rPr>
              <w:t>的审查意见》</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环评函</w:t>
            </w:r>
            <w:r>
              <w:rPr>
                <w:rFonts w:hint="eastAsia" w:ascii="Times New Roman" w:hAnsi="Times New Roman" w:eastAsia="宋体" w:cs="Times New Roman"/>
                <w:b w:val="0"/>
                <w:bCs w:val="0"/>
                <w:color w:val="auto"/>
                <w:sz w:val="24"/>
                <w:szCs w:val="24"/>
                <w:highlight w:val="none"/>
                <w:lang w:val="en-US" w:eastAsia="zh-CN"/>
              </w:rPr>
              <w:t>【2011】</w:t>
            </w:r>
            <w:r>
              <w:rPr>
                <w:rFonts w:hint="default" w:ascii="Times New Roman" w:hAnsi="Times New Roman" w:eastAsia="宋体" w:cs="Times New Roman"/>
                <w:b w:val="0"/>
                <w:bCs w:val="0"/>
                <w:color w:val="auto"/>
                <w:sz w:val="24"/>
                <w:szCs w:val="24"/>
                <w:highlight w:val="none"/>
                <w:lang w:val="en-US" w:eastAsia="zh-CN"/>
              </w:rPr>
              <w:t>11</w:t>
            </w:r>
            <w:r>
              <w:rPr>
                <w:rFonts w:hint="eastAsia" w:ascii="Times New Roman" w:hAnsi="Times New Roman" w:eastAsia="宋体" w:cs="Times New Roman"/>
                <w:b w:val="0"/>
                <w:bCs w:val="0"/>
                <w:color w:val="auto"/>
                <w:sz w:val="24"/>
                <w:szCs w:val="24"/>
                <w:highlight w:val="none"/>
                <w:lang w:val="en-US" w:eastAsia="zh-CN"/>
              </w:rPr>
              <w:t>29</w:t>
            </w:r>
            <w:r>
              <w:rPr>
                <w:rFonts w:hint="default" w:ascii="Times New Roman" w:hAnsi="Times New Roman" w:eastAsia="宋体" w:cs="Times New Roman"/>
                <w:b w:val="0"/>
                <w:bCs w:val="0"/>
                <w:color w:val="auto"/>
                <w:sz w:val="24"/>
                <w:szCs w:val="24"/>
                <w:highlight w:val="none"/>
                <w:lang w:val="en-US" w:eastAsia="zh-CN"/>
              </w:rPr>
              <w:t>号</w:t>
            </w:r>
            <w:r>
              <w:rPr>
                <w:rFonts w:hint="eastAsia" w:ascii="Times New Roman" w:hAnsi="Times New Roman" w:eastAsia="宋体" w:cs="Times New Roman"/>
                <w:b w:val="0"/>
                <w:bCs w:val="0"/>
                <w:color w:val="auto"/>
                <w:sz w:val="24"/>
                <w:szCs w:val="24"/>
                <w:highlight w:val="none"/>
                <w:lang w:val="en-US" w:eastAsia="zh-CN"/>
              </w:rPr>
              <w:t>，安徽省环境保护厅，2011年10月31日）</w:t>
            </w:r>
            <w:r>
              <w:rPr>
                <w:rFonts w:hint="default" w:ascii="Times New Roman" w:hAnsi="Times New Roman" w:cs="Times New Roman"/>
                <w:color w:val="auto"/>
                <w:sz w:val="24"/>
                <w:szCs w:val="24"/>
                <w:highlight w:val="none"/>
              </w:rPr>
              <w:t>相符性分析见下表</w:t>
            </w:r>
            <w:r>
              <w:rPr>
                <w:rFonts w:hint="default" w:ascii="Times New Roman" w:hAnsi="Times New Roman" w:cs="Times New Roman"/>
                <w:color w:val="auto"/>
                <w:sz w:val="24"/>
                <w:szCs w:val="24"/>
                <w:highlight w:val="none"/>
                <w:lang w:val="en-US" w:eastAsia="zh-CN"/>
              </w:rPr>
              <w:t>1</w:t>
            </w:r>
            <w:r>
              <w:rPr>
                <w:rFonts w:hint="eastAsia" w:cs="Times New Roman"/>
                <w:color w:val="auto"/>
                <w:sz w:val="24"/>
                <w:szCs w:val="24"/>
                <w:highlight w:val="none"/>
                <w:lang w:val="en-US" w:eastAsia="zh-CN"/>
              </w:rPr>
              <w:t>-1</w:t>
            </w:r>
            <w:r>
              <w:rPr>
                <w:rFonts w:hint="default" w:ascii="Times New Roman" w:hAnsi="Times New Roman" w:cs="Times New Roman"/>
                <w:color w:val="auto"/>
                <w:sz w:val="24"/>
                <w:szCs w:val="24"/>
                <w:highlight w:val="none"/>
              </w:rPr>
              <w:t>所示。</w:t>
            </w:r>
          </w:p>
          <w:p w14:paraId="3EFEBE49">
            <w:pPr>
              <w:pStyle w:val="135"/>
              <w:spacing w:line="360" w:lineRule="auto"/>
              <w:ind w:left="0" w:leftChars="0" w:firstLine="0" w:firstLineChars="0"/>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表1</w:t>
            </w:r>
            <w:r>
              <w:rPr>
                <w:rFonts w:hint="eastAsia" w:cs="Times New Roman"/>
                <w:b w:val="0"/>
                <w:bCs w:val="0"/>
                <w:color w:val="auto"/>
                <w:sz w:val="21"/>
                <w:szCs w:val="21"/>
                <w:highlight w:val="none"/>
                <w:lang w:val="en-US" w:eastAsia="zh-CN"/>
              </w:rPr>
              <w:t>-</w:t>
            </w:r>
            <w:r>
              <w:rPr>
                <w:rFonts w:hint="eastAsia" w:ascii="Times New Roman" w:hAnsi="Times New Roman" w:cs="Times New Roman"/>
                <w:b w:val="0"/>
                <w:bCs w:val="0"/>
                <w:color w:val="auto"/>
                <w:sz w:val="21"/>
                <w:szCs w:val="21"/>
                <w:highlight w:val="none"/>
                <w:lang w:val="en-US" w:eastAsia="zh-CN"/>
              </w:rPr>
              <w:t>1 与</w:t>
            </w:r>
            <w:r>
              <w:rPr>
                <w:rFonts w:hint="default" w:ascii="Times New Roman" w:hAnsi="Times New Roman" w:eastAsia="宋体" w:cs="Times New Roman"/>
                <w:b w:val="0"/>
                <w:bCs w:val="0"/>
                <w:color w:val="auto"/>
                <w:sz w:val="21"/>
                <w:szCs w:val="21"/>
                <w:highlight w:val="none"/>
                <w:lang w:val="en-US" w:eastAsia="zh-CN"/>
              </w:rPr>
              <w:t>《关于</w:t>
            </w:r>
            <w:r>
              <w:rPr>
                <w:rFonts w:hint="eastAsia" w:ascii="Times New Roman" w:hAnsi="Times New Roman" w:eastAsia="宋体" w:cs="Times New Roman"/>
                <w:b w:val="0"/>
                <w:bCs w:val="0"/>
                <w:color w:val="auto"/>
                <w:sz w:val="21"/>
                <w:szCs w:val="21"/>
                <w:highlight w:val="none"/>
                <w:lang w:val="en-US" w:eastAsia="zh-CN"/>
              </w:rPr>
              <w:t>&lt;淮北经济技术开发区扩区规划</w:t>
            </w:r>
            <w:r>
              <w:rPr>
                <w:rFonts w:hint="default" w:ascii="Times New Roman" w:hAnsi="Times New Roman" w:eastAsia="宋体" w:cs="Times New Roman"/>
                <w:b w:val="0"/>
                <w:bCs w:val="0"/>
                <w:color w:val="auto"/>
                <w:sz w:val="21"/>
                <w:szCs w:val="21"/>
                <w:highlight w:val="none"/>
                <w:lang w:val="en-US" w:eastAsia="zh-CN"/>
              </w:rPr>
              <w:t>环境影响报告书</w:t>
            </w:r>
            <w:r>
              <w:rPr>
                <w:rFonts w:hint="eastAsia" w:ascii="Times New Roman" w:hAnsi="Times New Roman" w:eastAsia="宋体" w:cs="Times New Roman"/>
                <w:b w:val="0"/>
                <w:bCs w:val="0"/>
                <w:color w:val="auto"/>
                <w:sz w:val="21"/>
                <w:szCs w:val="21"/>
                <w:highlight w:val="none"/>
                <w:lang w:val="en-US" w:eastAsia="zh-CN"/>
              </w:rPr>
              <w:t>&gt;</w:t>
            </w:r>
            <w:r>
              <w:rPr>
                <w:rFonts w:hint="default" w:ascii="Times New Roman" w:hAnsi="Times New Roman" w:eastAsia="宋体" w:cs="Times New Roman"/>
                <w:b w:val="0"/>
                <w:bCs w:val="0"/>
                <w:color w:val="auto"/>
                <w:sz w:val="21"/>
                <w:szCs w:val="21"/>
                <w:highlight w:val="none"/>
                <w:lang w:val="en-US" w:eastAsia="zh-CN"/>
              </w:rPr>
              <w:t>的审查意见》</w:t>
            </w:r>
            <w:r>
              <w:rPr>
                <w:rFonts w:hint="default" w:ascii="Times New Roman" w:hAnsi="Times New Roman" w:cs="Times New Roman"/>
                <w:b w:val="0"/>
                <w:bCs w:val="0"/>
                <w:color w:val="auto"/>
                <w:sz w:val="21"/>
                <w:szCs w:val="21"/>
                <w:highlight w:val="none"/>
              </w:rPr>
              <w:t>相符性分析</w:t>
            </w:r>
          </w:p>
          <w:tbl>
            <w:tblPr>
              <w:tblStyle w:val="37"/>
              <w:tblW w:w="72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40"/>
              <w:gridCol w:w="2972"/>
              <w:gridCol w:w="692"/>
            </w:tblGrid>
            <w:tr w14:paraId="02DC2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1" w:hRule="atLeast"/>
                <w:jc w:val="center"/>
              </w:trPr>
              <w:tc>
                <w:tcPr>
                  <w:tcW w:w="3540" w:type="dxa"/>
                  <w:noWrap w:val="0"/>
                  <w:vAlign w:val="center"/>
                </w:tcPr>
                <w:p w14:paraId="76C02BA2">
                  <w:pPr>
                    <w:pStyle w:val="112"/>
                    <w:keepNext w:val="0"/>
                    <w:keepLines w:val="0"/>
                    <w:pageBreakBefore w:val="0"/>
                    <w:widowControl/>
                    <w:kinsoku/>
                    <w:wordWrap/>
                    <w:overflowPunct/>
                    <w:topLinePunct w:val="0"/>
                    <w:autoSpaceDE/>
                    <w:autoSpaceDN/>
                    <w:bidi w:val="0"/>
                    <w:adjustRightInd/>
                    <w:snapToGrid w:val="0"/>
                    <w:spacing w:before="0" w:after="0" w:line="240" w:lineRule="auto"/>
                    <w:ind w:left="0" w:leftChars="0" w:right="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《关于</w:t>
                  </w:r>
                  <w:r>
                    <w:rPr>
                      <w:rFonts w:hint="eastAsia" w:ascii="Times New Roman" w:hAnsi="Times New Roman" w:eastAsia="宋体" w:cs="Times New Roman"/>
                      <w:b w:val="0"/>
                      <w:bCs w:val="0"/>
                      <w:color w:val="auto"/>
                      <w:sz w:val="21"/>
                      <w:szCs w:val="21"/>
                      <w:highlight w:val="none"/>
                      <w:lang w:val="en-US" w:eastAsia="zh-CN"/>
                    </w:rPr>
                    <w:t>&lt;淮北经济技术开发区扩区规划</w:t>
                  </w:r>
                  <w:r>
                    <w:rPr>
                      <w:rFonts w:hint="default" w:ascii="Times New Roman" w:hAnsi="Times New Roman" w:eastAsia="宋体" w:cs="Times New Roman"/>
                      <w:b w:val="0"/>
                      <w:bCs w:val="0"/>
                      <w:color w:val="auto"/>
                      <w:sz w:val="21"/>
                      <w:szCs w:val="21"/>
                      <w:highlight w:val="none"/>
                      <w:lang w:val="en-US" w:eastAsia="zh-CN"/>
                    </w:rPr>
                    <w:t>环境影响报告书</w:t>
                  </w:r>
                  <w:r>
                    <w:rPr>
                      <w:rFonts w:hint="eastAsia" w:ascii="Times New Roman" w:hAnsi="Times New Roman" w:eastAsia="宋体" w:cs="Times New Roman"/>
                      <w:b w:val="0"/>
                      <w:bCs w:val="0"/>
                      <w:color w:val="auto"/>
                      <w:sz w:val="21"/>
                      <w:szCs w:val="21"/>
                      <w:highlight w:val="none"/>
                      <w:lang w:val="en-US" w:eastAsia="zh-CN"/>
                    </w:rPr>
                    <w:t>&gt;</w:t>
                  </w:r>
                  <w:r>
                    <w:rPr>
                      <w:rFonts w:hint="default" w:ascii="Times New Roman" w:hAnsi="Times New Roman" w:eastAsia="宋体" w:cs="Times New Roman"/>
                      <w:b w:val="0"/>
                      <w:bCs w:val="0"/>
                      <w:color w:val="auto"/>
                      <w:sz w:val="21"/>
                      <w:szCs w:val="21"/>
                      <w:highlight w:val="none"/>
                      <w:lang w:val="en-US" w:eastAsia="zh-CN"/>
                    </w:rPr>
                    <w:t>的审查意见》</w:t>
                  </w:r>
                  <w:r>
                    <w:rPr>
                      <w:rFonts w:hint="eastAsia" w:cs="Times New Roman"/>
                      <w:b w:val="0"/>
                      <w:bCs w:val="0"/>
                      <w:color w:val="auto"/>
                      <w:sz w:val="21"/>
                      <w:szCs w:val="21"/>
                      <w:highlight w:val="none"/>
                      <w:lang w:val="en-US" w:eastAsia="zh-CN"/>
                    </w:rPr>
                    <w:t>内容</w:t>
                  </w:r>
                </w:p>
              </w:tc>
              <w:tc>
                <w:tcPr>
                  <w:tcW w:w="2972" w:type="dxa"/>
                  <w:noWrap w:val="0"/>
                  <w:vAlign w:val="center"/>
                </w:tcPr>
                <w:p w14:paraId="5B4E2B1E">
                  <w:pPr>
                    <w:pStyle w:val="112"/>
                    <w:keepNext w:val="0"/>
                    <w:keepLines w:val="0"/>
                    <w:pageBreakBefore w:val="0"/>
                    <w:widowControl/>
                    <w:kinsoku/>
                    <w:wordWrap/>
                    <w:overflowPunct/>
                    <w:topLinePunct w:val="0"/>
                    <w:autoSpaceDE/>
                    <w:autoSpaceDN/>
                    <w:bidi w:val="0"/>
                    <w:adjustRightInd/>
                    <w:snapToGrid w:val="0"/>
                    <w:spacing w:before="0" w:after="0" w:line="240" w:lineRule="auto"/>
                    <w:ind w:left="0" w:leftChars="0" w:right="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本项目情况</w:t>
                  </w:r>
                </w:p>
              </w:tc>
              <w:tc>
                <w:tcPr>
                  <w:tcW w:w="692" w:type="dxa"/>
                  <w:noWrap w:val="0"/>
                  <w:vAlign w:val="center"/>
                </w:tcPr>
                <w:p w14:paraId="205FAF3F">
                  <w:pPr>
                    <w:pStyle w:val="112"/>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符合性</w:t>
                  </w:r>
                </w:p>
              </w:tc>
            </w:tr>
            <w:tr w14:paraId="63A8F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5" w:hRule="atLeast"/>
                <w:jc w:val="center"/>
              </w:trPr>
              <w:tc>
                <w:tcPr>
                  <w:tcW w:w="3540" w:type="dxa"/>
                  <w:noWrap w:val="0"/>
                  <w:vAlign w:val="center"/>
                </w:tcPr>
                <w:p w14:paraId="612483D0">
                  <w:pPr>
                    <w:keepNext w:val="0"/>
                    <w:keepLines w:val="0"/>
                    <w:pageBreakBefore w:val="0"/>
                    <w:kinsoku/>
                    <w:wordWrap/>
                    <w:overflowPunct/>
                    <w:topLinePunct w:val="0"/>
                    <w:autoSpaceDE/>
                    <w:autoSpaceDN/>
                    <w:bidi w:val="0"/>
                    <w:adjustRightInd/>
                    <w:ind w:firstLine="420" w:firstLineChars="200"/>
                    <w:jc w:val="left"/>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进一步优化论证开发区主导产业功能定位，优化产业结构，控制非主导产业定位方向的项目入园建设，严格限制高能耗、高水耗、污染严重的项目入园。严禁建设国家产业政策、技术政策和环保法律法规政策明令禁止的项目</w:t>
                  </w:r>
                  <w:r>
                    <w:rPr>
                      <w:rFonts w:hint="eastAsia" w:ascii="Times New Roman" w:hAnsi="Times New Roman" w:eastAsia="宋体" w:cs="Times New Roman"/>
                      <w:b w:val="0"/>
                      <w:bCs w:val="0"/>
                      <w:color w:val="auto"/>
                      <w:kern w:val="0"/>
                      <w:sz w:val="21"/>
                      <w:szCs w:val="21"/>
                      <w:highlight w:val="none"/>
                      <w:lang w:val="en-US" w:eastAsia="zh-CN" w:bidi="ar-SA"/>
                    </w:rPr>
                    <w:t>。</w:t>
                  </w:r>
                </w:p>
              </w:tc>
              <w:tc>
                <w:tcPr>
                  <w:tcW w:w="2972" w:type="dxa"/>
                  <w:noWrap w:val="0"/>
                  <w:vAlign w:val="center"/>
                </w:tcPr>
                <w:p w14:paraId="50504051">
                  <w:pPr>
                    <w:keepNext w:val="0"/>
                    <w:keepLines w:val="0"/>
                    <w:widowControl/>
                    <w:suppressLineNumbers w:val="0"/>
                    <w:ind w:firstLine="420" w:firstLineChars="200"/>
                    <w:jc w:val="left"/>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color w:val="auto"/>
                      <w:kern w:val="0"/>
                      <w:sz w:val="21"/>
                      <w:szCs w:val="21"/>
                      <w:highlight w:val="none"/>
                      <w:lang w:val="en-US" w:eastAsia="zh-CN" w:bidi="ar-SA"/>
                    </w:rPr>
                    <w:t>本</w:t>
                  </w:r>
                  <w:r>
                    <w:rPr>
                      <w:rFonts w:hint="eastAsia" w:ascii="Times New Roman" w:hAnsi="Times New Roman" w:eastAsia="宋体" w:cs="Times New Roman"/>
                      <w:b w:val="0"/>
                      <w:bCs w:val="0"/>
                      <w:color w:val="auto"/>
                      <w:kern w:val="0"/>
                      <w:sz w:val="21"/>
                      <w:szCs w:val="21"/>
                      <w:highlight w:val="none"/>
                      <w:lang w:val="en-US" w:eastAsia="zh-CN" w:bidi="ar-SA"/>
                    </w:rPr>
                    <w:t>项目属于</w:t>
                  </w:r>
                  <w:r>
                    <w:rPr>
                      <w:rFonts w:hint="default" w:ascii="Times New Roman" w:hAnsi="Times New Roman" w:eastAsia="宋体" w:cs="Times New Roman"/>
                      <w:b w:val="0"/>
                      <w:bCs w:val="0"/>
                      <w:color w:val="auto"/>
                      <w:kern w:val="0"/>
                      <w:sz w:val="21"/>
                      <w:szCs w:val="21"/>
                      <w:highlight w:val="none"/>
                      <w:lang w:val="en-US" w:eastAsia="zh-CN" w:bidi="ar-SA"/>
                    </w:rPr>
                    <w:t>二十二、石油、煤炭及其他燃料加工业  25 43生物质燃料加工 254</w:t>
                  </w:r>
                  <w:r>
                    <w:rPr>
                      <w:rFonts w:hint="eastAsia" w:ascii="Times New Roman" w:hAnsi="Times New Roman" w:eastAsia="宋体" w:cs="Times New Roman"/>
                      <w:b w:val="0"/>
                      <w:bCs w:val="0"/>
                      <w:color w:val="auto"/>
                      <w:kern w:val="0"/>
                      <w:sz w:val="21"/>
                      <w:szCs w:val="21"/>
                      <w:highlight w:val="none"/>
                      <w:lang w:val="en-US" w:eastAsia="zh-CN" w:bidi="ar-SA"/>
                    </w:rPr>
                    <w:t>，</w:t>
                  </w:r>
                  <w:r>
                    <w:rPr>
                      <w:rFonts w:hint="default" w:ascii="Times New Roman" w:hAnsi="Times New Roman" w:eastAsia="宋体" w:cs="Times New Roman"/>
                      <w:b w:val="0"/>
                      <w:bCs w:val="0"/>
                      <w:color w:val="auto"/>
                      <w:kern w:val="0"/>
                      <w:sz w:val="21"/>
                      <w:szCs w:val="21"/>
                      <w:highlight w:val="none"/>
                      <w:lang w:val="en-US" w:eastAsia="zh-CN" w:bidi="ar-SA"/>
                    </w:rPr>
                    <w:t>不在园区禁止和限制的产业范围内，</w:t>
                  </w:r>
                  <w:r>
                    <w:rPr>
                      <w:rFonts w:hint="eastAsia" w:ascii="Times New Roman" w:hAnsi="Times New Roman" w:eastAsia="宋体" w:cs="Times New Roman"/>
                      <w:b w:val="0"/>
                      <w:bCs w:val="0"/>
                      <w:color w:val="auto"/>
                      <w:kern w:val="0"/>
                      <w:sz w:val="21"/>
                      <w:szCs w:val="21"/>
                      <w:highlight w:val="none"/>
                      <w:lang w:val="en-US" w:eastAsia="zh-CN" w:bidi="ar-SA"/>
                    </w:rPr>
                    <w:t>可视为允许类</w:t>
                  </w:r>
                  <w:r>
                    <w:rPr>
                      <w:rFonts w:hint="eastAsia" w:cs="Times New Roman"/>
                      <w:b w:val="0"/>
                      <w:bCs w:val="0"/>
                      <w:color w:val="auto"/>
                      <w:kern w:val="0"/>
                      <w:sz w:val="21"/>
                      <w:szCs w:val="21"/>
                      <w:highlight w:val="none"/>
                      <w:lang w:val="en-US" w:eastAsia="zh-CN" w:bidi="ar-SA"/>
                    </w:rPr>
                    <w:t>。</w:t>
                  </w:r>
                  <w:r>
                    <w:rPr>
                      <w:rFonts w:hint="eastAsia" w:ascii="Times New Roman" w:hAnsi="Times New Roman" w:eastAsia="宋体" w:cs="Times New Roman"/>
                      <w:b w:val="0"/>
                      <w:bCs w:val="0"/>
                      <w:color w:val="auto"/>
                      <w:kern w:val="0"/>
                      <w:sz w:val="21"/>
                      <w:szCs w:val="21"/>
                      <w:highlight w:val="none"/>
                      <w:lang w:val="en-US" w:eastAsia="zh-CN" w:bidi="ar-SA"/>
                    </w:rPr>
                    <w:t>项目</w:t>
                  </w:r>
                  <w:r>
                    <w:rPr>
                      <w:rFonts w:hint="eastAsia" w:cs="Times New Roman"/>
                      <w:b w:val="0"/>
                      <w:bCs w:val="0"/>
                      <w:color w:val="auto"/>
                      <w:kern w:val="0"/>
                      <w:sz w:val="21"/>
                      <w:szCs w:val="21"/>
                      <w:highlight w:val="none"/>
                      <w:lang w:val="en-US" w:eastAsia="zh-CN" w:bidi="ar-SA"/>
                    </w:rPr>
                    <w:t>不属于高耗能、高水耗、污染严重的产业。</w:t>
                  </w:r>
                </w:p>
              </w:tc>
              <w:tc>
                <w:tcPr>
                  <w:tcW w:w="692" w:type="dxa"/>
                  <w:noWrap w:val="0"/>
                  <w:vAlign w:val="center"/>
                </w:tcPr>
                <w:p w14:paraId="5D1A715D">
                  <w:pPr>
                    <w:pStyle w:val="112"/>
                    <w:bidi w:val="0"/>
                    <w:ind w:left="0" w:leftChars="0" w:firstLine="0" w:firstLineChars="0"/>
                    <w:jc w:val="center"/>
                    <w:rPr>
                      <w:rFonts w:hint="default"/>
                      <w:color w:val="auto"/>
                      <w:highlight w:val="none"/>
                      <w:lang w:val="en-US" w:eastAsia="zh-CN"/>
                    </w:rPr>
                  </w:pPr>
                  <w:r>
                    <w:rPr>
                      <w:rFonts w:hint="default"/>
                      <w:color w:val="auto"/>
                      <w:highlight w:val="none"/>
                      <w:lang w:val="en-US" w:eastAsia="zh-CN"/>
                    </w:rPr>
                    <w:t>符合</w:t>
                  </w:r>
                </w:p>
              </w:tc>
            </w:tr>
            <w:tr w14:paraId="26C48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1" w:hRule="atLeast"/>
                <w:jc w:val="center"/>
              </w:trPr>
              <w:tc>
                <w:tcPr>
                  <w:tcW w:w="3540" w:type="dxa"/>
                  <w:noWrap w:val="0"/>
                  <w:vAlign w:val="center"/>
                </w:tcPr>
                <w:p w14:paraId="6E980217">
                  <w:pPr>
                    <w:pStyle w:val="112"/>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420" w:firstLineChars="200"/>
                    <w:jc w:val="left"/>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开发区实施集中供热；入园项目不得新建燃煤锅炉。</w:t>
                  </w:r>
                </w:p>
              </w:tc>
              <w:tc>
                <w:tcPr>
                  <w:tcW w:w="2972" w:type="dxa"/>
                  <w:noWrap w:val="0"/>
                  <w:vAlign w:val="center"/>
                </w:tcPr>
                <w:p w14:paraId="7BE70F4A">
                  <w:pPr>
                    <w:pStyle w:val="112"/>
                    <w:keepNext w:val="0"/>
                    <w:keepLines w:val="0"/>
                    <w:pageBreakBefore w:val="0"/>
                    <w:widowControl/>
                    <w:kinsoku/>
                    <w:wordWrap/>
                    <w:overflowPunct/>
                    <w:topLinePunct w:val="0"/>
                    <w:autoSpaceDE/>
                    <w:autoSpaceDN/>
                    <w:bidi w:val="0"/>
                    <w:adjustRightInd/>
                    <w:snapToGrid w:val="0"/>
                    <w:spacing w:before="0" w:after="0" w:line="240" w:lineRule="auto"/>
                    <w:ind w:left="0" w:leftChars="0" w:right="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本项目不新建燃煤锅炉。</w:t>
                  </w:r>
                </w:p>
              </w:tc>
              <w:tc>
                <w:tcPr>
                  <w:tcW w:w="692" w:type="dxa"/>
                  <w:noWrap w:val="0"/>
                  <w:vAlign w:val="center"/>
                </w:tcPr>
                <w:p w14:paraId="03B90767">
                  <w:pPr>
                    <w:pStyle w:val="112"/>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51A64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4" w:hRule="atLeast"/>
                <w:jc w:val="center"/>
              </w:trPr>
              <w:tc>
                <w:tcPr>
                  <w:tcW w:w="3540" w:type="dxa"/>
                  <w:noWrap w:val="0"/>
                  <w:vAlign w:val="center"/>
                </w:tcPr>
                <w:p w14:paraId="10920B78">
                  <w:pPr>
                    <w:pStyle w:val="112"/>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420" w:firstLineChars="200"/>
                    <w:jc w:val="left"/>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开发区内危险废物的收集、贮存应符合《危险废物贮存污染控制标准》的规定要求。按要求处置生活垃圾及工业固废，防止造成二次污染。声环境执行相应功能区标准，施工期噪声执行《建筑施工场界噪声限值》</w:t>
                  </w:r>
                  <w:r>
                    <w:rPr>
                      <w:rFonts w:hint="eastAsia" w:ascii="Times New Roman" w:hAnsi="Times New Roman" w:eastAsia="宋体" w:cs="Times New Roman"/>
                      <w:b w:val="0"/>
                      <w:bCs w:val="0"/>
                      <w:color w:val="auto"/>
                      <w:kern w:val="0"/>
                      <w:sz w:val="21"/>
                      <w:szCs w:val="21"/>
                      <w:highlight w:val="none"/>
                      <w:lang w:val="en-US" w:eastAsia="zh-CN" w:bidi="ar-SA"/>
                    </w:rPr>
                    <w:t>（</w:t>
                  </w:r>
                  <w:r>
                    <w:rPr>
                      <w:rFonts w:hint="default" w:ascii="Times New Roman" w:hAnsi="Times New Roman" w:eastAsia="宋体" w:cs="Times New Roman"/>
                      <w:b w:val="0"/>
                      <w:bCs w:val="0"/>
                      <w:color w:val="auto"/>
                      <w:kern w:val="0"/>
                      <w:sz w:val="21"/>
                      <w:szCs w:val="21"/>
                      <w:highlight w:val="none"/>
                      <w:lang w:val="en-US" w:eastAsia="zh-CN" w:bidi="ar-SA"/>
                    </w:rPr>
                    <w:t>GB 12523-90</w:t>
                  </w:r>
                  <w:r>
                    <w:rPr>
                      <w:rFonts w:hint="eastAsia" w:ascii="Times New Roman" w:hAnsi="Times New Roman" w:eastAsia="宋体" w:cs="Times New Roman"/>
                      <w:b w:val="0"/>
                      <w:bCs w:val="0"/>
                      <w:color w:val="auto"/>
                      <w:kern w:val="0"/>
                      <w:sz w:val="21"/>
                      <w:szCs w:val="21"/>
                      <w:highlight w:val="none"/>
                      <w:lang w:val="en-US" w:eastAsia="zh-CN" w:bidi="ar-SA"/>
                    </w:rPr>
                    <w:t>）</w:t>
                  </w:r>
                  <w:r>
                    <w:rPr>
                      <w:rFonts w:hint="default" w:ascii="Times New Roman" w:hAnsi="Times New Roman" w:eastAsia="宋体" w:cs="Times New Roman"/>
                      <w:b w:val="0"/>
                      <w:bCs w:val="0"/>
                      <w:color w:val="auto"/>
                      <w:kern w:val="0"/>
                      <w:sz w:val="21"/>
                      <w:szCs w:val="21"/>
                      <w:highlight w:val="none"/>
                      <w:lang w:val="en-US" w:eastAsia="zh-CN" w:bidi="ar-SA"/>
                    </w:rPr>
                    <w:t>中有关规定。</w:t>
                  </w:r>
                </w:p>
              </w:tc>
              <w:tc>
                <w:tcPr>
                  <w:tcW w:w="2972" w:type="dxa"/>
                  <w:noWrap w:val="0"/>
                  <w:vAlign w:val="center"/>
                </w:tcPr>
                <w:p w14:paraId="7AB6D2DE">
                  <w:pPr>
                    <w:pStyle w:val="112"/>
                    <w:keepNext w:val="0"/>
                    <w:keepLines w:val="0"/>
                    <w:pageBreakBefore w:val="0"/>
                    <w:widowControl/>
                    <w:kinsoku/>
                    <w:wordWrap/>
                    <w:overflowPunct/>
                    <w:topLinePunct w:val="0"/>
                    <w:autoSpaceDE/>
                    <w:autoSpaceDN/>
                    <w:bidi w:val="0"/>
                    <w:adjustRightInd/>
                    <w:snapToGrid w:val="0"/>
                    <w:spacing w:before="0" w:after="0" w:line="240" w:lineRule="auto"/>
                    <w:ind w:left="0" w:leftChars="0" w:right="0"/>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项目</w:t>
                  </w:r>
                  <w:r>
                    <w:rPr>
                      <w:rFonts w:hint="eastAsia" w:cs="Times New Roman"/>
                      <w:b w:val="0"/>
                      <w:bCs w:val="0"/>
                      <w:color w:val="auto"/>
                      <w:kern w:val="0"/>
                      <w:sz w:val="21"/>
                      <w:szCs w:val="21"/>
                      <w:highlight w:val="none"/>
                      <w:lang w:val="en-US" w:eastAsia="zh-CN" w:bidi="ar-SA"/>
                    </w:rPr>
                    <w:t>不产生危废，</w:t>
                  </w:r>
                  <w:r>
                    <w:rPr>
                      <w:rFonts w:hint="default" w:ascii="Times New Roman" w:hAnsi="Times New Roman" w:eastAsia="宋体" w:cs="Times New Roman"/>
                      <w:b w:val="0"/>
                      <w:bCs w:val="0"/>
                      <w:color w:val="auto"/>
                      <w:kern w:val="0"/>
                      <w:sz w:val="21"/>
                      <w:szCs w:val="21"/>
                      <w:highlight w:val="none"/>
                      <w:lang w:val="en-US" w:eastAsia="zh-CN" w:bidi="ar-SA"/>
                    </w:rPr>
                    <w:t>运营期声环境满足《工业企业厂界环境噪声排放标准》（GB12348-2008）中3类标准要求。</w:t>
                  </w:r>
                </w:p>
              </w:tc>
              <w:tc>
                <w:tcPr>
                  <w:tcW w:w="692" w:type="dxa"/>
                  <w:noWrap w:val="0"/>
                  <w:vAlign w:val="center"/>
                </w:tcPr>
                <w:p w14:paraId="39B0841B">
                  <w:pPr>
                    <w:pStyle w:val="112"/>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17D5F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2" w:hRule="atLeast"/>
                <w:jc w:val="center"/>
              </w:trPr>
              <w:tc>
                <w:tcPr>
                  <w:tcW w:w="3540" w:type="dxa"/>
                  <w:noWrap w:val="0"/>
                  <w:vAlign w:val="center"/>
                </w:tcPr>
                <w:p w14:paraId="2F0CAEEE">
                  <w:pPr>
                    <w:pStyle w:val="112"/>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制定切实可行的环境风险防范措施，防止突发性环境污染事故。</w:t>
                  </w:r>
                </w:p>
              </w:tc>
              <w:tc>
                <w:tcPr>
                  <w:tcW w:w="2972" w:type="dxa"/>
                  <w:noWrap w:val="0"/>
                  <w:vAlign w:val="center"/>
                </w:tcPr>
                <w:p w14:paraId="56D7F659">
                  <w:pPr>
                    <w:pStyle w:val="112"/>
                    <w:keepNext w:val="0"/>
                    <w:keepLines w:val="0"/>
                    <w:pageBreakBefore w:val="0"/>
                    <w:widowControl w:val="0"/>
                    <w:kinsoku/>
                    <w:wordWrap/>
                    <w:overflowPunct/>
                    <w:topLinePunct w:val="0"/>
                    <w:autoSpaceDE/>
                    <w:autoSpaceDN/>
                    <w:bidi w:val="0"/>
                    <w:adjustRightInd/>
                    <w:snapToGrid w:val="0"/>
                    <w:spacing w:before="0" w:after="0" w:line="240" w:lineRule="auto"/>
                    <w:ind w:left="0" w:leftChars="0" w:right="0" w:firstLine="420" w:firstLineChars="20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建设单位将制定切实可行的环境风险防范措施，防止突发性环境污染事故，并与园区建立联动。</w:t>
                  </w:r>
                </w:p>
              </w:tc>
              <w:tc>
                <w:tcPr>
                  <w:tcW w:w="692" w:type="dxa"/>
                  <w:noWrap w:val="0"/>
                  <w:vAlign w:val="center"/>
                </w:tcPr>
                <w:p w14:paraId="7A13188B">
                  <w:pPr>
                    <w:pStyle w:val="112"/>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11B0A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7" w:hRule="atLeast"/>
                <w:jc w:val="center"/>
              </w:trPr>
              <w:tc>
                <w:tcPr>
                  <w:tcW w:w="3540" w:type="dxa"/>
                  <w:noWrap w:val="0"/>
                  <w:vAlign w:val="center"/>
                </w:tcPr>
                <w:p w14:paraId="6FF9DC55">
                  <w:pPr>
                    <w:pStyle w:val="112"/>
                    <w:keepNext w:val="0"/>
                    <w:keepLines w:val="0"/>
                    <w:pageBreakBefore w:val="0"/>
                    <w:widowControl w:val="0"/>
                    <w:kinsoku/>
                    <w:wordWrap/>
                    <w:overflowPunct/>
                    <w:topLinePunct w:val="0"/>
                    <w:autoSpaceDE/>
                    <w:autoSpaceDN/>
                    <w:bidi w:val="0"/>
                    <w:adjustRightInd/>
                    <w:snapToGrid w:val="0"/>
                    <w:spacing w:before="0" w:after="0" w:line="240" w:lineRule="auto"/>
                    <w:ind w:left="0" w:leftChars="0" w:right="0" w:firstLine="420" w:firstLineChars="20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加强环境监督管理，开发区内所有建设项目，要认真履行有关环境保护法律法规，严格执</w:t>
                  </w:r>
                  <w:r>
                    <w:rPr>
                      <w:rFonts w:hint="eastAsia" w:ascii="Times New Roman" w:hAnsi="Times New Roman" w:eastAsia="宋体" w:cs="Times New Roman"/>
                      <w:color w:val="auto"/>
                      <w:sz w:val="21"/>
                      <w:szCs w:val="21"/>
                      <w:highlight w:val="none"/>
                      <w:lang w:val="en-US" w:eastAsia="zh-CN"/>
                    </w:rPr>
                    <w:t>行建设项目环境影响评价制度和环境保护</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三同时</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制度。</w:t>
                  </w:r>
                </w:p>
              </w:tc>
              <w:tc>
                <w:tcPr>
                  <w:tcW w:w="2972" w:type="dxa"/>
                  <w:noWrap w:val="0"/>
                  <w:vAlign w:val="center"/>
                </w:tcPr>
                <w:p w14:paraId="09A09B13">
                  <w:pPr>
                    <w:pStyle w:val="112"/>
                    <w:keepNext w:val="0"/>
                    <w:keepLines w:val="0"/>
                    <w:pageBreakBefore w:val="0"/>
                    <w:widowControl w:val="0"/>
                    <w:kinsoku/>
                    <w:wordWrap/>
                    <w:overflowPunct/>
                    <w:topLinePunct w:val="0"/>
                    <w:autoSpaceDE/>
                    <w:autoSpaceDN/>
                    <w:bidi w:val="0"/>
                    <w:adjustRightInd/>
                    <w:snapToGrid w:val="0"/>
                    <w:spacing w:before="0" w:after="0" w:line="240" w:lineRule="auto"/>
                    <w:ind w:left="0" w:leftChars="0" w:right="0" w:firstLine="420" w:firstLineChars="20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项目认真履行有关环境保护法律法规，严格执行建设项目环境影响评价制度和环境</w:t>
                  </w:r>
                  <w:r>
                    <w:rPr>
                      <w:rFonts w:hint="eastAsia" w:ascii="Times New Roman" w:hAnsi="Times New Roman" w:eastAsia="宋体" w:cs="Times New Roman"/>
                      <w:color w:val="auto"/>
                      <w:sz w:val="21"/>
                      <w:szCs w:val="21"/>
                      <w:highlight w:val="none"/>
                      <w:lang w:val="en-US" w:eastAsia="zh-CN"/>
                    </w:rPr>
                    <w:t>保护</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三同时</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制度</w:t>
                  </w:r>
                  <w:r>
                    <w:rPr>
                      <w:rFonts w:hint="default" w:ascii="Times New Roman" w:hAnsi="Times New Roman" w:eastAsia="宋体" w:cs="Times New Roman"/>
                      <w:color w:val="auto"/>
                      <w:sz w:val="21"/>
                      <w:szCs w:val="21"/>
                      <w:highlight w:val="none"/>
                      <w:lang w:val="en-US" w:eastAsia="zh-CN"/>
                    </w:rPr>
                    <w:t>。</w:t>
                  </w:r>
                </w:p>
              </w:tc>
              <w:tc>
                <w:tcPr>
                  <w:tcW w:w="692" w:type="dxa"/>
                  <w:noWrap w:val="0"/>
                  <w:vAlign w:val="center"/>
                </w:tcPr>
                <w:p w14:paraId="71F70949">
                  <w:pPr>
                    <w:pStyle w:val="112"/>
                    <w:keepNext w:val="0"/>
                    <w:keepLines w:val="0"/>
                    <w:pageBreakBefore w:val="0"/>
                    <w:widowControl w:val="0"/>
                    <w:kinsoku/>
                    <w:wordWrap/>
                    <w:overflowPunct/>
                    <w:topLinePunct w:val="0"/>
                    <w:autoSpaceDE/>
                    <w:autoSpaceDN/>
                    <w:bidi w:val="0"/>
                    <w:adjustRightInd/>
                    <w:snapToGrid w:val="0"/>
                    <w:spacing w:before="0" w:after="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w:t>
                  </w:r>
                  <w:r>
                    <w:rPr>
                      <w:rFonts w:hint="default" w:ascii="Times New Roman" w:hAnsi="Times New Roman" w:eastAsia="宋体" w:cs="Times New Roman"/>
                      <w:color w:val="auto"/>
                      <w:sz w:val="21"/>
                      <w:szCs w:val="21"/>
                      <w:highlight w:val="none"/>
                      <w:lang w:val="en-US" w:eastAsia="zh-CN"/>
                    </w:rPr>
                    <w:br w:type="textWrapping"/>
                  </w:r>
                  <w:r>
                    <w:rPr>
                      <w:rFonts w:hint="default" w:ascii="Times New Roman" w:hAnsi="Times New Roman" w:eastAsia="宋体" w:cs="Times New Roman"/>
                      <w:color w:val="auto"/>
                      <w:sz w:val="21"/>
                      <w:szCs w:val="21"/>
                      <w:highlight w:val="none"/>
                      <w:lang w:val="en-US" w:eastAsia="zh-CN"/>
                    </w:rPr>
                    <w:t>合</w:t>
                  </w:r>
                </w:p>
              </w:tc>
            </w:tr>
            <w:tr w14:paraId="287B0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7" w:hRule="atLeast"/>
                <w:jc w:val="center"/>
              </w:trPr>
              <w:tc>
                <w:tcPr>
                  <w:tcW w:w="3540" w:type="dxa"/>
                  <w:noWrap w:val="0"/>
                  <w:vAlign w:val="center"/>
                </w:tcPr>
                <w:p w14:paraId="737BE50A">
                  <w:pPr>
                    <w:pStyle w:val="112"/>
                    <w:keepNext w:val="0"/>
                    <w:keepLines w:val="0"/>
                    <w:pageBreakBefore w:val="0"/>
                    <w:widowControl w:val="0"/>
                    <w:kinsoku/>
                    <w:wordWrap/>
                    <w:overflowPunct/>
                    <w:topLinePunct w:val="0"/>
                    <w:autoSpaceDE/>
                    <w:autoSpaceDN/>
                    <w:bidi w:val="0"/>
                    <w:adjustRightInd/>
                    <w:snapToGrid w:val="0"/>
                    <w:spacing w:before="0" w:after="0" w:line="240" w:lineRule="auto"/>
                    <w:ind w:left="0" w:leftChars="0" w:right="0" w:firstLine="420" w:firstLineChars="20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规划实施中新增污染物排放总量应按有关污染物排放总量控制的要求，在淮北市的污染物排放总量削减计划中予以落实。</w:t>
                  </w:r>
                </w:p>
              </w:tc>
              <w:tc>
                <w:tcPr>
                  <w:tcW w:w="2972" w:type="dxa"/>
                  <w:noWrap w:val="0"/>
                  <w:vAlign w:val="center"/>
                </w:tcPr>
                <w:p w14:paraId="27FE0622">
                  <w:pPr>
                    <w:pStyle w:val="112"/>
                    <w:keepNext w:val="0"/>
                    <w:keepLines w:val="0"/>
                    <w:pageBreakBefore w:val="0"/>
                    <w:widowControl w:val="0"/>
                    <w:kinsoku/>
                    <w:wordWrap/>
                    <w:overflowPunct/>
                    <w:topLinePunct w:val="0"/>
                    <w:autoSpaceDE/>
                    <w:autoSpaceDN/>
                    <w:bidi w:val="0"/>
                    <w:adjustRightInd/>
                    <w:snapToGrid w:val="0"/>
                    <w:spacing w:before="0" w:after="0" w:line="240" w:lineRule="auto"/>
                    <w:ind w:left="0" w:leftChars="0" w:right="0" w:firstLine="420" w:firstLineChars="20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项目废水污染物排放总量控制指标纳入园区统一管理，有关污染物排放总量控制指标予以落实。</w:t>
                  </w:r>
                </w:p>
              </w:tc>
              <w:tc>
                <w:tcPr>
                  <w:tcW w:w="692" w:type="dxa"/>
                  <w:noWrap w:val="0"/>
                  <w:vAlign w:val="center"/>
                </w:tcPr>
                <w:p w14:paraId="215D8E52">
                  <w:pPr>
                    <w:pStyle w:val="112"/>
                    <w:keepNext w:val="0"/>
                    <w:keepLines w:val="0"/>
                    <w:pageBreakBefore w:val="0"/>
                    <w:widowControl w:val="0"/>
                    <w:kinsoku/>
                    <w:wordWrap/>
                    <w:overflowPunct/>
                    <w:topLinePunct w:val="0"/>
                    <w:autoSpaceDE/>
                    <w:autoSpaceDN/>
                    <w:bidi w:val="0"/>
                    <w:adjustRightInd/>
                    <w:snapToGrid w:val="0"/>
                    <w:spacing w:before="0" w:after="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w:t>
                  </w:r>
                  <w:r>
                    <w:rPr>
                      <w:rFonts w:hint="default" w:ascii="Times New Roman" w:hAnsi="Times New Roman" w:eastAsia="宋体" w:cs="Times New Roman"/>
                      <w:color w:val="auto"/>
                      <w:sz w:val="21"/>
                      <w:szCs w:val="21"/>
                      <w:highlight w:val="none"/>
                      <w:lang w:val="en-US" w:eastAsia="zh-CN"/>
                    </w:rPr>
                    <w:br w:type="textWrapping"/>
                  </w:r>
                  <w:r>
                    <w:rPr>
                      <w:rFonts w:hint="default" w:ascii="Times New Roman" w:hAnsi="Times New Roman" w:eastAsia="宋体" w:cs="Times New Roman"/>
                      <w:color w:val="auto"/>
                      <w:sz w:val="21"/>
                      <w:szCs w:val="21"/>
                      <w:highlight w:val="none"/>
                      <w:lang w:val="en-US" w:eastAsia="zh-CN"/>
                    </w:rPr>
                    <w:t>合</w:t>
                  </w:r>
                </w:p>
              </w:tc>
            </w:tr>
          </w:tbl>
          <w:p w14:paraId="0340D191">
            <w:pPr>
              <w:rPr>
                <w:color w:val="auto"/>
                <w:highlight w:val="none"/>
              </w:rPr>
            </w:pPr>
          </w:p>
          <w:p w14:paraId="5453A672">
            <w:pPr>
              <w:bidi w:val="0"/>
              <w:spacing w:line="360" w:lineRule="auto"/>
              <w:rPr>
                <w:rFonts w:hint="default"/>
                <w:color w:val="auto"/>
                <w:highlight w:val="none"/>
                <w:lang w:val="en-US" w:eastAsia="zh-CN"/>
              </w:rPr>
            </w:pPr>
            <w:r>
              <w:rPr>
                <w:rFonts w:hint="eastAsia"/>
                <w:color w:val="auto"/>
                <w:highlight w:val="none"/>
                <w:lang w:val="en-US" w:eastAsia="zh-CN"/>
              </w:rPr>
              <w:t xml:space="preserve">    </w:t>
            </w:r>
            <w:r>
              <w:rPr>
                <w:rFonts w:hint="eastAsia" w:ascii="Times New Roman" w:hAnsi="Times New Roman" w:eastAsia="宋体" w:cs="Times New Roman"/>
                <w:color w:val="auto"/>
                <w:sz w:val="24"/>
                <w:szCs w:val="24"/>
                <w:highlight w:val="none"/>
                <w:lang w:val="en-US" w:eastAsia="zh-CN"/>
              </w:rPr>
              <w:t>（2）与</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淮北市生态环境局关于印发&lt;安徽淮北高新产业技术开发区规划环境影响跟踪评价报告书审查意见&gt;的函</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环函</w:t>
            </w:r>
            <w:r>
              <w:rPr>
                <w:rFonts w:hint="default" w:ascii="Times New Roman" w:hAnsi="Times New Roman" w:eastAsia="宋体" w:cs="Times New Roman"/>
                <w:color w:val="auto"/>
                <w:sz w:val="24"/>
                <w:szCs w:val="24"/>
                <w:highlight w:val="none"/>
              </w:rPr>
              <w:t>〔202</w:t>
            </w:r>
            <w:r>
              <w:rPr>
                <w:rFonts w:hint="eastAsia"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173</w:t>
            </w:r>
            <w:r>
              <w:rPr>
                <w:rFonts w:hint="default" w:ascii="Times New Roman" w:hAnsi="Times New Roman" w:eastAsia="宋体" w:cs="Times New Roman"/>
                <w:color w:val="auto"/>
                <w:sz w:val="24"/>
                <w:szCs w:val="24"/>
                <w:highlight w:val="none"/>
              </w:rPr>
              <w:t>号</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符合性分析</w:t>
            </w:r>
            <w:r>
              <w:rPr>
                <w:rFonts w:hint="eastAsia" w:ascii="Times New Roman" w:hAnsi="Times New Roman" w:eastAsia="宋体" w:cs="Times New Roman"/>
                <w:color w:val="auto"/>
                <w:sz w:val="24"/>
                <w:szCs w:val="24"/>
                <w:highlight w:val="none"/>
                <w:lang w:val="en-US" w:eastAsia="zh-CN"/>
              </w:rPr>
              <w:br w:type="textWrapping"/>
            </w:r>
            <w:r>
              <w:rPr>
                <w:rFonts w:hint="eastAsia" w:ascii="Times New Roman" w:hAnsi="Times New Roman" w:eastAsia="宋体" w:cs="Times New Roman"/>
                <w:color w:val="auto"/>
                <w:sz w:val="24"/>
                <w:szCs w:val="24"/>
                <w:highlight w:val="none"/>
                <w:lang w:val="en-US" w:eastAsia="zh-CN"/>
              </w:rPr>
              <w:t xml:space="preserve">    </w:t>
            </w:r>
            <w:r>
              <w:rPr>
                <w:rFonts w:hint="default" w:ascii="Times New Roman" w:hAnsi="Times New Roman" w:cs="Times New Roman"/>
                <w:b w:val="0"/>
                <w:bCs w:val="0"/>
                <w:color w:val="auto"/>
                <w:sz w:val="24"/>
                <w:szCs w:val="24"/>
                <w:highlight w:val="none"/>
                <w:lang w:val="en-US" w:eastAsia="zh-CN"/>
              </w:rPr>
              <w:t>本项目与</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淮北市生态环境局关于印发&lt;安徽淮北高新产业技术开发区规划环境影响跟踪评价报告书审查意见&gt;的函</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环函</w:t>
            </w:r>
            <w:r>
              <w:rPr>
                <w:rFonts w:hint="default" w:ascii="Times New Roman" w:hAnsi="Times New Roman" w:eastAsia="宋体" w:cs="Times New Roman"/>
                <w:color w:val="auto"/>
                <w:sz w:val="24"/>
                <w:szCs w:val="24"/>
                <w:highlight w:val="none"/>
              </w:rPr>
              <w:t>〔202</w:t>
            </w:r>
            <w:r>
              <w:rPr>
                <w:rFonts w:hint="eastAsia"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173</w:t>
            </w:r>
            <w:r>
              <w:rPr>
                <w:rFonts w:hint="default" w:ascii="Times New Roman" w:hAnsi="Times New Roman" w:eastAsia="宋体" w:cs="Times New Roman"/>
                <w:color w:val="auto"/>
                <w:sz w:val="24"/>
                <w:szCs w:val="24"/>
                <w:highlight w:val="none"/>
              </w:rPr>
              <w:t>号</w:t>
            </w:r>
            <w:r>
              <w:rPr>
                <w:rFonts w:hint="eastAsia" w:ascii="Times New Roman" w:hAnsi="Times New Roman" w:eastAsia="宋体" w:cs="Times New Roman"/>
                <w:color w:val="auto"/>
                <w:sz w:val="24"/>
                <w:szCs w:val="24"/>
                <w:highlight w:val="none"/>
                <w:lang w:eastAsia="zh-CN"/>
              </w:rPr>
              <w:t>）相符性分析见下表1</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eastAsia="zh-CN"/>
              </w:rPr>
              <w:t>所示</w:t>
            </w:r>
          </w:p>
          <w:p w14:paraId="50DE0541">
            <w:pPr>
              <w:pStyle w:val="135"/>
              <w:spacing w:line="360" w:lineRule="auto"/>
              <w:ind w:left="0" w:leftChars="0" w:firstLine="0" w:firstLineChars="0"/>
              <w:jc w:val="center"/>
              <w:rPr>
                <w:rFonts w:hint="eastAsia"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表</w:t>
            </w:r>
            <w:r>
              <w:rPr>
                <w:rFonts w:hint="eastAsia" w:ascii="Times New Roman" w:hAnsi="Times New Roman" w:eastAsia="宋体" w:cs="Times New Roman"/>
                <w:b w:val="0"/>
                <w:bCs w:val="0"/>
                <w:color w:val="auto"/>
                <w:sz w:val="21"/>
                <w:szCs w:val="21"/>
                <w:highlight w:val="none"/>
                <w:lang w:val="en-US" w:eastAsia="zh-CN"/>
              </w:rPr>
              <w:t>1-2  本项目与</w:t>
            </w:r>
            <w:r>
              <w:rPr>
                <w:rFonts w:hint="default" w:ascii="Times New Roman" w:hAnsi="Times New Roman" w:eastAsia="宋体" w:cs="Times New Roman"/>
                <w:b w:val="0"/>
                <w:bCs w:val="0"/>
                <w:color w:val="auto"/>
                <w:sz w:val="21"/>
                <w:szCs w:val="21"/>
                <w:highlight w:val="none"/>
                <w:lang w:val="en-US" w:eastAsia="zh-CN"/>
              </w:rPr>
              <w:t>《</w:t>
            </w:r>
            <w:r>
              <w:rPr>
                <w:rFonts w:hint="eastAsia" w:ascii="Times New Roman" w:hAnsi="Times New Roman" w:eastAsia="宋体" w:cs="Times New Roman"/>
                <w:b w:val="0"/>
                <w:bCs w:val="0"/>
                <w:color w:val="auto"/>
                <w:sz w:val="21"/>
                <w:szCs w:val="21"/>
                <w:highlight w:val="none"/>
                <w:lang w:val="en-US" w:eastAsia="zh-CN"/>
              </w:rPr>
              <w:t>淮北市生态环境局关于印发&lt;安徽淮北高新产业技术开发区规划环境影响跟踪评价报告书审查意见&gt;的函</w:t>
            </w:r>
            <w:r>
              <w:rPr>
                <w:rFonts w:hint="default" w:ascii="Times New Roman" w:hAnsi="Times New Roman" w:eastAsia="宋体" w:cs="Times New Roman"/>
                <w:b w:val="0"/>
                <w:bCs w:val="0"/>
                <w:color w:val="auto"/>
                <w:sz w:val="21"/>
                <w:szCs w:val="21"/>
                <w:highlight w:val="none"/>
                <w:lang w:val="en-US" w:eastAsia="zh-CN"/>
              </w:rPr>
              <w:t>》</w:t>
            </w:r>
            <w:r>
              <w:rPr>
                <w:rFonts w:hint="eastAsia" w:ascii="Times New Roman" w:hAnsi="Times New Roman" w:eastAsia="宋体" w:cs="Times New Roman"/>
                <w:b w:val="0"/>
                <w:bCs w:val="0"/>
                <w:color w:val="auto"/>
                <w:sz w:val="21"/>
                <w:szCs w:val="21"/>
                <w:highlight w:val="none"/>
                <w:lang w:val="en-US" w:eastAsia="zh-CN"/>
              </w:rPr>
              <w:t>的相符性</w:t>
            </w:r>
          </w:p>
          <w:tbl>
            <w:tblPr>
              <w:tblStyle w:val="37"/>
              <w:tblW w:w="7237"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53"/>
              <w:gridCol w:w="2766"/>
              <w:gridCol w:w="3316"/>
              <w:gridCol w:w="602"/>
            </w:tblGrid>
            <w:tr w14:paraId="01CFC7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22" w:hRule="atLeast"/>
                <w:jc w:val="center"/>
              </w:trPr>
              <w:tc>
                <w:tcPr>
                  <w:tcW w:w="553" w:type="dxa"/>
                  <w:noWrap w:val="0"/>
                  <w:vAlign w:val="center"/>
                </w:tcPr>
                <w:p w14:paraId="6070A8A4">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序号</w:t>
                  </w:r>
                </w:p>
              </w:tc>
              <w:tc>
                <w:tcPr>
                  <w:tcW w:w="2766" w:type="dxa"/>
                  <w:noWrap w:val="0"/>
                  <w:vAlign w:val="center"/>
                </w:tcPr>
                <w:p w14:paraId="499FC392">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《安徽淮北高新产业技术开发区规划环境影响跟踪评价报告书审查意见》内容</w:t>
                  </w:r>
                </w:p>
              </w:tc>
              <w:tc>
                <w:tcPr>
                  <w:tcW w:w="3316" w:type="dxa"/>
                  <w:noWrap w:val="0"/>
                  <w:vAlign w:val="center"/>
                </w:tcPr>
                <w:p w14:paraId="3EB8688A">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本项目情况</w:t>
                  </w:r>
                </w:p>
              </w:tc>
              <w:tc>
                <w:tcPr>
                  <w:tcW w:w="602" w:type="dxa"/>
                  <w:noWrap w:val="0"/>
                  <w:vAlign w:val="center"/>
                </w:tcPr>
                <w:p w14:paraId="09125FE2">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 xml:space="preserve">符合性 </w:t>
                  </w:r>
                </w:p>
              </w:tc>
            </w:tr>
            <w:tr w14:paraId="2DB7A9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769" w:hRule="atLeast"/>
                <w:jc w:val="center"/>
              </w:trPr>
              <w:tc>
                <w:tcPr>
                  <w:tcW w:w="553" w:type="dxa"/>
                  <w:noWrap w:val="0"/>
                  <w:vAlign w:val="center"/>
                </w:tcPr>
                <w:p w14:paraId="61DFBF69">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w:t>
                  </w:r>
                </w:p>
              </w:tc>
              <w:tc>
                <w:tcPr>
                  <w:tcW w:w="2766" w:type="dxa"/>
                  <w:noWrap w:val="0"/>
                  <w:vAlign w:val="center"/>
                </w:tcPr>
                <w:p w14:paraId="775EDD74">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新区应积极发展南部高新技术产业，综合性新兴产业区</w:t>
                  </w: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加快第三产业的发展，园区内企业尽量按照主导产业方向进行引进</w:t>
                  </w:r>
                  <w:r>
                    <w:rPr>
                      <w:rFonts w:hint="eastAsia" w:ascii="Times New Roman" w:hAnsi="Times New Roman" w:eastAsia="宋体" w:cs="Times New Roman"/>
                      <w:b w:val="0"/>
                      <w:bCs w:val="0"/>
                      <w:color w:val="auto"/>
                      <w:sz w:val="21"/>
                      <w:szCs w:val="21"/>
                      <w:highlight w:val="none"/>
                      <w:lang w:val="en-US" w:eastAsia="zh-CN"/>
                    </w:rPr>
                    <w:t>。</w:t>
                  </w:r>
                </w:p>
              </w:tc>
              <w:tc>
                <w:tcPr>
                  <w:tcW w:w="3316" w:type="dxa"/>
                  <w:noWrap w:val="0"/>
                  <w:vAlign w:val="center"/>
                </w:tcPr>
                <w:p w14:paraId="154D8578">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本项目属于二十二、石油、煤炭及其他燃料加工业  25 43生物质燃料加工 254，不在园区禁止和限制的产业范围内，可视为允许类。</w:t>
                  </w:r>
                </w:p>
              </w:tc>
              <w:tc>
                <w:tcPr>
                  <w:tcW w:w="602" w:type="dxa"/>
                  <w:noWrap w:val="0"/>
                  <w:vAlign w:val="center"/>
                </w:tcPr>
                <w:p w14:paraId="638B3194">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符合</w:t>
                  </w:r>
                </w:p>
              </w:tc>
            </w:tr>
            <w:tr w14:paraId="48776D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524" w:hRule="atLeast"/>
                <w:jc w:val="center"/>
              </w:trPr>
              <w:tc>
                <w:tcPr>
                  <w:tcW w:w="553" w:type="dxa"/>
                  <w:noWrap w:val="0"/>
                  <w:vAlign w:val="center"/>
                </w:tcPr>
                <w:p w14:paraId="1D9ED044">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w:t>
                  </w:r>
                </w:p>
              </w:tc>
              <w:tc>
                <w:tcPr>
                  <w:tcW w:w="2766" w:type="dxa"/>
                  <w:noWrap w:val="0"/>
                  <w:vAlign w:val="center"/>
                </w:tcPr>
                <w:p w14:paraId="720F8A67">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完善环境风险防控。尽快落实园区应急预案的备案工作，定期开展应急演练</w:t>
                  </w: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督促相关企业落实环境风险管理要求。</w:t>
                  </w:r>
                </w:p>
              </w:tc>
              <w:tc>
                <w:tcPr>
                  <w:tcW w:w="3316" w:type="dxa"/>
                  <w:noWrap w:val="0"/>
                  <w:vAlign w:val="center"/>
                </w:tcPr>
                <w:p w14:paraId="63878D31">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本项目将加强厂区内的环境风险防范措施</w:t>
                  </w: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并与园区内的突发环境风险应急预案联动</w:t>
                  </w:r>
                  <w:r>
                    <w:rPr>
                      <w:rFonts w:hint="eastAsia" w:ascii="Times New Roman" w:hAnsi="Times New Roman" w:eastAsia="宋体" w:cs="Times New Roman"/>
                      <w:b w:val="0"/>
                      <w:bCs w:val="0"/>
                      <w:color w:val="auto"/>
                      <w:sz w:val="21"/>
                      <w:szCs w:val="21"/>
                      <w:highlight w:val="none"/>
                      <w:lang w:val="en-US" w:eastAsia="zh-CN"/>
                    </w:rPr>
                    <w:t>。</w:t>
                  </w:r>
                </w:p>
              </w:tc>
              <w:tc>
                <w:tcPr>
                  <w:tcW w:w="602" w:type="dxa"/>
                  <w:noWrap w:val="0"/>
                  <w:vAlign w:val="center"/>
                </w:tcPr>
                <w:p w14:paraId="2329A89B">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符合</w:t>
                  </w:r>
                </w:p>
              </w:tc>
            </w:tr>
            <w:tr w14:paraId="72E698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59" w:hRule="atLeast"/>
                <w:jc w:val="center"/>
              </w:trPr>
              <w:tc>
                <w:tcPr>
                  <w:tcW w:w="553" w:type="dxa"/>
                  <w:noWrap w:val="0"/>
                  <w:vAlign w:val="center"/>
                </w:tcPr>
                <w:p w14:paraId="49CA7198">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3</w:t>
                  </w:r>
                </w:p>
              </w:tc>
              <w:tc>
                <w:tcPr>
                  <w:tcW w:w="2766" w:type="dxa"/>
                  <w:noWrap w:val="0"/>
                  <w:vAlign w:val="center"/>
                </w:tcPr>
                <w:p w14:paraId="082C5788">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加大污染防控力度。入驻企业应加强并落实环境影响减缓措施和排污许可证制|度，加强对污染治理设施的维护，确保污染治理设施正常运行、稳定达标排放。</w:t>
                  </w:r>
                </w:p>
              </w:tc>
              <w:tc>
                <w:tcPr>
                  <w:tcW w:w="3316" w:type="dxa"/>
                  <w:noWrap w:val="0"/>
                  <w:vAlign w:val="center"/>
                </w:tcPr>
                <w:p w14:paraId="145264F0">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本项目产生污染物均经过污染物治理设施处理达标排放</w:t>
                  </w: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本项目将会加强并落实环境影响减缓措施和排污许可证制度</w:t>
                  </w: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加强对污染治理设施的维护</w:t>
                  </w: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确保污染治理设施正常运行、稳定达标</w:t>
                  </w:r>
                  <w:r>
                    <w:rPr>
                      <w:rFonts w:hint="eastAsia" w:ascii="Times New Roman" w:hAnsi="Times New Roman" w:eastAsia="宋体" w:cs="Times New Roman"/>
                      <w:b w:val="0"/>
                      <w:bCs w:val="0"/>
                      <w:color w:val="auto"/>
                      <w:sz w:val="21"/>
                      <w:szCs w:val="21"/>
                      <w:highlight w:val="none"/>
                      <w:lang w:val="en-US" w:eastAsia="zh-CN"/>
                    </w:rPr>
                    <w:t>排放。</w:t>
                  </w:r>
                </w:p>
              </w:tc>
              <w:tc>
                <w:tcPr>
                  <w:tcW w:w="602" w:type="dxa"/>
                  <w:noWrap w:val="0"/>
                  <w:vAlign w:val="center"/>
                </w:tcPr>
                <w:p w14:paraId="0A5ABFD0">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符合</w:t>
                  </w:r>
                </w:p>
              </w:tc>
            </w:tr>
          </w:tbl>
          <w:p w14:paraId="42B8B413">
            <w:pPr>
              <w:pStyle w:val="10"/>
              <w:rPr>
                <w:color w:val="auto"/>
                <w:highlight w:val="none"/>
              </w:rPr>
            </w:pPr>
          </w:p>
        </w:tc>
      </w:tr>
      <w:tr w14:paraId="748AC9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774" w:hRule="atLeast"/>
          <w:jc w:val="center"/>
        </w:trPr>
        <w:tc>
          <w:tcPr>
            <w:tcW w:w="1606" w:type="dxa"/>
            <w:tcBorders>
              <w:bottom w:val="single" w:color="auto" w:sz="8" w:space="0"/>
            </w:tcBorders>
            <w:vAlign w:val="center"/>
          </w:tcPr>
          <w:p w14:paraId="49C52AA6">
            <w:pPr>
              <w:adjustRightInd w:val="0"/>
              <w:snapToGrid w:val="0"/>
              <w:jc w:val="center"/>
              <w:rPr>
                <w:rFonts w:ascii="宋体"/>
                <w:color w:val="auto"/>
                <w:sz w:val="24"/>
                <w:szCs w:val="24"/>
                <w:highlight w:val="none"/>
              </w:rPr>
            </w:pPr>
            <w:r>
              <w:rPr>
                <w:rFonts w:hint="eastAsia" w:ascii="宋体" w:hAnsi="宋体" w:cs="宋体"/>
                <w:color w:val="auto"/>
                <w:sz w:val="24"/>
                <w:szCs w:val="24"/>
                <w:highlight w:val="none"/>
              </w:rPr>
              <w:t>其他符合性分析</w:t>
            </w:r>
          </w:p>
        </w:tc>
        <w:tc>
          <w:tcPr>
            <w:tcW w:w="7371" w:type="dxa"/>
            <w:gridSpan w:val="3"/>
            <w:tcBorders>
              <w:bottom w:val="single" w:color="auto" w:sz="8" w:space="0"/>
            </w:tcBorders>
            <w:vAlign w:val="center"/>
          </w:tcPr>
          <w:p w14:paraId="7D386A87">
            <w:pPr>
              <w:adjustRightInd w:val="0"/>
              <w:snapToGrid w:val="0"/>
              <w:spacing w:before="240" w:beforeLines="100" w:line="360" w:lineRule="auto"/>
              <w:ind w:firstLine="482" w:firstLineChars="200"/>
              <w:jc w:val="left"/>
              <w:rPr>
                <w:rFonts w:hint="eastAsia" w:ascii="宋体" w:eastAsia="宋体"/>
                <w:b/>
                <w:bCs/>
                <w:color w:val="auto"/>
                <w:sz w:val="24"/>
                <w:szCs w:val="24"/>
                <w:highlight w:val="none"/>
                <w:lang w:eastAsia="zh-CN"/>
              </w:rPr>
            </w:pPr>
            <w:r>
              <w:rPr>
                <w:rFonts w:ascii="宋体" w:hAnsi="宋体" w:cs="宋体"/>
                <w:b/>
                <w:bCs/>
                <w:color w:val="auto"/>
                <w:sz w:val="24"/>
                <w:szCs w:val="24"/>
                <w:highlight w:val="none"/>
              </w:rPr>
              <w:t>1</w:t>
            </w:r>
            <w:r>
              <w:rPr>
                <w:rFonts w:hint="eastAsia" w:ascii="宋体" w:hAnsi="宋体" w:cs="宋体"/>
                <w:b/>
                <w:bCs/>
                <w:color w:val="auto"/>
                <w:sz w:val="24"/>
                <w:szCs w:val="24"/>
                <w:highlight w:val="none"/>
              </w:rPr>
              <w:t>、</w:t>
            </w:r>
            <w:r>
              <w:rPr>
                <w:rFonts w:hint="eastAsia" w:ascii="Times New Roman" w:hAnsi="Times New Roman" w:eastAsia="宋体" w:cs="Times New Roman"/>
                <w:b/>
                <w:bCs/>
                <w:color w:val="auto"/>
                <w:kern w:val="0"/>
                <w:sz w:val="24"/>
                <w:szCs w:val="24"/>
                <w:highlight w:val="none"/>
                <w:lang w:val="en-US" w:eastAsia="zh-CN" w:bidi="ar-SA"/>
              </w:rPr>
              <w:t>产业政策符合性分析</w:t>
            </w:r>
          </w:p>
          <w:p w14:paraId="00FC8A89">
            <w:pPr>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cs="宋体"/>
                <w:color w:val="auto"/>
                <w:sz w:val="24"/>
                <w:szCs w:val="24"/>
                <w:highlight w:val="none"/>
              </w:rPr>
              <w:t>对照《产业结构调整指导目录（2024年本》，本项目属于其中鼓励类</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一、农林牧渔业</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中</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17．可再生资源综合利用：农作物秸秆综合利用（秸秆收储运体系建设、秸秆肥料化利用、秸秆饲料化利用、秸秆能源化利用、秸秆基料化利用、秸秆原料化利用等），农村可再生资源综合利用开发工程（沼气工程、生物天然气工程、再生资源综合利用、沼气发电、生物质能清洁供热、秸秆气化清洁能源利用工程、废弃菌棒利用、太阳能利用）</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同时，</w:t>
            </w:r>
            <w:r>
              <w:rPr>
                <w:rFonts w:hint="eastAsia" w:ascii="宋体" w:hAnsi="宋体" w:cs="宋体"/>
                <w:color w:val="auto"/>
                <w:sz w:val="24"/>
                <w:szCs w:val="24"/>
                <w:highlight w:val="none"/>
                <w:lang w:eastAsia="zh-CN"/>
              </w:rPr>
              <w:t>本</w:t>
            </w:r>
            <w:r>
              <w:rPr>
                <w:rFonts w:hint="eastAsia" w:ascii="宋体" w:hAnsi="宋体" w:cs="宋体"/>
                <w:color w:val="auto"/>
                <w:sz w:val="24"/>
                <w:szCs w:val="24"/>
                <w:highlight w:val="none"/>
              </w:rPr>
              <w:t>项目选用的设施设备</w:t>
            </w:r>
            <w:r>
              <w:rPr>
                <w:rFonts w:hint="eastAsia" w:ascii="宋体" w:hAnsi="宋体" w:eastAsia="宋体" w:cs="宋体"/>
                <w:color w:val="auto"/>
                <w:sz w:val="24"/>
                <w:szCs w:val="24"/>
                <w:highlight w:val="none"/>
              </w:rPr>
              <w:t>不在限制类和淘汰类之列。</w:t>
            </w:r>
          </w:p>
          <w:p w14:paraId="5CB506A7">
            <w:pPr>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根据《安徽省</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两高</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项目管理目录（试行）》可知，本项目不属于</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两高</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项目。</w:t>
            </w:r>
          </w:p>
          <w:p w14:paraId="72DF6024">
            <w:pPr>
              <w:adjustRightInd w:val="0"/>
              <w:snapToGrid w:val="0"/>
              <w:spacing w:line="360" w:lineRule="auto"/>
              <w:ind w:firstLine="480" w:firstLineChars="200"/>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本项目已于202</w:t>
            </w: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rPr>
              <w:t>年</w:t>
            </w:r>
            <w:r>
              <w:rPr>
                <w:rFonts w:hint="eastAsia" w:ascii="宋体" w:hAnsi="宋体" w:cs="宋体"/>
                <w:color w:val="auto"/>
                <w:sz w:val="24"/>
                <w:szCs w:val="24"/>
                <w:highlight w:val="none"/>
                <w:lang w:val="en-US" w:eastAsia="zh-CN"/>
              </w:rPr>
              <w:t>1</w:t>
            </w:r>
            <w:r>
              <w:rPr>
                <w:rFonts w:hint="eastAsia" w:ascii="宋体" w:hAnsi="宋体" w:cs="宋体"/>
                <w:color w:val="auto"/>
                <w:sz w:val="24"/>
                <w:szCs w:val="24"/>
                <w:highlight w:val="none"/>
              </w:rPr>
              <w:t>月</w:t>
            </w:r>
            <w:r>
              <w:rPr>
                <w:rFonts w:hint="eastAsia" w:ascii="宋体" w:hAnsi="宋体" w:cs="宋体"/>
                <w:color w:val="auto"/>
                <w:sz w:val="24"/>
                <w:szCs w:val="24"/>
                <w:highlight w:val="none"/>
                <w:lang w:val="en-US" w:eastAsia="zh-CN"/>
              </w:rPr>
              <w:t>7</w:t>
            </w:r>
            <w:r>
              <w:rPr>
                <w:rFonts w:hint="eastAsia" w:ascii="宋体" w:hAnsi="宋体" w:cs="宋体"/>
                <w:color w:val="auto"/>
                <w:sz w:val="24"/>
                <w:szCs w:val="24"/>
                <w:highlight w:val="none"/>
              </w:rPr>
              <w:t>日取得了安徽淮北烈山经济开发区管委会备案表，项目代码：2514-340604-04-01-407973。</w:t>
            </w:r>
          </w:p>
          <w:p w14:paraId="19E14F31">
            <w:pPr>
              <w:adjustRightInd w:val="0"/>
              <w:snapToGrid w:val="0"/>
              <w:spacing w:line="360" w:lineRule="auto"/>
              <w:ind w:firstLine="480" w:firstLineChars="200"/>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因此</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本项目建设符合国家和地方产业政策要求。</w:t>
            </w:r>
          </w:p>
          <w:p w14:paraId="1C588B96">
            <w:pPr>
              <w:numPr>
                <w:ilvl w:val="0"/>
                <w:numId w:val="0"/>
              </w:numPr>
              <w:adjustRightInd w:val="0"/>
              <w:snapToGrid w:val="0"/>
              <w:spacing w:line="360" w:lineRule="auto"/>
              <w:ind w:firstLine="482" w:firstLineChars="200"/>
              <w:jc w:val="both"/>
              <w:rPr>
                <w:rFonts w:hint="eastAsia" w:ascii="宋体" w:hAnsi="宋体" w:cs="宋体"/>
                <w:color w:val="auto"/>
                <w:sz w:val="24"/>
                <w:szCs w:val="24"/>
                <w:highlight w:val="none"/>
                <w:lang w:val="en-US" w:eastAsia="zh-CN"/>
              </w:rPr>
            </w:pPr>
            <w:r>
              <w:rPr>
                <w:rFonts w:hint="eastAsia" w:ascii="Times New Roman" w:hAnsi="Times New Roman" w:eastAsia="宋体" w:cs="Times New Roman"/>
                <w:b/>
                <w:bCs/>
                <w:color w:val="auto"/>
                <w:kern w:val="0"/>
                <w:sz w:val="24"/>
                <w:szCs w:val="24"/>
                <w:highlight w:val="none"/>
                <w:lang w:val="en-US" w:eastAsia="zh-CN" w:bidi="ar-SA"/>
              </w:rPr>
              <w:t>2、项目选址符合性分析</w:t>
            </w:r>
          </w:p>
          <w:p w14:paraId="150324DC">
            <w:pPr>
              <w:numPr>
                <w:ilvl w:val="0"/>
                <w:numId w:val="3"/>
              </w:numPr>
              <w:adjustRightInd w:val="0"/>
              <w:snapToGrid w:val="0"/>
              <w:spacing w:line="360" w:lineRule="auto"/>
              <w:ind w:firstLine="480" w:firstLineChars="200"/>
              <w:jc w:val="left"/>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用地符合性</w:t>
            </w:r>
          </w:p>
          <w:p w14:paraId="67424DFC">
            <w:pPr>
              <w:adjustRightInd w:val="0"/>
              <w:snapToGrid w:val="0"/>
              <w:spacing w:line="360" w:lineRule="auto"/>
              <w:ind w:firstLine="480" w:firstLineChars="200"/>
              <w:jc w:val="left"/>
              <w:rPr>
                <w:rFonts w:hint="eastAsia" w:ascii="宋体"/>
                <w:color w:val="auto"/>
                <w:sz w:val="24"/>
                <w:szCs w:val="24"/>
                <w:highlight w:val="none"/>
              </w:rPr>
            </w:pPr>
            <w:r>
              <w:rPr>
                <w:rFonts w:hint="eastAsia" w:ascii="宋体"/>
                <w:color w:val="auto"/>
                <w:sz w:val="24"/>
                <w:szCs w:val="24"/>
                <w:highlight w:val="none"/>
              </w:rPr>
              <w:t>本项目位于淮北市烈山区古饶镇烈山经济开发区南塘路与邱家沟交叉口东北角1号，对照《淮北经济开发区扩区总体规划》</w:t>
            </w:r>
            <w:r>
              <w:rPr>
                <w:rFonts w:hint="eastAsia" w:ascii="宋体"/>
                <w:color w:val="auto"/>
                <w:sz w:val="24"/>
                <w:szCs w:val="24"/>
                <w:highlight w:val="none"/>
                <w:lang w:eastAsia="zh-CN"/>
              </w:rPr>
              <w:t>“</w:t>
            </w:r>
            <w:r>
              <w:rPr>
                <w:rFonts w:hint="eastAsia" w:ascii="宋体"/>
                <w:color w:val="auto"/>
                <w:sz w:val="24"/>
                <w:szCs w:val="24"/>
                <w:highlight w:val="none"/>
              </w:rPr>
              <w:t>土地利用规划图</w:t>
            </w:r>
            <w:r>
              <w:rPr>
                <w:rFonts w:hint="eastAsia" w:ascii="宋体"/>
                <w:color w:val="auto"/>
                <w:sz w:val="24"/>
                <w:szCs w:val="24"/>
                <w:highlight w:val="none"/>
                <w:lang w:eastAsia="zh-CN"/>
              </w:rPr>
              <w:t>”及安徽淮北高新技术产业开发区土地利用规划图</w:t>
            </w:r>
            <w:r>
              <w:rPr>
                <w:rFonts w:hint="eastAsia" w:ascii="宋体"/>
                <w:color w:val="auto"/>
                <w:sz w:val="24"/>
                <w:szCs w:val="24"/>
                <w:highlight w:val="none"/>
              </w:rPr>
              <w:t>，本项目所在地为工业用地，因此本项目的建设符合用地规划。厂区布局合理，交通方便，水电等供应可靠，因此项目选址合理。</w:t>
            </w:r>
          </w:p>
          <w:p w14:paraId="78517E82">
            <w:pPr>
              <w:adjustRightInd w:val="0"/>
              <w:snapToGrid w:val="0"/>
              <w:spacing w:line="360" w:lineRule="auto"/>
              <w:ind w:firstLine="480" w:firstLineChars="200"/>
              <w:jc w:val="left"/>
              <w:rPr>
                <w:rFonts w:hint="eastAsia" w:ascii="宋体"/>
                <w:color w:val="auto"/>
                <w:sz w:val="24"/>
                <w:szCs w:val="24"/>
                <w:highlight w:val="none"/>
              </w:rPr>
            </w:pPr>
            <w:r>
              <w:rPr>
                <w:rFonts w:hint="eastAsia" w:ascii="宋体"/>
                <w:color w:val="auto"/>
                <w:sz w:val="24"/>
                <w:szCs w:val="24"/>
                <w:highlight w:val="none"/>
              </w:rPr>
              <w:t>（2）环境承载能力</w:t>
            </w:r>
          </w:p>
          <w:p w14:paraId="4AEA54F5">
            <w:pPr>
              <w:adjustRightInd w:val="0"/>
              <w:snapToGrid w:val="0"/>
              <w:spacing w:line="360" w:lineRule="auto"/>
              <w:ind w:firstLine="480" w:firstLineChars="200"/>
              <w:jc w:val="left"/>
              <w:rPr>
                <w:rFonts w:hint="eastAsia" w:ascii="宋体"/>
                <w:color w:val="auto"/>
                <w:sz w:val="24"/>
                <w:szCs w:val="24"/>
                <w:highlight w:val="none"/>
              </w:rPr>
            </w:pPr>
            <w:r>
              <w:rPr>
                <w:rFonts w:hint="eastAsia" w:ascii="宋体"/>
                <w:color w:val="auto"/>
                <w:sz w:val="24"/>
                <w:szCs w:val="24"/>
                <w:highlight w:val="none"/>
              </w:rPr>
              <w:t>本项目周边500m范围内无自然保护区、风景旅游景点和文物古迹等需要特殊保护的环境敏感对象；项目所在地交通方便，水电供应可靠；本项目在做好废气治理和废水处理措施的前提下，对环境质量的影响较小，建成后不会造成环境质量下降。因此，项目在环境承载能力内。</w:t>
            </w:r>
          </w:p>
          <w:p w14:paraId="4DBB23CE">
            <w:pPr>
              <w:adjustRightInd w:val="0"/>
              <w:snapToGrid w:val="0"/>
              <w:spacing w:line="360" w:lineRule="auto"/>
              <w:ind w:firstLine="480" w:firstLineChars="200"/>
              <w:jc w:val="left"/>
              <w:rPr>
                <w:rFonts w:hint="eastAsia" w:ascii="宋体"/>
                <w:color w:val="auto"/>
                <w:sz w:val="24"/>
                <w:szCs w:val="24"/>
                <w:highlight w:val="none"/>
              </w:rPr>
            </w:pPr>
            <w:r>
              <w:rPr>
                <w:rFonts w:hint="eastAsia" w:ascii="宋体"/>
                <w:color w:val="auto"/>
                <w:sz w:val="24"/>
                <w:szCs w:val="24"/>
                <w:highlight w:val="none"/>
              </w:rPr>
              <w:t>（3）选址环境相容性</w:t>
            </w:r>
          </w:p>
          <w:p w14:paraId="1DCFD966">
            <w:pPr>
              <w:adjustRightInd w:val="0"/>
              <w:snapToGrid w:val="0"/>
              <w:spacing w:line="360" w:lineRule="auto"/>
              <w:ind w:firstLine="480" w:firstLineChars="200"/>
              <w:jc w:val="left"/>
              <w:rPr>
                <w:rFonts w:ascii="宋体"/>
                <w:color w:val="auto"/>
                <w:sz w:val="24"/>
                <w:szCs w:val="24"/>
                <w:highlight w:val="none"/>
              </w:rPr>
            </w:pPr>
            <w:r>
              <w:rPr>
                <w:rFonts w:hint="eastAsia" w:ascii="宋体"/>
                <w:color w:val="auto"/>
                <w:sz w:val="24"/>
                <w:szCs w:val="24"/>
                <w:highlight w:val="none"/>
              </w:rPr>
              <w:t>本项目</w:t>
            </w:r>
            <w:r>
              <w:rPr>
                <w:rFonts w:hint="eastAsia" w:ascii="宋体"/>
                <w:color w:val="auto"/>
                <w:sz w:val="24"/>
                <w:szCs w:val="24"/>
                <w:highlight w:val="none"/>
                <w:lang w:eastAsia="zh-CN"/>
              </w:rPr>
              <w:t>为新建</w:t>
            </w:r>
            <w:r>
              <w:rPr>
                <w:rFonts w:hint="eastAsia" w:ascii="宋体"/>
                <w:color w:val="auto"/>
                <w:sz w:val="24"/>
                <w:szCs w:val="24"/>
                <w:highlight w:val="none"/>
              </w:rPr>
              <w:t>，项目厂区东侧为</w:t>
            </w:r>
            <w:r>
              <w:rPr>
                <w:rFonts w:hint="eastAsia" w:ascii="宋体"/>
                <w:color w:val="auto"/>
                <w:sz w:val="24"/>
                <w:szCs w:val="24"/>
                <w:highlight w:val="none"/>
                <w:lang w:eastAsia="zh-CN"/>
              </w:rPr>
              <w:t>淮北金辉绿建科技有限公司</w:t>
            </w:r>
            <w:r>
              <w:rPr>
                <w:rFonts w:hint="eastAsia" w:ascii="宋体"/>
                <w:color w:val="auto"/>
                <w:sz w:val="24"/>
                <w:szCs w:val="24"/>
                <w:highlight w:val="none"/>
              </w:rPr>
              <w:t>、西侧为</w:t>
            </w:r>
            <w:r>
              <w:rPr>
                <w:rFonts w:hint="eastAsia" w:ascii="宋体"/>
                <w:color w:val="auto"/>
                <w:sz w:val="24"/>
                <w:szCs w:val="24"/>
                <w:highlight w:val="none"/>
                <w:lang w:eastAsia="zh-CN"/>
              </w:rPr>
              <w:t>空地</w:t>
            </w:r>
            <w:r>
              <w:rPr>
                <w:rFonts w:hint="eastAsia"/>
                <w:color w:val="auto"/>
                <w:highlight w:val="none"/>
                <w:lang w:eastAsia="zh-CN"/>
              </w:rPr>
              <w:t>、烈山创业园</w:t>
            </w:r>
            <w:r>
              <w:rPr>
                <w:rFonts w:hint="eastAsia" w:ascii="宋体"/>
                <w:color w:val="auto"/>
                <w:sz w:val="24"/>
                <w:szCs w:val="24"/>
                <w:highlight w:val="none"/>
              </w:rPr>
              <w:t>，北侧为</w:t>
            </w:r>
            <w:r>
              <w:rPr>
                <w:rFonts w:hint="eastAsia" w:ascii="宋体"/>
                <w:color w:val="auto"/>
                <w:sz w:val="24"/>
                <w:szCs w:val="24"/>
                <w:highlight w:val="none"/>
                <w:lang w:eastAsia="zh-CN"/>
              </w:rPr>
              <w:t>安徽麦丞新型材料科技有限公司</w:t>
            </w:r>
            <w:r>
              <w:rPr>
                <w:rFonts w:hint="eastAsia" w:ascii="宋体"/>
                <w:color w:val="auto"/>
                <w:sz w:val="24"/>
                <w:szCs w:val="24"/>
                <w:highlight w:val="none"/>
              </w:rPr>
              <w:t>，南侧为</w:t>
            </w:r>
            <w:r>
              <w:rPr>
                <w:rFonts w:hint="eastAsia" w:ascii="宋体"/>
                <w:color w:val="auto"/>
                <w:sz w:val="24"/>
                <w:szCs w:val="24"/>
                <w:highlight w:val="none"/>
                <w:lang w:eastAsia="zh-CN"/>
              </w:rPr>
              <w:t>道路</w:t>
            </w:r>
            <w:r>
              <w:rPr>
                <w:rFonts w:hint="eastAsia" w:ascii="宋体"/>
                <w:color w:val="auto"/>
                <w:sz w:val="24"/>
                <w:szCs w:val="24"/>
                <w:highlight w:val="none"/>
              </w:rPr>
              <w:t>。本项目周边 500m范围内无自然保护区、风景旅游景点和文物古迹等需要特殊保护的环境敏感对象；项目所在地交通方便，水电供应可靠；本项目各项污染物在各项处理措施建设实施后，能够达标排放。因此，项目与周边环境相容。</w:t>
            </w:r>
          </w:p>
          <w:p w14:paraId="0E1D7A8B">
            <w:pPr>
              <w:adjustRightInd w:val="0"/>
              <w:snapToGrid w:val="0"/>
              <w:spacing w:line="360" w:lineRule="auto"/>
              <w:ind w:firstLine="482" w:firstLineChars="200"/>
              <w:jc w:val="left"/>
              <w:rPr>
                <w:rFonts w:ascii="宋体"/>
                <w:b/>
                <w:bCs/>
                <w:color w:val="auto"/>
                <w:sz w:val="24"/>
                <w:szCs w:val="24"/>
                <w:highlight w:val="none"/>
              </w:rPr>
            </w:pPr>
            <w:r>
              <w:rPr>
                <w:rFonts w:ascii="宋体" w:hAnsi="宋体" w:cs="宋体"/>
                <w:b/>
                <w:bCs/>
                <w:color w:val="auto"/>
                <w:sz w:val="24"/>
                <w:szCs w:val="24"/>
                <w:highlight w:val="none"/>
              </w:rPr>
              <w:t>3</w:t>
            </w:r>
            <w:r>
              <w:rPr>
                <w:rFonts w:hint="eastAsia" w:ascii="宋体" w:hAnsi="宋体" w:cs="宋体"/>
                <w:b/>
                <w:bCs/>
                <w:color w:val="auto"/>
                <w:sz w:val="24"/>
                <w:szCs w:val="24"/>
                <w:highlight w:val="none"/>
              </w:rPr>
              <w:t>、</w:t>
            </w:r>
            <w:r>
              <w:rPr>
                <w:rFonts w:hint="eastAsia" w:ascii="宋体" w:hAnsi="宋体" w:cs="宋体"/>
                <w:b/>
                <w:bCs/>
                <w:color w:val="auto"/>
                <w:sz w:val="24"/>
                <w:szCs w:val="24"/>
                <w:highlight w:val="none"/>
                <w:lang w:eastAsia="zh-CN"/>
              </w:rPr>
              <w:t>“</w:t>
            </w:r>
            <w:r>
              <w:rPr>
                <w:rFonts w:hint="eastAsia" w:ascii="宋体" w:hAnsi="宋体" w:cs="宋体"/>
                <w:b/>
                <w:bCs/>
                <w:color w:val="auto"/>
                <w:sz w:val="24"/>
                <w:szCs w:val="24"/>
                <w:highlight w:val="none"/>
              </w:rPr>
              <w:t>三线一单</w:t>
            </w:r>
            <w:r>
              <w:rPr>
                <w:rFonts w:hint="eastAsia" w:ascii="宋体" w:hAnsi="宋体" w:cs="宋体"/>
                <w:b/>
                <w:bCs/>
                <w:color w:val="auto"/>
                <w:sz w:val="24"/>
                <w:szCs w:val="24"/>
                <w:highlight w:val="none"/>
                <w:lang w:eastAsia="zh-CN"/>
              </w:rPr>
              <w:t>”</w:t>
            </w:r>
            <w:r>
              <w:rPr>
                <w:rFonts w:hint="eastAsia" w:ascii="宋体" w:hAnsi="宋体" w:cs="宋体"/>
                <w:b/>
                <w:bCs/>
                <w:color w:val="auto"/>
                <w:sz w:val="24"/>
                <w:szCs w:val="24"/>
                <w:highlight w:val="none"/>
              </w:rPr>
              <w:t>相符性分析</w:t>
            </w:r>
          </w:p>
          <w:p w14:paraId="501D51FB">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根据安徽省生态环境厅发布的《安徽省</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三线一单</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生态环境分区管控管理办法（暂行）》（皖环发[2022]5号）（以下简称《办法》）</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《办法》要求</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在建设项目环评中</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做好与</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三线一单</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生态环境分区管控相符性分析</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充分论证是否符合生态环境准入清单要求</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。本项目与《安徽省</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三线一单</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生态环境分区管控管理办法（暂行）》符合性如下：</w:t>
            </w:r>
          </w:p>
          <w:p w14:paraId="7EF893E4">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环境质量底线及环境分区管控</w:t>
            </w:r>
          </w:p>
          <w:p w14:paraId="500E59E7">
            <w:pPr>
              <w:pStyle w:val="8"/>
              <w:spacing w:line="360" w:lineRule="auto"/>
              <w:rPr>
                <w:color w:val="auto"/>
                <w:highlight w:val="none"/>
              </w:rPr>
            </w:pPr>
            <w:r>
              <w:rPr>
                <w:rFonts w:hint="eastAsia"/>
                <w:color w:val="auto"/>
                <w:highlight w:val="none"/>
                <w:lang w:val="en-US" w:eastAsia="zh-CN"/>
              </w:rPr>
              <w:t xml:space="preserve">    </w:t>
            </w:r>
            <w:r>
              <w:rPr>
                <w:rFonts w:hint="default" w:ascii="Times New Roman" w:hAnsi="Times New Roman" w:eastAsia="宋体" w:cs="Times New Roman"/>
                <w:color w:val="auto"/>
                <w:sz w:val="24"/>
                <w:szCs w:val="24"/>
                <w:highlight w:val="none"/>
                <w:lang w:val="en-US" w:eastAsia="zh-CN"/>
              </w:rPr>
              <w:t>①</w:t>
            </w:r>
            <w:r>
              <w:rPr>
                <w:rFonts w:hint="default" w:ascii="Times New Roman" w:hAnsi="Times New Roman" w:eastAsia="宋体" w:cs="Times New Roman"/>
                <w:color w:val="auto"/>
                <w:kern w:val="0"/>
                <w:sz w:val="24"/>
                <w:szCs w:val="24"/>
                <w:highlight w:val="none"/>
              </w:rPr>
              <w:t>环境质量底线</w:t>
            </w:r>
          </w:p>
          <w:p w14:paraId="58C410AE">
            <w:pPr>
              <w:pageBreakBefore w:val="0"/>
              <w:kinsoku/>
              <w:wordWrap/>
              <w:topLinePunct w:val="0"/>
              <w:bidi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根据《</w:t>
            </w:r>
            <w:r>
              <w:rPr>
                <w:rFonts w:hint="default" w:ascii="Times New Roman" w:hAnsi="Times New Roman" w:eastAsia="宋体" w:cs="Times New Roman"/>
                <w:color w:val="auto"/>
                <w:sz w:val="24"/>
                <w:szCs w:val="24"/>
                <w:highlight w:val="none"/>
                <w:lang w:eastAsia="zh-CN"/>
              </w:rPr>
              <w:t>2023</w:t>
            </w:r>
            <w:r>
              <w:rPr>
                <w:rFonts w:hint="default" w:ascii="Times New Roman" w:hAnsi="Times New Roman" w:eastAsia="宋体" w:cs="Times New Roman"/>
                <w:color w:val="auto"/>
                <w:sz w:val="24"/>
                <w:szCs w:val="24"/>
                <w:highlight w:val="none"/>
              </w:rPr>
              <w:t>年度淮北市生态环境状况公报》</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超过《环境空气质量标准》（GB3095-2012）中二级标准限值的污染物为PM</w:t>
            </w:r>
            <w:r>
              <w:rPr>
                <w:rFonts w:hint="default" w:ascii="Times New Roman" w:hAnsi="Times New Roman" w:eastAsia="宋体" w:cs="Times New Roman"/>
                <w:color w:val="auto"/>
                <w:sz w:val="24"/>
                <w:szCs w:val="24"/>
                <w:highlight w:val="none"/>
                <w:vertAlign w:val="subscript"/>
              </w:rPr>
              <w:t>2.5</w:t>
            </w:r>
            <w:r>
              <w:rPr>
                <w:rFonts w:hint="default" w:ascii="Times New Roman" w:hAnsi="Times New Roman" w:eastAsia="宋体" w:cs="Times New Roman"/>
                <w:color w:val="auto"/>
                <w:sz w:val="24"/>
                <w:szCs w:val="24"/>
                <w:highlight w:val="none"/>
              </w:rPr>
              <w:t>和臭氧</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判定淮北市为环境空气质量不达标区。</w:t>
            </w:r>
            <w:r>
              <w:rPr>
                <w:rFonts w:hint="default" w:ascii="Times New Roman" w:hAnsi="Times New Roman" w:eastAsia="宋体"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rPr>
              <w:t>项目在采取环评提出的相关防治措施后</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排放的各项污染物不会对区域环境造成较大影响。本项目建设符合环境质量底线要求</w:t>
            </w:r>
          </w:p>
          <w:p w14:paraId="62D0A447">
            <w:pPr>
              <w:pageBreakBefore w:val="0"/>
              <w:kinsoku/>
              <w:wordWrap/>
              <w:topLinePunct w:val="0"/>
              <w:bidi w:val="0"/>
              <w:spacing w:line="360" w:lineRule="auto"/>
              <w:ind w:firstLine="480" w:firstLineChars="200"/>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4"/>
                <w:szCs w:val="24"/>
                <w:highlight w:val="none"/>
                <w:lang w:val="en-US" w:eastAsia="zh-CN"/>
              </w:rPr>
              <w:t>②</w:t>
            </w:r>
            <w:r>
              <w:rPr>
                <w:rFonts w:hint="default" w:ascii="Times New Roman" w:hAnsi="Times New Roman" w:eastAsia="宋体" w:cs="Times New Roman"/>
                <w:color w:val="auto"/>
                <w:kern w:val="0"/>
                <w:sz w:val="24"/>
                <w:szCs w:val="24"/>
                <w:highlight w:val="none"/>
              </w:rPr>
              <w:t>大气环境分区管控</w:t>
            </w:r>
          </w:p>
          <w:p w14:paraId="426B744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对照淮北市大气环境分区管控图</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本项目位于</w:t>
            </w:r>
            <w:r>
              <w:rPr>
                <w:rFonts w:hint="default" w:ascii="Times New Roman" w:hAnsi="Times New Roman" w:eastAsia="宋体" w:cs="Times New Roman"/>
                <w:color w:val="auto"/>
                <w:sz w:val="24"/>
                <w:szCs w:val="24"/>
                <w:highlight w:val="none"/>
                <w:lang w:val="en-US" w:eastAsia="zh-CN"/>
              </w:rPr>
              <w:t>一般</w:t>
            </w:r>
            <w:r>
              <w:rPr>
                <w:rFonts w:hint="default" w:ascii="Times New Roman" w:hAnsi="Times New Roman" w:eastAsia="宋体" w:cs="Times New Roman"/>
                <w:b w:val="0"/>
                <w:bCs w:val="0"/>
                <w:color w:val="auto"/>
                <w:sz w:val="24"/>
                <w:szCs w:val="24"/>
                <w:highlight w:val="none"/>
              </w:rPr>
              <w:t>管控区</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本项目废气排放满足《大气污染物综合排放标准》（GB16297-1996）</w:t>
            </w:r>
            <w:r>
              <w:rPr>
                <w:rFonts w:hint="eastAsia" w:ascii="Times New Roman" w:hAnsi="Times New Roman" w:eastAsia="宋体" w:cs="Times New Roman"/>
                <w:bCs/>
                <w:color w:val="auto"/>
                <w:kern w:val="0"/>
                <w:sz w:val="24"/>
                <w:szCs w:val="24"/>
                <w:highlight w:val="none"/>
                <w:lang w:val="en-US" w:eastAsia="zh-CN"/>
              </w:rPr>
              <w:t>，</w:t>
            </w:r>
            <w:r>
              <w:rPr>
                <w:rFonts w:hint="default" w:ascii="Times New Roman" w:hAnsi="Times New Roman" w:eastAsia="宋体" w:cs="Times New Roman"/>
                <w:color w:val="auto"/>
                <w:sz w:val="24"/>
                <w:szCs w:val="24"/>
                <w:highlight w:val="none"/>
                <w:lang w:eastAsia="zh-CN"/>
              </w:rPr>
              <w:t>对周边影响较小</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不会突破区域环境质量底线。</w:t>
            </w:r>
          </w:p>
          <w:p w14:paraId="39AF7FB6">
            <w:pPr>
              <w:pageBreakBefore w:val="0"/>
              <w:kinsoku/>
              <w:wordWrap/>
              <w:topLinePunct w:val="0"/>
              <w:bidi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eastAsia" w:ascii="宋体" w:hAnsi="宋体" w:eastAsia="宋体" w:cs="宋体"/>
                <w:color w:val="auto"/>
                <w:sz w:val="24"/>
                <w:szCs w:val="24"/>
                <w:highlight w:val="none"/>
                <w:lang w:val="en-US" w:eastAsia="zh-CN"/>
              </w:rPr>
              <w:t>③</w:t>
            </w:r>
            <w:r>
              <w:rPr>
                <w:rFonts w:hint="default" w:ascii="Times New Roman" w:hAnsi="Times New Roman" w:eastAsia="宋体" w:cs="Times New Roman"/>
                <w:color w:val="auto"/>
                <w:sz w:val="24"/>
                <w:szCs w:val="24"/>
                <w:highlight w:val="none"/>
              </w:rPr>
              <w:t>水环境分区管控</w:t>
            </w:r>
          </w:p>
          <w:p w14:paraId="1A4A3F63">
            <w:pPr>
              <w:pageBreakBefore w:val="0"/>
              <w:kinsoku/>
              <w:wordWrap/>
              <w:topLinePunct w:val="0"/>
              <w:bidi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对照淮北市水环境分区管控图</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本项目位于</w:t>
            </w:r>
            <w:r>
              <w:rPr>
                <w:rFonts w:hint="default" w:ascii="Times New Roman" w:hAnsi="Times New Roman" w:eastAsia="宋体" w:cs="Times New Roman"/>
                <w:color w:val="auto"/>
                <w:sz w:val="24"/>
                <w:szCs w:val="24"/>
                <w:highlight w:val="none"/>
                <w:lang w:val="en-US" w:eastAsia="zh-CN"/>
              </w:rPr>
              <w:t>一般管控区</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生活污水经</w:t>
            </w:r>
            <w:r>
              <w:rPr>
                <w:rFonts w:hint="eastAsia"/>
                <w:bCs/>
                <w:color w:val="auto"/>
                <w:sz w:val="24"/>
                <w:highlight w:val="none"/>
              </w:rPr>
              <w:t>安徽</w:t>
            </w:r>
            <w:r>
              <w:rPr>
                <w:rFonts w:hint="eastAsia"/>
                <w:bCs/>
                <w:color w:val="auto"/>
                <w:sz w:val="24"/>
                <w:highlight w:val="none"/>
                <w:lang w:eastAsia="zh-CN"/>
              </w:rPr>
              <w:t>麦丞新型材料科技</w:t>
            </w:r>
            <w:r>
              <w:rPr>
                <w:rFonts w:hint="eastAsia"/>
                <w:bCs/>
                <w:color w:val="auto"/>
                <w:sz w:val="24"/>
                <w:highlight w:val="none"/>
              </w:rPr>
              <w:t>有限公司</w:t>
            </w:r>
            <w:r>
              <w:rPr>
                <w:rFonts w:hint="eastAsia"/>
                <w:bCs/>
                <w:color w:val="auto"/>
                <w:sz w:val="24"/>
                <w:highlight w:val="none"/>
                <w:lang w:eastAsia="zh-CN"/>
              </w:rPr>
              <w:t>现有</w:t>
            </w:r>
            <w:r>
              <w:rPr>
                <w:rFonts w:hint="default" w:ascii="Times New Roman" w:hAnsi="Times New Roman" w:cs="Times New Roman"/>
                <w:color w:val="auto"/>
                <w:sz w:val="24"/>
                <w:szCs w:val="24"/>
                <w:highlight w:val="none"/>
                <w:lang w:val="en-US" w:eastAsia="zh-CN"/>
              </w:rPr>
              <w:t>化粪池</w:t>
            </w:r>
            <w:r>
              <w:rPr>
                <w:rFonts w:hint="eastAsia" w:ascii="Times New Roman" w:hAnsi="Times New Roman" w:cs="Times New Roman"/>
                <w:color w:val="auto"/>
                <w:sz w:val="24"/>
                <w:szCs w:val="24"/>
                <w:highlight w:val="none"/>
                <w:lang w:val="en-US" w:eastAsia="zh-CN"/>
              </w:rPr>
              <w:t>进行</w:t>
            </w:r>
            <w:r>
              <w:rPr>
                <w:rFonts w:hint="default" w:ascii="Times New Roman" w:hAnsi="Times New Roman" w:cs="Times New Roman"/>
                <w:color w:val="auto"/>
                <w:sz w:val="24"/>
                <w:szCs w:val="24"/>
                <w:highlight w:val="none"/>
                <w:lang w:val="en-US" w:eastAsia="zh-CN"/>
              </w:rPr>
              <w:t>处理后</w:t>
            </w:r>
            <w:r>
              <w:rPr>
                <w:rFonts w:hint="eastAsia" w:ascii="Times New Roman" w:hAnsi="Times New Roman" w:cs="Times New Roman"/>
                <w:color w:val="auto"/>
                <w:sz w:val="24"/>
                <w:szCs w:val="24"/>
                <w:highlight w:val="none"/>
                <w:lang w:val="en-US" w:eastAsia="zh-CN"/>
              </w:rPr>
              <w:t>，处理后由市政污水管网进入淮北蓝海水处理有限公司深度处理，</w:t>
            </w:r>
            <w:r>
              <w:rPr>
                <w:rFonts w:hint="eastAsia" w:cs="Times New Roman"/>
                <w:color w:val="auto"/>
                <w:sz w:val="24"/>
                <w:szCs w:val="24"/>
                <w:highlight w:val="none"/>
                <w:lang w:val="en-US" w:eastAsia="zh-CN"/>
              </w:rPr>
              <w:t>处理达标后部分作为平山电厂冷却循环水，剩余部分排入濉河</w:t>
            </w:r>
            <w:r>
              <w:rPr>
                <w:rFonts w:hint="default" w:ascii="Times New Roman" w:hAnsi="Times New Roman" w:eastAsia="宋体" w:cs="Times New Roman"/>
                <w:color w:val="auto"/>
                <w:sz w:val="24"/>
                <w:szCs w:val="24"/>
                <w:highlight w:val="none"/>
                <w:lang w:val="en-US" w:eastAsia="zh-CN"/>
              </w:rPr>
              <w:t>。</w:t>
            </w:r>
          </w:p>
          <w:p w14:paraId="22A92C3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③</w:t>
            </w:r>
            <w:r>
              <w:rPr>
                <w:rFonts w:hint="default" w:ascii="Times New Roman" w:hAnsi="Times New Roman" w:eastAsia="宋体" w:cs="Times New Roman"/>
                <w:color w:val="auto"/>
                <w:sz w:val="24"/>
                <w:szCs w:val="24"/>
                <w:highlight w:val="none"/>
              </w:rPr>
              <w:t>土壤环境风险防控底线及分区管控</w:t>
            </w:r>
          </w:p>
          <w:p w14:paraId="7FE3E34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根据</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淮北市生态环境分区管控成果动态更新情况说明</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要求</w:t>
            </w:r>
            <w:r>
              <w:rPr>
                <w:rFonts w:hint="default" w:ascii="Times New Roman" w:hAnsi="Times New Roman" w:eastAsia="宋体" w:cs="Times New Roman"/>
                <w:color w:val="auto"/>
                <w:sz w:val="24"/>
                <w:szCs w:val="24"/>
                <w:highlight w:val="none"/>
              </w:rPr>
              <w:t>到2025年</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淮北市土壤环境质量总体保持稳定</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局部稳中向好</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受污染地块安全利用水平得到巩固</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受污染耕地安全利用率93%。到2035年</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淮北市土壤环境质量持续向好</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农用地和建设用地土壤环境安全得到有效保障</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土壤环境风险得到全面管控</w:t>
            </w:r>
            <w:r>
              <w:rPr>
                <w:rFonts w:hint="default" w:ascii="Times New Roman" w:hAnsi="Times New Roman" w:eastAsia="宋体" w:cs="Times New Roman"/>
                <w:color w:val="auto"/>
                <w:sz w:val="24"/>
                <w:szCs w:val="24"/>
                <w:highlight w:val="none"/>
                <w:lang w:eastAsia="zh-CN"/>
              </w:rPr>
              <w:t>。</w:t>
            </w:r>
          </w:p>
          <w:p w14:paraId="6021FB9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对照淮北市土壤环境风险分区管控图</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本项目位于一般管控区。一般管控区要求：依据《中华人民共和国土壤污染防治法》《土壤污染防治行动计划》《安徽省土壤污染防治工作方案》《安徽省</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十三五</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环境保护规划》等要求及各市土壤污染防治工作方案对一般管控区实施管控。</w:t>
            </w:r>
          </w:p>
          <w:p w14:paraId="495621D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w:t>
            </w:r>
            <w:r>
              <w:rPr>
                <w:rFonts w:hint="eastAsia" w:ascii="Times New Roman" w:hAnsi="Times New Roman" w:cs="Times New Roman"/>
                <w:color w:val="auto"/>
                <w:sz w:val="24"/>
                <w:szCs w:val="24"/>
                <w:highlight w:val="none"/>
                <w:lang w:val="en-US" w:eastAsia="zh-CN"/>
              </w:rPr>
              <w:t>利用现有厂区土地资源进行技术改造，</w:t>
            </w:r>
            <w:r>
              <w:rPr>
                <w:rFonts w:hint="default" w:ascii="Times New Roman" w:hAnsi="Times New Roman" w:eastAsia="宋体" w:cs="Times New Roman"/>
                <w:color w:val="auto"/>
                <w:sz w:val="24"/>
                <w:szCs w:val="24"/>
                <w:highlight w:val="none"/>
              </w:rPr>
              <w:t>不占用永久基本农田；项目对可能产生地下水、土壤影响的各项途径均进行有效预防</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在确保各项防渗措施得以落实</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并加强维护和厂区环境管理的前提下</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可有效控制厂区内的废水污染物下渗现象</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避免污染土壤</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因此本项目不会对区域土壤环境产生明显影响。</w:t>
            </w:r>
          </w:p>
          <w:p w14:paraId="2DE2745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④安徽省环境管控单元管控要求</w:t>
            </w:r>
          </w:p>
          <w:p w14:paraId="11A2440A">
            <w:pPr>
              <w:pStyle w:val="13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right="0" w:righ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本项目地址位于淮北市烈山区古饶镇烈山经济开发区南塘路与邱家沟交叉口东北角1号，根据安徽“三线一单”公众服务平台查询结果（详见附图</w:t>
            </w:r>
            <w:r>
              <w:rPr>
                <w:rFonts w:hint="eastAsia" w:ascii="Times New Roman" w:hAnsi="Times New Roman" w:eastAsia="宋体" w:cs="Times New Roman"/>
                <w:color w:val="auto"/>
                <w:kern w:val="2"/>
                <w:sz w:val="24"/>
                <w:szCs w:val="24"/>
                <w:highlight w:val="none"/>
                <w:lang w:val="en-US" w:eastAsia="zh-CN" w:bidi="ar-SA"/>
              </w:rPr>
              <w:t>12</w:t>
            </w:r>
            <w:r>
              <w:rPr>
                <w:rFonts w:hint="default" w:ascii="Times New Roman" w:hAnsi="Times New Roman" w:eastAsia="宋体" w:cs="Times New Roman"/>
                <w:color w:val="auto"/>
                <w:kern w:val="2"/>
                <w:sz w:val="24"/>
                <w:szCs w:val="24"/>
                <w:highlight w:val="none"/>
                <w:lang w:val="en-US" w:eastAsia="zh-CN" w:bidi="ar-SA"/>
              </w:rPr>
              <w:t>），该区域属于</w:t>
            </w:r>
            <w:r>
              <w:rPr>
                <w:rFonts w:hint="eastAsia" w:ascii="Times New Roman" w:hAnsi="Times New Roman" w:eastAsia="宋体" w:cs="Times New Roman"/>
                <w:color w:val="auto"/>
                <w:kern w:val="2"/>
                <w:sz w:val="24"/>
                <w:szCs w:val="24"/>
                <w:highlight w:val="none"/>
                <w:lang w:val="en-US" w:eastAsia="zh-CN" w:bidi="ar-SA"/>
              </w:rPr>
              <w:t>重点</w:t>
            </w:r>
            <w:r>
              <w:rPr>
                <w:rFonts w:hint="default" w:ascii="Times New Roman" w:hAnsi="Times New Roman" w:eastAsia="宋体" w:cs="Times New Roman"/>
                <w:color w:val="auto"/>
                <w:kern w:val="2"/>
                <w:sz w:val="24"/>
                <w:szCs w:val="24"/>
                <w:highlight w:val="none"/>
                <w:lang w:val="en-US" w:eastAsia="zh-CN" w:bidi="ar-SA"/>
              </w:rPr>
              <w:t>管控单元，环境管控单元编码为</w:t>
            </w:r>
            <w:r>
              <w:rPr>
                <w:rFonts w:hint="eastAsia" w:ascii="Times New Roman" w:hAnsi="Times New Roman" w:eastAsia="宋体" w:cs="Times New Roman"/>
                <w:color w:val="auto"/>
                <w:kern w:val="2"/>
                <w:sz w:val="24"/>
                <w:szCs w:val="24"/>
                <w:highlight w:val="none"/>
                <w:lang w:val="en-US" w:eastAsia="zh-CN" w:bidi="ar-SA"/>
              </w:rPr>
              <w:t>ZH34060420153</w:t>
            </w:r>
            <w:r>
              <w:rPr>
                <w:rFonts w:hint="default" w:ascii="Times New Roman" w:hAnsi="Times New Roman" w:eastAsia="宋体" w:cs="Times New Roman"/>
                <w:color w:val="auto"/>
                <w:kern w:val="2"/>
                <w:sz w:val="24"/>
                <w:szCs w:val="24"/>
                <w:highlight w:val="none"/>
                <w:lang w:val="en-US" w:eastAsia="zh-CN" w:bidi="ar-SA"/>
              </w:rPr>
              <w:t xml:space="preserve"> ，其具体管控分析如下：</w:t>
            </w:r>
          </w:p>
          <w:p w14:paraId="48AA3933">
            <w:pPr>
              <w:pStyle w:val="13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bidi="ar"/>
              </w:rPr>
            </w:pPr>
            <w:r>
              <w:rPr>
                <w:rFonts w:hint="default" w:ascii="Times New Roman" w:hAnsi="Times New Roman" w:eastAsia="宋体" w:cs="Times New Roman"/>
                <w:b w:val="0"/>
                <w:bCs w:val="0"/>
                <w:color w:val="auto"/>
                <w:sz w:val="21"/>
                <w:szCs w:val="21"/>
                <w:highlight w:val="none"/>
                <w:lang w:val="en-US" w:eastAsia="zh-CN" w:bidi="ar"/>
              </w:rPr>
              <w:t>表1-</w:t>
            </w:r>
            <w:r>
              <w:rPr>
                <w:rFonts w:hint="eastAsia" w:ascii="Times New Roman" w:hAnsi="Times New Roman" w:cs="Times New Roman"/>
                <w:b w:val="0"/>
                <w:bCs w:val="0"/>
                <w:color w:val="auto"/>
                <w:sz w:val="21"/>
                <w:szCs w:val="21"/>
                <w:highlight w:val="none"/>
                <w:lang w:val="en-US" w:eastAsia="zh-CN" w:bidi="ar"/>
              </w:rPr>
              <w:t>3</w:t>
            </w:r>
            <w:r>
              <w:rPr>
                <w:rFonts w:hint="default" w:ascii="Times New Roman" w:hAnsi="Times New Roman" w:eastAsia="宋体" w:cs="Times New Roman"/>
                <w:b w:val="0"/>
                <w:bCs w:val="0"/>
                <w:color w:val="auto"/>
                <w:sz w:val="21"/>
                <w:szCs w:val="21"/>
                <w:highlight w:val="none"/>
                <w:lang w:val="en-US" w:eastAsia="zh-CN" w:bidi="ar"/>
              </w:rPr>
              <w:t xml:space="preserve"> 与环境管控单元管控要求相符性分析</w:t>
            </w:r>
          </w:p>
          <w:tbl>
            <w:tblPr>
              <w:tblStyle w:val="138"/>
              <w:tblW w:w="709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0"/>
              <w:gridCol w:w="540"/>
              <w:gridCol w:w="576"/>
              <w:gridCol w:w="430"/>
              <w:gridCol w:w="563"/>
              <w:gridCol w:w="3668"/>
              <w:gridCol w:w="749"/>
            </w:tblGrid>
            <w:tr w14:paraId="2A649F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6" w:hRule="atLeast"/>
                <w:jc w:val="center"/>
              </w:trPr>
              <w:tc>
                <w:tcPr>
                  <w:tcW w:w="401" w:type="pct"/>
                  <w:shd w:val="clear" w:color="auto" w:fill="auto"/>
                  <w:vAlign w:val="center"/>
                </w:tcPr>
                <w:p w14:paraId="59A6800E">
                  <w:pPr>
                    <w:pStyle w:val="13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环境管控单元编码</w:t>
                  </w:r>
                </w:p>
              </w:tc>
              <w:tc>
                <w:tcPr>
                  <w:tcW w:w="380" w:type="pct"/>
                  <w:shd w:val="clear" w:color="auto" w:fill="auto"/>
                  <w:vAlign w:val="center"/>
                </w:tcPr>
                <w:p w14:paraId="23613A31">
                  <w:pPr>
                    <w:pStyle w:val="13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环境管控单元名称</w:t>
                  </w:r>
                </w:p>
              </w:tc>
              <w:tc>
                <w:tcPr>
                  <w:tcW w:w="405" w:type="pct"/>
                  <w:shd w:val="clear" w:color="auto" w:fill="auto"/>
                  <w:vAlign w:val="center"/>
                </w:tcPr>
                <w:p w14:paraId="39FB3ECE">
                  <w:pPr>
                    <w:pStyle w:val="13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环境管控单元分类</w:t>
                  </w:r>
                </w:p>
              </w:tc>
              <w:tc>
                <w:tcPr>
                  <w:tcW w:w="302" w:type="pct"/>
                  <w:shd w:val="clear" w:color="auto" w:fill="auto"/>
                  <w:vAlign w:val="center"/>
                </w:tcPr>
                <w:p w14:paraId="1076FF9E">
                  <w:pPr>
                    <w:pStyle w:val="13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区域管控要求</w:t>
                  </w:r>
                </w:p>
              </w:tc>
              <w:tc>
                <w:tcPr>
                  <w:tcW w:w="396" w:type="pct"/>
                  <w:shd w:val="clear" w:color="auto" w:fill="auto"/>
                  <w:vAlign w:val="center"/>
                </w:tcPr>
                <w:p w14:paraId="56A4DA3F">
                  <w:pPr>
                    <w:pStyle w:val="13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管控类别</w:t>
                  </w:r>
                </w:p>
              </w:tc>
              <w:tc>
                <w:tcPr>
                  <w:tcW w:w="2584" w:type="pct"/>
                  <w:shd w:val="clear" w:color="auto" w:fill="auto"/>
                  <w:vAlign w:val="center"/>
                </w:tcPr>
                <w:p w14:paraId="5DFE9D0E">
                  <w:pPr>
                    <w:pStyle w:val="13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管控要求</w:t>
                  </w:r>
                </w:p>
              </w:tc>
              <w:tc>
                <w:tcPr>
                  <w:tcW w:w="527" w:type="pct"/>
                  <w:shd w:val="clear" w:color="auto" w:fill="auto"/>
                  <w:vAlign w:val="center"/>
                </w:tcPr>
                <w:p w14:paraId="6D827476">
                  <w:pPr>
                    <w:pStyle w:val="13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eastAsia="宋体" w:cs="Times New Roman"/>
                      <w:color w:val="auto"/>
                      <w:spacing w:val="0"/>
                      <w:position w:val="0"/>
                      <w:sz w:val="21"/>
                      <w:szCs w:val="21"/>
                      <w:highlight w:val="none"/>
                      <w:lang w:val="en-US" w:eastAsia="zh-CN"/>
                    </w:rPr>
                    <w:t>符合性</w:t>
                  </w:r>
                </w:p>
              </w:tc>
            </w:tr>
            <w:tr w14:paraId="40D7F0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0" w:hRule="atLeast"/>
                <w:jc w:val="center"/>
              </w:trPr>
              <w:tc>
                <w:tcPr>
                  <w:tcW w:w="401" w:type="pct"/>
                  <w:vMerge w:val="restart"/>
                  <w:vAlign w:val="center"/>
                </w:tcPr>
                <w:p w14:paraId="265DA317">
                  <w:pPr>
                    <w:pStyle w:val="13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ZH34162230001</w:t>
                  </w:r>
                </w:p>
              </w:tc>
              <w:tc>
                <w:tcPr>
                  <w:tcW w:w="380" w:type="pct"/>
                  <w:vMerge w:val="restart"/>
                  <w:vAlign w:val="center"/>
                </w:tcPr>
                <w:p w14:paraId="29E7381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rPr>
                  </w:pPr>
                </w:p>
              </w:tc>
              <w:tc>
                <w:tcPr>
                  <w:tcW w:w="405" w:type="pct"/>
                  <w:vMerge w:val="restart"/>
                  <w:vAlign w:val="center"/>
                </w:tcPr>
                <w:p w14:paraId="4C77E33E">
                  <w:pPr>
                    <w:pStyle w:val="13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一般管控单元</w:t>
                  </w:r>
                </w:p>
              </w:tc>
              <w:tc>
                <w:tcPr>
                  <w:tcW w:w="302" w:type="pct"/>
                  <w:vMerge w:val="restart"/>
                  <w:vAlign w:val="center"/>
                </w:tcPr>
                <w:p w14:paraId="00BD72F7">
                  <w:pPr>
                    <w:pStyle w:val="13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无</w:t>
                  </w:r>
                </w:p>
              </w:tc>
              <w:tc>
                <w:tcPr>
                  <w:tcW w:w="396" w:type="pct"/>
                  <w:vAlign w:val="center"/>
                </w:tcPr>
                <w:p w14:paraId="7E62E361">
                  <w:pPr>
                    <w:pStyle w:val="13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空间布局约束</w:t>
                  </w:r>
                </w:p>
              </w:tc>
              <w:tc>
                <w:tcPr>
                  <w:tcW w:w="2584" w:type="pct"/>
                  <w:vAlign w:val="center"/>
                </w:tcPr>
                <w:p w14:paraId="44090A70">
                  <w:pPr>
                    <w:pStyle w:val="13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1.禁止任何单位和个人在基本农田保护区内建窑、建房、建坟、挖砂、采石、采矿、取土、堆放固体废弃物或者进行其他破坏基本农田的活动。</w:t>
                  </w:r>
                </w:p>
                <w:p w14:paraId="78B7437E">
                  <w:pPr>
                    <w:pStyle w:val="13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2.禁止任何单位和个人占用基本农田发展林果业和挖塘养鱼。</w:t>
                  </w:r>
                </w:p>
                <w:p w14:paraId="503B705F">
                  <w:pPr>
                    <w:pStyle w:val="13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3.禁止生产、销售、使用国家明令禁止的农业投入品。农业投入品生产者、销售者和使用者应当及时回收农药、肥料等农业投入品的包装废弃物和农用薄膜</w:t>
                  </w:r>
                  <w:r>
                    <w:rPr>
                      <w:rFonts w:hint="eastAsia" w:ascii="Times New Roman" w:hAnsi="Times New Roman" w:eastAsia="宋体" w:cs="Times New Roman"/>
                      <w:color w:val="auto"/>
                      <w:spacing w:val="0"/>
                      <w:position w:val="0"/>
                      <w:sz w:val="21"/>
                      <w:szCs w:val="21"/>
                      <w:highlight w:val="none"/>
                      <w:lang w:eastAsia="zh-CN"/>
                    </w:rPr>
                    <w:t>，</w:t>
                  </w:r>
                  <w:r>
                    <w:rPr>
                      <w:rFonts w:hint="default" w:ascii="Times New Roman" w:hAnsi="Times New Roman" w:eastAsia="宋体" w:cs="Times New Roman"/>
                      <w:color w:val="auto"/>
                      <w:spacing w:val="0"/>
                      <w:position w:val="0"/>
                      <w:sz w:val="21"/>
                      <w:szCs w:val="21"/>
                      <w:highlight w:val="none"/>
                    </w:rPr>
                    <w:t>并将农药包装废弃物交由专门的机构或者组织进行无害化处理。</w:t>
                  </w:r>
                </w:p>
                <w:p w14:paraId="04FD7962">
                  <w:pPr>
                    <w:pStyle w:val="13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4.在永久基本农田集中区域</w:t>
                  </w:r>
                  <w:r>
                    <w:rPr>
                      <w:rFonts w:hint="eastAsia" w:ascii="Times New Roman" w:hAnsi="Times New Roman" w:eastAsia="宋体" w:cs="Times New Roman"/>
                      <w:color w:val="auto"/>
                      <w:spacing w:val="0"/>
                      <w:position w:val="0"/>
                      <w:sz w:val="21"/>
                      <w:szCs w:val="21"/>
                      <w:highlight w:val="none"/>
                      <w:lang w:eastAsia="zh-CN"/>
                    </w:rPr>
                    <w:t>，</w:t>
                  </w:r>
                  <w:r>
                    <w:rPr>
                      <w:rFonts w:hint="default" w:ascii="Times New Roman" w:hAnsi="Times New Roman" w:eastAsia="宋体" w:cs="Times New Roman"/>
                      <w:color w:val="auto"/>
                      <w:spacing w:val="0"/>
                      <w:position w:val="0"/>
                      <w:sz w:val="21"/>
                      <w:szCs w:val="21"/>
                      <w:highlight w:val="none"/>
                    </w:rPr>
                    <w:t>不得规划新建可能造成土壤污染的建设项目。</w:t>
                  </w:r>
                </w:p>
                <w:p w14:paraId="168A7A4B">
                  <w:pPr>
                    <w:pStyle w:val="13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5.基本农田保护区内禁止下列行为:</w:t>
                  </w:r>
                </w:p>
                <w:p w14:paraId="67DE373D">
                  <w:pPr>
                    <w:pStyle w:val="13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olor w:val="auto"/>
                      <w:spacing w:val="0"/>
                      <w:position w:val="0"/>
                      <w:sz w:val="21"/>
                      <w:szCs w:val="21"/>
                      <w:highlight w:val="none"/>
                    </w:rPr>
                  </w:pPr>
                  <w:r>
                    <w:rPr>
                      <w:rFonts w:hint="eastAsia" w:cs="Times New Roman"/>
                      <w:color w:val="auto"/>
                      <w:spacing w:val="0"/>
                      <w:position w:val="0"/>
                      <w:sz w:val="21"/>
                      <w:szCs w:val="21"/>
                      <w:highlight w:val="none"/>
                      <w:lang w:eastAsia="zh-CN"/>
                    </w:rPr>
                    <w:t>（</w:t>
                  </w:r>
                  <w:r>
                    <w:rPr>
                      <w:rFonts w:hint="default" w:ascii="Times New Roman" w:hAnsi="Times New Roman" w:eastAsia="宋体" w:cs="Times New Roman"/>
                      <w:color w:val="auto"/>
                      <w:spacing w:val="0"/>
                      <w:position w:val="0"/>
                      <w:sz w:val="21"/>
                      <w:szCs w:val="21"/>
                      <w:highlight w:val="none"/>
                    </w:rPr>
                    <w:t>一</w:t>
                  </w:r>
                  <w:r>
                    <w:rPr>
                      <w:rFonts w:hint="eastAsia" w:cs="Times New Roman"/>
                      <w:color w:val="auto"/>
                      <w:spacing w:val="0"/>
                      <w:position w:val="0"/>
                      <w:sz w:val="21"/>
                      <w:szCs w:val="21"/>
                      <w:highlight w:val="none"/>
                      <w:lang w:eastAsia="zh-CN"/>
                    </w:rPr>
                    <w:t>）</w:t>
                  </w:r>
                  <w:r>
                    <w:rPr>
                      <w:rFonts w:hint="default" w:ascii="Times New Roman" w:hAnsi="Times New Roman" w:eastAsia="宋体" w:cs="Times New Roman"/>
                      <w:color w:val="auto"/>
                      <w:spacing w:val="0"/>
                      <w:position w:val="0"/>
                      <w:sz w:val="21"/>
                      <w:szCs w:val="21"/>
                      <w:highlight w:val="none"/>
                    </w:rPr>
                    <w:t>擅自将耕地改为非耕地;</w:t>
                  </w:r>
                </w:p>
                <w:p w14:paraId="55AB41B9">
                  <w:pPr>
                    <w:pStyle w:val="13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olor w:val="auto"/>
                      <w:spacing w:val="0"/>
                      <w:position w:val="0"/>
                      <w:sz w:val="21"/>
                      <w:szCs w:val="21"/>
                      <w:highlight w:val="none"/>
                    </w:rPr>
                  </w:pPr>
                  <w:r>
                    <w:rPr>
                      <w:rFonts w:hint="eastAsia" w:cs="Times New Roman"/>
                      <w:color w:val="auto"/>
                      <w:spacing w:val="0"/>
                      <w:position w:val="0"/>
                      <w:sz w:val="21"/>
                      <w:szCs w:val="21"/>
                      <w:highlight w:val="none"/>
                      <w:lang w:eastAsia="zh-CN"/>
                    </w:rPr>
                    <w:t>（</w:t>
                  </w:r>
                  <w:r>
                    <w:rPr>
                      <w:rFonts w:hint="default" w:ascii="Times New Roman" w:hAnsi="Times New Roman" w:eastAsia="宋体" w:cs="Times New Roman"/>
                      <w:color w:val="auto"/>
                      <w:spacing w:val="0"/>
                      <w:position w:val="0"/>
                      <w:sz w:val="21"/>
                      <w:szCs w:val="21"/>
                      <w:highlight w:val="none"/>
                    </w:rPr>
                    <w:t>二</w:t>
                  </w:r>
                  <w:r>
                    <w:rPr>
                      <w:rFonts w:hint="eastAsia" w:cs="Times New Roman"/>
                      <w:color w:val="auto"/>
                      <w:spacing w:val="0"/>
                      <w:position w:val="0"/>
                      <w:sz w:val="21"/>
                      <w:szCs w:val="21"/>
                      <w:highlight w:val="none"/>
                      <w:lang w:eastAsia="zh-CN"/>
                    </w:rPr>
                    <w:t>）</w:t>
                  </w:r>
                  <w:r>
                    <w:rPr>
                      <w:rFonts w:hint="default" w:ascii="Times New Roman" w:hAnsi="Times New Roman" w:eastAsia="宋体" w:cs="Times New Roman"/>
                      <w:color w:val="auto"/>
                      <w:spacing w:val="0"/>
                      <w:position w:val="0"/>
                      <w:sz w:val="21"/>
                      <w:szCs w:val="21"/>
                      <w:highlight w:val="none"/>
                    </w:rPr>
                    <w:t>闲置、荒芜耕地;</w:t>
                  </w:r>
                </w:p>
                <w:p w14:paraId="1E482F37">
                  <w:pPr>
                    <w:pStyle w:val="13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olor w:val="auto"/>
                      <w:spacing w:val="0"/>
                      <w:position w:val="0"/>
                      <w:sz w:val="21"/>
                      <w:szCs w:val="21"/>
                      <w:highlight w:val="none"/>
                    </w:rPr>
                  </w:pPr>
                  <w:r>
                    <w:rPr>
                      <w:rFonts w:hint="eastAsia" w:cs="Times New Roman"/>
                      <w:color w:val="auto"/>
                      <w:spacing w:val="0"/>
                      <w:position w:val="0"/>
                      <w:sz w:val="21"/>
                      <w:szCs w:val="21"/>
                      <w:highlight w:val="none"/>
                      <w:lang w:eastAsia="zh-CN"/>
                    </w:rPr>
                    <w:t>（</w:t>
                  </w:r>
                  <w:r>
                    <w:rPr>
                      <w:rFonts w:hint="default" w:ascii="Times New Roman" w:hAnsi="Times New Roman" w:eastAsia="宋体" w:cs="Times New Roman"/>
                      <w:color w:val="auto"/>
                      <w:spacing w:val="0"/>
                      <w:position w:val="0"/>
                      <w:sz w:val="21"/>
                      <w:szCs w:val="21"/>
                      <w:highlight w:val="none"/>
                    </w:rPr>
                    <w:t>三</w:t>
                  </w:r>
                  <w:r>
                    <w:rPr>
                      <w:rFonts w:hint="eastAsia" w:cs="Times New Roman"/>
                      <w:color w:val="auto"/>
                      <w:spacing w:val="0"/>
                      <w:position w:val="0"/>
                      <w:sz w:val="21"/>
                      <w:szCs w:val="21"/>
                      <w:highlight w:val="none"/>
                      <w:lang w:eastAsia="zh-CN"/>
                    </w:rPr>
                    <w:t>）</w:t>
                  </w:r>
                  <w:r>
                    <w:rPr>
                      <w:rFonts w:hint="default" w:ascii="Times New Roman" w:hAnsi="Times New Roman" w:eastAsia="宋体" w:cs="Times New Roman"/>
                      <w:color w:val="auto"/>
                      <w:spacing w:val="0"/>
                      <w:position w:val="0"/>
                      <w:sz w:val="21"/>
                      <w:szCs w:val="21"/>
                      <w:highlight w:val="none"/>
                    </w:rPr>
                    <w:t>建窑、建房、建坟;</w:t>
                  </w:r>
                </w:p>
                <w:p w14:paraId="3A4E873D">
                  <w:pPr>
                    <w:pStyle w:val="13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olor w:val="auto"/>
                      <w:spacing w:val="0"/>
                      <w:position w:val="0"/>
                      <w:sz w:val="21"/>
                      <w:szCs w:val="21"/>
                      <w:highlight w:val="none"/>
                    </w:rPr>
                  </w:pPr>
                  <w:r>
                    <w:rPr>
                      <w:rFonts w:hint="eastAsia" w:cs="Times New Roman"/>
                      <w:color w:val="auto"/>
                      <w:spacing w:val="0"/>
                      <w:position w:val="0"/>
                      <w:sz w:val="21"/>
                      <w:szCs w:val="21"/>
                      <w:highlight w:val="none"/>
                      <w:lang w:eastAsia="zh-CN"/>
                    </w:rPr>
                    <w:t>（</w:t>
                  </w:r>
                  <w:r>
                    <w:rPr>
                      <w:rFonts w:hint="default" w:ascii="Times New Roman" w:hAnsi="Times New Roman" w:eastAsia="宋体" w:cs="Times New Roman"/>
                      <w:color w:val="auto"/>
                      <w:spacing w:val="0"/>
                      <w:position w:val="0"/>
                      <w:sz w:val="21"/>
                      <w:szCs w:val="21"/>
                      <w:highlight w:val="none"/>
                    </w:rPr>
                    <w:t>四</w:t>
                  </w:r>
                  <w:r>
                    <w:rPr>
                      <w:rFonts w:hint="eastAsia" w:cs="Times New Roman"/>
                      <w:color w:val="auto"/>
                      <w:spacing w:val="0"/>
                      <w:position w:val="0"/>
                      <w:sz w:val="21"/>
                      <w:szCs w:val="21"/>
                      <w:highlight w:val="none"/>
                      <w:lang w:eastAsia="zh-CN"/>
                    </w:rPr>
                    <w:t>）</w:t>
                  </w:r>
                  <w:r>
                    <w:rPr>
                      <w:rFonts w:hint="default" w:ascii="Times New Roman" w:hAnsi="Times New Roman" w:eastAsia="宋体" w:cs="Times New Roman"/>
                      <w:color w:val="auto"/>
                      <w:spacing w:val="0"/>
                      <w:position w:val="0"/>
                      <w:sz w:val="21"/>
                      <w:szCs w:val="21"/>
                      <w:highlight w:val="none"/>
                    </w:rPr>
                    <w:t>擅自挖沙、采石、采矿、取土;</w:t>
                  </w:r>
                </w:p>
                <w:p w14:paraId="79E3E969">
                  <w:pPr>
                    <w:pStyle w:val="13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olor w:val="auto"/>
                      <w:spacing w:val="0"/>
                      <w:position w:val="0"/>
                      <w:sz w:val="21"/>
                      <w:szCs w:val="21"/>
                      <w:highlight w:val="none"/>
                    </w:rPr>
                  </w:pPr>
                  <w:r>
                    <w:rPr>
                      <w:rFonts w:hint="eastAsia" w:cs="Times New Roman"/>
                      <w:color w:val="auto"/>
                      <w:spacing w:val="0"/>
                      <w:position w:val="0"/>
                      <w:sz w:val="21"/>
                      <w:szCs w:val="21"/>
                      <w:highlight w:val="none"/>
                      <w:lang w:eastAsia="zh-CN"/>
                    </w:rPr>
                    <w:t>（</w:t>
                  </w:r>
                  <w:r>
                    <w:rPr>
                      <w:rFonts w:hint="default" w:ascii="Times New Roman" w:hAnsi="Times New Roman" w:eastAsia="宋体" w:cs="Times New Roman"/>
                      <w:color w:val="auto"/>
                      <w:spacing w:val="0"/>
                      <w:position w:val="0"/>
                      <w:sz w:val="21"/>
                      <w:szCs w:val="21"/>
                      <w:highlight w:val="none"/>
                    </w:rPr>
                    <w:t>五</w:t>
                  </w:r>
                  <w:r>
                    <w:rPr>
                      <w:rFonts w:hint="eastAsia" w:cs="Times New Roman"/>
                      <w:color w:val="auto"/>
                      <w:spacing w:val="0"/>
                      <w:position w:val="0"/>
                      <w:sz w:val="21"/>
                      <w:szCs w:val="21"/>
                      <w:highlight w:val="none"/>
                      <w:lang w:eastAsia="zh-CN"/>
                    </w:rPr>
                    <w:t>）</w:t>
                  </w:r>
                  <w:r>
                    <w:rPr>
                      <w:rFonts w:hint="default" w:ascii="Times New Roman" w:hAnsi="Times New Roman" w:eastAsia="宋体" w:cs="Times New Roman"/>
                      <w:color w:val="auto"/>
                      <w:spacing w:val="0"/>
                      <w:position w:val="0"/>
                      <w:sz w:val="21"/>
                      <w:szCs w:val="21"/>
                      <w:highlight w:val="none"/>
                    </w:rPr>
                    <w:t>排放污染性的废水、废气</w:t>
                  </w:r>
                  <w:r>
                    <w:rPr>
                      <w:rFonts w:hint="eastAsia" w:ascii="Times New Roman" w:hAnsi="Times New Roman" w:eastAsia="宋体" w:cs="Times New Roman"/>
                      <w:color w:val="auto"/>
                      <w:spacing w:val="0"/>
                      <w:position w:val="0"/>
                      <w:sz w:val="21"/>
                      <w:szCs w:val="21"/>
                      <w:highlight w:val="none"/>
                      <w:lang w:eastAsia="zh-CN"/>
                    </w:rPr>
                    <w:t>，</w:t>
                  </w:r>
                  <w:r>
                    <w:rPr>
                      <w:rFonts w:hint="default" w:ascii="Times New Roman" w:hAnsi="Times New Roman" w:eastAsia="宋体" w:cs="Times New Roman"/>
                      <w:color w:val="auto"/>
                      <w:spacing w:val="0"/>
                      <w:position w:val="0"/>
                      <w:sz w:val="21"/>
                      <w:szCs w:val="21"/>
                      <w:highlight w:val="none"/>
                    </w:rPr>
                    <w:t>堆放固体废弃物;</w:t>
                  </w:r>
                </w:p>
                <w:p w14:paraId="4E38A48E">
                  <w:pPr>
                    <w:pStyle w:val="13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olor w:val="auto"/>
                      <w:spacing w:val="0"/>
                      <w:position w:val="0"/>
                      <w:sz w:val="21"/>
                      <w:szCs w:val="21"/>
                      <w:highlight w:val="none"/>
                    </w:rPr>
                  </w:pPr>
                  <w:r>
                    <w:rPr>
                      <w:rFonts w:hint="eastAsia" w:cs="Times New Roman"/>
                      <w:color w:val="auto"/>
                      <w:spacing w:val="0"/>
                      <w:position w:val="0"/>
                      <w:sz w:val="21"/>
                      <w:szCs w:val="21"/>
                      <w:highlight w:val="none"/>
                      <w:lang w:eastAsia="zh-CN"/>
                    </w:rPr>
                    <w:t>（</w:t>
                  </w:r>
                  <w:r>
                    <w:rPr>
                      <w:rFonts w:hint="default" w:ascii="Times New Roman" w:hAnsi="Times New Roman" w:eastAsia="宋体" w:cs="Times New Roman"/>
                      <w:color w:val="auto"/>
                      <w:spacing w:val="0"/>
                      <w:position w:val="0"/>
                      <w:sz w:val="21"/>
                      <w:szCs w:val="21"/>
                      <w:highlight w:val="none"/>
                    </w:rPr>
                    <w:t>六</w:t>
                  </w:r>
                  <w:r>
                    <w:rPr>
                      <w:rFonts w:hint="eastAsia" w:cs="Times New Roman"/>
                      <w:color w:val="auto"/>
                      <w:spacing w:val="0"/>
                      <w:position w:val="0"/>
                      <w:sz w:val="21"/>
                      <w:szCs w:val="21"/>
                      <w:highlight w:val="none"/>
                      <w:lang w:eastAsia="zh-CN"/>
                    </w:rPr>
                    <w:t>）</w:t>
                  </w:r>
                  <w:r>
                    <w:rPr>
                      <w:rFonts w:hint="default" w:ascii="Times New Roman" w:hAnsi="Times New Roman" w:eastAsia="宋体" w:cs="Times New Roman"/>
                      <w:color w:val="auto"/>
                      <w:spacing w:val="0"/>
                      <w:position w:val="0"/>
                      <w:sz w:val="21"/>
                      <w:szCs w:val="21"/>
                      <w:highlight w:val="none"/>
                    </w:rPr>
                    <w:t>向基本农田提供不符合国家有关标准的肥料、农药;</w:t>
                  </w:r>
                </w:p>
                <w:p w14:paraId="3D8674CE">
                  <w:pPr>
                    <w:pStyle w:val="13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olor w:val="auto"/>
                      <w:spacing w:val="0"/>
                      <w:position w:val="0"/>
                      <w:sz w:val="21"/>
                      <w:szCs w:val="21"/>
                      <w:highlight w:val="none"/>
                    </w:rPr>
                  </w:pPr>
                  <w:r>
                    <w:rPr>
                      <w:rFonts w:hint="eastAsia" w:cs="Times New Roman"/>
                      <w:color w:val="auto"/>
                      <w:spacing w:val="0"/>
                      <w:position w:val="0"/>
                      <w:sz w:val="21"/>
                      <w:szCs w:val="21"/>
                      <w:highlight w:val="none"/>
                      <w:lang w:eastAsia="zh-CN"/>
                    </w:rPr>
                    <w:t>（</w:t>
                  </w:r>
                  <w:r>
                    <w:rPr>
                      <w:rFonts w:hint="default" w:ascii="Times New Roman" w:hAnsi="Times New Roman" w:eastAsia="宋体" w:cs="Times New Roman"/>
                      <w:color w:val="auto"/>
                      <w:spacing w:val="0"/>
                      <w:position w:val="0"/>
                      <w:sz w:val="21"/>
                      <w:szCs w:val="21"/>
                      <w:highlight w:val="none"/>
                    </w:rPr>
                    <w:t>七</w:t>
                  </w:r>
                  <w:r>
                    <w:rPr>
                      <w:rFonts w:hint="eastAsia" w:cs="Times New Roman"/>
                      <w:color w:val="auto"/>
                      <w:spacing w:val="0"/>
                      <w:position w:val="0"/>
                      <w:sz w:val="21"/>
                      <w:szCs w:val="21"/>
                      <w:highlight w:val="none"/>
                      <w:lang w:eastAsia="zh-CN"/>
                    </w:rPr>
                    <w:t>）</w:t>
                  </w:r>
                  <w:r>
                    <w:rPr>
                      <w:rFonts w:hint="default" w:ascii="Times New Roman" w:hAnsi="Times New Roman" w:eastAsia="宋体" w:cs="Times New Roman"/>
                      <w:color w:val="auto"/>
                      <w:spacing w:val="0"/>
                      <w:position w:val="0"/>
                      <w:sz w:val="21"/>
                      <w:szCs w:val="21"/>
                      <w:highlight w:val="none"/>
                    </w:rPr>
                    <w:t>毁坏水利排灌设施;</w:t>
                  </w:r>
                </w:p>
                <w:p w14:paraId="30172DE9">
                  <w:pPr>
                    <w:pStyle w:val="13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olor w:val="auto"/>
                      <w:spacing w:val="0"/>
                      <w:position w:val="0"/>
                      <w:sz w:val="21"/>
                      <w:szCs w:val="21"/>
                      <w:highlight w:val="none"/>
                    </w:rPr>
                  </w:pPr>
                  <w:r>
                    <w:rPr>
                      <w:rFonts w:hint="eastAsia" w:cs="Times New Roman"/>
                      <w:color w:val="auto"/>
                      <w:spacing w:val="0"/>
                      <w:position w:val="0"/>
                      <w:sz w:val="21"/>
                      <w:szCs w:val="21"/>
                      <w:highlight w:val="none"/>
                      <w:lang w:eastAsia="zh-CN"/>
                    </w:rPr>
                    <w:t>（</w:t>
                  </w:r>
                  <w:r>
                    <w:rPr>
                      <w:rFonts w:hint="default" w:ascii="Times New Roman" w:hAnsi="Times New Roman" w:eastAsia="宋体" w:cs="Times New Roman"/>
                      <w:color w:val="auto"/>
                      <w:spacing w:val="0"/>
                      <w:position w:val="0"/>
                      <w:sz w:val="21"/>
                      <w:szCs w:val="21"/>
                      <w:highlight w:val="none"/>
                    </w:rPr>
                    <w:t>八</w:t>
                  </w:r>
                  <w:r>
                    <w:rPr>
                      <w:rFonts w:hint="eastAsia" w:cs="Times New Roman"/>
                      <w:color w:val="auto"/>
                      <w:spacing w:val="0"/>
                      <w:position w:val="0"/>
                      <w:sz w:val="21"/>
                      <w:szCs w:val="21"/>
                      <w:highlight w:val="none"/>
                      <w:lang w:eastAsia="zh-CN"/>
                    </w:rPr>
                    <w:t>）</w:t>
                  </w:r>
                  <w:r>
                    <w:rPr>
                      <w:rFonts w:hint="default" w:ascii="Times New Roman" w:hAnsi="Times New Roman" w:eastAsia="宋体" w:cs="Times New Roman"/>
                      <w:color w:val="auto"/>
                      <w:spacing w:val="0"/>
                      <w:position w:val="0"/>
                      <w:sz w:val="21"/>
                      <w:szCs w:val="21"/>
                      <w:highlight w:val="none"/>
                    </w:rPr>
                    <w:t>擅自砍伐农田防护林和水土保持林;</w:t>
                  </w:r>
                </w:p>
                <w:p w14:paraId="05840C19">
                  <w:pPr>
                    <w:pStyle w:val="13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olor w:val="auto"/>
                      <w:spacing w:val="0"/>
                      <w:position w:val="0"/>
                      <w:sz w:val="21"/>
                      <w:szCs w:val="21"/>
                      <w:highlight w:val="none"/>
                    </w:rPr>
                  </w:pPr>
                  <w:r>
                    <w:rPr>
                      <w:rFonts w:hint="eastAsia" w:cs="Times New Roman"/>
                      <w:color w:val="auto"/>
                      <w:spacing w:val="0"/>
                      <w:position w:val="0"/>
                      <w:sz w:val="21"/>
                      <w:szCs w:val="21"/>
                      <w:highlight w:val="none"/>
                      <w:lang w:eastAsia="zh-CN"/>
                    </w:rPr>
                    <w:t>（</w:t>
                  </w:r>
                  <w:r>
                    <w:rPr>
                      <w:rFonts w:hint="default" w:ascii="Times New Roman" w:hAnsi="Times New Roman" w:eastAsia="宋体" w:cs="Times New Roman"/>
                      <w:color w:val="auto"/>
                      <w:spacing w:val="0"/>
                      <w:position w:val="0"/>
                      <w:sz w:val="21"/>
                      <w:szCs w:val="21"/>
                      <w:highlight w:val="none"/>
                    </w:rPr>
                    <w:t>九</w:t>
                  </w:r>
                  <w:r>
                    <w:rPr>
                      <w:rFonts w:hint="eastAsia" w:cs="Times New Roman"/>
                      <w:color w:val="auto"/>
                      <w:spacing w:val="0"/>
                      <w:position w:val="0"/>
                      <w:sz w:val="21"/>
                      <w:szCs w:val="21"/>
                      <w:highlight w:val="none"/>
                      <w:lang w:eastAsia="zh-CN"/>
                    </w:rPr>
                    <w:t>）</w:t>
                  </w:r>
                  <w:r>
                    <w:rPr>
                      <w:rFonts w:hint="default" w:ascii="Times New Roman" w:hAnsi="Times New Roman" w:eastAsia="宋体" w:cs="Times New Roman"/>
                      <w:color w:val="auto"/>
                      <w:spacing w:val="0"/>
                      <w:position w:val="0"/>
                      <w:sz w:val="21"/>
                      <w:szCs w:val="21"/>
                      <w:highlight w:val="none"/>
                    </w:rPr>
                    <w:t>破坏或擅自改变基本农田保护区标志;</w:t>
                  </w:r>
                </w:p>
                <w:p w14:paraId="5678B90F">
                  <w:pPr>
                    <w:pStyle w:val="13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olor w:val="auto"/>
                      <w:spacing w:val="0"/>
                      <w:position w:val="0"/>
                      <w:sz w:val="21"/>
                      <w:szCs w:val="21"/>
                      <w:highlight w:val="none"/>
                    </w:rPr>
                  </w:pPr>
                  <w:r>
                    <w:rPr>
                      <w:rFonts w:hint="eastAsia" w:cs="Times New Roman"/>
                      <w:color w:val="auto"/>
                      <w:spacing w:val="0"/>
                      <w:position w:val="0"/>
                      <w:sz w:val="21"/>
                      <w:szCs w:val="21"/>
                      <w:highlight w:val="none"/>
                      <w:lang w:eastAsia="zh-CN"/>
                    </w:rPr>
                    <w:t>（</w:t>
                  </w:r>
                  <w:r>
                    <w:rPr>
                      <w:rFonts w:hint="default" w:ascii="Times New Roman" w:hAnsi="Times New Roman" w:eastAsia="宋体" w:cs="Times New Roman"/>
                      <w:color w:val="auto"/>
                      <w:spacing w:val="0"/>
                      <w:position w:val="0"/>
                      <w:sz w:val="21"/>
                      <w:szCs w:val="21"/>
                      <w:highlight w:val="none"/>
                    </w:rPr>
                    <w:t>十</w:t>
                  </w:r>
                  <w:r>
                    <w:rPr>
                      <w:rFonts w:hint="eastAsia" w:cs="Times New Roman"/>
                      <w:color w:val="auto"/>
                      <w:spacing w:val="0"/>
                      <w:position w:val="0"/>
                      <w:sz w:val="21"/>
                      <w:szCs w:val="21"/>
                      <w:highlight w:val="none"/>
                      <w:lang w:eastAsia="zh-CN"/>
                    </w:rPr>
                    <w:t>）</w:t>
                  </w:r>
                  <w:r>
                    <w:rPr>
                      <w:rFonts w:hint="default" w:ascii="Times New Roman" w:hAnsi="Times New Roman" w:eastAsia="宋体" w:cs="Times New Roman"/>
                      <w:color w:val="auto"/>
                      <w:spacing w:val="0"/>
                      <w:position w:val="0"/>
                      <w:sz w:val="21"/>
                      <w:szCs w:val="21"/>
                      <w:highlight w:val="none"/>
                    </w:rPr>
                    <w:t>其他破坏基本农田的行为。</w:t>
                  </w:r>
                </w:p>
                <w:p w14:paraId="13053CD0">
                  <w:pPr>
                    <w:pStyle w:val="13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6.在基本农田保护区内不得设立非农业开发区和工业小区。</w:t>
                  </w:r>
                </w:p>
                <w:p w14:paraId="5B1F9AD2">
                  <w:pPr>
                    <w:pStyle w:val="13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7.各级人民政府应当采取措施对耕地实行特殊保护</w:t>
                  </w:r>
                  <w:r>
                    <w:rPr>
                      <w:rFonts w:hint="eastAsia" w:ascii="Times New Roman" w:hAnsi="Times New Roman" w:eastAsia="宋体" w:cs="Times New Roman"/>
                      <w:color w:val="auto"/>
                      <w:spacing w:val="0"/>
                      <w:position w:val="0"/>
                      <w:sz w:val="21"/>
                      <w:szCs w:val="21"/>
                      <w:highlight w:val="none"/>
                      <w:lang w:eastAsia="zh-CN"/>
                    </w:rPr>
                    <w:t>，</w:t>
                  </w:r>
                  <w:r>
                    <w:rPr>
                      <w:rFonts w:hint="default" w:ascii="Times New Roman" w:hAnsi="Times New Roman" w:eastAsia="宋体" w:cs="Times New Roman"/>
                      <w:color w:val="auto"/>
                      <w:spacing w:val="0"/>
                      <w:position w:val="0"/>
                      <w:sz w:val="21"/>
                      <w:szCs w:val="21"/>
                      <w:highlight w:val="none"/>
                    </w:rPr>
                    <w:t>禁止违法占用耕地从事非农业建设</w:t>
                  </w:r>
                  <w:r>
                    <w:rPr>
                      <w:rFonts w:hint="eastAsia" w:ascii="Times New Roman" w:hAnsi="Times New Roman" w:eastAsia="宋体" w:cs="Times New Roman"/>
                      <w:color w:val="auto"/>
                      <w:spacing w:val="0"/>
                      <w:position w:val="0"/>
                      <w:sz w:val="21"/>
                      <w:szCs w:val="21"/>
                      <w:highlight w:val="none"/>
                      <w:lang w:eastAsia="zh-CN"/>
                    </w:rPr>
                    <w:t>，</w:t>
                  </w:r>
                  <w:r>
                    <w:rPr>
                      <w:rFonts w:hint="default" w:ascii="Times New Roman" w:hAnsi="Times New Roman" w:eastAsia="宋体" w:cs="Times New Roman"/>
                      <w:color w:val="auto"/>
                      <w:spacing w:val="0"/>
                      <w:position w:val="0"/>
                      <w:sz w:val="21"/>
                      <w:szCs w:val="21"/>
                      <w:highlight w:val="none"/>
                    </w:rPr>
                    <w:t>严格控制耕地转为林地、草地、园地等其他农用地</w:t>
                  </w:r>
                  <w:r>
                    <w:rPr>
                      <w:rFonts w:hint="eastAsia" w:ascii="Times New Roman" w:hAnsi="Times New Roman" w:eastAsia="宋体" w:cs="Times New Roman"/>
                      <w:color w:val="auto"/>
                      <w:spacing w:val="0"/>
                      <w:position w:val="0"/>
                      <w:sz w:val="21"/>
                      <w:szCs w:val="21"/>
                      <w:highlight w:val="none"/>
                      <w:lang w:eastAsia="zh-CN"/>
                    </w:rPr>
                    <w:t>，</w:t>
                  </w:r>
                  <w:r>
                    <w:rPr>
                      <w:rFonts w:hint="default" w:ascii="Times New Roman" w:hAnsi="Times New Roman" w:eastAsia="宋体" w:cs="Times New Roman"/>
                      <w:color w:val="auto"/>
                      <w:spacing w:val="0"/>
                      <w:position w:val="0"/>
                      <w:sz w:val="21"/>
                      <w:szCs w:val="21"/>
                      <w:highlight w:val="none"/>
                    </w:rPr>
                    <w:t>确保耕地优先用于粮食和蔬菜、油、棉、糖等农产品生产。实行耕地保护补偿激励制度</w:t>
                  </w:r>
                  <w:r>
                    <w:rPr>
                      <w:rFonts w:hint="eastAsia" w:ascii="Times New Roman" w:hAnsi="Times New Roman" w:eastAsia="宋体" w:cs="Times New Roman"/>
                      <w:color w:val="auto"/>
                      <w:spacing w:val="0"/>
                      <w:position w:val="0"/>
                      <w:sz w:val="21"/>
                      <w:szCs w:val="21"/>
                      <w:highlight w:val="none"/>
                      <w:lang w:eastAsia="zh-CN"/>
                    </w:rPr>
                    <w:t>，</w:t>
                  </w:r>
                  <w:r>
                    <w:rPr>
                      <w:rFonts w:hint="default" w:ascii="Times New Roman" w:hAnsi="Times New Roman" w:eastAsia="宋体" w:cs="Times New Roman"/>
                      <w:color w:val="auto"/>
                      <w:spacing w:val="0"/>
                      <w:position w:val="0"/>
                      <w:sz w:val="21"/>
                      <w:szCs w:val="21"/>
                      <w:highlight w:val="none"/>
                    </w:rPr>
                    <w:t>具体按照国家和省有关规定执行。</w:t>
                  </w:r>
                </w:p>
                <w:p w14:paraId="2D7DA002">
                  <w:pPr>
                    <w:pStyle w:val="13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8.加大优先保护类耕地保护力度</w:t>
                  </w:r>
                  <w:r>
                    <w:rPr>
                      <w:rFonts w:hint="eastAsia" w:ascii="Times New Roman" w:hAnsi="Times New Roman" w:eastAsia="宋体" w:cs="Times New Roman"/>
                      <w:color w:val="auto"/>
                      <w:spacing w:val="0"/>
                      <w:position w:val="0"/>
                      <w:sz w:val="21"/>
                      <w:szCs w:val="21"/>
                      <w:highlight w:val="none"/>
                      <w:lang w:eastAsia="zh-CN"/>
                    </w:rPr>
                    <w:t>，</w:t>
                  </w:r>
                  <w:r>
                    <w:rPr>
                      <w:rFonts w:hint="default" w:ascii="Times New Roman" w:hAnsi="Times New Roman" w:eastAsia="宋体" w:cs="Times New Roman"/>
                      <w:color w:val="auto"/>
                      <w:spacing w:val="0"/>
                      <w:position w:val="0"/>
                      <w:sz w:val="21"/>
                      <w:szCs w:val="21"/>
                      <w:highlight w:val="none"/>
                    </w:rPr>
                    <w:t>综合采取占补数量和质量平衡、高标准农田建设、周边污染企业搬迁整治等措施。</w:t>
                  </w:r>
                </w:p>
                <w:p w14:paraId="10A6D05C">
                  <w:pPr>
                    <w:pStyle w:val="13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9.提倡和鼓励农业生产者对其经营的基本农田施用有机肥料</w:t>
                  </w:r>
                  <w:r>
                    <w:rPr>
                      <w:rFonts w:hint="eastAsia" w:ascii="Times New Roman" w:hAnsi="Times New Roman" w:eastAsia="宋体" w:cs="Times New Roman"/>
                      <w:color w:val="auto"/>
                      <w:spacing w:val="0"/>
                      <w:position w:val="0"/>
                      <w:sz w:val="21"/>
                      <w:szCs w:val="21"/>
                      <w:highlight w:val="none"/>
                      <w:lang w:eastAsia="zh-CN"/>
                    </w:rPr>
                    <w:t>，</w:t>
                  </w:r>
                  <w:r>
                    <w:rPr>
                      <w:rFonts w:hint="default" w:ascii="Times New Roman" w:hAnsi="Times New Roman" w:eastAsia="宋体" w:cs="Times New Roman"/>
                      <w:color w:val="auto"/>
                      <w:spacing w:val="0"/>
                      <w:position w:val="0"/>
                      <w:sz w:val="21"/>
                      <w:szCs w:val="21"/>
                      <w:highlight w:val="none"/>
                    </w:rPr>
                    <w:t>合理施用化肥和农药。利用基本农田从事农业生产的单位和个人应当保持和培肥地力。</w:t>
                  </w:r>
                </w:p>
                <w:p w14:paraId="74CA1215">
                  <w:pPr>
                    <w:pStyle w:val="13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10.严格控制在优先保护类耕地集中区域新建有色金属冶炼、石油加工、化工、焦化、电镀、制革等行业企业</w:t>
                  </w:r>
                  <w:r>
                    <w:rPr>
                      <w:rFonts w:hint="eastAsia" w:ascii="Times New Roman" w:hAnsi="Times New Roman" w:eastAsia="宋体" w:cs="Times New Roman"/>
                      <w:color w:val="auto"/>
                      <w:spacing w:val="0"/>
                      <w:position w:val="0"/>
                      <w:sz w:val="21"/>
                      <w:szCs w:val="21"/>
                      <w:highlight w:val="none"/>
                      <w:lang w:eastAsia="zh-CN"/>
                    </w:rPr>
                    <w:t>，</w:t>
                  </w:r>
                  <w:r>
                    <w:rPr>
                      <w:rFonts w:hint="default" w:ascii="Times New Roman" w:hAnsi="Times New Roman" w:eastAsia="宋体" w:cs="Times New Roman"/>
                      <w:color w:val="auto"/>
                      <w:spacing w:val="0"/>
                      <w:position w:val="0"/>
                      <w:sz w:val="21"/>
                      <w:szCs w:val="21"/>
                      <w:highlight w:val="none"/>
                    </w:rPr>
                    <w:t>有关环境保护主管部门依法不予审批可能造成耕地土壤污染的建设项目环境影响报告书或者报告表。优先保护类耕地集中区域现有可能造成土壤污染的相关行业企业应当按照有关规定采取措施</w:t>
                  </w:r>
                  <w:r>
                    <w:rPr>
                      <w:rFonts w:hint="eastAsia" w:ascii="Times New Roman" w:hAnsi="Times New Roman" w:eastAsia="宋体" w:cs="Times New Roman"/>
                      <w:color w:val="auto"/>
                      <w:spacing w:val="0"/>
                      <w:position w:val="0"/>
                      <w:sz w:val="21"/>
                      <w:szCs w:val="21"/>
                      <w:highlight w:val="none"/>
                      <w:lang w:eastAsia="zh-CN"/>
                    </w:rPr>
                    <w:t>，</w:t>
                  </w:r>
                  <w:r>
                    <w:rPr>
                      <w:rFonts w:hint="default" w:ascii="Times New Roman" w:hAnsi="Times New Roman" w:eastAsia="宋体" w:cs="Times New Roman"/>
                      <w:color w:val="auto"/>
                      <w:spacing w:val="0"/>
                      <w:position w:val="0"/>
                      <w:sz w:val="21"/>
                      <w:szCs w:val="21"/>
                      <w:highlight w:val="none"/>
                    </w:rPr>
                    <w:t>防止对耕地造成污染。</w:t>
                  </w:r>
                </w:p>
                <w:p w14:paraId="7A89ABC2">
                  <w:pPr>
                    <w:pStyle w:val="13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11.设施农业用地选址应当按照保护耕地、节约集约利用土地的原则</w:t>
                  </w:r>
                  <w:r>
                    <w:rPr>
                      <w:rFonts w:hint="eastAsia" w:ascii="Times New Roman" w:hAnsi="Times New Roman" w:eastAsia="宋体" w:cs="Times New Roman"/>
                      <w:color w:val="auto"/>
                      <w:spacing w:val="0"/>
                      <w:position w:val="0"/>
                      <w:sz w:val="21"/>
                      <w:szCs w:val="21"/>
                      <w:highlight w:val="none"/>
                      <w:lang w:eastAsia="zh-CN"/>
                    </w:rPr>
                    <w:t>，</w:t>
                  </w:r>
                  <w:r>
                    <w:rPr>
                      <w:rFonts w:hint="default" w:ascii="Times New Roman" w:hAnsi="Times New Roman" w:eastAsia="宋体" w:cs="Times New Roman"/>
                      <w:color w:val="auto"/>
                      <w:spacing w:val="0"/>
                      <w:position w:val="0"/>
                      <w:sz w:val="21"/>
                      <w:szCs w:val="21"/>
                      <w:highlight w:val="none"/>
                    </w:rPr>
                    <w:t>少占或者不占耕地。确需占用耕地的</w:t>
                  </w:r>
                  <w:r>
                    <w:rPr>
                      <w:rFonts w:hint="eastAsia" w:ascii="Times New Roman" w:hAnsi="Times New Roman" w:eastAsia="宋体" w:cs="Times New Roman"/>
                      <w:color w:val="auto"/>
                      <w:spacing w:val="0"/>
                      <w:position w:val="0"/>
                      <w:sz w:val="21"/>
                      <w:szCs w:val="21"/>
                      <w:highlight w:val="none"/>
                      <w:lang w:eastAsia="zh-CN"/>
                    </w:rPr>
                    <w:t>，</w:t>
                  </w:r>
                  <w:r>
                    <w:rPr>
                      <w:rFonts w:hint="default" w:ascii="Times New Roman" w:hAnsi="Times New Roman" w:eastAsia="宋体" w:cs="Times New Roman"/>
                      <w:color w:val="auto"/>
                      <w:spacing w:val="0"/>
                      <w:position w:val="0"/>
                      <w:sz w:val="21"/>
                      <w:szCs w:val="21"/>
                      <w:highlight w:val="none"/>
                    </w:rPr>
                    <w:t>应当采取措施加强对耕地耕作层的保护;设施农业用地不再使用的</w:t>
                  </w:r>
                  <w:r>
                    <w:rPr>
                      <w:rFonts w:hint="eastAsia" w:ascii="Times New Roman" w:hAnsi="Times New Roman" w:eastAsia="宋体" w:cs="Times New Roman"/>
                      <w:color w:val="auto"/>
                      <w:spacing w:val="0"/>
                      <w:position w:val="0"/>
                      <w:sz w:val="21"/>
                      <w:szCs w:val="21"/>
                      <w:highlight w:val="none"/>
                      <w:lang w:eastAsia="zh-CN"/>
                    </w:rPr>
                    <w:t>，</w:t>
                  </w:r>
                  <w:r>
                    <w:rPr>
                      <w:rFonts w:hint="default" w:ascii="Times New Roman" w:hAnsi="Times New Roman" w:eastAsia="宋体" w:cs="Times New Roman"/>
                      <w:color w:val="auto"/>
                      <w:spacing w:val="0"/>
                      <w:position w:val="0"/>
                      <w:sz w:val="21"/>
                      <w:szCs w:val="21"/>
                      <w:highlight w:val="none"/>
                    </w:rPr>
                    <w:t>应当及时组织恢复种植条件。</w:t>
                  </w:r>
                </w:p>
                <w:p w14:paraId="29385E6B">
                  <w:pPr>
                    <w:pStyle w:val="13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12.在永久基本农田集中区域</w:t>
                  </w:r>
                  <w:r>
                    <w:rPr>
                      <w:rFonts w:hint="eastAsia" w:ascii="Times New Roman" w:hAnsi="Times New Roman" w:eastAsia="宋体" w:cs="Times New Roman"/>
                      <w:color w:val="auto"/>
                      <w:spacing w:val="0"/>
                      <w:position w:val="0"/>
                      <w:sz w:val="21"/>
                      <w:szCs w:val="21"/>
                      <w:highlight w:val="none"/>
                      <w:lang w:eastAsia="zh-CN"/>
                    </w:rPr>
                    <w:t>，</w:t>
                  </w:r>
                  <w:r>
                    <w:rPr>
                      <w:rFonts w:hint="default" w:ascii="Times New Roman" w:hAnsi="Times New Roman" w:eastAsia="宋体" w:cs="Times New Roman"/>
                      <w:color w:val="auto"/>
                      <w:spacing w:val="0"/>
                      <w:position w:val="0"/>
                      <w:sz w:val="21"/>
                      <w:szCs w:val="21"/>
                      <w:highlight w:val="none"/>
                    </w:rPr>
                    <w:t>已建成可能造成土壤污染的建设项目</w:t>
                  </w:r>
                  <w:r>
                    <w:rPr>
                      <w:rFonts w:hint="eastAsia" w:ascii="Times New Roman" w:hAnsi="Times New Roman" w:eastAsia="宋体" w:cs="Times New Roman"/>
                      <w:color w:val="auto"/>
                      <w:spacing w:val="0"/>
                      <w:position w:val="0"/>
                      <w:sz w:val="21"/>
                      <w:szCs w:val="21"/>
                      <w:highlight w:val="none"/>
                      <w:lang w:eastAsia="zh-CN"/>
                    </w:rPr>
                    <w:t>，</w:t>
                  </w:r>
                  <w:r>
                    <w:rPr>
                      <w:rFonts w:hint="default" w:ascii="Times New Roman" w:hAnsi="Times New Roman" w:eastAsia="宋体" w:cs="Times New Roman"/>
                      <w:color w:val="auto"/>
                      <w:spacing w:val="0"/>
                      <w:position w:val="0"/>
                      <w:sz w:val="21"/>
                      <w:szCs w:val="21"/>
                      <w:highlight w:val="none"/>
                    </w:rPr>
                    <w:t>应当限期关闭拆除。</w:t>
                  </w:r>
                </w:p>
                <w:p w14:paraId="4640119D">
                  <w:pPr>
                    <w:pStyle w:val="13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13.禁止任何单位和个人闲置、荒芜基本农田。</w:t>
                  </w:r>
                </w:p>
              </w:tc>
              <w:tc>
                <w:tcPr>
                  <w:tcW w:w="527" w:type="pct"/>
                  <w:vAlign w:val="center"/>
                </w:tcPr>
                <w:p w14:paraId="00CBA3D8">
                  <w:pPr>
                    <w:pStyle w:val="13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eastAsia="宋体" w:cs="Times New Roman"/>
                      <w:color w:val="auto"/>
                      <w:spacing w:val="0"/>
                      <w:position w:val="0"/>
                      <w:sz w:val="21"/>
                      <w:szCs w:val="21"/>
                      <w:highlight w:val="none"/>
                      <w:lang w:val="en-US" w:eastAsia="zh-CN"/>
                    </w:rPr>
                    <w:t>本项目不占用基本农田</w:t>
                  </w:r>
                  <w:r>
                    <w:rPr>
                      <w:rFonts w:hint="eastAsia" w:ascii="Times New Roman" w:hAnsi="Times New Roman" w:eastAsia="宋体" w:cs="Times New Roman"/>
                      <w:color w:val="auto"/>
                      <w:spacing w:val="0"/>
                      <w:position w:val="0"/>
                      <w:sz w:val="21"/>
                      <w:szCs w:val="21"/>
                      <w:highlight w:val="none"/>
                      <w:lang w:val="en-US" w:eastAsia="zh-CN"/>
                    </w:rPr>
                    <w:t>，</w:t>
                  </w:r>
                  <w:r>
                    <w:rPr>
                      <w:rFonts w:hint="default" w:ascii="Times New Roman" w:hAnsi="Times New Roman" w:eastAsia="宋体" w:cs="Times New Roman"/>
                      <w:color w:val="auto"/>
                      <w:spacing w:val="0"/>
                      <w:position w:val="0"/>
                      <w:sz w:val="21"/>
                      <w:szCs w:val="21"/>
                      <w:highlight w:val="none"/>
                      <w:lang w:val="en-US" w:eastAsia="zh-CN"/>
                    </w:rPr>
                    <w:t>利用</w:t>
                  </w:r>
                  <w:r>
                    <w:rPr>
                      <w:rFonts w:hint="eastAsia" w:ascii="Times New Roman" w:hAnsi="Times New Roman" w:eastAsia="宋体" w:cs="Times New Roman"/>
                      <w:color w:val="auto"/>
                      <w:spacing w:val="0"/>
                      <w:position w:val="0"/>
                      <w:sz w:val="21"/>
                      <w:szCs w:val="21"/>
                      <w:highlight w:val="none"/>
                      <w:lang w:val="en-US" w:eastAsia="zh-CN"/>
                    </w:rPr>
                    <w:t>现有厂区进行改造，</w:t>
                  </w:r>
                  <w:r>
                    <w:rPr>
                      <w:rFonts w:hint="default" w:ascii="Times New Roman" w:hAnsi="Times New Roman" w:eastAsia="宋体" w:cs="Times New Roman"/>
                      <w:color w:val="auto"/>
                      <w:spacing w:val="0"/>
                      <w:position w:val="0"/>
                      <w:sz w:val="21"/>
                      <w:szCs w:val="21"/>
                      <w:highlight w:val="none"/>
                      <w:lang w:val="en-US" w:eastAsia="zh-CN"/>
                    </w:rPr>
                    <w:t>符合要求</w:t>
                  </w:r>
                </w:p>
              </w:tc>
            </w:tr>
            <w:tr w14:paraId="086C0B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6" w:hRule="atLeast"/>
                <w:jc w:val="center"/>
              </w:trPr>
              <w:tc>
                <w:tcPr>
                  <w:tcW w:w="401" w:type="pct"/>
                  <w:vMerge w:val="continue"/>
                  <w:vAlign w:val="center"/>
                </w:tcPr>
                <w:p w14:paraId="07F7386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olor w:val="auto"/>
                      <w:spacing w:val="0"/>
                      <w:position w:val="0"/>
                      <w:sz w:val="21"/>
                      <w:szCs w:val="21"/>
                      <w:highlight w:val="none"/>
                    </w:rPr>
                  </w:pPr>
                </w:p>
              </w:tc>
              <w:tc>
                <w:tcPr>
                  <w:tcW w:w="380" w:type="pct"/>
                  <w:vMerge w:val="continue"/>
                  <w:vAlign w:val="center"/>
                </w:tcPr>
                <w:p w14:paraId="48A437E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olor w:val="auto"/>
                      <w:spacing w:val="0"/>
                      <w:position w:val="0"/>
                      <w:sz w:val="21"/>
                      <w:szCs w:val="21"/>
                      <w:highlight w:val="none"/>
                    </w:rPr>
                  </w:pPr>
                </w:p>
              </w:tc>
              <w:tc>
                <w:tcPr>
                  <w:tcW w:w="405" w:type="pct"/>
                  <w:vMerge w:val="continue"/>
                  <w:vAlign w:val="center"/>
                </w:tcPr>
                <w:p w14:paraId="3F952F5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olor w:val="auto"/>
                      <w:spacing w:val="0"/>
                      <w:position w:val="0"/>
                      <w:sz w:val="21"/>
                      <w:szCs w:val="21"/>
                      <w:highlight w:val="none"/>
                    </w:rPr>
                  </w:pPr>
                </w:p>
              </w:tc>
              <w:tc>
                <w:tcPr>
                  <w:tcW w:w="302" w:type="pct"/>
                  <w:vMerge w:val="continue"/>
                  <w:vAlign w:val="center"/>
                </w:tcPr>
                <w:p w14:paraId="7A1D5CE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olor w:val="auto"/>
                      <w:spacing w:val="0"/>
                      <w:position w:val="0"/>
                      <w:sz w:val="21"/>
                      <w:szCs w:val="21"/>
                      <w:highlight w:val="none"/>
                    </w:rPr>
                  </w:pPr>
                </w:p>
              </w:tc>
              <w:tc>
                <w:tcPr>
                  <w:tcW w:w="396" w:type="pct"/>
                  <w:vAlign w:val="center"/>
                </w:tcPr>
                <w:p w14:paraId="030B5266">
                  <w:pPr>
                    <w:pStyle w:val="13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污染物排放管控</w:t>
                  </w:r>
                </w:p>
              </w:tc>
              <w:tc>
                <w:tcPr>
                  <w:tcW w:w="2584" w:type="pct"/>
                  <w:vAlign w:val="center"/>
                </w:tcPr>
                <w:p w14:paraId="2B6B72AE">
                  <w:pPr>
                    <w:pStyle w:val="13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执行现有法律法规和政策文件</w:t>
                  </w:r>
                </w:p>
              </w:tc>
              <w:tc>
                <w:tcPr>
                  <w:tcW w:w="527" w:type="pct"/>
                  <w:vAlign w:val="center"/>
                </w:tcPr>
                <w:p w14:paraId="57A45868">
                  <w:pPr>
                    <w:pStyle w:val="13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eastAsia="宋体" w:cs="Times New Roman"/>
                      <w:color w:val="auto"/>
                      <w:spacing w:val="0"/>
                      <w:position w:val="0"/>
                      <w:sz w:val="21"/>
                      <w:szCs w:val="21"/>
                      <w:highlight w:val="none"/>
                      <w:lang w:val="en-US" w:eastAsia="zh-CN"/>
                    </w:rPr>
                    <w:t>项目污染物达标排放</w:t>
                  </w:r>
                </w:p>
              </w:tc>
            </w:tr>
            <w:tr w14:paraId="6C17E4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6" w:hRule="atLeast"/>
                <w:jc w:val="center"/>
              </w:trPr>
              <w:tc>
                <w:tcPr>
                  <w:tcW w:w="401" w:type="pct"/>
                  <w:vMerge w:val="continue"/>
                  <w:vAlign w:val="center"/>
                </w:tcPr>
                <w:p w14:paraId="1F9B371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olor w:val="auto"/>
                      <w:spacing w:val="0"/>
                      <w:position w:val="0"/>
                      <w:sz w:val="21"/>
                      <w:szCs w:val="21"/>
                      <w:highlight w:val="none"/>
                    </w:rPr>
                  </w:pPr>
                </w:p>
              </w:tc>
              <w:tc>
                <w:tcPr>
                  <w:tcW w:w="380" w:type="pct"/>
                  <w:vMerge w:val="continue"/>
                  <w:vAlign w:val="center"/>
                </w:tcPr>
                <w:p w14:paraId="5DF629E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olor w:val="auto"/>
                      <w:spacing w:val="0"/>
                      <w:position w:val="0"/>
                      <w:sz w:val="21"/>
                      <w:szCs w:val="21"/>
                      <w:highlight w:val="none"/>
                    </w:rPr>
                  </w:pPr>
                </w:p>
              </w:tc>
              <w:tc>
                <w:tcPr>
                  <w:tcW w:w="405" w:type="pct"/>
                  <w:vMerge w:val="continue"/>
                  <w:vAlign w:val="center"/>
                </w:tcPr>
                <w:p w14:paraId="1EA939F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olor w:val="auto"/>
                      <w:spacing w:val="0"/>
                      <w:position w:val="0"/>
                      <w:sz w:val="21"/>
                      <w:szCs w:val="21"/>
                      <w:highlight w:val="none"/>
                    </w:rPr>
                  </w:pPr>
                </w:p>
              </w:tc>
              <w:tc>
                <w:tcPr>
                  <w:tcW w:w="302" w:type="pct"/>
                  <w:vMerge w:val="continue"/>
                  <w:vAlign w:val="center"/>
                </w:tcPr>
                <w:p w14:paraId="1211F4A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olor w:val="auto"/>
                      <w:spacing w:val="0"/>
                      <w:position w:val="0"/>
                      <w:sz w:val="21"/>
                      <w:szCs w:val="21"/>
                      <w:highlight w:val="none"/>
                    </w:rPr>
                  </w:pPr>
                </w:p>
              </w:tc>
              <w:tc>
                <w:tcPr>
                  <w:tcW w:w="396" w:type="pct"/>
                  <w:vAlign w:val="center"/>
                </w:tcPr>
                <w:p w14:paraId="414E4B4C">
                  <w:pPr>
                    <w:pStyle w:val="13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资源开发效率要求</w:t>
                  </w:r>
                </w:p>
              </w:tc>
              <w:tc>
                <w:tcPr>
                  <w:tcW w:w="2584" w:type="pct"/>
                  <w:vAlign w:val="center"/>
                </w:tcPr>
                <w:p w14:paraId="1E843FC5">
                  <w:pPr>
                    <w:pStyle w:val="13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执行现有法律法规和政策文件</w:t>
                  </w:r>
                </w:p>
              </w:tc>
              <w:tc>
                <w:tcPr>
                  <w:tcW w:w="527" w:type="pct"/>
                  <w:shd w:val="clear" w:color="auto" w:fill="auto"/>
                  <w:vAlign w:val="center"/>
                </w:tcPr>
                <w:p w14:paraId="4D95244C">
                  <w:pPr>
                    <w:pStyle w:val="13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2"/>
                      <w:position w:val="0"/>
                      <w:sz w:val="21"/>
                      <w:szCs w:val="21"/>
                      <w:highlight w:val="none"/>
                      <w:lang w:val="en-US" w:eastAsia="zh-CN" w:bidi="ar-SA"/>
                    </w:rPr>
                  </w:pPr>
                  <w:r>
                    <w:rPr>
                      <w:rFonts w:hint="default" w:ascii="Times New Roman" w:hAnsi="Times New Roman" w:eastAsia="宋体" w:cs="Times New Roman"/>
                      <w:color w:val="auto"/>
                      <w:spacing w:val="0"/>
                      <w:position w:val="0"/>
                      <w:sz w:val="21"/>
                      <w:szCs w:val="21"/>
                      <w:highlight w:val="none"/>
                      <w:lang w:val="en-US" w:eastAsia="zh-CN"/>
                    </w:rPr>
                    <w:t>项目仅涉及少量能源消耗</w:t>
                  </w:r>
                </w:p>
              </w:tc>
            </w:tr>
          </w:tbl>
          <w:p w14:paraId="343D3D1A">
            <w:pPr>
              <w:pStyle w:val="136"/>
              <w:keepNext w:val="0"/>
              <w:keepLines w:val="0"/>
              <w:pageBreakBefore w:val="0"/>
              <w:widowControl w:val="0"/>
              <w:numPr>
                <w:ilvl w:val="0"/>
                <w:numId w:val="0"/>
              </w:numPr>
              <w:kinsoku/>
              <w:wordWrap/>
              <w:overflowPunct/>
              <w:topLinePunct w:val="0"/>
              <w:autoSpaceDE w:val="0"/>
              <w:autoSpaceDN w:val="0"/>
              <w:bidi w:val="0"/>
              <w:adjustRightInd w:val="0"/>
              <w:snapToGrid/>
              <w:spacing w:before="157" w:beforeLines="50" w:line="360" w:lineRule="auto"/>
              <w:ind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bidi="ar"/>
              </w:rPr>
              <w:t>综上</w:t>
            </w:r>
            <w:r>
              <w:rPr>
                <w:rFonts w:hint="eastAsia" w:ascii="Times New Roman" w:hAnsi="Times New Roman" w:eastAsia="宋体" w:cs="Times New Roman"/>
                <w:color w:val="auto"/>
                <w:sz w:val="24"/>
                <w:szCs w:val="24"/>
                <w:highlight w:val="none"/>
                <w:lang w:eastAsia="zh-CN" w:bidi="ar"/>
              </w:rPr>
              <w:t>，</w:t>
            </w:r>
            <w:r>
              <w:rPr>
                <w:rFonts w:hint="default" w:ascii="Times New Roman" w:hAnsi="Times New Roman" w:eastAsia="宋体" w:cs="Times New Roman"/>
                <w:color w:val="auto"/>
                <w:sz w:val="24"/>
                <w:szCs w:val="24"/>
                <w:highlight w:val="none"/>
                <w:lang w:bidi="ar"/>
              </w:rPr>
              <w:t>项目在满足污染物达标排放、总量控制及相关环境管理要求的情况下</w:t>
            </w:r>
            <w:r>
              <w:rPr>
                <w:rFonts w:hint="eastAsia" w:ascii="Times New Roman" w:hAnsi="Times New Roman" w:eastAsia="宋体" w:cs="Times New Roman"/>
                <w:color w:val="auto"/>
                <w:sz w:val="24"/>
                <w:szCs w:val="24"/>
                <w:highlight w:val="none"/>
                <w:lang w:eastAsia="zh-CN" w:bidi="ar"/>
              </w:rPr>
              <w:t>，</w:t>
            </w:r>
            <w:r>
              <w:rPr>
                <w:rFonts w:hint="default" w:ascii="Times New Roman" w:hAnsi="Times New Roman" w:eastAsia="宋体" w:cs="Times New Roman"/>
                <w:color w:val="auto"/>
                <w:sz w:val="24"/>
                <w:szCs w:val="24"/>
                <w:highlight w:val="none"/>
                <w:lang w:bidi="ar"/>
              </w:rPr>
              <w:t>对评价区域环境影响较小</w:t>
            </w:r>
            <w:r>
              <w:rPr>
                <w:rFonts w:hint="eastAsia" w:ascii="Times New Roman" w:hAnsi="Times New Roman" w:eastAsia="宋体" w:cs="Times New Roman"/>
                <w:color w:val="auto"/>
                <w:sz w:val="24"/>
                <w:szCs w:val="24"/>
                <w:highlight w:val="none"/>
                <w:lang w:eastAsia="zh-CN" w:bidi="ar"/>
              </w:rPr>
              <w:t>，</w:t>
            </w:r>
            <w:r>
              <w:rPr>
                <w:rFonts w:hint="default" w:ascii="Times New Roman" w:hAnsi="Times New Roman" w:eastAsia="宋体" w:cs="Times New Roman"/>
                <w:color w:val="auto"/>
                <w:sz w:val="24"/>
                <w:szCs w:val="24"/>
                <w:highlight w:val="none"/>
                <w:lang w:bidi="ar"/>
              </w:rPr>
              <w:t>满足环境质量底线要求</w:t>
            </w:r>
            <w:r>
              <w:rPr>
                <w:rFonts w:hint="eastAsia" w:ascii="Times New Roman" w:hAnsi="Times New Roman" w:eastAsia="宋体" w:cs="Times New Roman"/>
                <w:color w:val="auto"/>
                <w:sz w:val="24"/>
                <w:szCs w:val="24"/>
                <w:highlight w:val="none"/>
                <w:lang w:eastAsia="zh-CN" w:bidi="ar"/>
              </w:rPr>
              <w:t>，</w:t>
            </w:r>
            <w:r>
              <w:rPr>
                <w:rFonts w:hint="default" w:ascii="Times New Roman" w:hAnsi="Times New Roman" w:eastAsia="宋体" w:cs="Times New Roman"/>
                <w:color w:val="auto"/>
                <w:sz w:val="24"/>
                <w:szCs w:val="24"/>
                <w:highlight w:val="none"/>
                <w:lang w:bidi="ar"/>
              </w:rPr>
              <w:t>不会降低区域环境功能级别。</w:t>
            </w:r>
          </w:p>
          <w:p w14:paraId="4DE556F3">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（2）生态保护红线</w:t>
            </w:r>
          </w:p>
          <w:p w14:paraId="2C89E458">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本项目用地位于</w:t>
            </w:r>
            <w:r>
              <w:rPr>
                <w:rStyle w:val="43"/>
                <w:rFonts w:hint="eastAsia" w:cs="Times New Roman"/>
                <w:color w:val="auto"/>
                <w:spacing w:val="0"/>
                <w:kern w:val="0"/>
                <w:position w:val="0"/>
                <w:sz w:val="24"/>
                <w:szCs w:val="24"/>
                <w:highlight w:val="none"/>
                <w:u w:val="none"/>
                <w:lang w:eastAsia="zh-CN"/>
              </w:rPr>
              <w:t>淮北市烈山区古饶镇烈山经济开发区南塘路与邱家沟交叉口东北角1号</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根据淮北市生态保护红线区域分布</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位于淮北市生态保护红线区域之外</w:t>
            </w:r>
            <w:r>
              <w:rPr>
                <w:rFonts w:hint="eastAsia" w:cs="Times New Roman"/>
                <w:color w:val="auto"/>
                <w:sz w:val="24"/>
                <w:szCs w:val="24"/>
                <w:highlight w:val="none"/>
                <w:lang w:val="en-US" w:eastAsia="zh-CN"/>
              </w:rPr>
              <w:t>（见附图7）</w:t>
            </w:r>
            <w:r>
              <w:rPr>
                <w:rFonts w:hint="default" w:ascii="Times New Roman" w:hAnsi="Times New Roman" w:eastAsia="宋体" w:cs="Times New Roman"/>
                <w:color w:val="auto"/>
                <w:sz w:val="24"/>
                <w:szCs w:val="24"/>
                <w:highlight w:val="none"/>
                <w:lang w:val="en-US" w:eastAsia="zh-CN"/>
              </w:rPr>
              <w:t>。项目用地范围内不涉及生态保护红线和一般生态空间</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符合生态保护红线管控要求和一般生态空间管控要求。项目建设符合生态红线区域保护规划的要求。</w:t>
            </w:r>
          </w:p>
          <w:p w14:paraId="700D542E">
            <w:pPr>
              <w:pStyle w:val="136"/>
              <w:keepNext w:val="0"/>
              <w:keepLines w:val="0"/>
              <w:pageBreakBefore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kern w:val="0"/>
                <w:sz w:val="24"/>
                <w:szCs w:val="24"/>
                <w:highlight w:val="none"/>
              </w:rPr>
              <w:t>资源利用上线</w:t>
            </w:r>
          </w:p>
          <w:p w14:paraId="1C2BF19E">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rPr>
              <w:t>项目</w:t>
            </w:r>
            <w:r>
              <w:rPr>
                <w:rFonts w:hint="eastAsia" w:cs="Times New Roman"/>
                <w:color w:val="auto"/>
                <w:sz w:val="24"/>
                <w:szCs w:val="24"/>
                <w:highlight w:val="none"/>
                <w:lang w:eastAsia="zh-CN"/>
              </w:rPr>
              <w:t>租赁已建成厂房</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所用原辅材料均不属于致癌、致畸、致突变的</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三致物质</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和《剧毒化学品名录》中规定的剧毒物质；</w:t>
            </w:r>
            <w:r>
              <w:rPr>
                <w:rFonts w:hint="default" w:ascii="Times New Roman" w:hAnsi="Times New Roman" w:eastAsia="宋体" w:cs="Times New Roman"/>
                <w:color w:val="auto"/>
                <w:sz w:val="24"/>
                <w:szCs w:val="24"/>
                <w:highlight w:val="none"/>
                <w:lang w:val="en-US" w:eastAsia="zh-CN"/>
              </w:rPr>
              <w:t>本</w:t>
            </w:r>
            <w:r>
              <w:rPr>
                <w:rFonts w:hint="default" w:ascii="Times New Roman" w:hAnsi="Times New Roman" w:eastAsia="宋体" w:cs="Times New Roman"/>
                <w:color w:val="auto"/>
                <w:kern w:val="0"/>
                <w:sz w:val="24"/>
                <w:szCs w:val="24"/>
                <w:highlight w:val="none"/>
              </w:rPr>
              <w:t>项目主要能耗为</w:t>
            </w:r>
            <w:r>
              <w:rPr>
                <w:rFonts w:hint="default" w:ascii="Times New Roman" w:hAnsi="Times New Roman" w:eastAsia="宋体" w:cs="Times New Roman"/>
                <w:color w:val="auto"/>
                <w:kern w:val="0"/>
                <w:sz w:val="24"/>
                <w:szCs w:val="24"/>
                <w:highlight w:val="none"/>
                <w:lang w:val="en-US" w:eastAsia="zh-CN"/>
              </w:rPr>
              <w:t>水和</w:t>
            </w:r>
            <w:r>
              <w:rPr>
                <w:rFonts w:hint="default" w:ascii="Times New Roman" w:hAnsi="Times New Roman" w:eastAsia="宋体" w:cs="Times New Roman"/>
                <w:color w:val="auto"/>
                <w:kern w:val="0"/>
                <w:sz w:val="24"/>
                <w:szCs w:val="24"/>
                <w:highlight w:val="none"/>
              </w:rPr>
              <w:t>电能</w:t>
            </w:r>
            <w:r>
              <w:rPr>
                <w:rFonts w:hint="eastAsia"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lang w:val="en-US" w:eastAsia="zh-CN"/>
              </w:rPr>
              <w:t>能耗</w:t>
            </w:r>
            <w:r>
              <w:rPr>
                <w:rFonts w:hint="default" w:ascii="Times New Roman" w:hAnsi="Times New Roman" w:eastAsia="宋体" w:cs="Times New Roman"/>
                <w:color w:val="auto"/>
                <w:kern w:val="0"/>
                <w:sz w:val="24"/>
                <w:szCs w:val="24"/>
                <w:highlight w:val="none"/>
              </w:rPr>
              <w:t>区域可接受。用水主要为</w:t>
            </w:r>
            <w:r>
              <w:rPr>
                <w:rFonts w:hint="default" w:ascii="Times New Roman" w:hAnsi="Times New Roman" w:eastAsia="宋体" w:cs="Times New Roman"/>
                <w:color w:val="auto"/>
                <w:kern w:val="0"/>
                <w:sz w:val="24"/>
                <w:szCs w:val="24"/>
                <w:highlight w:val="none"/>
                <w:lang w:val="en-US" w:eastAsia="zh-CN" w:bidi="ar"/>
              </w:rPr>
              <w:t>生活用水</w:t>
            </w:r>
            <w:r>
              <w:rPr>
                <w:rFonts w:hint="eastAsia" w:cs="Times New Roman"/>
                <w:color w:val="auto"/>
                <w:kern w:val="0"/>
                <w:sz w:val="24"/>
                <w:szCs w:val="24"/>
                <w:highlight w:val="none"/>
                <w:lang w:val="en-US" w:eastAsia="zh-CN" w:bidi="ar"/>
              </w:rPr>
              <w:t>，由市政供水管网供给</w:t>
            </w:r>
            <w:r>
              <w:rPr>
                <w:rFonts w:hint="default" w:ascii="Times New Roman" w:hAnsi="Times New Roman" w:eastAsia="宋体" w:cs="Times New Roman"/>
                <w:color w:val="auto"/>
                <w:kern w:val="0"/>
                <w:sz w:val="24"/>
                <w:szCs w:val="24"/>
                <w:highlight w:val="none"/>
              </w:rPr>
              <w:t>；</w:t>
            </w:r>
            <w:r>
              <w:rPr>
                <w:rFonts w:hint="default" w:ascii="Times New Roman" w:hAnsi="Times New Roman" w:eastAsia="宋体" w:cs="Times New Roman"/>
                <w:color w:val="auto"/>
                <w:kern w:val="0"/>
                <w:sz w:val="24"/>
                <w:szCs w:val="24"/>
                <w:highlight w:val="none"/>
                <w:lang w:val="en-US" w:eastAsia="zh-CN"/>
              </w:rPr>
              <w:t>本</w:t>
            </w:r>
            <w:r>
              <w:rPr>
                <w:rFonts w:hint="default" w:ascii="Times New Roman" w:hAnsi="Times New Roman" w:eastAsia="宋体" w:cs="Times New Roman"/>
                <w:color w:val="auto"/>
                <w:kern w:val="0"/>
                <w:sz w:val="24"/>
                <w:szCs w:val="24"/>
                <w:highlight w:val="none"/>
              </w:rPr>
              <w:t>项目所在地不属于资源、能源紧缺区域</w:t>
            </w:r>
            <w:r>
              <w:rPr>
                <w:rFonts w:hint="eastAsia"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项目营运期间不会超过区域的资源利用上线。</w:t>
            </w:r>
          </w:p>
          <w:p w14:paraId="3B0C6DA6">
            <w:pPr>
              <w:pStyle w:val="136"/>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kern w:val="0"/>
                <w:sz w:val="24"/>
                <w:szCs w:val="24"/>
                <w:highlight w:val="none"/>
                <w:lang w:val="en-US" w:eastAsia="zh-CN"/>
              </w:rPr>
              <w:t>环境准入负面清单</w:t>
            </w:r>
          </w:p>
          <w:p w14:paraId="19290A69">
            <w:pPr>
              <w:pStyle w:val="8"/>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position w:val="0"/>
                <w:highlight w:val="none"/>
                <w:lang w:eastAsia="zh-CN"/>
              </w:rPr>
            </w:pPr>
            <w:r>
              <w:rPr>
                <w:rFonts w:hint="default" w:ascii="Times New Roman" w:hAnsi="Times New Roman" w:eastAsia="宋体" w:cs="Times New Roman"/>
                <w:color w:val="auto"/>
                <w:spacing w:val="0"/>
                <w:position w:val="0"/>
                <w:highlight w:val="none"/>
                <w:lang w:val="en-US" w:eastAsia="zh-CN"/>
              </w:rPr>
              <w:t>本环评对照国家及地方产业政策和《市场准入负面清单（202</w:t>
            </w:r>
            <w:r>
              <w:rPr>
                <w:rFonts w:hint="eastAsia" w:cs="Times New Roman"/>
                <w:color w:val="auto"/>
                <w:spacing w:val="0"/>
                <w:position w:val="0"/>
                <w:highlight w:val="none"/>
                <w:lang w:val="en-US" w:eastAsia="zh-CN"/>
              </w:rPr>
              <w:t>5</w:t>
            </w:r>
            <w:r>
              <w:rPr>
                <w:rFonts w:hint="default" w:ascii="Times New Roman" w:hAnsi="Times New Roman" w:eastAsia="宋体" w:cs="Times New Roman"/>
                <w:color w:val="auto"/>
                <w:spacing w:val="0"/>
                <w:position w:val="0"/>
                <w:highlight w:val="none"/>
                <w:lang w:val="en-US" w:eastAsia="zh-CN"/>
              </w:rPr>
              <w:t>年版）》进行说明：项目为</w:t>
            </w:r>
            <w:r>
              <w:rPr>
                <w:rFonts w:hint="eastAsia" w:cs="Times New Roman"/>
                <w:color w:val="auto"/>
                <w:spacing w:val="0"/>
                <w:position w:val="0"/>
                <w:highlight w:val="none"/>
                <w:lang w:val="en-US" w:eastAsia="zh-CN"/>
              </w:rPr>
              <w:t>“</w:t>
            </w:r>
            <w:r>
              <w:rPr>
                <w:rFonts w:hint="default" w:ascii="Times New Roman" w:hAnsi="Times New Roman" w:eastAsia="宋体" w:cs="Times New Roman"/>
                <w:color w:val="auto"/>
                <w:spacing w:val="0"/>
                <w:position w:val="0"/>
                <w:highlight w:val="none"/>
                <w:lang w:val="en-US" w:eastAsia="zh-CN"/>
              </w:rPr>
              <w:t>C2542 生物质致密成型燃料加工</w:t>
            </w:r>
            <w:r>
              <w:rPr>
                <w:rFonts w:hint="eastAsia" w:cs="Times New Roman"/>
                <w:color w:val="auto"/>
                <w:spacing w:val="0"/>
                <w:position w:val="0"/>
                <w:highlight w:val="none"/>
                <w:lang w:val="en-US" w:eastAsia="zh-CN"/>
              </w:rPr>
              <w:t>”</w:t>
            </w:r>
            <w:r>
              <w:rPr>
                <w:rFonts w:hint="eastAsia" w:ascii="Times New Roman" w:hAnsi="Times New Roman" w:eastAsia="宋体" w:cs="Times New Roman"/>
                <w:color w:val="auto"/>
                <w:spacing w:val="0"/>
                <w:position w:val="0"/>
                <w:highlight w:val="none"/>
                <w:lang w:val="en-US" w:eastAsia="zh-CN"/>
              </w:rPr>
              <w:t>，</w:t>
            </w:r>
            <w:r>
              <w:rPr>
                <w:rFonts w:hint="default" w:ascii="Times New Roman" w:hAnsi="Times New Roman" w:eastAsia="宋体" w:cs="Times New Roman"/>
                <w:color w:val="auto"/>
                <w:spacing w:val="0"/>
                <w:position w:val="0"/>
                <w:highlight w:val="none"/>
                <w:lang w:val="en-US" w:eastAsia="zh-CN"/>
              </w:rPr>
              <w:t>不属于《市场准入负面清单（202</w:t>
            </w:r>
            <w:r>
              <w:rPr>
                <w:rFonts w:hint="eastAsia" w:cs="Times New Roman"/>
                <w:color w:val="auto"/>
                <w:spacing w:val="0"/>
                <w:position w:val="0"/>
                <w:highlight w:val="none"/>
                <w:lang w:val="en-US" w:eastAsia="zh-CN"/>
              </w:rPr>
              <w:t>5</w:t>
            </w:r>
            <w:r>
              <w:rPr>
                <w:rFonts w:hint="default" w:ascii="Times New Roman" w:hAnsi="Times New Roman" w:eastAsia="宋体" w:cs="Times New Roman"/>
                <w:color w:val="auto"/>
                <w:spacing w:val="0"/>
                <w:position w:val="0"/>
                <w:highlight w:val="none"/>
                <w:lang w:val="en-US" w:eastAsia="zh-CN"/>
              </w:rPr>
              <w:t>年版）》中禁止准入类项目。根据《产业结构调整指导目录（2024年本）》</w:t>
            </w:r>
            <w:r>
              <w:rPr>
                <w:rFonts w:hint="eastAsia" w:ascii="Times New Roman" w:hAnsi="Times New Roman" w:eastAsia="宋体" w:cs="Times New Roman"/>
                <w:color w:val="auto"/>
                <w:spacing w:val="0"/>
                <w:position w:val="0"/>
                <w:highlight w:val="none"/>
                <w:lang w:val="en-US" w:eastAsia="zh-CN"/>
              </w:rPr>
              <w:t>，</w:t>
            </w:r>
            <w:r>
              <w:rPr>
                <w:rFonts w:hint="default" w:ascii="Times New Roman" w:hAnsi="Times New Roman" w:eastAsia="宋体" w:cs="Times New Roman"/>
                <w:color w:val="auto"/>
                <w:spacing w:val="0"/>
                <w:position w:val="0"/>
                <w:highlight w:val="none"/>
                <w:lang w:val="en-US" w:eastAsia="zh-CN"/>
              </w:rPr>
              <w:t>项目属于属于其中鼓励类</w:t>
            </w:r>
            <w:r>
              <w:rPr>
                <w:rFonts w:hint="eastAsia" w:cs="Times New Roman"/>
                <w:color w:val="auto"/>
                <w:spacing w:val="0"/>
                <w:position w:val="0"/>
                <w:highlight w:val="none"/>
                <w:lang w:val="en-US" w:eastAsia="zh-CN"/>
              </w:rPr>
              <w:t>“</w:t>
            </w:r>
            <w:r>
              <w:rPr>
                <w:rFonts w:hint="default" w:ascii="Times New Roman" w:hAnsi="Times New Roman" w:eastAsia="宋体" w:cs="Times New Roman"/>
                <w:color w:val="auto"/>
                <w:spacing w:val="0"/>
                <w:position w:val="0"/>
                <w:highlight w:val="none"/>
                <w:lang w:val="en-US" w:eastAsia="zh-CN"/>
              </w:rPr>
              <w:t>一、农林牧渔业</w:t>
            </w:r>
            <w:r>
              <w:rPr>
                <w:rFonts w:hint="eastAsia" w:cs="Times New Roman"/>
                <w:color w:val="auto"/>
                <w:spacing w:val="0"/>
                <w:position w:val="0"/>
                <w:highlight w:val="none"/>
                <w:lang w:val="en-US" w:eastAsia="zh-CN"/>
              </w:rPr>
              <w:t>”</w:t>
            </w:r>
            <w:r>
              <w:rPr>
                <w:rFonts w:hint="default" w:ascii="Times New Roman" w:hAnsi="Times New Roman" w:eastAsia="宋体" w:cs="Times New Roman"/>
                <w:color w:val="auto"/>
                <w:spacing w:val="0"/>
                <w:position w:val="0"/>
                <w:highlight w:val="none"/>
                <w:lang w:val="en-US" w:eastAsia="zh-CN"/>
              </w:rPr>
              <w:t>中</w:t>
            </w:r>
            <w:r>
              <w:rPr>
                <w:rFonts w:hint="eastAsia" w:cs="Times New Roman"/>
                <w:color w:val="auto"/>
                <w:spacing w:val="0"/>
                <w:position w:val="0"/>
                <w:highlight w:val="none"/>
                <w:lang w:val="en-US" w:eastAsia="zh-CN"/>
              </w:rPr>
              <w:t>“</w:t>
            </w:r>
            <w:r>
              <w:rPr>
                <w:rFonts w:hint="default" w:ascii="Times New Roman" w:hAnsi="Times New Roman" w:eastAsia="宋体" w:cs="Times New Roman"/>
                <w:color w:val="auto"/>
                <w:spacing w:val="0"/>
                <w:position w:val="0"/>
                <w:highlight w:val="none"/>
                <w:lang w:val="en-US" w:eastAsia="zh-CN"/>
              </w:rPr>
              <w:t>17．可再生资源综合利用：农作物秸秆综合利用（秸秆收储运体系建设、秸秆肥料化利用、秸秆饲料化利用、秸秆能源化利用、秸秆基料化利用、秸秆原料化利用等），农村可再生资源综合利用开发工程（沼气工程、生物天然气工程、再生资源综合利用、沼气发电、生物质能清洁供热、秸秆气化清洁能源利用工程、废弃菌棒利用、太阳能利用）</w:t>
            </w:r>
            <w:r>
              <w:rPr>
                <w:rFonts w:hint="eastAsia" w:cs="Times New Roman"/>
                <w:color w:val="auto"/>
                <w:spacing w:val="0"/>
                <w:position w:val="0"/>
                <w:highlight w:val="none"/>
                <w:lang w:val="en-US" w:eastAsia="zh-CN"/>
              </w:rPr>
              <w:t>”</w:t>
            </w:r>
            <w:r>
              <w:rPr>
                <w:rFonts w:hint="default" w:ascii="Times New Roman" w:hAnsi="Times New Roman" w:eastAsia="宋体" w:cs="Times New Roman"/>
                <w:color w:val="auto"/>
                <w:spacing w:val="0"/>
                <w:position w:val="0"/>
                <w:highlight w:val="none"/>
                <w:lang w:val="en-US" w:eastAsia="zh-CN"/>
              </w:rPr>
              <w:t>。项目所在地没有环境准入负面清单</w:t>
            </w:r>
            <w:r>
              <w:rPr>
                <w:rFonts w:hint="eastAsia" w:ascii="Times New Roman" w:hAnsi="Times New Roman" w:eastAsia="宋体" w:cs="Times New Roman"/>
                <w:color w:val="auto"/>
                <w:spacing w:val="0"/>
                <w:position w:val="0"/>
                <w:highlight w:val="none"/>
                <w:lang w:val="en-US" w:eastAsia="zh-CN"/>
              </w:rPr>
              <w:t>，</w:t>
            </w:r>
            <w:r>
              <w:rPr>
                <w:rFonts w:hint="default" w:ascii="Times New Roman" w:hAnsi="Times New Roman" w:eastAsia="宋体" w:cs="Times New Roman"/>
                <w:color w:val="auto"/>
                <w:spacing w:val="0"/>
                <w:position w:val="0"/>
                <w:highlight w:val="none"/>
                <w:lang w:val="en-US" w:eastAsia="zh-CN"/>
              </w:rPr>
              <w:t>相关设备均不属于《安徽省工业产业结构调整指导目录》（2007年本）中明令淘汰使用的范围内。项目符合国家和地方的相关产业政策</w:t>
            </w:r>
            <w:r>
              <w:rPr>
                <w:rFonts w:hint="eastAsia" w:ascii="Times New Roman" w:hAnsi="Times New Roman" w:eastAsia="宋体" w:cs="Times New Roman"/>
                <w:color w:val="auto"/>
                <w:spacing w:val="0"/>
                <w:position w:val="0"/>
                <w:highlight w:val="none"/>
                <w:lang w:val="en-US" w:eastAsia="zh-CN"/>
              </w:rPr>
              <w:t>，</w:t>
            </w:r>
            <w:r>
              <w:rPr>
                <w:rFonts w:hint="default" w:ascii="Times New Roman" w:hAnsi="Times New Roman" w:eastAsia="宋体" w:cs="Times New Roman"/>
                <w:color w:val="auto"/>
                <w:spacing w:val="0"/>
                <w:position w:val="0"/>
                <w:highlight w:val="none"/>
                <w:lang w:val="en-US" w:eastAsia="zh-CN"/>
              </w:rPr>
              <w:t>亦不属于《市场准入负面清单草案（试点版）》中禁止准入类和限制准入类项目</w:t>
            </w:r>
            <w:r>
              <w:rPr>
                <w:rFonts w:hint="eastAsia" w:ascii="Times New Roman" w:hAnsi="Times New Roman" w:eastAsia="宋体" w:cs="Times New Roman"/>
                <w:color w:val="auto"/>
                <w:spacing w:val="0"/>
                <w:position w:val="0"/>
                <w:highlight w:val="none"/>
                <w:lang w:val="en-US" w:eastAsia="zh-CN"/>
              </w:rPr>
              <w:t>，</w:t>
            </w:r>
            <w:r>
              <w:rPr>
                <w:rFonts w:hint="default" w:ascii="Times New Roman" w:hAnsi="Times New Roman" w:eastAsia="宋体" w:cs="Times New Roman"/>
                <w:color w:val="auto"/>
                <w:spacing w:val="0"/>
                <w:position w:val="0"/>
                <w:highlight w:val="none"/>
                <w:lang w:val="en-US" w:eastAsia="zh-CN"/>
              </w:rPr>
              <w:t>且该项目</w:t>
            </w:r>
            <w:r>
              <w:rPr>
                <w:rFonts w:hint="eastAsia" w:cs="Times New Roman"/>
                <w:color w:val="auto"/>
                <w:spacing w:val="0"/>
                <w:position w:val="0"/>
                <w:highlight w:val="none"/>
                <w:lang w:val="en-US" w:eastAsia="zh-CN"/>
              </w:rPr>
              <w:t>已获得安徽淮北烈山经济开发区管委会备案表</w:t>
            </w:r>
            <w:r>
              <w:rPr>
                <w:rFonts w:hint="default" w:ascii="Times New Roman" w:hAnsi="Times New Roman" w:eastAsia="宋体" w:cs="Times New Roman"/>
                <w:color w:val="auto"/>
                <w:spacing w:val="0"/>
                <w:position w:val="0"/>
                <w:highlight w:val="none"/>
                <w:lang w:val="en-US" w:eastAsia="zh-CN"/>
              </w:rPr>
              <w:t>。本项目符合国家和地方的相关产业政策。</w:t>
            </w:r>
          </w:p>
          <w:p w14:paraId="27E7E1D1">
            <w:pPr>
              <w:pageBreakBefore w:val="0"/>
              <w:kinsoku/>
              <w:wordWrap/>
              <w:overflowPunct/>
              <w:topLinePunct w:val="0"/>
              <w:autoSpaceDE/>
              <w:autoSpaceDN/>
              <w:bidi w:val="0"/>
              <w:spacing w:line="360" w:lineRule="auto"/>
              <w:ind w:firstLine="480" w:firstLineChars="200"/>
              <w:textAlignment w:val="auto"/>
              <w:rPr>
                <w:rFonts w:hint="eastAsia"/>
                <w:b/>
                <w:bCs/>
                <w:color w:val="auto"/>
                <w:sz w:val="24"/>
                <w:szCs w:val="24"/>
                <w:highlight w:val="none"/>
              </w:rPr>
            </w:pPr>
            <w:r>
              <w:rPr>
                <w:rFonts w:hint="default" w:ascii="Times New Roman" w:hAnsi="Times New Roman" w:eastAsia="宋体" w:cs="Times New Roman"/>
                <w:color w:val="auto"/>
                <w:kern w:val="0"/>
                <w:sz w:val="24"/>
                <w:szCs w:val="24"/>
                <w:highlight w:val="none"/>
              </w:rPr>
              <w:t>因此项目的建设符合</w:t>
            </w:r>
            <w:r>
              <w:rPr>
                <w:rFonts w:hint="eastAsia"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三线一单</w:t>
            </w:r>
            <w:r>
              <w:rPr>
                <w:rFonts w:hint="eastAsia"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相关要求。</w:t>
            </w:r>
          </w:p>
          <w:p w14:paraId="29735B22">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left"/>
              <w:textAlignment w:val="auto"/>
              <w:rPr>
                <w:rFonts w:ascii="宋体" w:hAnsi="宋体" w:cs="宋体"/>
                <w:color w:val="auto"/>
                <w:sz w:val="24"/>
                <w:szCs w:val="24"/>
                <w:highlight w:val="none"/>
              </w:rPr>
            </w:pPr>
            <w:r>
              <w:rPr>
                <w:rFonts w:hint="eastAsia" w:ascii="宋体" w:hAnsi="宋体" w:cs="宋体"/>
                <w:color w:val="auto"/>
                <w:sz w:val="24"/>
                <w:szCs w:val="24"/>
                <w:highlight w:val="none"/>
              </w:rPr>
              <w:t xml:space="preserve">   </w:t>
            </w:r>
            <w:r>
              <w:rPr>
                <w:rFonts w:hint="eastAsia" w:ascii="宋体" w:hAnsi="宋体" w:cs="宋体"/>
                <w:color w:val="auto"/>
                <w:sz w:val="24"/>
                <w:szCs w:val="24"/>
                <w:highlight w:val="none"/>
                <w:lang w:val="en-US" w:eastAsia="zh-CN"/>
              </w:rPr>
              <w:t>4</w:t>
            </w:r>
            <w:r>
              <w:rPr>
                <w:rFonts w:hint="eastAsia" w:ascii="宋体" w:hAnsi="宋体" w:cs="宋体"/>
                <w:color w:val="auto"/>
                <w:sz w:val="24"/>
                <w:szCs w:val="24"/>
                <w:highlight w:val="none"/>
              </w:rPr>
              <w:t>、</w:t>
            </w:r>
            <w:r>
              <w:rPr>
                <w:rFonts w:ascii="宋体" w:hAnsi="宋体" w:cs="宋体"/>
                <w:color w:val="auto"/>
                <w:sz w:val="24"/>
                <w:szCs w:val="24"/>
                <w:highlight w:val="none"/>
              </w:rPr>
              <w:t>与《环境空气细颗粒物污染综合防治技术政策》的符合性分析</w:t>
            </w:r>
          </w:p>
          <w:p w14:paraId="4E0BF773">
            <w:pPr>
              <w:spacing w:line="360" w:lineRule="auto"/>
              <w:ind w:firstLine="480" w:firstLineChars="200"/>
              <w:rPr>
                <w:color w:val="auto"/>
                <w:sz w:val="24"/>
                <w:highlight w:val="none"/>
              </w:rPr>
            </w:pPr>
            <w:r>
              <w:rPr>
                <w:color w:val="auto"/>
                <w:sz w:val="24"/>
                <w:highlight w:val="none"/>
              </w:rPr>
              <w:t>《技术政策》指出：产生</w:t>
            </w:r>
            <w:r>
              <w:rPr>
                <w:color w:val="auto"/>
                <w:highlight w:val="none"/>
              </w:rPr>
              <w:fldChar w:fldCharType="begin"/>
            </w:r>
            <w:r>
              <w:rPr>
                <w:color w:val="auto"/>
                <w:highlight w:val="none"/>
              </w:rPr>
              <w:instrText xml:space="preserve"> HYPERLINK "https://baike.sogou.com/lemma/ShowInnerLink.htm?lemmaId=99678280&amp;ss_c=ssc.citiao.link" \t "_blank" </w:instrText>
            </w:r>
            <w:r>
              <w:rPr>
                <w:color w:val="auto"/>
                <w:highlight w:val="none"/>
              </w:rPr>
              <w:fldChar w:fldCharType="separate"/>
            </w:r>
            <w:r>
              <w:rPr>
                <w:color w:val="auto"/>
                <w:sz w:val="24"/>
                <w:highlight w:val="none"/>
              </w:rPr>
              <w:t>大气颗粒物</w:t>
            </w:r>
            <w:r>
              <w:rPr>
                <w:color w:val="auto"/>
                <w:sz w:val="24"/>
                <w:highlight w:val="none"/>
              </w:rPr>
              <w:fldChar w:fldCharType="end"/>
            </w:r>
            <w:r>
              <w:rPr>
                <w:color w:val="auto"/>
                <w:sz w:val="24"/>
                <w:highlight w:val="none"/>
              </w:rPr>
              <w:t>及其前体物污染物的生产活动应尽量采用密闭装置，避免</w:t>
            </w:r>
            <w:r>
              <w:rPr>
                <w:color w:val="auto"/>
                <w:highlight w:val="none"/>
              </w:rPr>
              <w:fldChar w:fldCharType="begin"/>
            </w:r>
            <w:r>
              <w:rPr>
                <w:color w:val="auto"/>
                <w:highlight w:val="none"/>
              </w:rPr>
              <w:instrText xml:space="preserve"> HYPERLINK "https://baike.sogou.com/lemma/ShowInnerLink.htm?lemmaId=7659638&amp;ss_c=ssc.citiao.link" \t "_blank" </w:instrText>
            </w:r>
            <w:r>
              <w:rPr>
                <w:color w:val="auto"/>
                <w:highlight w:val="none"/>
              </w:rPr>
              <w:fldChar w:fldCharType="separate"/>
            </w:r>
            <w:r>
              <w:rPr>
                <w:color w:val="auto"/>
                <w:sz w:val="24"/>
                <w:highlight w:val="none"/>
              </w:rPr>
              <w:t>无组织排放</w:t>
            </w:r>
            <w:r>
              <w:rPr>
                <w:color w:val="auto"/>
                <w:sz w:val="24"/>
                <w:highlight w:val="none"/>
              </w:rPr>
              <w:fldChar w:fldCharType="end"/>
            </w:r>
            <w:r>
              <w:rPr>
                <w:color w:val="auto"/>
                <w:sz w:val="24"/>
                <w:highlight w:val="none"/>
              </w:rPr>
              <w:t>；无法完全密闭的，应安装集气装置收集逸散的污染物，经净化后排放。应调整产业结构，强化</w:t>
            </w:r>
            <w:r>
              <w:rPr>
                <w:color w:val="auto"/>
                <w:highlight w:val="none"/>
              </w:rPr>
              <w:fldChar w:fldCharType="begin"/>
            </w:r>
            <w:r>
              <w:rPr>
                <w:color w:val="auto"/>
                <w:highlight w:val="none"/>
              </w:rPr>
              <w:instrText xml:space="preserve"> HYPERLINK "https://baike.sogou.com/lemma/ShowInnerLink.htm?lemmaId=68402&amp;ss_c=ssc.citiao.link" \t "_blank" </w:instrText>
            </w:r>
            <w:r>
              <w:rPr>
                <w:color w:val="auto"/>
                <w:highlight w:val="none"/>
              </w:rPr>
              <w:fldChar w:fldCharType="separate"/>
            </w:r>
            <w:r>
              <w:rPr>
                <w:color w:val="auto"/>
                <w:sz w:val="24"/>
                <w:highlight w:val="none"/>
              </w:rPr>
              <w:t>规划环评</w:t>
            </w:r>
            <w:r>
              <w:rPr>
                <w:color w:val="auto"/>
                <w:sz w:val="24"/>
                <w:highlight w:val="none"/>
              </w:rPr>
              <w:fldChar w:fldCharType="end"/>
            </w:r>
            <w:r>
              <w:rPr>
                <w:color w:val="auto"/>
                <w:sz w:val="24"/>
                <w:highlight w:val="none"/>
              </w:rPr>
              <w:t>和</w:t>
            </w:r>
            <w:r>
              <w:rPr>
                <w:color w:val="auto"/>
                <w:highlight w:val="none"/>
              </w:rPr>
              <w:fldChar w:fldCharType="begin"/>
            </w:r>
            <w:r>
              <w:rPr>
                <w:color w:val="auto"/>
                <w:highlight w:val="none"/>
              </w:rPr>
              <w:instrText xml:space="preserve"> HYPERLINK "https://baike.sogou.com/lemma/ShowInnerLink.htm?lemmaId=63132681&amp;ss_c=ssc.citiao.link" \t "_blank" </w:instrText>
            </w:r>
            <w:r>
              <w:rPr>
                <w:color w:val="auto"/>
                <w:highlight w:val="none"/>
              </w:rPr>
              <w:fldChar w:fldCharType="separate"/>
            </w:r>
            <w:r>
              <w:rPr>
                <w:color w:val="auto"/>
                <w:sz w:val="24"/>
                <w:highlight w:val="none"/>
              </w:rPr>
              <w:t>项目环评</w:t>
            </w:r>
            <w:r>
              <w:rPr>
                <w:color w:val="auto"/>
                <w:sz w:val="24"/>
                <w:highlight w:val="none"/>
              </w:rPr>
              <w:fldChar w:fldCharType="end"/>
            </w:r>
            <w:r>
              <w:rPr>
                <w:color w:val="auto"/>
                <w:sz w:val="24"/>
                <w:highlight w:val="none"/>
              </w:rPr>
              <w:t>，严格实施准入制度，必要时对重点区域和重点行业采取限批措施；淘汰落后产能，形成合理的产业分布空间格局。环境空气中细颗粒物浓度超标的城市，应按照相关法律规定，制定达标规划，明确各年度或各阶段工作目标，并予以落实。应完善环境质量监测工作，开展污染来源解析，编制各地重点污染源清单，采取针对性的污染排放控制措施。应以环境质量变化趋势为依据，建立污染排放控制措施有效性评估和改善工作机制。应制定严格、完善的国家和地方工业</w:t>
            </w:r>
            <w:r>
              <w:rPr>
                <w:color w:val="auto"/>
                <w:highlight w:val="none"/>
              </w:rPr>
              <w:fldChar w:fldCharType="begin"/>
            </w:r>
            <w:r>
              <w:rPr>
                <w:color w:val="auto"/>
                <w:highlight w:val="none"/>
              </w:rPr>
              <w:instrText xml:space="preserve"> HYPERLINK "https://baike.sogou.com/lemma/ShowInnerLink.htm?lemmaId=7601744&amp;ss_c=ssc.citiao.link" \t "_blank" </w:instrText>
            </w:r>
            <w:r>
              <w:rPr>
                <w:color w:val="auto"/>
                <w:highlight w:val="none"/>
              </w:rPr>
              <w:fldChar w:fldCharType="separate"/>
            </w:r>
            <w:r>
              <w:rPr>
                <w:color w:val="auto"/>
                <w:sz w:val="24"/>
                <w:highlight w:val="none"/>
              </w:rPr>
              <w:t>污染物排放标准</w:t>
            </w:r>
            <w:r>
              <w:rPr>
                <w:color w:val="auto"/>
                <w:sz w:val="24"/>
                <w:highlight w:val="none"/>
              </w:rPr>
              <w:fldChar w:fldCharType="end"/>
            </w:r>
            <w:r>
              <w:rPr>
                <w:color w:val="auto"/>
                <w:sz w:val="24"/>
                <w:highlight w:val="none"/>
              </w:rPr>
              <w:t>，明确各行业排放控制要求。在环境污染严重、污染物排放量大的地区，应制定实施严格的地方排放标准或国家排放标准特别排放限值。</w:t>
            </w:r>
          </w:p>
          <w:p w14:paraId="2A71CD6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color w:val="auto"/>
                <w:highlight w:val="none"/>
                <w:lang w:val="en-US" w:eastAsia="zh-CN"/>
              </w:rPr>
            </w:pPr>
            <w:r>
              <w:rPr>
                <w:rFonts w:hint="eastAsia"/>
                <w:color w:val="auto"/>
                <w:sz w:val="24"/>
                <w:highlight w:val="none"/>
              </w:rPr>
              <w:t>本项目破碎、</w:t>
            </w:r>
            <w:r>
              <w:rPr>
                <w:rFonts w:hint="eastAsia"/>
                <w:color w:val="auto"/>
                <w:sz w:val="24"/>
                <w:highlight w:val="none"/>
                <w:lang w:eastAsia="zh-CN"/>
              </w:rPr>
              <w:t>粉碎、制粒</w:t>
            </w:r>
            <w:r>
              <w:rPr>
                <w:rFonts w:hint="eastAsia"/>
                <w:color w:val="auto"/>
                <w:sz w:val="24"/>
                <w:highlight w:val="none"/>
              </w:rPr>
              <w:t>等工序工位上方</w:t>
            </w:r>
            <w:r>
              <w:rPr>
                <w:rFonts w:hint="eastAsia"/>
                <w:color w:val="auto"/>
                <w:sz w:val="24"/>
                <w:highlight w:val="none"/>
                <w:lang w:eastAsia="zh-CN"/>
              </w:rPr>
              <w:t>产生</w:t>
            </w:r>
            <w:r>
              <w:rPr>
                <w:rFonts w:hint="eastAsia"/>
                <w:color w:val="auto"/>
                <w:sz w:val="24"/>
                <w:highlight w:val="none"/>
              </w:rPr>
              <w:t>废气</w:t>
            </w:r>
            <w:r>
              <w:rPr>
                <w:rFonts w:hint="eastAsia"/>
                <w:color w:val="auto"/>
                <w:sz w:val="24"/>
                <w:highlight w:val="none"/>
                <w:lang w:eastAsia="zh-CN"/>
              </w:rPr>
              <w:t>颗粒物</w:t>
            </w:r>
            <w:r>
              <w:rPr>
                <w:rFonts w:hint="eastAsia"/>
                <w:color w:val="auto"/>
                <w:sz w:val="24"/>
                <w:highlight w:val="none"/>
              </w:rPr>
              <w:t>收集后经</w:t>
            </w:r>
            <w:r>
              <w:rPr>
                <w:rFonts w:hint="eastAsia"/>
                <w:color w:val="auto"/>
                <w:sz w:val="24"/>
                <w:highlight w:val="none"/>
                <w:lang w:eastAsia="zh-CN"/>
              </w:rPr>
              <w:t>旋风除尘</w:t>
            </w:r>
            <w:r>
              <w:rPr>
                <w:rFonts w:hint="eastAsia"/>
                <w:color w:val="auto"/>
                <w:sz w:val="24"/>
                <w:highlight w:val="none"/>
                <w:lang w:val="en-US" w:eastAsia="zh-CN"/>
              </w:rPr>
              <w:t>+袋式除尘处理后</w:t>
            </w:r>
            <w:r>
              <w:rPr>
                <w:rFonts w:hint="eastAsia"/>
                <w:color w:val="auto"/>
                <w:sz w:val="24"/>
                <w:highlight w:val="none"/>
              </w:rPr>
              <w:t>通过1根15m高排气筒排放</w:t>
            </w:r>
            <w:r>
              <w:rPr>
                <w:rFonts w:hint="eastAsia"/>
                <w:color w:val="auto"/>
                <w:sz w:val="24"/>
                <w:highlight w:val="none"/>
                <w:lang w:eastAsia="zh-CN"/>
              </w:rPr>
              <w:t>，符合技术政策的要求中的“</w:t>
            </w:r>
            <w:r>
              <w:rPr>
                <w:color w:val="auto"/>
                <w:sz w:val="24"/>
                <w:highlight w:val="none"/>
              </w:rPr>
              <w:t>无法完全密闭的，应安装集气装置收集逸散的污染物，经净化后排放</w:t>
            </w:r>
            <w:r>
              <w:rPr>
                <w:rFonts w:hint="eastAsia"/>
                <w:color w:val="auto"/>
                <w:sz w:val="24"/>
                <w:highlight w:val="none"/>
                <w:lang w:eastAsia="zh-CN"/>
              </w:rPr>
              <w:t>”。</w:t>
            </w:r>
            <w:r>
              <w:rPr>
                <w:rFonts w:hint="eastAsia"/>
                <w:color w:val="auto"/>
                <w:sz w:val="24"/>
                <w:highlight w:val="none"/>
              </w:rPr>
              <w:br w:type="textWrapping"/>
            </w:r>
            <w:r>
              <w:rPr>
                <w:rFonts w:hint="eastAsia" w:cs="Times New Roman"/>
                <w:color w:val="auto"/>
                <w:highlight w:val="none"/>
                <w:lang w:val="en-US" w:eastAsia="zh-CN"/>
              </w:rPr>
              <w:t xml:space="preserve">   </w:t>
            </w:r>
          </w:p>
          <w:p w14:paraId="5DDA22A1">
            <w:pPr>
              <w:pStyle w:val="8"/>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5</w:t>
            </w:r>
            <w:r>
              <w:rPr>
                <w:rFonts w:hint="eastAsia" w:ascii="宋体" w:hAnsi="宋体" w:eastAsia="宋体" w:cs="宋体"/>
                <w:color w:val="auto"/>
                <w:kern w:val="2"/>
                <w:sz w:val="24"/>
                <w:szCs w:val="24"/>
                <w:highlight w:val="none"/>
                <w:lang w:val="en-US" w:eastAsia="zh-CN" w:bidi="ar-SA"/>
              </w:rPr>
              <w:t>、与安徽省生态环境厅《安徽省生态环境厅关于强化2024-2025秋冬季大气污染防治攻坚工作的通知》符合性分析</w:t>
            </w:r>
          </w:p>
          <w:p w14:paraId="70265363">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left"/>
              <w:textAlignment w:val="auto"/>
              <w:rPr>
                <w:rFonts w:hint="eastAsia" w:ascii="宋体" w:hAnsi="宋体" w:cs="宋体"/>
                <w:color w:val="auto"/>
                <w:kern w:val="2"/>
                <w:sz w:val="24"/>
                <w:szCs w:val="24"/>
                <w:highlight w:val="none"/>
                <w:lang w:val="en-US" w:eastAsia="zh-CN" w:bidi="ar-SA"/>
              </w:rPr>
            </w:pPr>
            <w:r>
              <w:rPr>
                <w:rFonts w:ascii="宋体" w:hAnsi="宋体" w:cs="宋体"/>
                <w:color w:val="auto"/>
                <w:sz w:val="22"/>
                <w:szCs w:val="22"/>
                <w:highlight w:val="none"/>
              </w:rPr>
              <w:t>表1-</w:t>
            </w:r>
            <w:r>
              <w:rPr>
                <w:rFonts w:hint="eastAsia" w:ascii="宋体" w:hAnsi="宋体" w:cs="宋体"/>
                <w:color w:val="auto"/>
                <w:sz w:val="22"/>
                <w:szCs w:val="22"/>
                <w:highlight w:val="none"/>
                <w:lang w:val="en-US" w:eastAsia="zh-CN"/>
              </w:rPr>
              <w:t>5</w:t>
            </w:r>
            <w:r>
              <w:rPr>
                <w:rFonts w:ascii="宋体" w:hAnsi="宋体" w:cs="宋体"/>
                <w:color w:val="auto"/>
                <w:sz w:val="22"/>
                <w:szCs w:val="22"/>
                <w:highlight w:val="none"/>
              </w:rPr>
              <w:t xml:space="preserve">  </w:t>
            </w:r>
            <w:r>
              <w:rPr>
                <w:rFonts w:hint="eastAsia" w:ascii="宋体" w:hAnsi="宋体" w:cs="宋体"/>
                <w:color w:val="auto"/>
                <w:sz w:val="22"/>
                <w:szCs w:val="22"/>
                <w:highlight w:val="none"/>
              </w:rPr>
              <w:t>与《</w:t>
            </w:r>
            <w:r>
              <w:rPr>
                <w:rFonts w:hint="eastAsia" w:ascii="宋体" w:hAnsi="宋体" w:eastAsia="宋体" w:cs="宋体"/>
                <w:color w:val="auto"/>
                <w:kern w:val="2"/>
                <w:sz w:val="24"/>
                <w:szCs w:val="24"/>
                <w:highlight w:val="none"/>
                <w:lang w:val="en-US" w:eastAsia="zh-CN" w:bidi="ar-SA"/>
              </w:rPr>
              <w:t>安徽省生态环境厅关于强化2024-2025秋冬季大气污染防治攻坚工作的通知</w:t>
            </w:r>
            <w:r>
              <w:rPr>
                <w:rFonts w:hint="eastAsia" w:ascii="宋体" w:hAnsi="宋体" w:cs="宋体"/>
                <w:color w:val="auto"/>
                <w:kern w:val="2"/>
                <w:sz w:val="24"/>
                <w:szCs w:val="24"/>
                <w:highlight w:val="none"/>
                <w:lang w:val="en-US" w:eastAsia="zh-CN" w:bidi="ar-SA"/>
              </w:rPr>
              <w:t>》相符性分析</w:t>
            </w:r>
          </w:p>
          <w:tbl>
            <w:tblPr>
              <w:tblStyle w:val="37"/>
              <w:tblpPr w:leftFromText="180" w:rightFromText="180" w:vertAnchor="text" w:horzAnchor="page" w:tblpXSpec="center" w:tblpY="79"/>
              <w:tblOverlap w:val="never"/>
              <w:tblW w:w="68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74"/>
              <w:gridCol w:w="1972"/>
              <w:gridCol w:w="712"/>
            </w:tblGrid>
            <w:tr w14:paraId="0ABBD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4174" w:type="dxa"/>
                  <w:shd w:val="clear" w:color="auto" w:fill="auto"/>
                  <w:vAlign w:val="center"/>
                </w:tcPr>
                <w:p w14:paraId="44240FC1">
                  <w:pPr>
                    <w:jc w:val="center"/>
                    <w:rPr>
                      <w:rFonts w:ascii="宋体" w:hAnsi="宋体" w:cs="宋体"/>
                      <w:color w:val="auto"/>
                      <w:kern w:val="24"/>
                      <w:highlight w:val="none"/>
                    </w:rPr>
                  </w:pPr>
                  <w:r>
                    <w:rPr>
                      <w:rFonts w:hint="eastAsia" w:ascii="宋体" w:hAnsi="宋体" w:cs="宋体"/>
                      <w:color w:val="auto"/>
                      <w:kern w:val="24"/>
                      <w:highlight w:val="none"/>
                    </w:rPr>
                    <w:t>规划要求</w:t>
                  </w:r>
                </w:p>
              </w:tc>
              <w:tc>
                <w:tcPr>
                  <w:tcW w:w="1972" w:type="dxa"/>
                  <w:shd w:val="clear" w:color="auto" w:fill="auto"/>
                  <w:vAlign w:val="center"/>
                </w:tcPr>
                <w:p w14:paraId="14B36394">
                  <w:pPr>
                    <w:jc w:val="center"/>
                    <w:rPr>
                      <w:rFonts w:ascii="宋体" w:hAnsi="宋体" w:cs="宋体"/>
                      <w:color w:val="auto"/>
                      <w:kern w:val="24"/>
                      <w:highlight w:val="none"/>
                    </w:rPr>
                  </w:pPr>
                  <w:r>
                    <w:rPr>
                      <w:rFonts w:hint="eastAsia" w:ascii="宋体" w:hAnsi="宋体" w:cs="宋体"/>
                      <w:color w:val="auto"/>
                      <w:kern w:val="24"/>
                      <w:highlight w:val="none"/>
                    </w:rPr>
                    <w:t>本项目情况</w:t>
                  </w:r>
                </w:p>
              </w:tc>
              <w:tc>
                <w:tcPr>
                  <w:tcW w:w="712" w:type="dxa"/>
                  <w:shd w:val="clear" w:color="auto" w:fill="auto"/>
                  <w:vAlign w:val="center"/>
                </w:tcPr>
                <w:p w14:paraId="6E9C795D">
                  <w:pPr>
                    <w:jc w:val="center"/>
                    <w:rPr>
                      <w:rFonts w:hint="eastAsia" w:ascii="宋体" w:hAnsi="宋体" w:eastAsia="宋体" w:cs="宋体"/>
                      <w:color w:val="auto"/>
                      <w:kern w:val="24"/>
                      <w:highlight w:val="none"/>
                      <w:lang w:eastAsia="zh-CN"/>
                    </w:rPr>
                  </w:pPr>
                  <w:r>
                    <w:rPr>
                      <w:rFonts w:hint="eastAsia" w:ascii="宋体" w:hAnsi="宋体" w:cs="宋体"/>
                      <w:color w:val="auto"/>
                      <w:kern w:val="24"/>
                      <w:highlight w:val="none"/>
                      <w:lang w:eastAsia="zh-CN"/>
                    </w:rPr>
                    <w:t>符合性</w:t>
                  </w:r>
                </w:p>
              </w:tc>
            </w:tr>
            <w:tr w14:paraId="6B75A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1" w:hRule="atLeast"/>
                <w:jc w:val="center"/>
              </w:trPr>
              <w:tc>
                <w:tcPr>
                  <w:tcW w:w="4174" w:type="dxa"/>
                  <w:shd w:val="clear" w:color="auto" w:fill="auto"/>
                  <w:vAlign w:val="center"/>
                </w:tcPr>
                <w:p w14:paraId="78D9EEBB">
                  <w:pPr>
                    <w:rPr>
                      <w:rFonts w:ascii="宋体" w:hAnsi="宋体" w:cs="宋体"/>
                      <w:color w:val="auto"/>
                      <w:kern w:val="24"/>
                      <w:highlight w:val="none"/>
                    </w:rPr>
                  </w:pPr>
                  <w:r>
                    <w:rPr>
                      <w:rFonts w:hint="eastAsia" w:ascii="宋体" w:hAnsi="宋体" w:cs="宋体"/>
                      <w:color w:val="auto"/>
                      <w:kern w:val="24"/>
                      <w:highlight w:val="none"/>
                    </w:rPr>
                    <w:t>加快淘汰燃煤小锅炉等高污染设施。对应当淘汰的燃煤小锅炉、燃煤热风炉和种植业、养殖业散煤等抓紧淘汰，已经淘汰的组织“回头看”防止死灰复燃。宿州、芜湖等市要加快 30万千瓦以上机组供热范围内的燃煤锅炉和燃煤小热电淘汰整合。</w:t>
                  </w:r>
                  <w:r>
                    <w:rPr>
                      <w:rFonts w:hint="eastAsia" w:ascii="宋体" w:hAnsi="宋体" w:cs="宋体"/>
                      <w:color w:val="auto"/>
                      <w:kern w:val="24"/>
                      <w:highlight w:val="none"/>
                      <w:lang w:val="en-US" w:eastAsia="zh-CN"/>
                    </w:rPr>
                    <w:t>亳州</w:t>
                  </w:r>
                  <w:r>
                    <w:rPr>
                      <w:rFonts w:hint="eastAsia" w:ascii="宋体" w:hAnsi="宋体" w:cs="宋体"/>
                      <w:color w:val="auto"/>
                      <w:kern w:val="24"/>
                      <w:highlight w:val="none"/>
                    </w:rPr>
                    <w:t>、宣城、六安、滁州等市要按照国家产业政策要求，立即淘汰2蒸吨及以下的生物质锅炉。</w:t>
                  </w:r>
                </w:p>
              </w:tc>
              <w:tc>
                <w:tcPr>
                  <w:tcW w:w="1972" w:type="dxa"/>
                  <w:shd w:val="clear" w:color="auto" w:fill="auto"/>
                  <w:vAlign w:val="center"/>
                </w:tcPr>
                <w:p w14:paraId="3A7979F7">
                  <w:pPr>
                    <w:jc w:val="center"/>
                    <w:rPr>
                      <w:rFonts w:hint="eastAsia" w:ascii="宋体" w:hAnsi="宋体" w:eastAsia="宋体" w:cs="宋体"/>
                      <w:color w:val="auto"/>
                      <w:kern w:val="24"/>
                      <w:highlight w:val="none"/>
                      <w:lang w:eastAsia="zh-CN"/>
                    </w:rPr>
                  </w:pPr>
                  <w:r>
                    <w:rPr>
                      <w:rFonts w:hint="eastAsia" w:ascii="宋体" w:hAnsi="宋体" w:cs="宋体"/>
                      <w:color w:val="auto"/>
                      <w:kern w:val="24"/>
                      <w:highlight w:val="none"/>
                    </w:rPr>
                    <w:t>本项目</w:t>
                  </w:r>
                  <w:r>
                    <w:rPr>
                      <w:rFonts w:hint="eastAsia" w:ascii="宋体" w:hAnsi="宋体" w:cs="宋体"/>
                      <w:color w:val="auto"/>
                      <w:kern w:val="24"/>
                      <w:highlight w:val="none"/>
                      <w:lang w:eastAsia="zh-CN"/>
                    </w:rPr>
                    <w:t>不设置锅炉</w:t>
                  </w:r>
                </w:p>
              </w:tc>
              <w:tc>
                <w:tcPr>
                  <w:tcW w:w="712" w:type="dxa"/>
                  <w:shd w:val="clear" w:color="auto" w:fill="auto"/>
                  <w:vAlign w:val="center"/>
                </w:tcPr>
                <w:p w14:paraId="53EFF848">
                  <w:pPr>
                    <w:rPr>
                      <w:rFonts w:ascii="宋体" w:hAnsi="宋体" w:cs="宋体"/>
                      <w:color w:val="auto"/>
                      <w:kern w:val="24"/>
                      <w:highlight w:val="none"/>
                    </w:rPr>
                  </w:pPr>
                  <w:r>
                    <w:rPr>
                      <w:rFonts w:hint="eastAsia" w:ascii="宋体" w:hAnsi="宋体" w:cs="宋体"/>
                      <w:color w:val="auto"/>
                      <w:kern w:val="24"/>
                      <w:highlight w:val="none"/>
                      <w:lang w:eastAsia="zh-CN"/>
                    </w:rPr>
                    <w:t>符合</w:t>
                  </w:r>
                </w:p>
              </w:tc>
            </w:tr>
          </w:tbl>
          <w:p w14:paraId="07050F3B">
            <w:pPr>
              <w:pStyle w:val="3"/>
              <w:rPr>
                <w:rFonts w:hint="default"/>
                <w:color w:val="auto"/>
                <w:highlight w:val="none"/>
                <w:lang w:val="en-US" w:eastAsia="zh-CN"/>
              </w:rPr>
            </w:pPr>
          </w:p>
          <w:p w14:paraId="7B3B199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ascii="宋体" w:hAnsi="宋体" w:cs="宋体"/>
                <w:color w:val="auto"/>
                <w:sz w:val="24"/>
                <w:szCs w:val="24"/>
                <w:highlight w:val="none"/>
              </w:rPr>
            </w:pPr>
            <w:r>
              <w:rPr>
                <w:rFonts w:hint="eastAsia" w:cs="Times New Roman"/>
                <w:color w:val="auto"/>
                <w:highlight w:val="none"/>
                <w:lang w:val="en-US" w:eastAsia="zh-CN"/>
              </w:rPr>
              <w:t>6</w:t>
            </w:r>
            <w:r>
              <w:rPr>
                <w:rFonts w:hint="eastAsia" w:ascii="宋体" w:hAnsi="宋体" w:cs="宋体"/>
                <w:color w:val="auto"/>
                <w:sz w:val="24"/>
                <w:szCs w:val="24"/>
                <w:highlight w:val="none"/>
              </w:rPr>
              <w:t>、</w:t>
            </w:r>
            <w:r>
              <w:rPr>
                <w:rFonts w:ascii="宋体" w:hAnsi="宋体" w:cs="宋体"/>
                <w:color w:val="auto"/>
                <w:sz w:val="24"/>
                <w:szCs w:val="24"/>
                <w:highlight w:val="none"/>
              </w:rPr>
              <w:t>与《淮北市生态环境保护“十四五”规划》（2022年1月）相符性分析</w:t>
            </w:r>
          </w:p>
          <w:p w14:paraId="14B3FD32">
            <w:pPr>
              <w:adjustRightInd w:val="0"/>
              <w:snapToGrid w:val="0"/>
              <w:spacing w:before="120" w:beforeLines="50" w:line="360" w:lineRule="auto"/>
              <w:jc w:val="center"/>
              <w:rPr>
                <w:rFonts w:ascii="宋体" w:hAnsi="宋体" w:cs="宋体"/>
                <w:color w:val="auto"/>
                <w:sz w:val="22"/>
                <w:szCs w:val="22"/>
                <w:highlight w:val="none"/>
              </w:rPr>
            </w:pPr>
            <w:r>
              <w:rPr>
                <w:rFonts w:ascii="宋体" w:hAnsi="宋体" w:cs="宋体"/>
                <w:color w:val="auto"/>
                <w:sz w:val="22"/>
                <w:szCs w:val="22"/>
                <w:highlight w:val="none"/>
              </w:rPr>
              <w:t>表1-</w:t>
            </w:r>
            <w:r>
              <w:rPr>
                <w:rFonts w:hint="eastAsia" w:ascii="宋体" w:hAnsi="宋体" w:cs="宋体"/>
                <w:color w:val="auto"/>
                <w:sz w:val="22"/>
                <w:szCs w:val="22"/>
                <w:highlight w:val="none"/>
                <w:lang w:val="en-US" w:eastAsia="zh-CN"/>
              </w:rPr>
              <w:t>6</w:t>
            </w:r>
            <w:r>
              <w:rPr>
                <w:rFonts w:ascii="宋体" w:hAnsi="宋体" w:cs="宋体"/>
                <w:color w:val="auto"/>
                <w:sz w:val="22"/>
                <w:szCs w:val="22"/>
                <w:highlight w:val="none"/>
              </w:rPr>
              <w:t xml:space="preserve">  </w:t>
            </w:r>
            <w:r>
              <w:rPr>
                <w:rFonts w:hint="eastAsia" w:ascii="宋体" w:hAnsi="宋体" w:cs="宋体"/>
                <w:color w:val="auto"/>
                <w:sz w:val="22"/>
                <w:szCs w:val="22"/>
                <w:highlight w:val="none"/>
              </w:rPr>
              <w:t>与《淮北市生态环境保护“十四五”规划》相符性分析</w:t>
            </w:r>
          </w:p>
          <w:tbl>
            <w:tblPr>
              <w:tblStyle w:val="37"/>
              <w:tblW w:w="7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3993"/>
              <w:gridCol w:w="1887"/>
              <w:gridCol w:w="682"/>
            </w:tblGrid>
            <w:tr w14:paraId="5CECA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636" w:type="dxa"/>
                  <w:shd w:val="clear" w:color="auto" w:fill="auto"/>
                  <w:vAlign w:val="center"/>
                </w:tcPr>
                <w:p w14:paraId="11C080EA">
                  <w:pPr>
                    <w:jc w:val="center"/>
                    <w:rPr>
                      <w:rFonts w:ascii="宋体" w:hAnsi="宋体" w:cs="宋体"/>
                      <w:color w:val="auto"/>
                      <w:kern w:val="24"/>
                      <w:highlight w:val="none"/>
                    </w:rPr>
                  </w:pPr>
                  <w:r>
                    <w:rPr>
                      <w:rFonts w:hint="eastAsia" w:ascii="宋体" w:hAnsi="宋体" w:cs="宋体"/>
                      <w:color w:val="auto"/>
                      <w:kern w:val="24"/>
                      <w:highlight w:val="none"/>
                    </w:rPr>
                    <w:t>序号</w:t>
                  </w:r>
                </w:p>
              </w:tc>
              <w:tc>
                <w:tcPr>
                  <w:tcW w:w="3993" w:type="dxa"/>
                  <w:shd w:val="clear" w:color="auto" w:fill="auto"/>
                  <w:vAlign w:val="center"/>
                </w:tcPr>
                <w:p w14:paraId="7C22F17E">
                  <w:pPr>
                    <w:jc w:val="center"/>
                    <w:rPr>
                      <w:rFonts w:ascii="宋体" w:hAnsi="宋体" w:cs="宋体"/>
                      <w:color w:val="auto"/>
                      <w:kern w:val="24"/>
                      <w:highlight w:val="none"/>
                    </w:rPr>
                  </w:pPr>
                  <w:r>
                    <w:rPr>
                      <w:rFonts w:hint="eastAsia" w:ascii="宋体" w:hAnsi="宋体" w:cs="宋体"/>
                      <w:color w:val="auto"/>
                      <w:kern w:val="24"/>
                      <w:highlight w:val="none"/>
                    </w:rPr>
                    <w:t>规划要求</w:t>
                  </w:r>
                </w:p>
              </w:tc>
              <w:tc>
                <w:tcPr>
                  <w:tcW w:w="1887" w:type="dxa"/>
                  <w:shd w:val="clear" w:color="auto" w:fill="auto"/>
                  <w:vAlign w:val="center"/>
                </w:tcPr>
                <w:p w14:paraId="7D54A726">
                  <w:pPr>
                    <w:jc w:val="center"/>
                    <w:rPr>
                      <w:rFonts w:ascii="宋体" w:hAnsi="宋体" w:cs="宋体"/>
                      <w:color w:val="auto"/>
                      <w:kern w:val="24"/>
                      <w:highlight w:val="none"/>
                    </w:rPr>
                  </w:pPr>
                  <w:r>
                    <w:rPr>
                      <w:rFonts w:hint="eastAsia" w:ascii="宋体" w:hAnsi="宋体" w:cs="宋体"/>
                      <w:color w:val="auto"/>
                      <w:kern w:val="24"/>
                      <w:highlight w:val="none"/>
                    </w:rPr>
                    <w:t>本项目情况</w:t>
                  </w:r>
                </w:p>
              </w:tc>
              <w:tc>
                <w:tcPr>
                  <w:tcW w:w="682" w:type="dxa"/>
                  <w:shd w:val="clear" w:color="auto" w:fill="auto"/>
                  <w:vAlign w:val="center"/>
                </w:tcPr>
                <w:p w14:paraId="2612A596">
                  <w:pPr>
                    <w:jc w:val="center"/>
                    <w:rPr>
                      <w:rFonts w:hint="eastAsia" w:ascii="宋体" w:hAnsi="宋体" w:eastAsia="宋体" w:cs="宋体"/>
                      <w:color w:val="auto"/>
                      <w:kern w:val="24"/>
                      <w:highlight w:val="none"/>
                      <w:lang w:eastAsia="zh-CN"/>
                    </w:rPr>
                  </w:pPr>
                  <w:r>
                    <w:rPr>
                      <w:rFonts w:hint="eastAsia" w:ascii="宋体" w:hAnsi="宋体" w:cs="宋体"/>
                      <w:color w:val="auto"/>
                      <w:kern w:val="24"/>
                      <w:highlight w:val="none"/>
                      <w:lang w:eastAsia="zh-CN"/>
                    </w:rPr>
                    <w:t>符合性</w:t>
                  </w:r>
                </w:p>
              </w:tc>
            </w:tr>
            <w:tr w14:paraId="40793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7198" w:type="dxa"/>
                  <w:gridSpan w:val="4"/>
                  <w:shd w:val="clear" w:color="auto" w:fill="auto"/>
                  <w:vAlign w:val="center"/>
                </w:tcPr>
                <w:p w14:paraId="2821338B">
                  <w:pPr>
                    <w:rPr>
                      <w:rFonts w:ascii="宋体" w:hAnsi="宋体" w:cs="宋体"/>
                      <w:color w:val="auto"/>
                      <w:kern w:val="24"/>
                      <w:highlight w:val="none"/>
                    </w:rPr>
                  </w:pPr>
                  <w:r>
                    <w:rPr>
                      <w:rFonts w:hint="eastAsia" w:ascii="宋体" w:hAnsi="宋体" w:cs="宋体"/>
                      <w:color w:val="auto"/>
                      <w:kern w:val="24"/>
                      <w:highlight w:val="none"/>
                    </w:rPr>
                    <w:t>2.完善环境风险防控管理体系</w:t>
                  </w:r>
                  <w:bookmarkStart w:id="11" w:name="_GoBack"/>
                  <w:bookmarkEnd w:id="11"/>
                </w:p>
              </w:tc>
            </w:tr>
            <w:tr w14:paraId="1E3D6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1" w:hRule="atLeast"/>
                <w:jc w:val="center"/>
              </w:trPr>
              <w:tc>
                <w:tcPr>
                  <w:tcW w:w="636" w:type="dxa"/>
                  <w:shd w:val="clear" w:color="auto" w:fill="auto"/>
                  <w:vAlign w:val="center"/>
                </w:tcPr>
                <w:p w14:paraId="2C3E7F16">
                  <w:pPr>
                    <w:pStyle w:val="33"/>
                    <w:spacing w:after="0" w:line="240" w:lineRule="auto"/>
                    <w:jc w:val="center"/>
                    <w:rPr>
                      <w:rFonts w:ascii="宋体" w:hAnsi="宋体" w:cs="宋体"/>
                      <w:color w:val="auto"/>
                      <w:kern w:val="24"/>
                      <w:sz w:val="21"/>
                      <w:szCs w:val="21"/>
                      <w:highlight w:val="none"/>
                    </w:rPr>
                  </w:pPr>
                  <w:r>
                    <w:rPr>
                      <w:rFonts w:ascii="宋体" w:hAnsi="宋体" w:cs="宋体"/>
                      <w:color w:val="auto"/>
                      <w:kern w:val="24"/>
                      <w:sz w:val="21"/>
                      <w:szCs w:val="21"/>
                      <w:highlight w:val="none"/>
                    </w:rPr>
                    <w:t>1</w:t>
                  </w:r>
                </w:p>
              </w:tc>
              <w:tc>
                <w:tcPr>
                  <w:tcW w:w="3993" w:type="dxa"/>
                  <w:shd w:val="clear" w:color="auto" w:fill="auto"/>
                  <w:vAlign w:val="center"/>
                </w:tcPr>
                <w:p w14:paraId="01D97B43">
                  <w:pPr>
                    <w:pStyle w:val="112"/>
                    <w:snapToGrid/>
                    <w:spacing w:before="0" w:after="0" w:line="240" w:lineRule="auto"/>
                    <w:ind w:left="0" w:leftChars="0" w:right="0" w:firstLine="0" w:firstLineChars="0"/>
                    <w:jc w:val="left"/>
                    <w:rPr>
                      <w:rFonts w:ascii="宋体" w:hAnsi="宋体" w:cs="宋体"/>
                      <w:color w:val="auto"/>
                      <w:kern w:val="24"/>
                      <w:highlight w:val="none"/>
                    </w:rPr>
                  </w:pPr>
                  <w:r>
                    <w:rPr>
                      <w:rFonts w:hint="eastAsia" w:ascii="宋体" w:hAnsi="宋体" w:cs="宋体"/>
                      <w:color w:val="auto"/>
                      <w:kern w:val="24"/>
                      <w:highlight w:val="none"/>
                    </w:rPr>
                    <w:t>推进风险全过程监管。强化企业环境风险主体责任，督促企业开展环境风险隐患排查并建立档案。抓好重点行业企业和重点区域的环境风险评估工作，实施环境风险分级管理，持续推进企业、</w:t>
                  </w:r>
                </w:p>
                <w:p w14:paraId="68FA1D64">
                  <w:pPr>
                    <w:pStyle w:val="112"/>
                    <w:snapToGrid/>
                    <w:spacing w:before="0" w:after="0" w:line="240" w:lineRule="auto"/>
                    <w:ind w:left="0" w:leftChars="0" w:right="0" w:firstLine="0" w:firstLineChars="0"/>
                    <w:jc w:val="left"/>
                    <w:rPr>
                      <w:rFonts w:ascii="宋体" w:hAnsi="宋体" w:cs="宋体"/>
                      <w:color w:val="auto"/>
                      <w:kern w:val="24"/>
                      <w:highlight w:val="none"/>
                    </w:rPr>
                  </w:pPr>
                  <w:r>
                    <w:rPr>
                      <w:rFonts w:hint="eastAsia" w:ascii="宋体" w:hAnsi="宋体" w:cs="宋体"/>
                      <w:color w:val="auto"/>
                      <w:kern w:val="24"/>
                      <w:highlight w:val="none"/>
                    </w:rPr>
                    <w:t>园区、行政区域的三级防控体系。建立企业突发环境事件报告与应急处理制度、特征污染物监测报告等制度，探索建立建设项目验收与企业环境应急预案备案的联动机制，推广“标杆式”、 “卡片式”预案管理模式。严格源头防控、深化过程监管，严厉打击污染治理设施不规范、不运行、偷排、漏排等行为，强化责任追究，将环境风险防范纳入到日常环境管理。</w:t>
                  </w:r>
                </w:p>
              </w:tc>
              <w:tc>
                <w:tcPr>
                  <w:tcW w:w="1887" w:type="dxa"/>
                  <w:shd w:val="clear" w:color="auto" w:fill="auto"/>
                  <w:vAlign w:val="center"/>
                </w:tcPr>
                <w:p w14:paraId="07001C75">
                  <w:pPr>
                    <w:jc w:val="center"/>
                    <w:rPr>
                      <w:rFonts w:ascii="宋体" w:hAnsi="宋体" w:cs="宋体"/>
                      <w:color w:val="auto"/>
                      <w:kern w:val="24"/>
                      <w:highlight w:val="none"/>
                    </w:rPr>
                  </w:pPr>
                  <w:r>
                    <w:rPr>
                      <w:rFonts w:ascii="宋体" w:hAnsi="宋体" w:cs="宋体"/>
                      <w:color w:val="auto"/>
                      <w:kern w:val="24"/>
                      <w:highlight w:val="none"/>
                    </w:rPr>
                    <w:t>本项目将加强厂区内的环境风险防范措施</w:t>
                  </w:r>
                </w:p>
              </w:tc>
              <w:tc>
                <w:tcPr>
                  <w:tcW w:w="682" w:type="dxa"/>
                  <w:shd w:val="clear" w:color="auto" w:fill="auto"/>
                  <w:vAlign w:val="center"/>
                </w:tcPr>
                <w:p w14:paraId="6C186D17">
                  <w:pPr>
                    <w:pStyle w:val="33"/>
                    <w:spacing w:after="0" w:line="240" w:lineRule="auto"/>
                    <w:jc w:val="center"/>
                    <w:rPr>
                      <w:rFonts w:ascii="宋体" w:hAnsi="宋体" w:cs="宋体"/>
                      <w:color w:val="auto"/>
                      <w:kern w:val="24"/>
                      <w:sz w:val="21"/>
                      <w:szCs w:val="21"/>
                      <w:highlight w:val="none"/>
                    </w:rPr>
                  </w:pPr>
                  <w:r>
                    <w:rPr>
                      <w:rFonts w:hint="eastAsia" w:ascii="宋体" w:hAnsi="宋体" w:cs="宋体"/>
                      <w:color w:val="auto"/>
                      <w:kern w:val="24"/>
                      <w:sz w:val="21"/>
                      <w:szCs w:val="21"/>
                      <w:highlight w:val="none"/>
                    </w:rPr>
                    <w:t>符合</w:t>
                  </w:r>
                </w:p>
              </w:tc>
            </w:tr>
            <w:tr w14:paraId="0C075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3" w:hRule="atLeast"/>
                <w:jc w:val="center"/>
              </w:trPr>
              <w:tc>
                <w:tcPr>
                  <w:tcW w:w="636" w:type="dxa"/>
                  <w:shd w:val="clear" w:color="auto" w:fill="auto"/>
                  <w:vAlign w:val="center"/>
                </w:tcPr>
                <w:p w14:paraId="327E14D2">
                  <w:pPr>
                    <w:rPr>
                      <w:rFonts w:ascii="宋体" w:hAnsi="宋体" w:cs="宋体"/>
                      <w:color w:val="auto"/>
                      <w:kern w:val="24"/>
                      <w:highlight w:val="none"/>
                    </w:rPr>
                  </w:pPr>
                  <w:r>
                    <w:rPr>
                      <w:rFonts w:ascii="宋体" w:hAnsi="宋体" w:cs="宋体"/>
                      <w:color w:val="auto"/>
                      <w:kern w:val="24"/>
                      <w:highlight w:val="none"/>
                    </w:rPr>
                    <w:t>2</w:t>
                  </w:r>
                </w:p>
              </w:tc>
              <w:tc>
                <w:tcPr>
                  <w:tcW w:w="3993" w:type="dxa"/>
                  <w:shd w:val="clear" w:color="auto" w:fill="auto"/>
                  <w:vAlign w:val="center"/>
                </w:tcPr>
                <w:p w14:paraId="21F94CB5">
                  <w:pPr>
                    <w:rPr>
                      <w:rFonts w:ascii="宋体" w:hAnsi="宋体" w:cs="宋体"/>
                      <w:color w:val="auto"/>
                      <w:kern w:val="24"/>
                      <w:highlight w:val="none"/>
                    </w:rPr>
                  </w:pPr>
                  <w:r>
                    <w:rPr>
                      <w:rFonts w:hint="eastAsia" w:ascii="宋体" w:hAnsi="宋体" w:cs="宋体"/>
                      <w:color w:val="auto"/>
                      <w:kern w:val="24"/>
                      <w:highlight w:val="none"/>
                    </w:rPr>
                    <w:t>强化应急防范处置能力。加强环境风险信息化管理，完善环境风险源、环境敏感目标、环境应急能力及环境应急预案等数据库，健全应急指挥决策支持系统，提升环境应急信息化水平。加强环境应急预案管理，强化应急演练，推进环境应急管理规范化。加强部门应急联动机制建设，完善环境应急监测设备，提高应急监测水平。提升环境应急保障能力，建立市、县</w:t>
                  </w:r>
                  <w:r>
                    <w:rPr>
                      <w:rFonts w:hint="eastAsia" w:ascii="宋体" w:hAnsi="宋体" w:cs="宋体"/>
                      <w:color w:val="auto"/>
                      <w:kern w:val="24"/>
                      <w:highlight w:val="none"/>
                      <w:lang w:eastAsia="zh-CN"/>
                    </w:rPr>
                    <w:t>（</w:t>
                  </w:r>
                  <w:r>
                    <w:rPr>
                      <w:rFonts w:hint="eastAsia" w:ascii="宋体" w:hAnsi="宋体" w:cs="宋体"/>
                      <w:color w:val="auto"/>
                      <w:kern w:val="24"/>
                      <w:highlight w:val="none"/>
                    </w:rPr>
                    <w:t>区</w:t>
                  </w:r>
                  <w:r>
                    <w:rPr>
                      <w:rFonts w:hint="eastAsia" w:ascii="宋体" w:hAnsi="宋体" w:cs="宋体"/>
                      <w:color w:val="auto"/>
                      <w:kern w:val="24"/>
                      <w:highlight w:val="none"/>
                      <w:lang w:eastAsia="zh-CN"/>
                    </w:rPr>
                    <w:t>）</w:t>
                  </w:r>
                  <w:r>
                    <w:rPr>
                      <w:rFonts w:hint="eastAsia" w:ascii="宋体" w:hAnsi="宋体" w:cs="宋体"/>
                      <w:color w:val="auto"/>
                      <w:kern w:val="24"/>
                      <w:highlight w:val="none"/>
                    </w:rPr>
                    <w:t>突发环境事件应急综合救援队伍，加强环境应急专家队伍管理，优化相关咨询机制和决策支持。加强突发环境事件环境污染损害评估、事件调查、信息发布等。</w:t>
                  </w:r>
                </w:p>
              </w:tc>
              <w:tc>
                <w:tcPr>
                  <w:tcW w:w="1887" w:type="dxa"/>
                  <w:shd w:val="clear" w:color="auto" w:fill="auto"/>
                  <w:vAlign w:val="center"/>
                </w:tcPr>
                <w:p w14:paraId="3B2A7380">
                  <w:pPr>
                    <w:jc w:val="center"/>
                    <w:rPr>
                      <w:rFonts w:ascii="宋体" w:hAnsi="宋体" w:cs="宋体"/>
                      <w:color w:val="auto"/>
                      <w:kern w:val="24"/>
                      <w:highlight w:val="none"/>
                    </w:rPr>
                  </w:pPr>
                  <w:r>
                    <w:rPr>
                      <w:rFonts w:ascii="宋体" w:hAnsi="宋体" w:cs="宋体"/>
                      <w:color w:val="auto"/>
                      <w:kern w:val="24"/>
                      <w:highlight w:val="none"/>
                    </w:rPr>
                    <w:t>本项目完善环境风险源、环境敏感目标、环境应急能力及环境应急预案等数据库，</w:t>
                  </w:r>
                  <w:r>
                    <w:rPr>
                      <w:rFonts w:hint="eastAsia" w:ascii="宋体" w:hAnsi="宋体" w:cs="宋体"/>
                      <w:color w:val="auto"/>
                      <w:kern w:val="24"/>
                      <w:highlight w:val="none"/>
                    </w:rPr>
                    <w:t>且</w:t>
                  </w:r>
                  <w:r>
                    <w:rPr>
                      <w:rFonts w:ascii="宋体" w:hAnsi="宋体" w:cs="宋体"/>
                      <w:color w:val="auto"/>
                      <w:kern w:val="24"/>
                      <w:highlight w:val="none"/>
                    </w:rPr>
                    <w:t>加强厂区内的环境风险防范措施</w:t>
                  </w:r>
                </w:p>
              </w:tc>
              <w:tc>
                <w:tcPr>
                  <w:tcW w:w="682" w:type="dxa"/>
                  <w:shd w:val="clear" w:color="auto" w:fill="auto"/>
                  <w:vAlign w:val="center"/>
                </w:tcPr>
                <w:p w14:paraId="5352A9D8">
                  <w:pPr>
                    <w:rPr>
                      <w:rFonts w:ascii="宋体" w:hAnsi="宋体" w:cs="宋体"/>
                      <w:color w:val="auto"/>
                      <w:kern w:val="24"/>
                      <w:highlight w:val="none"/>
                    </w:rPr>
                  </w:pPr>
                  <w:r>
                    <w:rPr>
                      <w:rFonts w:hint="eastAsia" w:ascii="宋体" w:hAnsi="宋体" w:cs="宋体"/>
                      <w:color w:val="auto"/>
                      <w:kern w:val="24"/>
                      <w:highlight w:val="none"/>
                    </w:rPr>
                    <w:t>符合</w:t>
                  </w:r>
                </w:p>
              </w:tc>
            </w:tr>
            <w:tr w14:paraId="25B68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7198" w:type="dxa"/>
                  <w:gridSpan w:val="4"/>
                  <w:shd w:val="clear" w:color="auto" w:fill="auto"/>
                  <w:vAlign w:val="center"/>
                </w:tcPr>
                <w:p w14:paraId="2A2CA0AE">
                  <w:pPr>
                    <w:pStyle w:val="112"/>
                    <w:snapToGrid/>
                    <w:spacing w:before="0" w:after="0" w:line="240" w:lineRule="auto"/>
                    <w:ind w:left="0" w:leftChars="0" w:right="0" w:firstLine="0" w:firstLineChars="0"/>
                    <w:jc w:val="left"/>
                    <w:rPr>
                      <w:rFonts w:ascii="宋体" w:hAnsi="宋体" w:cs="宋体"/>
                      <w:color w:val="auto"/>
                      <w:kern w:val="24"/>
                      <w:highlight w:val="none"/>
                    </w:rPr>
                  </w:pPr>
                  <w:r>
                    <w:rPr>
                      <w:rFonts w:hint="eastAsia" w:ascii="宋体" w:hAnsi="宋体" w:cs="宋体"/>
                      <w:color w:val="auto"/>
                      <w:kern w:val="24"/>
                      <w:highlight w:val="none"/>
                    </w:rPr>
                    <w:t>3.加强风险源管理和重点行业风险防控</w:t>
                  </w:r>
                </w:p>
              </w:tc>
            </w:tr>
            <w:tr w14:paraId="0878B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7198" w:type="dxa"/>
                  <w:gridSpan w:val="4"/>
                  <w:shd w:val="clear" w:color="auto" w:fill="auto"/>
                  <w:vAlign w:val="center"/>
                </w:tcPr>
                <w:p w14:paraId="72F2D105">
                  <w:pPr>
                    <w:rPr>
                      <w:rFonts w:ascii="宋体" w:hAnsi="宋体" w:cs="宋体"/>
                      <w:color w:val="auto"/>
                      <w:kern w:val="24"/>
                      <w:highlight w:val="none"/>
                    </w:rPr>
                  </w:pPr>
                  <w:r>
                    <w:rPr>
                      <w:rFonts w:hint="eastAsia" w:ascii="宋体" w:hAnsi="宋体" w:cs="宋体"/>
                      <w:color w:val="auto"/>
                      <w:kern w:val="24"/>
                      <w:highlight w:val="none"/>
                    </w:rPr>
                    <w:t>4.强化固体废物安全处理处置</w:t>
                  </w:r>
                </w:p>
              </w:tc>
            </w:tr>
            <w:tr w14:paraId="602A6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1" w:hRule="atLeast"/>
                <w:jc w:val="center"/>
              </w:trPr>
              <w:tc>
                <w:tcPr>
                  <w:tcW w:w="636" w:type="dxa"/>
                  <w:shd w:val="clear" w:color="auto" w:fill="auto"/>
                  <w:vAlign w:val="center"/>
                </w:tcPr>
                <w:p w14:paraId="1DC59DE8">
                  <w:pPr>
                    <w:rPr>
                      <w:rFonts w:ascii="宋体" w:hAnsi="宋体" w:cs="宋体"/>
                      <w:color w:val="auto"/>
                      <w:kern w:val="24"/>
                      <w:highlight w:val="none"/>
                    </w:rPr>
                  </w:pPr>
                  <w:r>
                    <w:rPr>
                      <w:rFonts w:hint="eastAsia" w:ascii="宋体" w:hAnsi="宋体" w:cs="宋体"/>
                      <w:color w:val="auto"/>
                      <w:kern w:val="24"/>
                      <w:highlight w:val="none"/>
                    </w:rPr>
                    <w:t>1</w:t>
                  </w:r>
                </w:p>
              </w:tc>
              <w:tc>
                <w:tcPr>
                  <w:tcW w:w="3993" w:type="dxa"/>
                  <w:shd w:val="clear" w:color="auto" w:fill="auto"/>
                  <w:vAlign w:val="center"/>
                </w:tcPr>
                <w:p w14:paraId="30338165">
                  <w:pPr>
                    <w:rPr>
                      <w:rFonts w:ascii="宋体" w:hAnsi="宋体" w:cs="宋体"/>
                      <w:color w:val="auto"/>
                      <w:kern w:val="24"/>
                      <w:highlight w:val="none"/>
                    </w:rPr>
                  </w:pPr>
                  <w:r>
                    <w:rPr>
                      <w:rFonts w:hint="eastAsia" w:ascii="宋体" w:hAnsi="宋体" w:cs="宋体"/>
                      <w:color w:val="auto"/>
                      <w:kern w:val="24"/>
                      <w:highlight w:val="none"/>
                    </w:rPr>
                    <w:t>推进工业固废资源化利用。开展工业园区循环化改造示范工程，推进安徽</w:t>
                  </w:r>
                  <w:r>
                    <w:rPr>
                      <w:rFonts w:hint="eastAsia" w:ascii="宋体" w:hAnsi="宋体" w:cs="宋体"/>
                      <w:color w:val="auto"/>
                      <w:kern w:val="24"/>
                      <w:highlight w:val="none"/>
                      <w:lang w:eastAsia="zh-CN"/>
                    </w:rPr>
                    <w:t>（</w:t>
                  </w:r>
                  <w:r>
                    <w:rPr>
                      <w:rFonts w:hint="eastAsia" w:ascii="宋体" w:hAnsi="宋体" w:cs="宋体"/>
                      <w:color w:val="auto"/>
                      <w:kern w:val="24"/>
                      <w:highlight w:val="none"/>
                    </w:rPr>
                    <w:t>淮北</w:t>
                  </w:r>
                  <w:r>
                    <w:rPr>
                      <w:rFonts w:hint="eastAsia" w:ascii="宋体" w:hAnsi="宋体" w:cs="宋体"/>
                      <w:color w:val="auto"/>
                      <w:kern w:val="24"/>
                      <w:highlight w:val="none"/>
                      <w:lang w:eastAsia="zh-CN"/>
                    </w:rPr>
                    <w:t>）</w:t>
                  </w:r>
                  <w:r>
                    <w:rPr>
                      <w:rFonts w:hint="eastAsia" w:ascii="宋体" w:hAnsi="宋体" w:cs="宋体"/>
                      <w:color w:val="auto"/>
                      <w:kern w:val="24"/>
                      <w:highlight w:val="none"/>
                    </w:rPr>
                    <w:t>新型煤化工合成材料基地、淮北高新技术产业开发区、濉溪经济开发区等循环经济园区示范建设，加快实施相山经济开发区、杜集经济开发区循环化改造，争创省级园区循环化改造试点。大力推进重点工业企业清洁生产，通过技术改造、降低能耗和原材料消耗，从生产工艺、装备、资源和能源使用角度提出清洁生产方案，实现工业固体废物的减量化。进一步提升主要固体废物资源化程度，从产业结构及区域层面推进工业固体废物资源化利用。</w:t>
                  </w:r>
                </w:p>
              </w:tc>
              <w:tc>
                <w:tcPr>
                  <w:tcW w:w="1887" w:type="dxa"/>
                  <w:shd w:val="clear" w:color="auto" w:fill="auto"/>
                  <w:vAlign w:val="center"/>
                </w:tcPr>
                <w:p w14:paraId="3AD7C051">
                  <w:pPr>
                    <w:jc w:val="center"/>
                    <w:rPr>
                      <w:rFonts w:ascii="宋体" w:hAnsi="宋体" w:cs="宋体"/>
                      <w:color w:val="auto"/>
                      <w:kern w:val="24"/>
                      <w:highlight w:val="none"/>
                    </w:rPr>
                  </w:pPr>
                  <w:r>
                    <w:rPr>
                      <w:rFonts w:hint="eastAsia" w:ascii="宋体" w:hAnsi="宋体" w:cs="宋体"/>
                      <w:color w:val="auto"/>
                      <w:kern w:val="24"/>
                      <w:highlight w:val="none"/>
                    </w:rPr>
                    <w:t>本项目位于</w:t>
                  </w:r>
                  <w:r>
                    <w:rPr>
                      <w:rFonts w:hint="eastAsia" w:ascii="宋体" w:hAnsi="宋体" w:cs="宋体"/>
                      <w:color w:val="auto"/>
                      <w:kern w:val="24"/>
                      <w:highlight w:val="none"/>
                      <w:lang w:eastAsia="zh-CN"/>
                    </w:rPr>
                    <w:t>淮北市烈山区古饶镇烈山经济开发区南塘路与邱家沟交叉口东北角1号</w:t>
                  </w:r>
                  <w:r>
                    <w:rPr>
                      <w:rFonts w:hint="eastAsia" w:ascii="宋体" w:hAnsi="宋体" w:cs="宋体"/>
                      <w:color w:val="auto"/>
                      <w:kern w:val="24"/>
                      <w:highlight w:val="none"/>
                    </w:rPr>
                    <w:t>，采用先进的生产工艺、装备减少固体废物的产生量。</w:t>
                  </w:r>
                </w:p>
              </w:tc>
              <w:tc>
                <w:tcPr>
                  <w:tcW w:w="682" w:type="dxa"/>
                  <w:shd w:val="clear" w:color="auto" w:fill="auto"/>
                  <w:vAlign w:val="center"/>
                </w:tcPr>
                <w:p w14:paraId="54D50B76">
                  <w:pPr>
                    <w:rPr>
                      <w:rFonts w:ascii="宋体" w:hAnsi="宋体" w:cs="宋体"/>
                      <w:color w:val="auto"/>
                      <w:kern w:val="24"/>
                      <w:highlight w:val="none"/>
                    </w:rPr>
                  </w:pPr>
                  <w:r>
                    <w:rPr>
                      <w:rFonts w:hint="eastAsia" w:ascii="宋体" w:hAnsi="宋体" w:cs="宋体"/>
                      <w:color w:val="auto"/>
                      <w:kern w:val="24"/>
                      <w:highlight w:val="none"/>
                    </w:rPr>
                    <w:t>符合</w:t>
                  </w:r>
                </w:p>
              </w:tc>
            </w:tr>
            <w:tr w14:paraId="7C1FE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7" w:hRule="atLeast"/>
                <w:jc w:val="center"/>
              </w:trPr>
              <w:tc>
                <w:tcPr>
                  <w:tcW w:w="636" w:type="dxa"/>
                  <w:shd w:val="clear" w:color="auto" w:fill="auto"/>
                  <w:vAlign w:val="center"/>
                </w:tcPr>
                <w:p w14:paraId="1ADBA462">
                  <w:pPr>
                    <w:rPr>
                      <w:rFonts w:ascii="宋体" w:hAnsi="宋体" w:cs="宋体"/>
                      <w:color w:val="auto"/>
                      <w:kern w:val="24"/>
                      <w:highlight w:val="none"/>
                    </w:rPr>
                  </w:pPr>
                  <w:r>
                    <w:rPr>
                      <w:rFonts w:hint="eastAsia" w:ascii="宋体" w:hAnsi="宋体" w:cs="宋体"/>
                      <w:color w:val="auto"/>
                      <w:kern w:val="24"/>
                      <w:highlight w:val="none"/>
                    </w:rPr>
                    <w:t>2</w:t>
                  </w:r>
                </w:p>
              </w:tc>
              <w:tc>
                <w:tcPr>
                  <w:tcW w:w="3993" w:type="dxa"/>
                  <w:shd w:val="clear" w:color="auto" w:fill="auto"/>
                  <w:vAlign w:val="center"/>
                </w:tcPr>
                <w:p w14:paraId="01A6FED0">
                  <w:pPr>
                    <w:rPr>
                      <w:rFonts w:ascii="宋体" w:hAnsi="宋体" w:cs="宋体"/>
                      <w:color w:val="auto"/>
                      <w:kern w:val="24"/>
                      <w:highlight w:val="none"/>
                    </w:rPr>
                  </w:pPr>
                  <w:r>
                    <w:rPr>
                      <w:rFonts w:hint="eastAsia" w:ascii="宋体" w:hAnsi="宋体" w:cs="宋体"/>
                      <w:color w:val="auto"/>
                      <w:kern w:val="24"/>
                      <w:highlight w:val="none"/>
                    </w:rPr>
                    <w:t>加强危险废物安全处置。加快实施危险废物处置工程，提升危险废物安全处置能力。严格落实申报登记和经营许可管理，规范危险废物处理处置市场，严禁无证经营和超范围经营，确保各类危险废物的安全处理处置。实施危险废物转移联单管理，采取密封、防水等措施防止收集运输过程造成环境污染。继续强化医疗废物管理工作，开展危险废物和危险化学品污染事故应急能力建设,防范环境污染风险。以提高危险废物资源化利用水平为重点，完善危险废物运输、转运和处理机制，杜绝危险废物混入一般工业固体废物或生活垃圾进行处理处置的现象，培育技术先进、综合利用水平高、环境治理设施完善的危险废物持证经营单位，加强危险废物资源化利用，确保危险废物安全处置利用率达到100%。完善危险废物管理台帐、转移联单等管理制度，提高危险废物收集、运输、处理处置的全过程信息化管理水平。</w:t>
                  </w:r>
                </w:p>
              </w:tc>
              <w:tc>
                <w:tcPr>
                  <w:tcW w:w="1887" w:type="dxa"/>
                  <w:shd w:val="clear" w:color="auto" w:fill="auto"/>
                  <w:vAlign w:val="center"/>
                </w:tcPr>
                <w:p w14:paraId="7AD2D9B5">
                  <w:pPr>
                    <w:jc w:val="center"/>
                    <w:rPr>
                      <w:rFonts w:hint="default" w:ascii="宋体" w:hAnsi="宋体" w:eastAsia="宋体" w:cs="宋体"/>
                      <w:color w:val="auto"/>
                      <w:kern w:val="24"/>
                      <w:highlight w:val="none"/>
                      <w:lang w:val="en-US" w:eastAsia="zh-CN"/>
                    </w:rPr>
                  </w:pPr>
                  <w:r>
                    <w:rPr>
                      <w:rFonts w:hint="eastAsia" w:ascii="宋体" w:hAnsi="宋体" w:cs="宋体"/>
                      <w:color w:val="auto"/>
                      <w:kern w:val="24"/>
                      <w:highlight w:val="none"/>
                    </w:rPr>
                    <w:t>本项目</w:t>
                  </w:r>
                  <w:r>
                    <w:rPr>
                      <w:rFonts w:hint="eastAsia" w:ascii="宋体" w:hAnsi="宋体" w:cs="宋体"/>
                      <w:color w:val="auto"/>
                      <w:kern w:val="24"/>
                      <w:highlight w:val="none"/>
                      <w:lang w:eastAsia="zh-CN"/>
                    </w:rPr>
                    <w:t>产生的危废主要为废机油、废油桶、废含油抹布、劳保用品，收集后暂存于危险废物暂存间内，委托具有危险废物处理资质单位处置</w:t>
                  </w:r>
                </w:p>
              </w:tc>
              <w:tc>
                <w:tcPr>
                  <w:tcW w:w="682" w:type="dxa"/>
                  <w:shd w:val="clear" w:color="auto" w:fill="auto"/>
                  <w:vAlign w:val="center"/>
                </w:tcPr>
                <w:p w14:paraId="5FB69B98">
                  <w:pPr>
                    <w:rPr>
                      <w:rFonts w:ascii="宋体" w:hAnsi="宋体" w:cs="宋体"/>
                      <w:color w:val="auto"/>
                      <w:kern w:val="24"/>
                      <w:highlight w:val="none"/>
                    </w:rPr>
                  </w:pPr>
                  <w:r>
                    <w:rPr>
                      <w:rFonts w:hint="eastAsia" w:ascii="宋体" w:hAnsi="宋体" w:cs="宋体"/>
                      <w:color w:val="auto"/>
                      <w:kern w:val="24"/>
                      <w:highlight w:val="none"/>
                    </w:rPr>
                    <w:t>符合</w:t>
                  </w:r>
                </w:p>
              </w:tc>
            </w:tr>
            <w:tr w14:paraId="7D3AD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2" w:hRule="atLeast"/>
                <w:jc w:val="center"/>
              </w:trPr>
              <w:tc>
                <w:tcPr>
                  <w:tcW w:w="636" w:type="dxa"/>
                  <w:shd w:val="clear" w:color="auto" w:fill="auto"/>
                  <w:vAlign w:val="center"/>
                </w:tcPr>
                <w:p w14:paraId="46221147">
                  <w:pPr>
                    <w:rPr>
                      <w:rFonts w:ascii="宋体" w:hAnsi="宋体" w:cs="宋体"/>
                      <w:color w:val="auto"/>
                      <w:kern w:val="24"/>
                      <w:highlight w:val="none"/>
                    </w:rPr>
                  </w:pPr>
                  <w:r>
                    <w:rPr>
                      <w:rFonts w:hint="eastAsia" w:ascii="宋体" w:hAnsi="宋体" w:cs="宋体"/>
                      <w:color w:val="auto"/>
                      <w:kern w:val="24"/>
                      <w:highlight w:val="none"/>
                    </w:rPr>
                    <w:t>3</w:t>
                  </w:r>
                </w:p>
              </w:tc>
              <w:tc>
                <w:tcPr>
                  <w:tcW w:w="3993" w:type="dxa"/>
                  <w:shd w:val="clear" w:color="auto" w:fill="auto"/>
                  <w:vAlign w:val="center"/>
                </w:tcPr>
                <w:p w14:paraId="4EAB0329">
                  <w:pPr>
                    <w:rPr>
                      <w:rFonts w:ascii="宋体" w:hAnsi="宋体" w:cs="宋体"/>
                      <w:color w:val="auto"/>
                      <w:kern w:val="24"/>
                      <w:highlight w:val="none"/>
                    </w:rPr>
                  </w:pPr>
                  <w:r>
                    <w:rPr>
                      <w:rFonts w:hint="eastAsia" w:ascii="宋体" w:hAnsi="宋体" w:cs="宋体"/>
                      <w:color w:val="auto"/>
                      <w:kern w:val="24"/>
                      <w:highlight w:val="none"/>
                    </w:rPr>
                    <w:t>加强生活垃圾综合处理。深入实施城市生活垃圾分类，提高垃圾处理减量化、资源化和无害化水平，积极创建“无废城市”。完善区域生活垃圾无害化处理系统，加强生活垃圾无害化处理设施建设和运营信息统计，重点推进对焚烧厂、卫生填埋场主要设施运营状况等实施实时监控，加强对焚烧设施烟气排放和卫生填埋场渗滤液和填埋气体的监测，防范污染，提高垃圾处理厂监管能力。</w:t>
                  </w:r>
                </w:p>
              </w:tc>
              <w:tc>
                <w:tcPr>
                  <w:tcW w:w="1887" w:type="dxa"/>
                  <w:shd w:val="clear" w:color="auto" w:fill="auto"/>
                  <w:vAlign w:val="center"/>
                </w:tcPr>
                <w:p w14:paraId="11A2E00E">
                  <w:pPr>
                    <w:jc w:val="center"/>
                    <w:rPr>
                      <w:rFonts w:ascii="宋体" w:hAnsi="宋体" w:cs="宋体"/>
                      <w:color w:val="auto"/>
                      <w:kern w:val="24"/>
                      <w:highlight w:val="none"/>
                    </w:rPr>
                  </w:pPr>
                  <w:r>
                    <w:rPr>
                      <w:rFonts w:hint="eastAsia" w:ascii="宋体" w:hAnsi="宋体" w:cs="宋体"/>
                      <w:color w:val="auto"/>
                      <w:kern w:val="24"/>
                      <w:highlight w:val="none"/>
                    </w:rPr>
                    <w:t>本项目</w:t>
                  </w:r>
                  <w:r>
                    <w:rPr>
                      <w:rFonts w:hint="eastAsia" w:ascii="宋体" w:hAnsi="宋体" w:cs="宋体"/>
                      <w:color w:val="auto"/>
                      <w:kern w:val="24"/>
                      <w:highlight w:val="none"/>
                      <w:lang w:eastAsia="zh-CN"/>
                    </w:rPr>
                    <w:t>除尘器收集的粉尘回用于生产；</w:t>
                  </w:r>
                  <w:r>
                    <w:rPr>
                      <w:rFonts w:hint="eastAsia" w:ascii="宋体" w:hAnsi="宋体" w:cs="宋体"/>
                      <w:color w:val="auto"/>
                      <w:kern w:val="24"/>
                      <w:highlight w:val="none"/>
                    </w:rPr>
                    <w:t>生活垃圾</w:t>
                  </w:r>
                  <w:r>
                    <w:rPr>
                      <w:rFonts w:ascii="宋体" w:hAnsi="宋体" w:cs="宋体"/>
                      <w:color w:val="auto"/>
                      <w:kern w:val="24"/>
                      <w:highlight w:val="none"/>
                    </w:rPr>
                    <w:t>收集后由环卫部门统一清运处理</w:t>
                  </w:r>
                  <w:r>
                    <w:rPr>
                      <w:rFonts w:hint="eastAsia" w:ascii="宋体" w:hAnsi="宋体" w:cs="宋体"/>
                      <w:color w:val="auto"/>
                      <w:kern w:val="24"/>
                      <w:highlight w:val="none"/>
                    </w:rPr>
                    <w:t>，只在厂内暂存。</w:t>
                  </w:r>
                </w:p>
              </w:tc>
              <w:tc>
                <w:tcPr>
                  <w:tcW w:w="682" w:type="dxa"/>
                  <w:shd w:val="clear" w:color="auto" w:fill="auto"/>
                  <w:vAlign w:val="center"/>
                </w:tcPr>
                <w:p w14:paraId="1321DBBF">
                  <w:pPr>
                    <w:rPr>
                      <w:rFonts w:ascii="宋体" w:hAnsi="宋体" w:cs="宋体"/>
                      <w:color w:val="auto"/>
                      <w:kern w:val="24"/>
                      <w:highlight w:val="none"/>
                    </w:rPr>
                  </w:pPr>
                  <w:r>
                    <w:rPr>
                      <w:rFonts w:hint="eastAsia" w:ascii="宋体" w:hAnsi="宋体" w:cs="宋体"/>
                      <w:color w:val="auto"/>
                      <w:kern w:val="24"/>
                      <w:highlight w:val="none"/>
                    </w:rPr>
                    <w:t>符合</w:t>
                  </w:r>
                </w:p>
              </w:tc>
            </w:tr>
          </w:tbl>
          <w:p w14:paraId="72E4195F">
            <w:pPr>
              <w:adjustRightInd w:val="0"/>
              <w:snapToGrid w:val="0"/>
              <w:jc w:val="left"/>
              <w:rPr>
                <w:rFonts w:ascii="宋体"/>
                <w:color w:val="auto"/>
                <w:sz w:val="24"/>
                <w:szCs w:val="24"/>
                <w:highlight w:val="none"/>
              </w:rPr>
            </w:pPr>
            <w:r>
              <w:rPr>
                <w:color w:val="auto"/>
                <w:sz w:val="24"/>
                <w:highlight w:val="none"/>
              </w:rPr>
              <w:br w:type="textWrapping"/>
            </w:r>
          </w:p>
        </w:tc>
      </w:tr>
    </w:tbl>
    <w:p w14:paraId="59D159B6">
      <w:pPr>
        <w:spacing w:line="360" w:lineRule="auto"/>
        <w:outlineLvl w:val="0"/>
        <w:rPr>
          <w:rFonts w:eastAsia="黑体"/>
          <w:color w:val="auto"/>
          <w:sz w:val="30"/>
          <w:szCs w:val="30"/>
          <w:highlight w:val="none"/>
        </w:rPr>
        <w:sectPr>
          <w:footerReference r:id="rId4" w:type="default"/>
          <w:pgSz w:w="11906" w:h="16838"/>
          <w:pgMar w:top="1701" w:right="1531" w:bottom="1276" w:left="1531" w:header="851" w:footer="1077" w:gutter="0"/>
          <w:pgNumType w:start="1"/>
          <w:cols w:space="720" w:num="1"/>
          <w:docGrid w:linePitch="312" w:charSpace="0"/>
        </w:sectPr>
      </w:pPr>
    </w:p>
    <w:p w14:paraId="51305D8E">
      <w:pPr>
        <w:pStyle w:val="34"/>
        <w:jc w:val="center"/>
        <w:outlineLvl w:val="0"/>
        <w:rPr>
          <w:rFonts w:ascii="黑体" w:hAnsi="黑体" w:eastAsia="黑体" w:cs="黑体"/>
          <w:snapToGrid w:val="0"/>
          <w:color w:val="auto"/>
          <w:sz w:val="30"/>
          <w:szCs w:val="30"/>
          <w:highlight w:val="none"/>
        </w:rPr>
      </w:pPr>
      <w:r>
        <w:rPr>
          <w:rFonts w:hint="eastAsia" w:ascii="黑体" w:hAnsi="黑体" w:eastAsia="黑体" w:cs="黑体"/>
          <w:snapToGrid w:val="0"/>
          <w:color w:val="auto"/>
          <w:sz w:val="30"/>
          <w:szCs w:val="30"/>
          <w:highlight w:val="none"/>
        </w:rPr>
        <w:t>二、建设项目工程分析</w:t>
      </w:r>
      <w:r>
        <w:rPr>
          <w:rFonts w:ascii="黑体" w:hAnsi="黑体" w:eastAsia="黑体" w:cs="黑体"/>
          <w:snapToGrid w:val="0"/>
          <w:color w:val="auto"/>
          <w:sz w:val="30"/>
          <w:szCs w:val="30"/>
          <w:highlight w:val="none"/>
        </w:rPr>
        <w:t xml:space="preserve"> </w:t>
      </w:r>
    </w:p>
    <w:tbl>
      <w:tblPr>
        <w:tblStyle w:val="37"/>
        <w:tblW w:w="915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00"/>
        <w:gridCol w:w="8552"/>
      </w:tblGrid>
      <w:tr w14:paraId="288FC7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0" w:type="dxa"/>
            <w:tcBorders>
              <w:top w:val="single" w:color="auto" w:sz="8" w:space="0"/>
            </w:tcBorders>
            <w:vAlign w:val="center"/>
          </w:tcPr>
          <w:p w14:paraId="07ED0599">
            <w:pPr>
              <w:pStyle w:val="34"/>
              <w:adjustRightInd w:val="0"/>
              <w:snapToGrid w:val="0"/>
              <w:spacing w:before="0" w:beforeAutospacing="0" w:after="0" w:afterAutospacing="0"/>
              <w:jc w:val="center"/>
              <w:rPr>
                <w:rFonts w:cs="Times New Roman"/>
                <w:color w:val="auto"/>
                <w:sz w:val="21"/>
                <w:szCs w:val="21"/>
                <w:highlight w:val="none"/>
              </w:rPr>
            </w:pPr>
            <w:r>
              <w:rPr>
                <w:rFonts w:hint="eastAsia"/>
                <w:color w:val="auto"/>
                <w:kern w:val="2"/>
                <w:highlight w:val="none"/>
              </w:rPr>
              <w:t>建设内容</w:t>
            </w:r>
          </w:p>
        </w:tc>
        <w:tc>
          <w:tcPr>
            <w:tcW w:w="8552" w:type="dxa"/>
            <w:tcBorders>
              <w:top w:val="single" w:color="auto" w:sz="8" w:space="0"/>
            </w:tcBorders>
          </w:tcPr>
          <w:p w14:paraId="704C17DD">
            <w:pPr>
              <w:adjustRightInd w:val="0"/>
              <w:snapToGrid w:val="0"/>
              <w:spacing w:before="240" w:beforeLines="100" w:line="360" w:lineRule="auto"/>
              <w:ind w:firstLine="482" w:firstLineChars="200"/>
              <w:jc w:val="left"/>
              <w:rPr>
                <w:rFonts w:hint="eastAsia" w:ascii="宋体" w:eastAsia="宋体"/>
                <w:b/>
                <w:bCs/>
                <w:color w:val="auto"/>
                <w:sz w:val="24"/>
                <w:szCs w:val="24"/>
                <w:highlight w:val="none"/>
                <w:lang w:eastAsia="zh-CN"/>
              </w:rPr>
            </w:pPr>
            <w:r>
              <w:rPr>
                <w:b/>
                <w:bCs/>
                <w:color w:val="auto"/>
                <w:sz w:val="24"/>
                <w:szCs w:val="24"/>
                <w:highlight w:val="none"/>
              </w:rPr>
              <w:t>1</w:t>
            </w:r>
            <w:r>
              <w:rPr>
                <w:rFonts w:hint="eastAsia" w:ascii="宋体" w:hAnsi="宋体" w:cs="宋体"/>
                <w:b/>
                <w:bCs/>
                <w:color w:val="auto"/>
                <w:sz w:val="24"/>
                <w:szCs w:val="24"/>
                <w:highlight w:val="none"/>
              </w:rPr>
              <w:t>、项目</w:t>
            </w:r>
            <w:r>
              <w:rPr>
                <w:rFonts w:hint="eastAsia" w:ascii="宋体" w:hAnsi="宋体" w:cs="宋体"/>
                <w:b/>
                <w:bCs/>
                <w:color w:val="auto"/>
                <w:sz w:val="24"/>
                <w:szCs w:val="24"/>
                <w:highlight w:val="none"/>
                <w:lang w:eastAsia="zh-CN"/>
              </w:rPr>
              <w:t>由来</w:t>
            </w:r>
          </w:p>
          <w:p w14:paraId="4CC23D6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highlight w:val="none"/>
                <w:vertAlign w:val="baseline"/>
                <w:lang w:val="en-US" w:eastAsia="zh-CN"/>
              </w:rPr>
            </w:pPr>
            <w:r>
              <w:rPr>
                <w:rFonts w:hint="eastAsia" w:cs="Times New Roman"/>
                <w:color w:val="auto"/>
                <w:sz w:val="24"/>
                <w:highlight w:val="none"/>
                <w:lang w:eastAsia="zh-CN"/>
              </w:rPr>
              <w:t>安徽金之源生物科技有限公司成立于2024年</w:t>
            </w:r>
            <w:r>
              <w:rPr>
                <w:rFonts w:hint="eastAsia" w:cs="Times New Roman"/>
                <w:color w:val="auto"/>
                <w:sz w:val="24"/>
                <w:highlight w:val="none"/>
                <w:lang w:val="en-US" w:eastAsia="zh-CN"/>
              </w:rPr>
              <w:t>1</w:t>
            </w:r>
            <w:r>
              <w:rPr>
                <w:rFonts w:hint="eastAsia" w:cs="Times New Roman"/>
                <w:color w:val="auto"/>
                <w:sz w:val="24"/>
                <w:highlight w:val="none"/>
                <w:lang w:eastAsia="zh-CN"/>
              </w:rPr>
              <w:t>1月</w:t>
            </w:r>
            <w:r>
              <w:rPr>
                <w:rFonts w:hint="eastAsia" w:cs="Times New Roman"/>
                <w:color w:val="auto"/>
                <w:sz w:val="24"/>
                <w:highlight w:val="none"/>
                <w:lang w:val="en-US" w:eastAsia="zh-CN"/>
              </w:rPr>
              <w:t>20</w:t>
            </w:r>
            <w:r>
              <w:rPr>
                <w:rFonts w:hint="eastAsia" w:cs="Times New Roman"/>
                <w:color w:val="auto"/>
                <w:sz w:val="24"/>
                <w:highlight w:val="none"/>
                <w:lang w:eastAsia="zh-CN"/>
              </w:rPr>
              <w:t>日，注册地位于安徽省淮北市烈山区古饶镇烈山经济开发区南唐路与邱家沟路交叉口东北角1号，法定代表人为徐坤。安徽金之源生物科技有限公司拟投资</w:t>
            </w:r>
            <w:r>
              <w:rPr>
                <w:rFonts w:hint="eastAsia" w:cs="Times New Roman"/>
                <w:color w:val="auto"/>
                <w:sz w:val="24"/>
                <w:highlight w:val="none"/>
                <w:lang w:val="en-US" w:eastAsia="zh-CN"/>
              </w:rPr>
              <w:t>15000万元建设</w:t>
            </w:r>
            <w:r>
              <w:rPr>
                <w:rFonts w:hint="eastAsia" w:ascii="宋体" w:hAnsi="宋体" w:cs="宋体"/>
                <w:color w:val="auto"/>
                <w:sz w:val="24"/>
                <w:szCs w:val="24"/>
                <w:highlight w:val="none"/>
                <w:lang w:eastAsia="zh-CN"/>
              </w:rPr>
              <w:t>年加工20万吨生物质颗粒建设项目</w:t>
            </w:r>
            <w:r>
              <w:rPr>
                <w:rFonts w:hint="eastAsia" w:cs="Times New Roman"/>
                <w:color w:val="auto"/>
                <w:sz w:val="24"/>
                <w:highlight w:val="none"/>
                <w:lang w:val="en-US" w:eastAsia="zh-CN"/>
              </w:rPr>
              <w:t>。项目租赁安徽麦丞新型材料科技有限公司建成厂房作为生产经营场所，并购置破碎机、粉碎机等生产设备。</w:t>
            </w:r>
          </w:p>
          <w:p w14:paraId="6CB13C22">
            <w:pPr>
              <w:keepNext w:val="0"/>
              <w:keepLines w:val="0"/>
              <w:widowControl/>
              <w:suppressLineNumbers w:val="0"/>
              <w:adjustRightInd w:val="0"/>
              <w:snapToGrid w:val="0"/>
              <w:spacing w:line="360" w:lineRule="auto"/>
              <w:ind w:firstLine="480" w:firstLineChars="200"/>
              <w:jc w:val="left"/>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rPr>
              <w:t>根据《中华人民共和国环境影响评价法》《建设项目环境保护管理条例》等法规文件，对照《建设项目环境影响评价分类管理名录》（2021年1月1日），</w:t>
            </w:r>
            <w:r>
              <w:rPr>
                <w:rFonts w:hint="eastAsia" w:ascii="Times New Roman" w:hAnsi="Times New Roman" w:eastAsia="宋体" w:cs="Times New Roman"/>
                <w:color w:val="auto"/>
                <w:sz w:val="24"/>
                <w:szCs w:val="24"/>
                <w:highlight w:val="none"/>
                <w:lang w:val="en-US" w:eastAsia="zh-CN"/>
              </w:rPr>
              <w:t>本</w:t>
            </w:r>
            <w:r>
              <w:rPr>
                <w:rFonts w:hint="eastAsia" w:ascii="Times New Roman" w:hAnsi="Times New Roman" w:eastAsia="宋体" w:cs="Times New Roman"/>
                <w:color w:val="auto"/>
                <w:sz w:val="24"/>
                <w:szCs w:val="24"/>
                <w:highlight w:val="none"/>
              </w:rPr>
              <w:t>项目属于</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二十二、石油、煤炭及其他燃料加工业  25 43生物质燃料加工 254”，需进行环境影响评价，编制环境影响评价报告表。</w:t>
            </w:r>
          </w:p>
          <w:p w14:paraId="54E12EDB">
            <w:pPr>
              <w:keepNext w:val="0"/>
              <w:keepLines w:val="0"/>
              <w:widowControl/>
              <w:suppressLineNumbers w:val="0"/>
              <w:adjustRightInd w:val="0"/>
              <w:snapToGrid w:val="0"/>
              <w:spacing w:line="360" w:lineRule="auto"/>
              <w:ind w:firstLine="480" w:firstLineChars="200"/>
              <w:jc w:val="left"/>
              <w:rPr>
                <w:rFonts w:ascii="Times New Roman" w:hAnsi="Times New Roman" w:eastAsia="宋体" w:cs="Times New Roman"/>
                <w:color w:val="auto"/>
                <w:sz w:val="24"/>
                <w:szCs w:val="24"/>
                <w:highlight w:val="none"/>
              </w:rPr>
            </w:pPr>
            <w:r>
              <w:rPr>
                <w:rFonts w:hint="eastAsia" w:cs="Times New Roman"/>
                <w:color w:val="auto"/>
                <w:sz w:val="24"/>
                <w:highlight w:val="none"/>
                <w:lang w:eastAsia="zh-CN"/>
              </w:rPr>
              <w:t>安徽金之源生物科技有限公司</w:t>
            </w:r>
            <w:r>
              <w:rPr>
                <w:rFonts w:hint="eastAsia" w:ascii="Times New Roman" w:hAnsi="Times New Roman" w:eastAsia="宋体" w:cs="Times New Roman"/>
                <w:color w:val="auto"/>
                <w:sz w:val="24"/>
                <w:szCs w:val="24"/>
                <w:highlight w:val="none"/>
              </w:rPr>
              <w:t>委托</w:t>
            </w:r>
            <w:r>
              <w:rPr>
                <w:rFonts w:hint="eastAsia" w:ascii="Times New Roman" w:hAnsi="Times New Roman" w:eastAsia="宋体" w:cs="Times New Roman"/>
                <w:color w:val="auto"/>
                <w:sz w:val="24"/>
                <w:szCs w:val="24"/>
                <w:highlight w:val="none"/>
                <w:lang w:val="en-US" w:eastAsia="zh-CN"/>
              </w:rPr>
              <w:t>安徽碧晟环保科技有限公司</w:t>
            </w:r>
            <w:r>
              <w:rPr>
                <w:rFonts w:hint="eastAsia" w:ascii="Times New Roman" w:hAnsi="Times New Roman" w:eastAsia="宋体" w:cs="Times New Roman"/>
                <w:color w:val="auto"/>
                <w:sz w:val="24"/>
                <w:szCs w:val="24"/>
                <w:highlight w:val="none"/>
              </w:rPr>
              <w:t>开展环境影响报告表的编制工作。</w:t>
            </w:r>
            <w:r>
              <w:rPr>
                <w:rFonts w:hint="eastAsia" w:ascii="Times New Roman" w:hAnsi="Times New Roman" w:eastAsia="宋体" w:cs="Times New Roman"/>
                <w:color w:val="auto"/>
                <w:sz w:val="24"/>
                <w:szCs w:val="24"/>
                <w:highlight w:val="none"/>
                <w:lang w:val="en-US" w:eastAsia="zh-CN"/>
              </w:rPr>
              <w:t>安徽碧晟环保科技有限公司</w:t>
            </w:r>
            <w:r>
              <w:rPr>
                <w:rFonts w:hint="eastAsia" w:ascii="Times New Roman" w:hAnsi="Times New Roman" w:eastAsia="宋体" w:cs="Times New Roman"/>
                <w:color w:val="auto"/>
                <w:sz w:val="24"/>
                <w:szCs w:val="24"/>
                <w:highlight w:val="none"/>
              </w:rPr>
              <w:t>接受委托后，立即开展了详细的现场踏勘、资料收集工作，</w:t>
            </w:r>
            <w:r>
              <w:rPr>
                <w:rFonts w:ascii="Times New Roman" w:hAnsi="Times New Roman" w:eastAsia="宋体" w:cs="Times New Roman"/>
                <w:color w:val="auto"/>
                <w:sz w:val="24"/>
                <w:szCs w:val="24"/>
                <w:highlight w:val="none"/>
              </w:rPr>
              <w:t>在对项目有关环境现状和环境影响进行分析后，编制了</w:t>
            </w:r>
            <w:r>
              <w:rPr>
                <w:rFonts w:hint="eastAsia" w:ascii="Times New Roman" w:hAnsi="Times New Roman" w:eastAsia="宋体" w:cs="Times New Roman"/>
                <w:color w:val="auto"/>
                <w:sz w:val="24"/>
                <w:szCs w:val="24"/>
                <w:highlight w:val="none"/>
                <w:lang w:eastAsia="zh-CN"/>
              </w:rPr>
              <w:t>《</w:t>
            </w:r>
            <w:r>
              <w:rPr>
                <w:rFonts w:hint="eastAsia" w:cs="Times New Roman"/>
                <w:color w:val="auto"/>
                <w:sz w:val="24"/>
                <w:highlight w:val="none"/>
                <w:lang w:eastAsia="zh-CN"/>
              </w:rPr>
              <w:t>安徽金之源生物科技有限公司</w:t>
            </w:r>
            <w:r>
              <w:rPr>
                <w:rFonts w:hint="eastAsia" w:ascii="宋体" w:hAnsi="宋体" w:cs="宋体"/>
                <w:color w:val="auto"/>
                <w:sz w:val="24"/>
                <w:szCs w:val="24"/>
                <w:highlight w:val="none"/>
                <w:lang w:eastAsia="zh-CN"/>
              </w:rPr>
              <w:t>年加工20万吨生物质颗粒建设项目</w:t>
            </w:r>
            <w:r>
              <w:rPr>
                <w:rFonts w:ascii="Times New Roman" w:hAnsi="Times New Roman" w:eastAsia="宋体" w:cs="Times New Roman"/>
                <w:color w:val="auto"/>
                <w:sz w:val="24"/>
                <w:szCs w:val="24"/>
                <w:highlight w:val="none"/>
              </w:rPr>
              <w:t>环境影响报告表》，报请</w:t>
            </w:r>
            <w:r>
              <w:rPr>
                <w:rFonts w:hint="eastAsia" w:ascii="Times New Roman" w:hAnsi="Times New Roman" w:eastAsia="宋体" w:cs="Times New Roman"/>
                <w:color w:val="auto"/>
                <w:sz w:val="24"/>
                <w:szCs w:val="24"/>
                <w:highlight w:val="none"/>
                <w:lang w:val="en-US" w:eastAsia="zh-CN"/>
              </w:rPr>
              <w:t>生态环境</w:t>
            </w:r>
            <w:r>
              <w:rPr>
                <w:rFonts w:ascii="Times New Roman" w:hAnsi="Times New Roman" w:eastAsia="宋体" w:cs="Times New Roman"/>
                <w:color w:val="auto"/>
                <w:sz w:val="24"/>
                <w:szCs w:val="24"/>
                <w:highlight w:val="none"/>
              </w:rPr>
              <w:t>主管部门审批，以期为项目的实施和管理提供依据。</w:t>
            </w:r>
          </w:p>
          <w:p w14:paraId="254A67B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jc w:val="left"/>
              <w:textAlignment w:val="auto"/>
              <w:rPr>
                <w:rFonts w:ascii="宋体"/>
                <w:b/>
                <w:bCs/>
                <w:color w:val="auto"/>
                <w:sz w:val="24"/>
                <w:szCs w:val="24"/>
                <w:highlight w:val="none"/>
              </w:rPr>
            </w:pPr>
            <w:r>
              <w:rPr>
                <w:rFonts w:hint="eastAsia" w:ascii="宋体" w:hAnsi="宋体" w:cs="宋体"/>
                <w:b/>
                <w:bCs/>
                <w:color w:val="auto"/>
                <w:sz w:val="24"/>
                <w:szCs w:val="24"/>
                <w:highlight w:val="none"/>
                <w:lang w:val="en-US" w:eastAsia="zh-CN"/>
              </w:rPr>
              <w:t>2、</w:t>
            </w:r>
            <w:r>
              <w:rPr>
                <w:rFonts w:hint="eastAsia" w:ascii="宋体" w:hAnsi="宋体" w:cs="宋体"/>
                <w:b/>
                <w:bCs/>
                <w:color w:val="auto"/>
                <w:sz w:val="24"/>
                <w:szCs w:val="24"/>
                <w:highlight w:val="none"/>
              </w:rPr>
              <w:t>项目建设内容及规模</w:t>
            </w:r>
          </w:p>
          <w:p w14:paraId="02E994F2">
            <w:pPr>
              <w:snapToGrid w:val="0"/>
              <w:spacing w:line="360" w:lineRule="auto"/>
              <w:jc w:val="left"/>
              <w:rPr>
                <w:rFonts w:hint="eastAsia" w:ascii="Times New Roman" w:hAnsi="Times New Roman" w:eastAsia="宋体" w:cs="Times New Roman"/>
                <w:color w:val="auto"/>
                <w:sz w:val="24"/>
                <w:szCs w:val="24"/>
                <w:highlight w:val="none"/>
                <w:lang w:val="en-US" w:eastAsia="zh-CN"/>
              </w:rPr>
            </w:pPr>
            <w:r>
              <w:rPr>
                <w:rFonts w:hint="eastAsia"/>
                <w:color w:val="auto"/>
                <w:highlight w:val="none"/>
                <w:lang w:val="en-US" w:eastAsia="zh-CN"/>
              </w:rPr>
              <w:t xml:space="preserve">   </w:t>
            </w:r>
            <w:r>
              <w:rPr>
                <w:rFonts w:hint="eastAsia" w:ascii="Times New Roman" w:hAnsi="Times New Roman" w:eastAsia="宋体" w:cs="Times New Roman"/>
                <w:color w:val="auto"/>
                <w:sz w:val="24"/>
                <w:szCs w:val="24"/>
                <w:highlight w:val="none"/>
                <w:lang w:val="en-US" w:eastAsia="zh-CN"/>
              </w:rPr>
              <w:t xml:space="preserve">  本项目占地面积约41468</w:t>
            </w:r>
            <w:r>
              <w:rPr>
                <w:rFonts w:hint="eastAsia" w:cs="Times New Roman"/>
                <w:color w:val="auto"/>
                <w:sz w:val="24"/>
                <w:szCs w:val="24"/>
                <w:highlight w:val="none"/>
                <w:lang w:val="en-US" w:eastAsia="zh-CN"/>
              </w:rPr>
              <w:t>平方米</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租赁安徽麦丞新型材料科技有限公司建成厂房</w:t>
            </w:r>
            <w:r>
              <w:rPr>
                <w:rFonts w:hint="eastAsia" w:ascii="Times New Roman" w:hAnsi="Times New Roman" w:eastAsia="宋体" w:cs="Times New Roman"/>
                <w:color w:val="auto"/>
                <w:sz w:val="24"/>
                <w:szCs w:val="24"/>
                <w:highlight w:val="none"/>
                <w:lang w:val="en-US" w:eastAsia="zh-CN"/>
              </w:rPr>
              <w:t>约10000平方米的厂房</w:t>
            </w:r>
            <w:r>
              <w:rPr>
                <w:rFonts w:hint="eastAsia" w:cs="Times New Roman"/>
                <w:color w:val="auto"/>
                <w:sz w:val="24"/>
                <w:szCs w:val="24"/>
                <w:highlight w:val="none"/>
                <w:lang w:val="en-US" w:eastAsia="zh-CN"/>
              </w:rPr>
              <w:t>作为物料库用于物料储存，</w:t>
            </w:r>
            <w:r>
              <w:rPr>
                <w:rFonts w:hint="eastAsia" w:ascii="Times New Roman" w:hAnsi="Times New Roman" w:eastAsia="宋体" w:cs="Times New Roman"/>
                <w:color w:val="auto"/>
                <w:sz w:val="24"/>
                <w:szCs w:val="24"/>
                <w:highlight w:val="none"/>
                <w:lang w:val="en-US" w:eastAsia="zh-CN"/>
              </w:rPr>
              <w:t>3979平方米的厂房</w:t>
            </w:r>
            <w:r>
              <w:rPr>
                <w:rFonts w:hint="eastAsia" w:cs="Times New Roman"/>
                <w:color w:val="auto"/>
                <w:sz w:val="24"/>
                <w:szCs w:val="24"/>
                <w:highlight w:val="none"/>
                <w:lang w:val="en-US" w:eastAsia="zh-CN"/>
              </w:rPr>
              <w:t>作为</w:t>
            </w:r>
            <w:r>
              <w:rPr>
                <w:rFonts w:hint="eastAsia" w:ascii="Times New Roman" w:hAnsi="Times New Roman" w:eastAsia="宋体" w:cs="Times New Roman"/>
                <w:color w:val="auto"/>
                <w:sz w:val="24"/>
                <w:szCs w:val="24"/>
                <w:highlight w:val="none"/>
                <w:lang w:val="en-US" w:eastAsia="zh-CN"/>
              </w:rPr>
              <w:t>生产</w:t>
            </w:r>
            <w:r>
              <w:rPr>
                <w:rFonts w:hint="eastAsia" w:cs="Times New Roman"/>
                <w:color w:val="auto"/>
                <w:sz w:val="24"/>
                <w:szCs w:val="24"/>
                <w:highlight w:val="none"/>
                <w:lang w:val="en-US" w:eastAsia="zh-CN"/>
              </w:rPr>
              <w:t>车间用于生产</w:t>
            </w:r>
            <w:r>
              <w:rPr>
                <w:rFonts w:hint="eastAsia" w:ascii="Times New Roman" w:hAnsi="Times New Roman" w:eastAsia="宋体" w:cs="Times New Roman"/>
                <w:color w:val="auto"/>
                <w:sz w:val="24"/>
                <w:szCs w:val="24"/>
                <w:highlight w:val="none"/>
                <w:lang w:val="en-US" w:eastAsia="zh-CN"/>
              </w:rPr>
              <w:t>，建设</w:t>
            </w:r>
            <w:r>
              <w:rPr>
                <w:rFonts w:hint="eastAsia" w:cs="Times New Roman"/>
                <w:color w:val="auto"/>
                <w:sz w:val="24"/>
                <w:szCs w:val="24"/>
                <w:highlight w:val="none"/>
                <w:lang w:val="en-US" w:eastAsia="zh-CN"/>
              </w:rPr>
              <w:t>2条合计</w:t>
            </w:r>
            <w:r>
              <w:rPr>
                <w:rFonts w:hint="eastAsia" w:ascii="Times New Roman" w:hAnsi="Times New Roman" w:eastAsia="宋体" w:cs="Times New Roman"/>
                <w:color w:val="auto"/>
                <w:sz w:val="24"/>
                <w:szCs w:val="24"/>
                <w:highlight w:val="none"/>
                <w:lang w:val="en-US" w:eastAsia="zh-CN"/>
              </w:rPr>
              <w:t>年产20万吨生物质颗粒的生产线。</w:t>
            </w:r>
          </w:p>
          <w:p w14:paraId="2CC5D7B9">
            <w:pPr>
              <w:snapToGrid w:val="0"/>
              <w:spacing w:line="360" w:lineRule="auto"/>
              <w:jc w:val="center"/>
              <w:rPr>
                <w:rFonts w:ascii="宋体"/>
                <w:color w:val="auto"/>
                <w:sz w:val="24"/>
                <w:szCs w:val="24"/>
                <w:highlight w:val="none"/>
              </w:rPr>
            </w:pPr>
            <w:r>
              <w:rPr>
                <w:rFonts w:hint="eastAsia" w:ascii="宋体" w:hAnsi="宋体" w:cs="宋体"/>
                <w:color w:val="auto"/>
                <w:sz w:val="22"/>
                <w:szCs w:val="22"/>
                <w:highlight w:val="none"/>
              </w:rPr>
              <w:t>表</w:t>
            </w:r>
            <w:r>
              <w:rPr>
                <w:rFonts w:ascii="宋体" w:hAnsi="宋体" w:cs="宋体"/>
                <w:color w:val="auto"/>
                <w:sz w:val="22"/>
                <w:szCs w:val="22"/>
                <w:highlight w:val="none"/>
              </w:rPr>
              <w:t>2-1</w:t>
            </w:r>
            <w:r>
              <w:rPr>
                <w:rFonts w:hint="eastAsia" w:ascii="宋体" w:hAnsi="宋体" w:cs="宋体"/>
                <w:color w:val="auto"/>
                <w:sz w:val="22"/>
                <w:szCs w:val="22"/>
                <w:highlight w:val="none"/>
              </w:rPr>
              <w:t>项目主要建设内容及组成情况一览表</w:t>
            </w:r>
          </w:p>
          <w:tbl>
            <w:tblPr>
              <w:tblStyle w:val="37"/>
              <w:tblW w:w="8357" w:type="dxa"/>
              <w:tblInd w:w="3" w:type="dxa"/>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Layout w:type="fixed"/>
              <w:tblCellMar>
                <w:top w:w="0" w:type="dxa"/>
                <w:left w:w="28" w:type="dxa"/>
                <w:bottom w:w="0" w:type="dxa"/>
                <w:right w:w="28" w:type="dxa"/>
              </w:tblCellMar>
            </w:tblPr>
            <w:tblGrid>
              <w:gridCol w:w="560"/>
              <w:gridCol w:w="1480"/>
              <w:gridCol w:w="4092"/>
              <w:gridCol w:w="1304"/>
              <w:gridCol w:w="921"/>
            </w:tblGrid>
            <w:tr w14:paraId="4C9D4E5C">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CellMar>
                  <w:top w:w="0" w:type="dxa"/>
                  <w:left w:w="28" w:type="dxa"/>
                  <w:bottom w:w="0" w:type="dxa"/>
                  <w:right w:w="28" w:type="dxa"/>
                </w:tblCellMar>
              </w:tblPrEx>
              <w:trPr>
                <w:trHeight w:val="735" w:hRule="atLeast"/>
              </w:trPr>
              <w:tc>
                <w:tcPr>
                  <w:tcW w:w="560" w:type="dxa"/>
                  <w:tcBorders>
                    <w:top w:val="single" w:color="333333" w:sz="4" w:space="0"/>
                    <w:left w:val="single" w:color="333333" w:sz="4" w:space="0"/>
                    <w:bottom w:val="single" w:color="333333" w:sz="4" w:space="0"/>
                    <w:right w:val="single" w:color="333333" w:sz="4" w:space="0"/>
                  </w:tcBorders>
                  <w:vAlign w:val="center"/>
                </w:tcPr>
                <w:p w14:paraId="461A0AB0">
                  <w:pPr>
                    <w:jc w:val="center"/>
                    <w:rPr>
                      <w:rFonts w:ascii="宋体"/>
                      <w:color w:val="auto"/>
                      <w:sz w:val="22"/>
                      <w:szCs w:val="22"/>
                      <w:highlight w:val="none"/>
                    </w:rPr>
                  </w:pPr>
                  <w:r>
                    <w:rPr>
                      <w:rFonts w:hint="eastAsia" w:ascii="宋体" w:hAnsi="宋体" w:cs="宋体"/>
                      <w:color w:val="auto"/>
                      <w:sz w:val="22"/>
                      <w:szCs w:val="22"/>
                      <w:highlight w:val="none"/>
                    </w:rPr>
                    <w:t>工程类别</w:t>
                  </w:r>
                </w:p>
              </w:tc>
              <w:tc>
                <w:tcPr>
                  <w:tcW w:w="1480" w:type="dxa"/>
                  <w:tcBorders>
                    <w:top w:val="single" w:color="333333" w:sz="4" w:space="0"/>
                    <w:left w:val="single" w:color="333333" w:sz="4" w:space="0"/>
                    <w:bottom w:val="single" w:color="333333" w:sz="4" w:space="0"/>
                    <w:right w:val="single" w:color="333333" w:sz="4" w:space="0"/>
                  </w:tcBorders>
                  <w:vAlign w:val="center"/>
                </w:tcPr>
                <w:p w14:paraId="4169525D">
                  <w:pPr>
                    <w:jc w:val="center"/>
                    <w:rPr>
                      <w:rFonts w:ascii="宋体" w:hAnsi="宋体" w:cs="宋体"/>
                      <w:color w:val="auto"/>
                      <w:sz w:val="22"/>
                      <w:szCs w:val="22"/>
                      <w:highlight w:val="none"/>
                    </w:rPr>
                  </w:pPr>
                  <w:r>
                    <w:rPr>
                      <w:rFonts w:hint="eastAsia" w:ascii="宋体" w:hAnsi="宋体" w:cs="宋体"/>
                      <w:color w:val="auto"/>
                      <w:sz w:val="22"/>
                      <w:szCs w:val="22"/>
                      <w:highlight w:val="none"/>
                    </w:rPr>
                    <w:t>单项工程名称</w:t>
                  </w:r>
                </w:p>
              </w:tc>
              <w:tc>
                <w:tcPr>
                  <w:tcW w:w="5396" w:type="dxa"/>
                  <w:gridSpan w:val="2"/>
                  <w:tcBorders>
                    <w:top w:val="single" w:color="333333" w:sz="4" w:space="0"/>
                    <w:left w:val="single" w:color="333333" w:sz="4" w:space="0"/>
                    <w:bottom w:val="single" w:color="333333" w:sz="4" w:space="0"/>
                    <w:right w:val="single" w:color="333333" w:sz="4" w:space="0"/>
                  </w:tcBorders>
                  <w:vAlign w:val="center"/>
                </w:tcPr>
                <w:p w14:paraId="50462893">
                  <w:pPr>
                    <w:jc w:val="center"/>
                    <w:rPr>
                      <w:rFonts w:ascii="宋体"/>
                      <w:color w:val="auto"/>
                      <w:sz w:val="22"/>
                      <w:szCs w:val="22"/>
                      <w:highlight w:val="none"/>
                    </w:rPr>
                  </w:pPr>
                  <w:r>
                    <w:rPr>
                      <w:rFonts w:hint="eastAsia" w:ascii="宋体" w:hAnsi="宋体" w:cs="宋体"/>
                      <w:color w:val="auto"/>
                      <w:sz w:val="22"/>
                      <w:szCs w:val="22"/>
                      <w:highlight w:val="none"/>
                    </w:rPr>
                    <w:t>工程内容及规模</w:t>
                  </w:r>
                </w:p>
              </w:tc>
              <w:tc>
                <w:tcPr>
                  <w:tcW w:w="921" w:type="dxa"/>
                  <w:tcBorders>
                    <w:top w:val="single" w:color="333333" w:sz="4" w:space="0"/>
                    <w:left w:val="single" w:color="333333" w:sz="4" w:space="0"/>
                    <w:bottom w:val="single" w:color="333333" w:sz="4" w:space="0"/>
                    <w:right w:val="single" w:color="333333" w:sz="4" w:space="0"/>
                  </w:tcBorders>
                  <w:vAlign w:val="center"/>
                </w:tcPr>
                <w:p w14:paraId="6A592542">
                  <w:pPr>
                    <w:jc w:val="center"/>
                    <w:rPr>
                      <w:rFonts w:ascii="宋体"/>
                      <w:color w:val="auto"/>
                      <w:sz w:val="22"/>
                      <w:szCs w:val="22"/>
                      <w:highlight w:val="none"/>
                    </w:rPr>
                  </w:pPr>
                  <w:r>
                    <w:rPr>
                      <w:rFonts w:hint="eastAsia" w:ascii="宋体" w:hAnsi="宋体" w:cs="宋体"/>
                      <w:color w:val="auto"/>
                      <w:sz w:val="22"/>
                      <w:szCs w:val="22"/>
                      <w:highlight w:val="none"/>
                    </w:rPr>
                    <w:t>备注</w:t>
                  </w:r>
                </w:p>
              </w:tc>
            </w:tr>
            <w:tr w14:paraId="27015B3F">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CellMar>
                  <w:top w:w="0" w:type="dxa"/>
                  <w:left w:w="28" w:type="dxa"/>
                  <w:bottom w:w="0" w:type="dxa"/>
                  <w:right w:w="28" w:type="dxa"/>
                </w:tblCellMar>
              </w:tblPrEx>
              <w:trPr>
                <w:trHeight w:val="1045" w:hRule="atLeast"/>
              </w:trPr>
              <w:tc>
                <w:tcPr>
                  <w:tcW w:w="560" w:type="dxa"/>
                  <w:tcBorders>
                    <w:top w:val="single" w:color="333333" w:sz="4" w:space="0"/>
                    <w:left w:val="single" w:color="333333" w:sz="4" w:space="0"/>
                    <w:right w:val="single" w:color="333333" w:sz="4" w:space="0"/>
                  </w:tcBorders>
                  <w:vAlign w:val="center"/>
                </w:tcPr>
                <w:p w14:paraId="4960EC86">
                  <w:pPr>
                    <w:jc w:val="center"/>
                    <w:rPr>
                      <w:rFonts w:ascii="宋体"/>
                      <w:color w:val="auto"/>
                      <w:sz w:val="22"/>
                      <w:szCs w:val="22"/>
                      <w:highlight w:val="none"/>
                    </w:rPr>
                  </w:pPr>
                  <w:r>
                    <w:rPr>
                      <w:rFonts w:hint="eastAsia" w:ascii="宋体" w:hAnsi="宋体" w:cs="宋体"/>
                      <w:color w:val="auto"/>
                      <w:sz w:val="22"/>
                      <w:szCs w:val="22"/>
                      <w:highlight w:val="none"/>
                    </w:rPr>
                    <w:t>主体工程</w:t>
                  </w:r>
                </w:p>
              </w:tc>
              <w:tc>
                <w:tcPr>
                  <w:tcW w:w="1480" w:type="dxa"/>
                  <w:tcBorders>
                    <w:top w:val="single" w:color="333333" w:sz="4" w:space="0"/>
                    <w:left w:val="single" w:color="333333" w:sz="4" w:space="0"/>
                    <w:bottom w:val="single" w:color="333333" w:sz="4" w:space="0"/>
                    <w:right w:val="single" w:color="333333" w:sz="4" w:space="0"/>
                  </w:tcBorders>
                  <w:vAlign w:val="center"/>
                </w:tcPr>
                <w:p w14:paraId="00E1E90A">
                  <w:pPr>
                    <w:jc w:val="center"/>
                    <w:rPr>
                      <w:rFonts w:ascii="宋体" w:hAnsi="宋体" w:cs="宋体"/>
                      <w:color w:val="auto"/>
                      <w:sz w:val="22"/>
                      <w:szCs w:val="22"/>
                      <w:highlight w:val="none"/>
                    </w:rPr>
                  </w:pPr>
                  <w:r>
                    <w:rPr>
                      <w:rFonts w:hint="eastAsia" w:ascii="宋体" w:hAnsi="宋体" w:cs="宋体"/>
                      <w:color w:val="auto"/>
                      <w:sz w:val="22"/>
                      <w:szCs w:val="22"/>
                      <w:highlight w:val="none"/>
                    </w:rPr>
                    <w:t>生产车间</w:t>
                  </w:r>
                </w:p>
              </w:tc>
              <w:tc>
                <w:tcPr>
                  <w:tcW w:w="4092" w:type="dxa"/>
                  <w:tcBorders>
                    <w:top w:val="single" w:color="333333" w:sz="4" w:space="0"/>
                    <w:left w:val="single" w:color="333333" w:sz="4" w:space="0"/>
                    <w:bottom w:val="single" w:color="333333" w:sz="4" w:space="0"/>
                    <w:right w:val="single" w:color="333333" w:sz="4" w:space="0"/>
                  </w:tcBorders>
                  <w:vAlign w:val="center"/>
                </w:tcPr>
                <w:p w14:paraId="7C123264">
                  <w:pPr>
                    <w:widowControl/>
                    <w:spacing w:before="120" w:beforeLines="50"/>
                    <w:ind w:firstLine="440" w:firstLineChars="200"/>
                    <w:jc w:val="left"/>
                    <w:rPr>
                      <w:rFonts w:hAnsi="宋体"/>
                      <w:color w:val="auto"/>
                      <w:sz w:val="22"/>
                      <w:szCs w:val="22"/>
                      <w:highlight w:val="none"/>
                    </w:rPr>
                  </w:pPr>
                  <w:r>
                    <w:rPr>
                      <w:rFonts w:hint="eastAsia" w:ascii="宋体" w:hAnsi="宋体" w:cs="宋体"/>
                      <w:color w:val="auto"/>
                      <w:sz w:val="22"/>
                      <w:szCs w:val="22"/>
                      <w:highlight w:val="none"/>
                    </w:rPr>
                    <w:t>钢结构，占地面积约</w:t>
                  </w:r>
                  <w:r>
                    <w:rPr>
                      <w:rFonts w:hint="eastAsia" w:ascii="宋体" w:hAnsi="宋体" w:cs="宋体"/>
                      <w:color w:val="auto"/>
                      <w:sz w:val="22"/>
                      <w:szCs w:val="22"/>
                      <w:highlight w:val="none"/>
                      <w:lang w:val="en-US" w:eastAsia="zh-CN"/>
                    </w:rPr>
                    <w:t>3979</w:t>
                  </w:r>
                  <w:r>
                    <w:rPr>
                      <w:rFonts w:hint="eastAsia" w:ascii="宋体" w:hAnsi="宋体" w:cs="宋体"/>
                      <w:color w:val="auto"/>
                      <w:sz w:val="22"/>
                      <w:szCs w:val="22"/>
                      <w:highlight w:val="none"/>
                    </w:rPr>
                    <w:t>m</w:t>
                  </w:r>
                  <w:r>
                    <w:rPr>
                      <w:rFonts w:hint="eastAsia" w:ascii="宋体" w:hAnsi="宋体" w:cs="宋体"/>
                      <w:color w:val="auto"/>
                      <w:sz w:val="22"/>
                      <w:szCs w:val="22"/>
                      <w:highlight w:val="none"/>
                      <w:vertAlign w:val="superscript"/>
                    </w:rPr>
                    <w:t>2</w:t>
                  </w:r>
                  <w:r>
                    <w:rPr>
                      <w:rFonts w:hint="eastAsia" w:ascii="宋体" w:hAnsi="宋体" w:cs="宋体"/>
                      <w:color w:val="auto"/>
                      <w:sz w:val="22"/>
                      <w:szCs w:val="22"/>
                      <w:highlight w:val="none"/>
                    </w:rPr>
                    <w:t>，</w:t>
                  </w:r>
                  <w:r>
                    <w:rPr>
                      <w:rFonts w:hint="eastAsia" w:ascii="宋体" w:hAnsi="宋体" w:cs="宋体"/>
                      <w:color w:val="auto"/>
                      <w:sz w:val="22"/>
                      <w:szCs w:val="22"/>
                      <w:highlight w:val="none"/>
                      <w:lang w:eastAsia="zh-CN"/>
                    </w:rPr>
                    <w:t>建设</w:t>
                  </w:r>
                  <w:r>
                    <w:rPr>
                      <w:rFonts w:hint="eastAsia" w:ascii="宋体" w:hAnsi="宋体" w:cs="宋体"/>
                      <w:color w:val="auto"/>
                      <w:sz w:val="22"/>
                      <w:szCs w:val="22"/>
                      <w:highlight w:val="none"/>
                      <w:lang w:val="en-US" w:eastAsia="zh-CN"/>
                    </w:rPr>
                    <w:t>2条生物质颗粒生产线，</w:t>
                  </w:r>
                  <w:r>
                    <w:rPr>
                      <w:rFonts w:hint="eastAsia" w:ascii="宋体" w:hAnsi="宋体" w:cs="宋体"/>
                      <w:color w:val="auto"/>
                      <w:sz w:val="22"/>
                      <w:szCs w:val="22"/>
                      <w:highlight w:val="none"/>
                    </w:rPr>
                    <w:t>主</w:t>
                  </w:r>
                  <w:r>
                    <w:rPr>
                      <w:rFonts w:hint="eastAsia" w:hAnsi="宋体"/>
                      <w:color w:val="auto"/>
                      <w:sz w:val="22"/>
                      <w:szCs w:val="22"/>
                      <w:highlight w:val="none"/>
                    </w:rPr>
                    <w:t>要包括破碎机、粉碎机、封边皮带输送机、打包机等生产设备</w:t>
                  </w:r>
                </w:p>
              </w:tc>
              <w:tc>
                <w:tcPr>
                  <w:tcW w:w="1304" w:type="dxa"/>
                  <w:tcBorders>
                    <w:top w:val="single" w:color="333333" w:sz="4" w:space="0"/>
                    <w:left w:val="single" w:color="333333" w:sz="4" w:space="0"/>
                    <w:right w:val="single" w:color="333333" w:sz="4" w:space="0"/>
                  </w:tcBorders>
                  <w:vAlign w:val="center"/>
                </w:tcPr>
                <w:p w14:paraId="4BA5C101">
                  <w:pPr>
                    <w:widowControl/>
                    <w:ind w:firstLine="220" w:firstLineChars="100"/>
                    <w:jc w:val="left"/>
                    <w:rPr>
                      <w:rFonts w:hAnsi="宋体"/>
                      <w:color w:val="auto"/>
                      <w:sz w:val="22"/>
                      <w:szCs w:val="22"/>
                      <w:highlight w:val="none"/>
                    </w:rPr>
                  </w:pPr>
                  <w:r>
                    <w:rPr>
                      <w:rFonts w:hint="eastAsia" w:hAnsi="宋体"/>
                      <w:color w:val="auto"/>
                      <w:sz w:val="22"/>
                      <w:szCs w:val="22"/>
                      <w:highlight w:val="none"/>
                    </w:rPr>
                    <w:t>项目建成后可形成</w:t>
                  </w:r>
                  <w:r>
                    <w:rPr>
                      <w:rFonts w:hint="eastAsia" w:ascii="Times New Roman" w:hAnsi="宋体" w:eastAsia="宋体" w:cs="Times New Roman"/>
                      <w:color w:val="auto"/>
                      <w:sz w:val="22"/>
                      <w:szCs w:val="22"/>
                      <w:highlight w:val="none"/>
                    </w:rPr>
                    <w:t>年产</w:t>
                  </w:r>
                  <w:r>
                    <w:rPr>
                      <w:rFonts w:hint="eastAsia" w:ascii="Times New Roman" w:hAnsi="宋体" w:eastAsia="宋体" w:cs="Times New Roman"/>
                      <w:color w:val="auto"/>
                      <w:sz w:val="22"/>
                      <w:szCs w:val="22"/>
                      <w:highlight w:val="none"/>
                      <w:lang w:eastAsia="zh-CN"/>
                    </w:rPr>
                    <w:t>20万吨</w:t>
                  </w:r>
                  <w:r>
                    <w:rPr>
                      <w:rFonts w:hint="eastAsia" w:ascii="Times New Roman" w:hAnsi="宋体" w:eastAsia="宋体" w:cs="Times New Roman"/>
                      <w:color w:val="auto"/>
                      <w:sz w:val="22"/>
                      <w:szCs w:val="22"/>
                      <w:highlight w:val="none"/>
                    </w:rPr>
                    <w:t>生物质颗粒的</w:t>
                  </w:r>
                  <w:r>
                    <w:rPr>
                      <w:rFonts w:hint="eastAsia" w:hAnsi="宋体"/>
                      <w:color w:val="auto"/>
                      <w:sz w:val="22"/>
                      <w:szCs w:val="22"/>
                      <w:highlight w:val="none"/>
                    </w:rPr>
                    <w:t>生产能力。</w:t>
                  </w:r>
                </w:p>
              </w:tc>
              <w:tc>
                <w:tcPr>
                  <w:tcW w:w="921" w:type="dxa"/>
                  <w:tcBorders>
                    <w:top w:val="single" w:color="333333" w:sz="4" w:space="0"/>
                    <w:left w:val="single" w:color="333333" w:sz="4" w:space="0"/>
                    <w:bottom w:val="single" w:color="333333" w:sz="4" w:space="0"/>
                    <w:right w:val="single" w:color="333333" w:sz="4" w:space="0"/>
                  </w:tcBorders>
                  <w:vAlign w:val="center"/>
                </w:tcPr>
                <w:p w14:paraId="762EDE9B">
                  <w:pPr>
                    <w:pStyle w:val="8"/>
                    <w:widowControl/>
                    <w:jc w:val="center"/>
                    <w:rPr>
                      <w:rFonts w:hAnsi="宋体"/>
                      <w:color w:val="auto"/>
                      <w:kern w:val="2"/>
                      <w:sz w:val="22"/>
                      <w:szCs w:val="22"/>
                      <w:highlight w:val="none"/>
                    </w:rPr>
                  </w:pPr>
                  <w:r>
                    <w:rPr>
                      <w:rFonts w:hint="eastAsia" w:hAnsi="宋体"/>
                      <w:color w:val="auto"/>
                      <w:kern w:val="2"/>
                      <w:sz w:val="22"/>
                      <w:szCs w:val="22"/>
                      <w:highlight w:val="none"/>
                    </w:rPr>
                    <w:t>依托现有，新购生产设备</w:t>
                  </w:r>
                </w:p>
              </w:tc>
            </w:tr>
            <w:tr w14:paraId="63EB6C29">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CellMar>
                  <w:top w:w="0" w:type="dxa"/>
                  <w:left w:w="28" w:type="dxa"/>
                  <w:bottom w:w="0" w:type="dxa"/>
                  <w:right w:w="28" w:type="dxa"/>
                </w:tblCellMar>
              </w:tblPrEx>
              <w:trPr>
                <w:trHeight w:val="680" w:hRule="atLeast"/>
              </w:trPr>
              <w:tc>
                <w:tcPr>
                  <w:tcW w:w="560" w:type="dxa"/>
                  <w:vMerge w:val="restart"/>
                  <w:tcBorders>
                    <w:top w:val="single" w:color="333333" w:sz="4" w:space="0"/>
                    <w:left w:val="single" w:color="333333" w:sz="4" w:space="0"/>
                    <w:right w:val="single" w:color="333333" w:sz="4" w:space="0"/>
                  </w:tcBorders>
                  <w:vAlign w:val="center"/>
                </w:tcPr>
                <w:p w14:paraId="0D1ABA20">
                  <w:pPr>
                    <w:jc w:val="center"/>
                    <w:rPr>
                      <w:rFonts w:ascii="宋体"/>
                      <w:color w:val="auto"/>
                      <w:sz w:val="22"/>
                      <w:szCs w:val="22"/>
                      <w:highlight w:val="none"/>
                    </w:rPr>
                  </w:pPr>
                  <w:r>
                    <w:rPr>
                      <w:rFonts w:hint="eastAsia" w:ascii="宋体" w:hAnsi="宋体" w:cs="宋体"/>
                      <w:color w:val="auto"/>
                      <w:sz w:val="22"/>
                      <w:szCs w:val="22"/>
                      <w:highlight w:val="none"/>
                    </w:rPr>
                    <w:t>辅助工程</w:t>
                  </w:r>
                </w:p>
              </w:tc>
              <w:tc>
                <w:tcPr>
                  <w:tcW w:w="1480" w:type="dxa"/>
                  <w:tcBorders>
                    <w:top w:val="single" w:color="333333" w:sz="4" w:space="0"/>
                    <w:left w:val="single" w:color="333333" w:sz="4" w:space="0"/>
                    <w:bottom w:val="single" w:color="333333" w:sz="4" w:space="0"/>
                    <w:right w:val="single" w:color="333333" w:sz="4" w:space="0"/>
                  </w:tcBorders>
                  <w:vAlign w:val="center"/>
                </w:tcPr>
                <w:p w14:paraId="56C50442">
                  <w:pPr>
                    <w:jc w:val="center"/>
                    <w:rPr>
                      <w:rFonts w:ascii="宋体" w:hAnsi="宋体" w:cs="宋体"/>
                      <w:color w:val="auto"/>
                      <w:sz w:val="22"/>
                      <w:szCs w:val="22"/>
                      <w:highlight w:val="none"/>
                    </w:rPr>
                  </w:pPr>
                  <w:r>
                    <w:rPr>
                      <w:rFonts w:hint="eastAsia" w:ascii="宋体" w:hAnsi="宋体" w:cs="宋体"/>
                      <w:color w:val="auto"/>
                      <w:sz w:val="22"/>
                      <w:szCs w:val="22"/>
                      <w:highlight w:val="none"/>
                    </w:rPr>
                    <w:t>办公室</w:t>
                  </w:r>
                </w:p>
              </w:tc>
              <w:tc>
                <w:tcPr>
                  <w:tcW w:w="5396" w:type="dxa"/>
                  <w:gridSpan w:val="2"/>
                  <w:tcBorders>
                    <w:top w:val="single" w:color="333333" w:sz="4" w:space="0"/>
                    <w:left w:val="single" w:color="333333" w:sz="4" w:space="0"/>
                    <w:bottom w:val="single" w:color="333333" w:sz="4" w:space="0"/>
                    <w:right w:val="single" w:color="333333" w:sz="4" w:space="0"/>
                  </w:tcBorders>
                  <w:vAlign w:val="center"/>
                </w:tcPr>
                <w:p w14:paraId="2EB68A49">
                  <w:pPr>
                    <w:widowControl/>
                    <w:ind w:firstLine="440" w:firstLineChars="200"/>
                    <w:jc w:val="left"/>
                    <w:rPr>
                      <w:rFonts w:ascii="宋体"/>
                      <w:color w:val="auto"/>
                      <w:sz w:val="22"/>
                      <w:szCs w:val="22"/>
                      <w:highlight w:val="none"/>
                    </w:rPr>
                  </w:pPr>
                  <w:r>
                    <w:rPr>
                      <w:rFonts w:hint="eastAsia" w:ascii="宋体" w:hAnsi="宋体" w:cs="宋体"/>
                      <w:color w:val="auto"/>
                      <w:sz w:val="22"/>
                      <w:szCs w:val="22"/>
                      <w:highlight w:val="none"/>
                    </w:rPr>
                    <w:t>位于厂区南侧，占地面积约</w:t>
                  </w:r>
                  <w:r>
                    <w:rPr>
                      <w:rFonts w:hint="eastAsia" w:ascii="宋体" w:hAnsi="宋体" w:cs="宋体"/>
                      <w:color w:val="auto"/>
                      <w:sz w:val="22"/>
                      <w:szCs w:val="22"/>
                      <w:highlight w:val="none"/>
                      <w:lang w:val="en-US" w:eastAsia="zh-CN"/>
                    </w:rPr>
                    <w:t>100</w:t>
                  </w:r>
                  <w:r>
                    <w:rPr>
                      <w:rFonts w:hint="eastAsia" w:ascii="宋体" w:hAnsi="宋体" w:cs="宋体"/>
                      <w:color w:val="auto"/>
                      <w:sz w:val="22"/>
                      <w:szCs w:val="22"/>
                      <w:highlight w:val="none"/>
                    </w:rPr>
                    <w:t>0m</w:t>
                  </w:r>
                  <w:r>
                    <w:rPr>
                      <w:rFonts w:hint="eastAsia" w:ascii="宋体" w:hAnsi="宋体" w:cs="宋体"/>
                      <w:color w:val="auto"/>
                      <w:sz w:val="22"/>
                      <w:szCs w:val="22"/>
                      <w:highlight w:val="none"/>
                      <w:vertAlign w:val="superscript"/>
                    </w:rPr>
                    <w:t>2</w:t>
                  </w:r>
                  <w:r>
                    <w:rPr>
                      <w:rFonts w:hint="eastAsia" w:ascii="宋体" w:hAnsi="宋体" w:cs="宋体"/>
                      <w:color w:val="auto"/>
                      <w:sz w:val="22"/>
                      <w:szCs w:val="22"/>
                      <w:highlight w:val="none"/>
                    </w:rPr>
                    <w:t>，用于办公、会议、生产调度等</w:t>
                  </w:r>
                </w:p>
              </w:tc>
              <w:tc>
                <w:tcPr>
                  <w:tcW w:w="921" w:type="dxa"/>
                  <w:tcBorders>
                    <w:top w:val="single" w:color="333333" w:sz="4" w:space="0"/>
                    <w:left w:val="single" w:color="333333" w:sz="4" w:space="0"/>
                    <w:bottom w:val="single" w:color="333333" w:sz="4" w:space="0"/>
                    <w:right w:val="single" w:color="333333" w:sz="4" w:space="0"/>
                  </w:tcBorders>
                  <w:vAlign w:val="center"/>
                </w:tcPr>
                <w:p w14:paraId="64099983">
                  <w:pPr>
                    <w:kinsoku w:val="0"/>
                    <w:overflowPunct w:val="0"/>
                    <w:autoSpaceDE w:val="0"/>
                    <w:autoSpaceDN w:val="0"/>
                    <w:adjustRightInd w:val="0"/>
                    <w:snapToGrid w:val="0"/>
                    <w:jc w:val="center"/>
                    <w:rPr>
                      <w:rFonts w:ascii="宋体"/>
                      <w:color w:val="auto"/>
                      <w:sz w:val="22"/>
                      <w:szCs w:val="22"/>
                      <w:highlight w:val="none"/>
                    </w:rPr>
                  </w:pPr>
                  <w:r>
                    <w:rPr>
                      <w:rFonts w:hint="eastAsia" w:hAnsi="宋体"/>
                      <w:color w:val="auto"/>
                      <w:kern w:val="2"/>
                      <w:sz w:val="22"/>
                      <w:szCs w:val="22"/>
                      <w:highlight w:val="none"/>
                    </w:rPr>
                    <w:t>依托现有</w:t>
                  </w:r>
                </w:p>
              </w:tc>
            </w:tr>
            <w:tr w14:paraId="62081172">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CellMar>
                  <w:top w:w="0" w:type="dxa"/>
                  <w:left w:w="28" w:type="dxa"/>
                  <w:bottom w:w="0" w:type="dxa"/>
                  <w:right w:w="28" w:type="dxa"/>
                </w:tblCellMar>
              </w:tblPrEx>
              <w:trPr>
                <w:trHeight w:val="680" w:hRule="atLeast"/>
              </w:trPr>
              <w:tc>
                <w:tcPr>
                  <w:tcW w:w="560" w:type="dxa"/>
                  <w:vMerge w:val="continue"/>
                  <w:tcBorders>
                    <w:left w:val="single" w:color="333333" w:sz="4" w:space="0"/>
                    <w:right w:val="single" w:color="333333" w:sz="4" w:space="0"/>
                  </w:tcBorders>
                  <w:vAlign w:val="center"/>
                </w:tcPr>
                <w:p w14:paraId="4DE588B7">
                  <w:pPr>
                    <w:jc w:val="center"/>
                    <w:rPr>
                      <w:rFonts w:hint="eastAsia" w:ascii="宋体" w:hAnsi="宋体" w:cs="宋体"/>
                      <w:color w:val="auto"/>
                      <w:sz w:val="22"/>
                      <w:szCs w:val="22"/>
                      <w:highlight w:val="none"/>
                    </w:rPr>
                  </w:pPr>
                </w:p>
              </w:tc>
              <w:tc>
                <w:tcPr>
                  <w:tcW w:w="1480" w:type="dxa"/>
                  <w:tcBorders>
                    <w:top w:val="single" w:color="333333" w:sz="4" w:space="0"/>
                    <w:left w:val="single" w:color="333333" w:sz="4" w:space="0"/>
                    <w:bottom w:val="single" w:color="333333" w:sz="4" w:space="0"/>
                    <w:right w:val="single" w:color="333333" w:sz="4" w:space="0"/>
                  </w:tcBorders>
                  <w:vAlign w:val="center"/>
                </w:tcPr>
                <w:p w14:paraId="61B2C0D9">
                  <w:pPr>
                    <w:jc w:val="center"/>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lang w:eastAsia="zh-CN"/>
                    </w:rPr>
                    <w:t>门卫室</w:t>
                  </w:r>
                </w:p>
              </w:tc>
              <w:tc>
                <w:tcPr>
                  <w:tcW w:w="5396" w:type="dxa"/>
                  <w:gridSpan w:val="2"/>
                  <w:tcBorders>
                    <w:top w:val="single" w:color="333333" w:sz="4" w:space="0"/>
                    <w:left w:val="single" w:color="333333" w:sz="4" w:space="0"/>
                    <w:bottom w:val="single" w:color="333333" w:sz="4" w:space="0"/>
                    <w:right w:val="single" w:color="333333" w:sz="4" w:space="0"/>
                  </w:tcBorders>
                  <w:vAlign w:val="center"/>
                </w:tcPr>
                <w:p w14:paraId="3BC78C63">
                  <w:pPr>
                    <w:widowControl/>
                    <w:ind w:firstLine="440" w:firstLineChars="200"/>
                    <w:jc w:val="left"/>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rPr>
                    <w:t>位于厂区南侧，占地面积约</w:t>
                  </w:r>
                  <w:r>
                    <w:rPr>
                      <w:rFonts w:hint="eastAsia" w:ascii="宋体" w:hAnsi="宋体" w:cs="宋体"/>
                      <w:color w:val="auto"/>
                      <w:sz w:val="22"/>
                      <w:szCs w:val="22"/>
                      <w:highlight w:val="none"/>
                      <w:lang w:val="en-US" w:eastAsia="zh-CN"/>
                    </w:rPr>
                    <w:t>50</w:t>
                  </w:r>
                  <w:r>
                    <w:rPr>
                      <w:rFonts w:hint="eastAsia" w:ascii="宋体" w:hAnsi="宋体" w:cs="宋体"/>
                      <w:color w:val="auto"/>
                      <w:sz w:val="22"/>
                      <w:szCs w:val="22"/>
                      <w:highlight w:val="none"/>
                    </w:rPr>
                    <w:t>m</w:t>
                  </w:r>
                  <w:r>
                    <w:rPr>
                      <w:rFonts w:hint="eastAsia" w:ascii="宋体" w:hAnsi="宋体" w:cs="宋体"/>
                      <w:color w:val="auto"/>
                      <w:sz w:val="22"/>
                      <w:szCs w:val="22"/>
                      <w:highlight w:val="none"/>
                      <w:vertAlign w:val="superscript"/>
                    </w:rPr>
                    <w:t>2</w:t>
                  </w:r>
                </w:p>
              </w:tc>
              <w:tc>
                <w:tcPr>
                  <w:tcW w:w="921" w:type="dxa"/>
                  <w:tcBorders>
                    <w:top w:val="single" w:color="333333" w:sz="4" w:space="0"/>
                    <w:left w:val="single" w:color="333333" w:sz="4" w:space="0"/>
                    <w:bottom w:val="single" w:color="333333" w:sz="4" w:space="0"/>
                    <w:right w:val="single" w:color="333333" w:sz="4" w:space="0"/>
                  </w:tcBorders>
                  <w:vAlign w:val="center"/>
                </w:tcPr>
                <w:p w14:paraId="387F941D">
                  <w:pPr>
                    <w:kinsoku w:val="0"/>
                    <w:overflowPunct w:val="0"/>
                    <w:autoSpaceDE w:val="0"/>
                    <w:autoSpaceDN w:val="0"/>
                    <w:adjustRightInd w:val="0"/>
                    <w:snapToGrid w:val="0"/>
                    <w:jc w:val="center"/>
                    <w:rPr>
                      <w:rFonts w:hint="eastAsia" w:hAnsi="宋体"/>
                      <w:color w:val="auto"/>
                      <w:kern w:val="2"/>
                      <w:sz w:val="22"/>
                      <w:szCs w:val="22"/>
                      <w:highlight w:val="none"/>
                    </w:rPr>
                  </w:pPr>
                  <w:r>
                    <w:rPr>
                      <w:rFonts w:hint="eastAsia" w:hAnsi="宋体"/>
                      <w:color w:val="auto"/>
                      <w:kern w:val="2"/>
                      <w:sz w:val="22"/>
                      <w:szCs w:val="22"/>
                      <w:highlight w:val="none"/>
                    </w:rPr>
                    <w:t>依托现有</w:t>
                  </w:r>
                </w:p>
              </w:tc>
            </w:tr>
            <w:tr w14:paraId="643AD813">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CellMar>
                  <w:top w:w="0" w:type="dxa"/>
                  <w:left w:w="28" w:type="dxa"/>
                  <w:bottom w:w="0" w:type="dxa"/>
                  <w:right w:w="28" w:type="dxa"/>
                </w:tblCellMar>
              </w:tblPrEx>
              <w:trPr>
                <w:trHeight w:val="680" w:hRule="atLeast"/>
              </w:trPr>
              <w:tc>
                <w:tcPr>
                  <w:tcW w:w="560" w:type="dxa"/>
                  <w:vMerge w:val="continue"/>
                  <w:tcBorders>
                    <w:left w:val="single" w:color="333333" w:sz="4" w:space="0"/>
                    <w:bottom w:val="single" w:color="333333" w:sz="4" w:space="0"/>
                    <w:right w:val="single" w:color="333333" w:sz="4" w:space="0"/>
                  </w:tcBorders>
                  <w:vAlign w:val="center"/>
                </w:tcPr>
                <w:p w14:paraId="36848681">
                  <w:pPr>
                    <w:jc w:val="center"/>
                    <w:rPr>
                      <w:rFonts w:hint="eastAsia" w:ascii="宋体" w:hAnsi="宋体" w:cs="宋体"/>
                      <w:color w:val="auto"/>
                      <w:sz w:val="22"/>
                      <w:szCs w:val="22"/>
                      <w:highlight w:val="none"/>
                    </w:rPr>
                  </w:pPr>
                </w:p>
              </w:tc>
              <w:tc>
                <w:tcPr>
                  <w:tcW w:w="1480" w:type="dxa"/>
                  <w:tcBorders>
                    <w:top w:val="single" w:color="333333" w:sz="4" w:space="0"/>
                    <w:left w:val="single" w:color="333333" w:sz="4" w:space="0"/>
                    <w:bottom w:val="single" w:color="333333" w:sz="4" w:space="0"/>
                    <w:right w:val="single" w:color="333333" w:sz="4" w:space="0"/>
                  </w:tcBorders>
                  <w:vAlign w:val="center"/>
                </w:tcPr>
                <w:p w14:paraId="4000499F">
                  <w:pPr>
                    <w:jc w:val="center"/>
                    <w:rPr>
                      <w:rFonts w:hint="eastAsia" w:ascii="宋体" w:hAnsi="宋体" w:cs="宋体"/>
                      <w:color w:val="auto"/>
                      <w:sz w:val="22"/>
                      <w:szCs w:val="22"/>
                      <w:highlight w:val="none"/>
                      <w:lang w:eastAsia="zh-CN"/>
                    </w:rPr>
                  </w:pPr>
                  <w:r>
                    <w:rPr>
                      <w:rFonts w:hint="eastAsia" w:ascii="宋体" w:hAnsi="宋体" w:cs="宋体"/>
                      <w:color w:val="auto"/>
                      <w:sz w:val="22"/>
                      <w:szCs w:val="22"/>
                      <w:highlight w:val="none"/>
                      <w:lang w:eastAsia="zh-CN"/>
                    </w:rPr>
                    <w:t>维修库</w:t>
                  </w:r>
                </w:p>
              </w:tc>
              <w:tc>
                <w:tcPr>
                  <w:tcW w:w="5396" w:type="dxa"/>
                  <w:gridSpan w:val="2"/>
                  <w:tcBorders>
                    <w:top w:val="single" w:color="333333" w:sz="4" w:space="0"/>
                    <w:left w:val="single" w:color="333333" w:sz="4" w:space="0"/>
                    <w:bottom w:val="single" w:color="333333" w:sz="4" w:space="0"/>
                    <w:right w:val="single" w:color="333333" w:sz="4" w:space="0"/>
                  </w:tcBorders>
                  <w:vAlign w:val="center"/>
                </w:tcPr>
                <w:p w14:paraId="194F8347">
                  <w:pPr>
                    <w:widowControl/>
                    <w:ind w:firstLine="440" w:firstLineChars="200"/>
                    <w:jc w:val="left"/>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lang w:eastAsia="zh-CN"/>
                    </w:rPr>
                    <w:t>位于厂区西侧，</w:t>
                  </w:r>
                  <w:r>
                    <w:rPr>
                      <w:rFonts w:hint="eastAsia" w:ascii="宋体" w:hAnsi="宋体" w:cs="宋体"/>
                      <w:color w:val="auto"/>
                      <w:sz w:val="22"/>
                      <w:szCs w:val="22"/>
                      <w:highlight w:val="none"/>
                    </w:rPr>
                    <w:t>占地面积约</w:t>
                  </w:r>
                  <w:r>
                    <w:rPr>
                      <w:rFonts w:hint="eastAsia" w:ascii="宋体" w:hAnsi="宋体" w:cs="宋体"/>
                      <w:color w:val="auto"/>
                      <w:sz w:val="22"/>
                      <w:szCs w:val="22"/>
                      <w:highlight w:val="none"/>
                      <w:lang w:val="en-US" w:eastAsia="zh-CN"/>
                    </w:rPr>
                    <w:t>72</w:t>
                  </w:r>
                  <w:r>
                    <w:rPr>
                      <w:rFonts w:hint="eastAsia" w:ascii="宋体" w:hAnsi="宋体" w:cs="宋体"/>
                      <w:color w:val="auto"/>
                      <w:sz w:val="22"/>
                      <w:szCs w:val="22"/>
                      <w:highlight w:val="none"/>
                    </w:rPr>
                    <w:t>m</w:t>
                  </w:r>
                  <w:r>
                    <w:rPr>
                      <w:rFonts w:hint="eastAsia" w:ascii="宋体" w:hAnsi="宋体" w:cs="宋体"/>
                      <w:color w:val="auto"/>
                      <w:sz w:val="22"/>
                      <w:szCs w:val="22"/>
                      <w:highlight w:val="none"/>
                      <w:vertAlign w:val="superscript"/>
                    </w:rPr>
                    <w:t>2</w:t>
                  </w:r>
                  <w:r>
                    <w:rPr>
                      <w:rFonts w:hint="eastAsia" w:ascii="宋体" w:hAnsi="宋体" w:cs="宋体"/>
                      <w:color w:val="auto"/>
                      <w:sz w:val="22"/>
                      <w:szCs w:val="22"/>
                      <w:highlight w:val="none"/>
                      <w:vertAlign w:val="baseline"/>
                      <w:lang w:eastAsia="zh-CN"/>
                    </w:rPr>
                    <w:t>，</w:t>
                  </w:r>
                  <w:r>
                    <w:rPr>
                      <w:rFonts w:hint="eastAsia" w:ascii="宋体" w:hAnsi="宋体" w:cs="宋体"/>
                      <w:color w:val="auto"/>
                      <w:sz w:val="22"/>
                      <w:szCs w:val="22"/>
                      <w:highlight w:val="none"/>
                      <w:lang w:eastAsia="zh-CN"/>
                    </w:rPr>
                    <w:t>用于机械设备的维修及机油液压油的暂存</w:t>
                  </w:r>
                </w:p>
              </w:tc>
              <w:tc>
                <w:tcPr>
                  <w:tcW w:w="921" w:type="dxa"/>
                  <w:tcBorders>
                    <w:top w:val="single" w:color="333333" w:sz="4" w:space="0"/>
                    <w:left w:val="single" w:color="333333" w:sz="4" w:space="0"/>
                    <w:bottom w:val="single" w:color="333333" w:sz="4" w:space="0"/>
                    <w:right w:val="single" w:color="333333" w:sz="4" w:space="0"/>
                  </w:tcBorders>
                  <w:vAlign w:val="center"/>
                </w:tcPr>
                <w:p w14:paraId="4AA3FDB4">
                  <w:pPr>
                    <w:kinsoku w:val="0"/>
                    <w:overflowPunct w:val="0"/>
                    <w:autoSpaceDE w:val="0"/>
                    <w:autoSpaceDN w:val="0"/>
                    <w:adjustRightInd w:val="0"/>
                    <w:snapToGrid w:val="0"/>
                    <w:jc w:val="center"/>
                    <w:rPr>
                      <w:rFonts w:hint="eastAsia" w:hAnsi="宋体"/>
                      <w:color w:val="auto"/>
                      <w:kern w:val="2"/>
                      <w:sz w:val="22"/>
                      <w:szCs w:val="22"/>
                      <w:highlight w:val="none"/>
                    </w:rPr>
                  </w:pPr>
                  <w:r>
                    <w:rPr>
                      <w:rFonts w:hint="eastAsia" w:hAnsi="宋体"/>
                      <w:color w:val="auto"/>
                      <w:kern w:val="2"/>
                      <w:sz w:val="22"/>
                      <w:szCs w:val="22"/>
                      <w:highlight w:val="none"/>
                    </w:rPr>
                    <w:t>依托现有</w:t>
                  </w:r>
                </w:p>
              </w:tc>
            </w:tr>
            <w:tr w14:paraId="79BAEFB4">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CellMar>
                  <w:top w:w="0" w:type="dxa"/>
                  <w:left w:w="28" w:type="dxa"/>
                  <w:bottom w:w="0" w:type="dxa"/>
                  <w:right w:w="28" w:type="dxa"/>
                </w:tblCellMar>
              </w:tblPrEx>
              <w:trPr>
                <w:trHeight w:val="443" w:hRule="atLeast"/>
              </w:trPr>
              <w:tc>
                <w:tcPr>
                  <w:tcW w:w="560" w:type="dxa"/>
                  <w:vMerge w:val="restart"/>
                  <w:tcBorders>
                    <w:top w:val="single" w:color="333333" w:sz="4" w:space="0"/>
                    <w:left w:val="single" w:color="333333" w:sz="4" w:space="0"/>
                    <w:right w:val="single" w:color="333333" w:sz="4" w:space="0"/>
                  </w:tcBorders>
                  <w:vAlign w:val="center"/>
                </w:tcPr>
                <w:p w14:paraId="79CB2304">
                  <w:pPr>
                    <w:jc w:val="center"/>
                    <w:rPr>
                      <w:rFonts w:ascii="宋体" w:hAnsi="宋体" w:cs="宋体"/>
                      <w:color w:val="auto"/>
                      <w:sz w:val="22"/>
                      <w:szCs w:val="22"/>
                      <w:highlight w:val="none"/>
                    </w:rPr>
                  </w:pPr>
                  <w:r>
                    <w:rPr>
                      <w:rFonts w:hint="eastAsia" w:ascii="宋体" w:hAnsi="宋体" w:cs="宋体"/>
                      <w:color w:val="auto"/>
                      <w:sz w:val="22"/>
                      <w:szCs w:val="22"/>
                      <w:highlight w:val="none"/>
                    </w:rPr>
                    <w:t>储运工程</w:t>
                  </w:r>
                </w:p>
              </w:tc>
              <w:tc>
                <w:tcPr>
                  <w:tcW w:w="1480" w:type="dxa"/>
                  <w:tcBorders>
                    <w:top w:val="single" w:color="333333" w:sz="4" w:space="0"/>
                    <w:left w:val="single" w:color="333333" w:sz="4" w:space="0"/>
                    <w:bottom w:val="single" w:color="333333" w:sz="4" w:space="0"/>
                    <w:right w:val="single" w:color="333333" w:sz="4" w:space="0"/>
                  </w:tcBorders>
                  <w:vAlign w:val="center"/>
                </w:tcPr>
                <w:p w14:paraId="2B4592B6">
                  <w:pPr>
                    <w:jc w:val="center"/>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lang w:eastAsia="zh-CN"/>
                    </w:rPr>
                    <w:t>物</w:t>
                  </w:r>
                  <w:r>
                    <w:rPr>
                      <w:rFonts w:hint="eastAsia" w:ascii="宋体" w:hAnsi="宋体" w:cs="宋体"/>
                      <w:color w:val="auto"/>
                      <w:sz w:val="22"/>
                      <w:szCs w:val="22"/>
                      <w:highlight w:val="none"/>
                    </w:rPr>
                    <w:t>料</w:t>
                  </w:r>
                  <w:r>
                    <w:rPr>
                      <w:rFonts w:hint="eastAsia" w:ascii="宋体" w:hAnsi="宋体" w:cs="宋体"/>
                      <w:color w:val="auto"/>
                      <w:sz w:val="22"/>
                      <w:szCs w:val="22"/>
                      <w:highlight w:val="none"/>
                      <w:lang w:eastAsia="zh-CN"/>
                    </w:rPr>
                    <w:t>库</w:t>
                  </w:r>
                </w:p>
              </w:tc>
              <w:tc>
                <w:tcPr>
                  <w:tcW w:w="5396" w:type="dxa"/>
                  <w:gridSpan w:val="2"/>
                  <w:tcBorders>
                    <w:top w:val="single" w:color="333333" w:sz="4" w:space="0"/>
                    <w:left w:val="single" w:color="333333" w:sz="4" w:space="0"/>
                    <w:bottom w:val="single" w:color="333333" w:sz="4" w:space="0"/>
                    <w:right w:val="single" w:color="333333" w:sz="4" w:space="0"/>
                  </w:tcBorders>
                  <w:vAlign w:val="center"/>
                </w:tcPr>
                <w:p w14:paraId="75D60A0E">
                  <w:pPr>
                    <w:adjustRightInd w:val="0"/>
                    <w:snapToGrid w:val="0"/>
                    <w:ind w:firstLine="440" w:firstLineChars="200"/>
                    <w:jc w:val="both"/>
                    <w:rPr>
                      <w:rFonts w:ascii="宋体" w:hAnsi="宋体" w:cs="宋体"/>
                      <w:color w:val="auto"/>
                      <w:sz w:val="22"/>
                      <w:szCs w:val="22"/>
                      <w:highlight w:val="none"/>
                      <w:u w:val="single"/>
                    </w:rPr>
                  </w:pPr>
                  <w:r>
                    <w:rPr>
                      <w:rFonts w:hint="eastAsia" w:ascii="宋体" w:hAnsi="宋体" w:cs="宋体"/>
                      <w:color w:val="auto"/>
                      <w:sz w:val="22"/>
                      <w:szCs w:val="22"/>
                      <w:highlight w:val="none"/>
                    </w:rPr>
                    <w:t>位于生产车间北侧，用于存放原料秸秆、碎木、锯末</w:t>
                  </w:r>
                  <w:r>
                    <w:rPr>
                      <w:rFonts w:hint="eastAsia" w:ascii="宋体" w:hAnsi="宋体"/>
                      <w:color w:val="auto"/>
                      <w:kern w:val="2"/>
                      <w:sz w:val="21"/>
                      <w:szCs w:val="21"/>
                      <w:highlight w:val="none"/>
                      <w:vertAlign w:val="baseline"/>
                      <w:lang w:eastAsia="zh-CN"/>
                    </w:rPr>
                    <w:t>（一次性存放量约</w:t>
                  </w:r>
                  <w:r>
                    <w:rPr>
                      <w:rFonts w:hint="eastAsia" w:ascii="宋体" w:hAnsi="宋体"/>
                      <w:color w:val="auto"/>
                      <w:kern w:val="2"/>
                      <w:sz w:val="21"/>
                      <w:szCs w:val="21"/>
                      <w:highlight w:val="none"/>
                      <w:vertAlign w:val="baseline"/>
                      <w:lang w:val="en-US" w:eastAsia="zh-CN"/>
                    </w:rPr>
                    <w:t>10000</w:t>
                  </w:r>
                  <w:r>
                    <w:rPr>
                      <w:rFonts w:hint="eastAsia" w:ascii="宋体" w:hAnsi="宋体"/>
                      <w:color w:val="auto"/>
                      <w:kern w:val="2"/>
                      <w:sz w:val="21"/>
                      <w:szCs w:val="21"/>
                      <w:highlight w:val="none"/>
                      <w:vertAlign w:val="baseline"/>
                      <w:lang w:eastAsia="zh-CN"/>
                    </w:rPr>
                    <w:t>t，周期</w:t>
                  </w:r>
                  <w:r>
                    <w:rPr>
                      <w:rFonts w:hint="eastAsia" w:ascii="宋体" w:hAnsi="宋体"/>
                      <w:color w:val="auto"/>
                      <w:kern w:val="2"/>
                      <w:sz w:val="21"/>
                      <w:szCs w:val="21"/>
                      <w:highlight w:val="none"/>
                      <w:vertAlign w:val="baseline"/>
                      <w:lang w:val="en-US" w:eastAsia="zh-CN"/>
                    </w:rPr>
                    <w:t>15</w:t>
                  </w:r>
                  <w:r>
                    <w:rPr>
                      <w:rFonts w:hint="eastAsia" w:ascii="宋体" w:hAnsi="宋体"/>
                      <w:color w:val="auto"/>
                      <w:kern w:val="2"/>
                      <w:sz w:val="21"/>
                      <w:szCs w:val="21"/>
                      <w:highlight w:val="none"/>
                      <w:vertAlign w:val="baseline"/>
                      <w:lang w:eastAsia="zh-CN"/>
                    </w:rPr>
                    <w:t>天）</w:t>
                  </w:r>
                  <w:r>
                    <w:rPr>
                      <w:rFonts w:hint="eastAsia" w:ascii="宋体" w:hAnsi="宋体" w:cs="宋体"/>
                      <w:color w:val="auto"/>
                      <w:sz w:val="22"/>
                      <w:szCs w:val="22"/>
                      <w:highlight w:val="none"/>
                    </w:rPr>
                    <w:t>，占地面积约为</w:t>
                  </w:r>
                  <w:r>
                    <w:rPr>
                      <w:rFonts w:hint="eastAsia" w:ascii="宋体" w:hAnsi="宋体" w:cs="宋体"/>
                      <w:color w:val="auto"/>
                      <w:sz w:val="22"/>
                      <w:szCs w:val="22"/>
                      <w:highlight w:val="none"/>
                      <w:lang w:val="en-US" w:eastAsia="zh-CN"/>
                    </w:rPr>
                    <w:t>100</w:t>
                  </w:r>
                  <w:r>
                    <w:rPr>
                      <w:rFonts w:hint="eastAsia" w:ascii="宋体" w:hAnsi="宋体" w:cs="宋体"/>
                      <w:color w:val="auto"/>
                      <w:sz w:val="22"/>
                      <w:szCs w:val="22"/>
                      <w:highlight w:val="none"/>
                    </w:rPr>
                    <w:t>00</w:t>
                  </w:r>
                  <w:r>
                    <w:rPr>
                      <w:rFonts w:ascii="宋体" w:hAnsi="宋体" w:cs="宋体"/>
                      <w:color w:val="auto"/>
                      <w:sz w:val="22"/>
                      <w:szCs w:val="22"/>
                      <w:highlight w:val="none"/>
                    </w:rPr>
                    <w:t>m</w:t>
                  </w:r>
                  <w:r>
                    <w:rPr>
                      <w:rFonts w:ascii="宋体" w:hAnsi="宋体" w:cs="宋体"/>
                      <w:color w:val="auto"/>
                      <w:sz w:val="22"/>
                      <w:szCs w:val="22"/>
                      <w:highlight w:val="none"/>
                      <w:vertAlign w:val="superscript"/>
                    </w:rPr>
                    <w:t>2</w:t>
                  </w:r>
                </w:p>
              </w:tc>
              <w:tc>
                <w:tcPr>
                  <w:tcW w:w="921" w:type="dxa"/>
                  <w:tcBorders>
                    <w:top w:val="single" w:color="333333" w:sz="4" w:space="0"/>
                    <w:left w:val="single" w:color="333333" w:sz="4" w:space="0"/>
                    <w:bottom w:val="single" w:color="333333" w:sz="4" w:space="0"/>
                    <w:right w:val="single" w:color="333333" w:sz="4" w:space="0"/>
                  </w:tcBorders>
                  <w:vAlign w:val="center"/>
                </w:tcPr>
                <w:p w14:paraId="3ABAD1FA">
                  <w:pPr>
                    <w:kinsoku w:val="0"/>
                    <w:overflowPunct w:val="0"/>
                    <w:autoSpaceDE w:val="0"/>
                    <w:autoSpaceDN w:val="0"/>
                    <w:adjustRightInd w:val="0"/>
                    <w:snapToGrid w:val="0"/>
                    <w:jc w:val="center"/>
                    <w:rPr>
                      <w:rFonts w:ascii="宋体" w:hAnsi="宋体" w:cs="宋体"/>
                      <w:color w:val="auto"/>
                      <w:sz w:val="22"/>
                      <w:szCs w:val="22"/>
                      <w:highlight w:val="none"/>
                    </w:rPr>
                  </w:pPr>
                  <w:r>
                    <w:rPr>
                      <w:rFonts w:hint="eastAsia" w:hAnsi="宋体"/>
                      <w:color w:val="auto"/>
                      <w:kern w:val="2"/>
                      <w:sz w:val="22"/>
                      <w:szCs w:val="22"/>
                      <w:highlight w:val="none"/>
                    </w:rPr>
                    <w:t>依托现有</w:t>
                  </w:r>
                  <w:r>
                    <w:rPr>
                      <w:rFonts w:hint="eastAsia" w:hAnsi="宋体"/>
                      <w:color w:val="auto"/>
                      <w:kern w:val="2"/>
                      <w:sz w:val="22"/>
                      <w:szCs w:val="22"/>
                      <w:highlight w:val="none"/>
                      <w:lang w:eastAsia="zh-CN"/>
                    </w:rPr>
                    <w:t>改造</w:t>
                  </w:r>
                </w:p>
              </w:tc>
            </w:tr>
            <w:tr w14:paraId="344CAD79">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CellMar>
                  <w:top w:w="0" w:type="dxa"/>
                  <w:left w:w="28" w:type="dxa"/>
                  <w:bottom w:w="0" w:type="dxa"/>
                  <w:right w:w="28" w:type="dxa"/>
                </w:tblCellMar>
              </w:tblPrEx>
              <w:trPr>
                <w:trHeight w:val="751" w:hRule="atLeast"/>
              </w:trPr>
              <w:tc>
                <w:tcPr>
                  <w:tcW w:w="560" w:type="dxa"/>
                  <w:vMerge w:val="continue"/>
                  <w:tcBorders>
                    <w:left w:val="single" w:color="333333" w:sz="4" w:space="0"/>
                    <w:right w:val="single" w:color="333333" w:sz="4" w:space="0"/>
                  </w:tcBorders>
                  <w:vAlign w:val="center"/>
                </w:tcPr>
                <w:p w14:paraId="68180FDE">
                  <w:pPr>
                    <w:jc w:val="center"/>
                    <w:rPr>
                      <w:rFonts w:ascii="宋体" w:hAnsi="宋体" w:cs="宋体"/>
                      <w:color w:val="auto"/>
                      <w:sz w:val="22"/>
                      <w:szCs w:val="22"/>
                      <w:highlight w:val="none"/>
                    </w:rPr>
                  </w:pPr>
                </w:p>
              </w:tc>
              <w:tc>
                <w:tcPr>
                  <w:tcW w:w="1480" w:type="dxa"/>
                  <w:tcBorders>
                    <w:top w:val="single" w:color="333333" w:sz="4" w:space="0"/>
                    <w:left w:val="single" w:color="333333" w:sz="4" w:space="0"/>
                    <w:bottom w:val="single" w:color="333333" w:sz="4" w:space="0"/>
                    <w:right w:val="single" w:color="333333" w:sz="4" w:space="0"/>
                  </w:tcBorders>
                  <w:vAlign w:val="center"/>
                </w:tcPr>
                <w:p w14:paraId="7A243995">
                  <w:pPr>
                    <w:jc w:val="center"/>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rPr>
                    <w:t>成品</w:t>
                  </w:r>
                  <w:r>
                    <w:rPr>
                      <w:rFonts w:hint="eastAsia" w:ascii="宋体" w:hAnsi="宋体" w:cs="宋体"/>
                      <w:color w:val="auto"/>
                      <w:sz w:val="22"/>
                      <w:szCs w:val="22"/>
                      <w:highlight w:val="none"/>
                      <w:lang w:eastAsia="zh-CN"/>
                    </w:rPr>
                    <w:t>仓</w:t>
                  </w:r>
                </w:p>
              </w:tc>
              <w:tc>
                <w:tcPr>
                  <w:tcW w:w="5396" w:type="dxa"/>
                  <w:gridSpan w:val="2"/>
                  <w:tcBorders>
                    <w:top w:val="single" w:color="333333" w:sz="4" w:space="0"/>
                    <w:left w:val="single" w:color="333333" w:sz="4" w:space="0"/>
                    <w:bottom w:val="single" w:color="333333" w:sz="4" w:space="0"/>
                    <w:right w:val="single" w:color="333333" w:sz="4" w:space="0"/>
                  </w:tcBorders>
                  <w:vAlign w:val="center"/>
                </w:tcPr>
                <w:p w14:paraId="256FD5DB">
                  <w:pPr>
                    <w:adjustRightInd w:val="0"/>
                    <w:snapToGrid w:val="0"/>
                    <w:ind w:firstLine="440" w:firstLineChars="200"/>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2座，</w:t>
                  </w:r>
                  <w:r>
                    <w:rPr>
                      <w:rFonts w:hint="eastAsia" w:ascii="宋体" w:hAnsi="宋体" w:cs="宋体"/>
                      <w:color w:val="auto"/>
                      <w:sz w:val="22"/>
                      <w:szCs w:val="22"/>
                      <w:highlight w:val="none"/>
                    </w:rPr>
                    <w:t>位于生产车间内南侧，用于存放成品，</w:t>
                  </w:r>
                  <w:r>
                    <w:rPr>
                      <w:rFonts w:hint="eastAsia" w:ascii="宋体" w:hAnsi="宋体" w:cs="宋体"/>
                      <w:color w:val="auto"/>
                      <w:sz w:val="22"/>
                      <w:szCs w:val="22"/>
                      <w:highlight w:val="none"/>
                      <w:lang w:eastAsia="zh-CN"/>
                    </w:rPr>
                    <w:t>单座容积为</w:t>
                  </w:r>
                  <w:r>
                    <w:rPr>
                      <w:rFonts w:hint="eastAsia" w:ascii="宋体" w:hAnsi="宋体" w:cs="宋体"/>
                      <w:color w:val="auto"/>
                      <w:sz w:val="22"/>
                      <w:szCs w:val="22"/>
                      <w:highlight w:val="none"/>
                      <w:lang w:val="en-US" w:eastAsia="zh-CN"/>
                    </w:rPr>
                    <w:t>80m</w:t>
                  </w:r>
                  <w:r>
                    <w:rPr>
                      <w:rFonts w:hint="eastAsia" w:ascii="宋体" w:hAnsi="宋体" w:cs="宋体"/>
                      <w:color w:val="auto"/>
                      <w:sz w:val="22"/>
                      <w:szCs w:val="22"/>
                      <w:highlight w:val="none"/>
                      <w:vertAlign w:val="superscript"/>
                      <w:lang w:val="en-US" w:eastAsia="zh-CN"/>
                    </w:rPr>
                    <w:t>3</w:t>
                  </w:r>
                  <w:r>
                    <w:rPr>
                      <w:rFonts w:hint="eastAsia"/>
                      <w:color w:val="auto"/>
                      <w:highlight w:val="none"/>
                      <w:lang w:eastAsia="zh-CN"/>
                    </w:rPr>
                    <w:t>，</w:t>
                  </w:r>
                  <w:r>
                    <w:rPr>
                      <w:rFonts w:hint="eastAsia"/>
                      <w:color w:val="auto"/>
                      <w:highlight w:val="none"/>
                      <w:lang w:val="en-US" w:eastAsia="zh-CN"/>
                    </w:rPr>
                    <w:t>最大</w:t>
                  </w:r>
                  <w:r>
                    <w:rPr>
                      <w:rFonts w:hint="eastAsia"/>
                      <w:color w:val="auto"/>
                      <w:highlight w:val="none"/>
                      <w:lang w:eastAsia="zh-CN"/>
                    </w:rPr>
                    <w:t>储存量约为</w:t>
                  </w:r>
                  <w:r>
                    <w:rPr>
                      <w:rFonts w:hint="eastAsia"/>
                      <w:color w:val="auto"/>
                      <w:highlight w:val="none"/>
                      <w:lang w:val="en-US" w:eastAsia="zh-CN"/>
                    </w:rPr>
                    <w:t>1500t</w:t>
                  </w:r>
                </w:p>
              </w:tc>
              <w:tc>
                <w:tcPr>
                  <w:tcW w:w="921" w:type="dxa"/>
                  <w:tcBorders>
                    <w:top w:val="single" w:color="333333" w:sz="4" w:space="0"/>
                    <w:left w:val="single" w:color="333333" w:sz="4" w:space="0"/>
                    <w:bottom w:val="single" w:color="333333" w:sz="4" w:space="0"/>
                    <w:right w:val="single" w:color="333333" w:sz="4" w:space="0"/>
                  </w:tcBorders>
                  <w:vAlign w:val="center"/>
                </w:tcPr>
                <w:p w14:paraId="35138B6D">
                  <w:pPr>
                    <w:kinsoku w:val="0"/>
                    <w:overflowPunct w:val="0"/>
                    <w:autoSpaceDE w:val="0"/>
                    <w:autoSpaceDN w:val="0"/>
                    <w:adjustRightInd w:val="0"/>
                    <w:snapToGrid w:val="0"/>
                    <w:jc w:val="center"/>
                    <w:rPr>
                      <w:rFonts w:hint="eastAsia" w:ascii="宋体" w:hAnsi="宋体" w:eastAsia="宋体" w:cs="宋体"/>
                      <w:color w:val="auto"/>
                      <w:sz w:val="22"/>
                      <w:szCs w:val="22"/>
                      <w:highlight w:val="none"/>
                      <w:lang w:eastAsia="zh-CN"/>
                    </w:rPr>
                  </w:pPr>
                  <w:r>
                    <w:rPr>
                      <w:rFonts w:hint="eastAsia" w:hAnsi="宋体"/>
                      <w:color w:val="auto"/>
                      <w:kern w:val="2"/>
                      <w:sz w:val="22"/>
                      <w:szCs w:val="22"/>
                      <w:highlight w:val="none"/>
                    </w:rPr>
                    <w:t>依托现有</w:t>
                  </w:r>
                  <w:r>
                    <w:rPr>
                      <w:rFonts w:hint="eastAsia" w:hAnsi="宋体"/>
                      <w:color w:val="auto"/>
                      <w:kern w:val="2"/>
                      <w:sz w:val="22"/>
                      <w:szCs w:val="22"/>
                      <w:highlight w:val="none"/>
                      <w:lang w:eastAsia="zh-CN"/>
                    </w:rPr>
                    <w:t>改造</w:t>
                  </w:r>
                </w:p>
              </w:tc>
            </w:tr>
            <w:tr w14:paraId="05784E1C">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CellMar>
                  <w:top w:w="0" w:type="dxa"/>
                  <w:left w:w="28" w:type="dxa"/>
                  <w:bottom w:w="0" w:type="dxa"/>
                  <w:right w:w="28" w:type="dxa"/>
                </w:tblCellMar>
              </w:tblPrEx>
              <w:trPr>
                <w:trHeight w:val="751" w:hRule="atLeast"/>
              </w:trPr>
              <w:tc>
                <w:tcPr>
                  <w:tcW w:w="560" w:type="dxa"/>
                  <w:vMerge w:val="continue"/>
                  <w:tcBorders>
                    <w:left w:val="single" w:color="333333" w:sz="4" w:space="0"/>
                    <w:bottom w:val="single" w:color="333333" w:sz="4" w:space="0"/>
                    <w:right w:val="single" w:color="333333" w:sz="4" w:space="0"/>
                  </w:tcBorders>
                  <w:vAlign w:val="center"/>
                </w:tcPr>
                <w:p w14:paraId="3E09DCD6">
                  <w:pPr>
                    <w:jc w:val="center"/>
                    <w:rPr>
                      <w:rFonts w:ascii="宋体" w:hAnsi="宋体" w:cs="宋体"/>
                      <w:color w:val="auto"/>
                      <w:sz w:val="22"/>
                      <w:szCs w:val="22"/>
                      <w:highlight w:val="none"/>
                    </w:rPr>
                  </w:pPr>
                </w:p>
              </w:tc>
              <w:tc>
                <w:tcPr>
                  <w:tcW w:w="1480" w:type="dxa"/>
                  <w:tcBorders>
                    <w:top w:val="single" w:color="333333" w:sz="4" w:space="0"/>
                    <w:left w:val="single" w:color="333333" w:sz="4" w:space="0"/>
                    <w:bottom w:val="single" w:color="333333" w:sz="4" w:space="0"/>
                    <w:right w:val="single" w:color="333333" w:sz="4" w:space="0"/>
                  </w:tcBorders>
                  <w:vAlign w:val="center"/>
                </w:tcPr>
                <w:p w14:paraId="12CD2D07">
                  <w:pPr>
                    <w:jc w:val="center"/>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lang w:eastAsia="zh-CN"/>
                    </w:rPr>
                    <w:t>运输</w:t>
                  </w:r>
                </w:p>
              </w:tc>
              <w:tc>
                <w:tcPr>
                  <w:tcW w:w="5396" w:type="dxa"/>
                  <w:gridSpan w:val="2"/>
                  <w:tcBorders>
                    <w:top w:val="single" w:color="333333" w:sz="4" w:space="0"/>
                    <w:left w:val="single" w:color="333333" w:sz="4" w:space="0"/>
                    <w:bottom w:val="single" w:color="333333" w:sz="4" w:space="0"/>
                    <w:right w:val="single" w:color="333333" w:sz="4" w:space="0"/>
                  </w:tcBorders>
                  <w:vAlign w:val="center"/>
                </w:tcPr>
                <w:p w14:paraId="2D3C1C80">
                  <w:pPr>
                    <w:adjustRightInd w:val="0"/>
                    <w:snapToGrid w:val="0"/>
                    <w:ind w:firstLine="440" w:firstLineChars="200"/>
                    <w:rPr>
                      <w:rFonts w:hint="default" w:ascii="宋体" w:hAnsi="宋体" w:cs="宋体"/>
                      <w:color w:val="auto"/>
                      <w:sz w:val="22"/>
                      <w:szCs w:val="22"/>
                      <w:highlight w:val="none"/>
                      <w:lang w:val="en-US" w:eastAsia="zh-CN"/>
                    </w:rPr>
                  </w:pPr>
                  <w:r>
                    <w:rPr>
                      <w:rFonts w:hint="eastAsia" w:ascii="宋体" w:hAnsi="宋体" w:cs="宋体"/>
                      <w:color w:val="auto"/>
                      <w:sz w:val="22"/>
                      <w:szCs w:val="22"/>
                      <w:highlight w:val="none"/>
                      <w:lang w:val="en-US" w:eastAsia="zh-CN"/>
                    </w:rPr>
                    <w:t>原料运输由供应商进行运送，拟使用载重32吨汽车进行运输</w:t>
                  </w:r>
                </w:p>
              </w:tc>
              <w:tc>
                <w:tcPr>
                  <w:tcW w:w="921" w:type="dxa"/>
                  <w:tcBorders>
                    <w:top w:val="single" w:color="333333" w:sz="4" w:space="0"/>
                    <w:left w:val="single" w:color="333333" w:sz="4" w:space="0"/>
                    <w:bottom w:val="single" w:color="333333" w:sz="4" w:space="0"/>
                    <w:right w:val="single" w:color="333333" w:sz="4" w:space="0"/>
                  </w:tcBorders>
                  <w:vAlign w:val="center"/>
                </w:tcPr>
                <w:p w14:paraId="501060C5">
                  <w:pPr>
                    <w:kinsoku w:val="0"/>
                    <w:overflowPunct w:val="0"/>
                    <w:autoSpaceDE w:val="0"/>
                    <w:autoSpaceDN w:val="0"/>
                    <w:adjustRightInd w:val="0"/>
                    <w:snapToGrid w:val="0"/>
                    <w:jc w:val="center"/>
                    <w:rPr>
                      <w:rFonts w:hint="eastAsia" w:hAnsi="宋体" w:eastAsia="宋体"/>
                      <w:color w:val="auto"/>
                      <w:kern w:val="2"/>
                      <w:sz w:val="22"/>
                      <w:szCs w:val="22"/>
                      <w:highlight w:val="none"/>
                      <w:lang w:eastAsia="zh-CN"/>
                    </w:rPr>
                  </w:pPr>
                  <w:r>
                    <w:rPr>
                      <w:rFonts w:hint="eastAsia" w:hAnsi="宋体"/>
                      <w:color w:val="auto"/>
                      <w:kern w:val="2"/>
                      <w:sz w:val="22"/>
                      <w:szCs w:val="22"/>
                      <w:highlight w:val="none"/>
                      <w:lang w:eastAsia="zh-CN"/>
                    </w:rPr>
                    <w:t>新建</w:t>
                  </w:r>
                </w:p>
              </w:tc>
            </w:tr>
            <w:tr w14:paraId="3A0F285A">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CellMar>
                  <w:top w:w="0" w:type="dxa"/>
                  <w:left w:w="28" w:type="dxa"/>
                  <w:bottom w:w="0" w:type="dxa"/>
                  <w:right w:w="28" w:type="dxa"/>
                </w:tblCellMar>
              </w:tblPrEx>
              <w:trPr>
                <w:trHeight w:val="693" w:hRule="atLeast"/>
              </w:trPr>
              <w:tc>
                <w:tcPr>
                  <w:tcW w:w="560" w:type="dxa"/>
                  <w:vMerge w:val="restart"/>
                  <w:tcBorders>
                    <w:top w:val="single" w:color="333333" w:sz="4" w:space="0"/>
                    <w:left w:val="single" w:color="333333" w:sz="4" w:space="0"/>
                    <w:bottom w:val="single" w:color="333333" w:sz="4" w:space="0"/>
                    <w:right w:val="single" w:color="333333" w:sz="4" w:space="0"/>
                  </w:tcBorders>
                  <w:vAlign w:val="center"/>
                </w:tcPr>
                <w:p w14:paraId="59F52A8F">
                  <w:pPr>
                    <w:jc w:val="center"/>
                    <w:rPr>
                      <w:rFonts w:ascii="宋体"/>
                      <w:color w:val="auto"/>
                      <w:sz w:val="22"/>
                      <w:szCs w:val="22"/>
                      <w:highlight w:val="none"/>
                    </w:rPr>
                  </w:pPr>
                  <w:r>
                    <w:rPr>
                      <w:rFonts w:hint="eastAsia" w:ascii="宋体" w:hAnsi="宋体" w:cs="宋体"/>
                      <w:color w:val="auto"/>
                      <w:sz w:val="22"/>
                      <w:szCs w:val="22"/>
                      <w:highlight w:val="none"/>
                    </w:rPr>
                    <w:t>公用工程</w:t>
                  </w:r>
                </w:p>
              </w:tc>
              <w:tc>
                <w:tcPr>
                  <w:tcW w:w="1480" w:type="dxa"/>
                  <w:tcBorders>
                    <w:top w:val="single" w:color="333333" w:sz="4" w:space="0"/>
                    <w:left w:val="single" w:color="333333" w:sz="4" w:space="0"/>
                    <w:bottom w:val="single" w:color="333333" w:sz="4" w:space="0"/>
                    <w:right w:val="single" w:color="333333" w:sz="4" w:space="0"/>
                  </w:tcBorders>
                  <w:vAlign w:val="center"/>
                </w:tcPr>
                <w:p w14:paraId="041896BA">
                  <w:pPr>
                    <w:jc w:val="center"/>
                    <w:rPr>
                      <w:rFonts w:ascii="宋体" w:hAnsi="宋体" w:cs="宋体"/>
                      <w:color w:val="auto"/>
                      <w:sz w:val="22"/>
                      <w:szCs w:val="22"/>
                      <w:highlight w:val="none"/>
                    </w:rPr>
                  </w:pPr>
                  <w:r>
                    <w:rPr>
                      <w:rFonts w:hint="eastAsia" w:ascii="宋体" w:hAnsi="宋体" w:cs="宋体"/>
                      <w:color w:val="auto"/>
                      <w:sz w:val="22"/>
                      <w:szCs w:val="22"/>
                      <w:highlight w:val="none"/>
                    </w:rPr>
                    <w:t>供水</w:t>
                  </w:r>
                </w:p>
              </w:tc>
              <w:tc>
                <w:tcPr>
                  <w:tcW w:w="5396" w:type="dxa"/>
                  <w:gridSpan w:val="2"/>
                  <w:tcBorders>
                    <w:top w:val="single" w:color="333333" w:sz="4" w:space="0"/>
                    <w:left w:val="single" w:color="333333" w:sz="4" w:space="0"/>
                    <w:bottom w:val="single" w:color="333333" w:sz="4" w:space="0"/>
                    <w:right w:val="single" w:color="333333" w:sz="4" w:space="0"/>
                  </w:tcBorders>
                  <w:vAlign w:val="center"/>
                </w:tcPr>
                <w:p w14:paraId="50E56DD0">
                  <w:pPr>
                    <w:adjustRightInd w:val="0"/>
                    <w:snapToGrid w:val="0"/>
                    <w:jc w:val="center"/>
                    <w:rPr>
                      <w:rFonts w:ascii="宋体"/>
                      <w:color w:val="auto"/>
                      <w:sz w:val="22"/>
                      <w:szCs w:val="22"/>
                      <w:highlight w:val="none"/>
                    </w:rPr>
                  </w:pPr>
                  <w:r>
                    <w:rPr>
                      <w:rFonts w:hint="eastAsia" w:ascii="宋体" w:hAnsi="宋体" w:cs="宋体"/>
                      <w:color w:val="auto"/>
                      <w:sz w:val="22"/>
                      <w:szCs w:val="22"/>
                      <w:highlight w:val="none"/>
                      <w:lang w:eastAsia="zh-CN"/>
                    </w:rPr>
                    <w:t>市政供水管网，年用水量约为360t</w:t>
                  </w:r>
                  <w:r>
                    <w:rPr>
                      <w:rFonts w:hint="eastAsia" w:ascii="宋体" w:hAnsi="宋体" w:cs="宋体"/>
                      <w:color w:val="auto"/>
                      <w:sz w:val="22"/>
                      <w:szCs w:val="22"/>
                      <w:highlight w:val="none"/>
                    </w:rPr>
                    <w:t>；</w:t>
                  </w:r>
                </w:p>
              </w:tc>
              <w:tc>
                <w:tcPr>
                  <w:tcW w:w="921" w:type="dxa"/>
                  <w:tcBorders>
                    <w:top w:val="single" w:color="333333" w:sz="4" w:space="0"/>
                    <w:left w:val="single" w:color="333333" w:sz="4" w:space="0"/>
                    <w:bottom w:val="single" w:color="333333" w:sz="4" w:space="0"/>
                    <w:right w:val="single" w:color="333333" w:sz="4" w:space="0"/>
                  </w:tcBorders>
                  <w:vAlign w:val="center"/>
                </w:tcPr>
                <w:p w14:paraId="3C9AFD78">
                  <w:pPr>
                    <w:kinsoku w:val="0"/>
                    <w:overflowPunct w:val="0"/>
                    <w:autoSpaceDE w:val="0"/>
                    <w:autoSpaceDN w:val="0"/>
                    <w:adjustRightInd w:val="0"/>
                    <w:snapToGrid w:val="0"/>
                    <w:jc w:val="center"/>
                    <w:rPr>
                      <w:rFonts w:ascii="宋体"/>
                      <w:color w:val="auto"/>
                      <w:sz w:val="22"/>
                      <w:szCs w:val="22"/>
                      <w:highlight w:val="none"/>
                    </w:rPr>
                  </w:pPr>
                  <w:r>
                    <w:rPr>
                      <w:rFonts w:hint="eastAsia" w:hAnsi="宋体"/>
                      <w:color w:val="auto"/>
                      <w:sz w:val="22"/>
                      <w:szCs w:val="22"/>
                      <w:highlight w:val="none"/>
                    </w:rPr>
                    <w:t>依托</w:t>
                  </w:r>
                  <w:r>
                    <w:rPr>
                      <w:rFonts w:hint="eastAsia" w:hAnsi="宋体"/>
                      <w:color w:val="auto"/>
                      <w:sz w:val="22"/>
                      <w:szCs w:val="22"/>
                      <w:highlight w:val="none"/>
                    </w:rPr>
                    <w:br w:type="textWrapping"/>
                  </w:r>
                  <w:r>
                    <w:rPr>
                      <w:rFonts w:hint="eastAsia" w:hAnsi="宋体"/>
                      <w:color w:val="auto"/>
                      <w:sz w:val="22"/>
                      <w:szCs w:val="22"/>
                      <w:highlight w:val="none"/>
                    </w:rPr>
                    <w:t>现有</w:t>
                  </w:r>
                </w:p>
              </w:tc>
            </w:tr>
            <w:tr w14:paraId="301C00DA">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CellMar>
                  <w:top w:w="0" w:type="dxa"/>
                  <w:left w:w="28" w:type="dxa"/>
                  <w:bottom w:w="0" w:type="dxa"/>
                  <w:right w:w="28" w:type="dxa"/>
                </w:tblCellMar>
              </w:tblPrEx>
              <w:trPr>
                <w:trHeight w:val="1234" w:hRule="atLeast"/>
              </w:trPr>
              <w:tc>
                <w:tcPr>
                  <w:tcW w:w="560" w:type="dxa"/>
                  <w:vMerge w:val="continue"/>
                  <w:tcBorders>
                    <w:top w:val="single" w:color="333333" w:sz="4" w:space="0"/>
                    <w:left w:val="single" w:color="333333" w:sz="4" w:space="0"/>
                    <w:bottom w:val="single" w:color="333333" w:sz="4" w:space="0"/>
                    <w:right w:val="single" w:color="333333" w:sz="4" w:space="0"/>
                  </w:tcBorders>
                  <w:vAlign w:val="center"/>
                </w:tcPr>
                <w:p w14:paraId="060F0526">
                  <w:pPr>
                    <w:jc w:val="center"/>
                    <w:rPr>
                      <w:rFonts w:ascii="宋体"/>
                      <w:color w:val="auto"/>
                      <w:sz w:val="22"/>
                      <w:szCs w:val="22"/>
                      <w:highlight w:val="none"/>
                    </w:rPr>
                  </w:pPr>
                </w:p>
              </w:tc>
              <w:tc>
                <w:tcPr>
                  <w:tcW w:w="1480" w:type="dxa"/>
                  <w:tcBorders>
                    <w:top w:val="single" w:color="333333" w:sz="4" w:space="0"/>
                    <w:left w:val="single" w:color="333333" w:sz="4" w:space="0"/>
                    <w:bottom w:val="single" w:color="333333" w:sz="4" w:space="0"/>
                    <w:right w:val="single" w:color="333333" w:sz="4" w:space="0"/>
                  </w:tcBorders>
                  <w:vAlign w:val="center"/>
                </w:tcPr>
                <w:p w14:paraId="2CCA2F61">
                  <w:pPr>
                    <w:jc w:val="center"/>
                    <w:rPr>
                      <w:rFonts w:ascii="宋体" w:hAnsi="宋体" w:cs="宋体"/>
                      <w:color w:val="auto"/>
                      <w:sz w:val="22"/>
                      <w:szCs w:val="22"/>
                      <w:highlight w:val="none"/>
                    </w:rPr>
                  </w:pPr>
                  <w:r>
                    <w:rPr>
                      <w:rFonts w:hint="eastAsia" w:ascii="宋体" w:hAnsi="宋体" w:cs="宋体"/>
                      <w:color w:val="auto"/>
                      <w:sz w:val="22"/>
                      <w:szCs w:val="22"/>
                      <w:highlight w:val="none"/>
                    </w:rPr>
                    <w:t>排水</w:t>
                  </w:r>
                </w:p>
              </w:tc>
              <w:tc>
                <w:tcPr>
                  <w:tcW w:w="5396" w:type="dxa"/>
                  <w:gridSpan w:val="2"/>
                  <w:tcBorders>
                    <w:top w:val="single" w:color="333333" w:sz="4" w:space="0"/>
                    <w:left w:val="single" w:color="333333" w:sz="4" w:space="0"/>
                    <w:bottom w:val="single" w:color="333333" w:sz="4" w:space="0"/>
                    <w:right w:val="single" w:color="333333" w:sz="4" w:space="0"/>
                  </w:tcBorders>
                  <w:vAlign w:val="center"/>
                </w:tcPr>
                <w:p w14:paraId="09E81BA9">
                  <w:pPr>
                    <w:adjustRightInd w:val="0"/>
                    <w:snapToGrid w:val="0"/>
                    <w:ind w:firstLine="440" w:firstLineChars="200"/>
                    <w:jc w:val="left"/>
                    <w:rPr>
                      <w:rFonts w:ascii="宋体"/>
                      <w:color w:val="auto"/>
                      <w:sz w:val="22"/>
                      <w:szCs w:val="22"/>
                      <w:highlight w:val="none"/>
                    </w:rPr>
                  </w:pPr>
                  <w:r>
                    <w:rPr>
                      <w:rFonts w:hint="eastAsia" w:ascii="宋体" w:hAnsi="宋体" w:cs="宋体"/>
                      <w:color w:val="auto"/>
                      <w:sz w:val="22"/>
                      <w:szCs w:val="22"/>
                      <w:highlight w:val="none"/>
                    </w:rPr>
                    <w:t>雨污分流，雨水经厂区雨水管网收集后排入</w:t>
                  </w:r>
                  <w:r>
                    <w:rPr>
                      <w:rFonts w:hint="eastAsia" w:ascii="宋体" w:hAnsi="宋体" w:cs="宋体"/>
                      <w:color w:val="auto"/>
                      <w:sz w:val="22"/>
                      <w:szCs w:val="22"/>
                      <w:highlight w:val="none"/>
                      <w:lang w:eastAsia="zh-CN"/>
                    </w:rPr>
                    <w:t>市政雨水管网；车辆冲洗废水经洗车平台沉淀池沉淀后回用于车辆冲洗；</w:t>
                  </w:r>
                  <w:r>
                    <w:rPr>
                      <w:rFonts w:hint="eastAsia" w:ascii="宋体" w:hAnsi="宋体" w:cs="宋体"/>
                      <w:color w:val="auto"/>
                      <w:sz w:val="22"/>
                      <w:szCs w:val="22"/>
                      <w:highlight w:val="none"/>
                    </w:rPr>
                    <w:t>生活污水经安徽麦丞新型材料科技有限公司现有化粪池进行处理后，处理后由市政污水管网进入淮北蓝海水处理有限公司深度处理，处理达标后部分作为平山电厂冷却循环水，剩余部分排入濉河</w:t>
                  </w:r>
                </w:p>
              </w:tc>
              <w:tc>
                <w:tcPr>
                  <w:tcW w:w="921" w:type="dxa"/>
                  <w:tcBorders>
                    <w:top w:val="single" w:color="333333" w:sz="4" w:space="0"/>
                    <w:left w:val="single" w:color="333333" w:sz="4" w:space="0"/>
                    <w:bottom w:val="single" w:color="333333" w:sz="4" w:space="0"/>
                    <w:right w:val="single" w:color="333333" w:sz="4" w:space="0"/>
                  </w:tcBorders>
                  <w:vAlign w:val="center"/>
                </w:tcPr>
                <w:p w14:paraId="1BAA722E">
                  <w:pPr>
                    <w:kinsoku w:val="0"/>
                    <w:overflowPunct w:val="0"/>
                    <w:autoSpaceDE w:val="0"/>
                    <w:autoSpaceDN w:val="0"/>
                    <w:adjustRightInd w:val="0"/>
                    <w:snapToGrid w:val="0"/>
                    <w:jc w:val="center"/>
                    <w:rPr>
                      <w:rFonts w:ascii="宋体"/>
                      <w:color w:val="auto"/>
                      <w:sz w:val="22"/>
                      <w:szCs w:val="22"/>
                      <w:highlight w:val="none"/>
                    </w:rPr>
                  </w:pPr>
                  <w:r>
                    <w:rPr>
                      <w:rFonts w:hint="eastAsia" w:hAnsi="宋体"/>
                      <w:color w:val="auto"/>
                      <w:sz w:val="22"/>
                      <w:szCs w:val="22"/>
                      <w:highlight w:val="none"/>
                    </w:rPr>
                    <w:t>依托</w:t>
                  </w:r>
                  <w:r>
                    <w:rPr>
                      <w:rFonts w:hint="eastAsia" w:hAnsi="宋体"/>
                      <w:color w:val="auto"/>
                      <w:sz w:val="22"/>
                      <w:szCs w:val="22"/>
                      <w:highlight w:val="none"/>
                    </w:rPr>
                    <w:br w:type="textWrapping"/>
                  </w:r>
                  <w:r>
                    <w:rPr>
                      <w:rFonts w:hint="eastAsia" w:hAnsi="宋体"/>
                      <w:color w:val="auto"/>
                      <w:sz w:val="22"/>
                      <w:szCs w:val="22"/>
                      <w:highlight w:val="none"/>
                    </w:rPr>
                    <w:t>现有</w:t>
                  </w:r>
                </w:p>
              </w:tc>
            </w:tr>
            <w:tr w14:paraId="632EDC20">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CellMar>
                  <w:top w:w="0" w:type="dxa"/>
                  <w:left w:w="28" w:type="dxa"/>
                  <w:bottom w:w="0" w:type="dxa"/>
                  <w:right w:w="28" w:type="dxa"/>
                </w:tblCellMar>
              </w:tblPrEx>
              <w:trPr>
                <w:trHeight w:val="403" w:hRule="atLeast"/>
              </w:trPr>
              <w:tc>
                <w:tcPr>
                  <w:tcW w:w="560" w:type="dxa"/>
                  <w:vMerge w:val="continue"/>
                  <w:tcBorders>
                    <w:top w:val="single" w:color="333333" w:sz="4" w:space="0"/>
                    <w:left w:val="single" w:color="333333" w:sz="4" w:space="0"/>
                    <w:bottom w:val="single" w:color="333333" w:sz="4" w:space="0"/>
                    <w:right w:val="single" w:color="333333" w:sz="4" w:space="0"/>
                  </w:tcBorders>
                  <w:vAlign w:val="center"/>
                </w:tcPr>
                <w:p w14:paraId="7BF69AD6">
                  <w:pPr>
                    <w:jc w:val="center"/>
                    <w:rPr>
                      <w:rFonts w:ascii="宋体"/>
                      <w:color w:val="auto"/>
                      <w:sz w:val="22"/>
                      <w:szCs w:val="22"/>
                      <w:highlight w:val="none"/>
                    </w:rPr>
                  </w:pPr>
                </w:p>
              </w:tc>
              <w:tc>
                <w:tcPr>
                  <w:tcW w:w="1480" w:type="dxa"/>
                  <w:tcBorders>
                    <w:top w:val="single" w:color="333333" w:sz="4" w:space="0"/>
                    <w:left w:val="single" w:color="333333" w:sz="4" w:space="0"/>
                    <w:bottom w:val="single" w:color="333333" w:sz="4" w:space="0"/>
                    <w:right w:val="single" w:color="333333" w:sz="4" w:space="0"/>
                  </w:tcBorders>
                  <w:vAlign w:val="center"/>
                </w:tcPr>
                <w:p w14:paraId="51E49A6B">
                  <w:pPr>
                    <w:jc w:val="center"/>
                    <w:rPr>
                      <w:rFonts w:ascii="宋体" w:hAnsi="宋体" w:cs="宋体"/>
                      <w:color w:val="auto"/>
                      <w:sz w:val="22"/>
                      <w:szCs w:val="22"/>
                      <w:highlight w:val="none"/>
                    </w:rPr>
                  </w:pPr>
                  <w:r>
                    <w:rPr>
                      <w:rFonts w:hint="eastAsia" w:ascii="宋体" w:hAnsi="宋体" w:cs="宋体"/>
                      <w:color w:val="auto"/>
                      <w:sz w:val="22"/>
                      <w:szCs w:val="22"/>
                      <w:highlight w:val="none"/>
                    </w:rPr>
                    <w:t>供电</w:t>
                  </w:r>
                </w:p>
              </w:tc>
              <w:tc>
                <w:tcPr>
                  <w:tcW w:w="5396" w:type="dxa"/>
                  <w:gridSpan w:val="2"/>
                  <w:tcBorders>
                    <w:top w:val="single" w:color="333333" w:sz="4" w:space="0"/>
                    <w:left w:val="single" w:color="333333" w:sz="4" w:space="0"/>
                    <w:bottom w:val="single" w:color="333333" w:sz="4" w:space="0"/>
                    <w:right w:val="single" w:color="333333" w:sz="4" w:space="0"/>
                  </w:tcBorders>
                  <w:vAlign w:val="center"/>
                </w:tcPr>
                <w:p w14:paraId="5B8B803B">
                  <w:pPr>
                    <w:kinsoku w:val="0"/>
                    <w:overflowPunct w:val="0"/>
                    <w:autoSpaceDE w:val="0"/>
                    <w:autoSpaceDN w:val="0"/>
                    <w:adjustRightInd w:val="0"/>
                    <w:snapToGrid w:val="0"/>
                    <w:jc w:val="center"/>
                    <w:rPr>
                      <w:rFonts w:hint="eastAsia" w:ascii="宋体" w:eastAsia="宋体"/>
                      <w:color w:val="auto"/>
                      <w:sz w:val="22"/>
                      <w:szCs w:val="22"/>
                      <w:highlight w:val="none"/>
                      <w:lang w:eastAsia="zh-CN"/>
                    </w:rPr>
                  </w:pPr>
                  <w:r>
                    <w:rPr>
                      <w:rFonts w:hint="eastAsia" w:ascii="宋体" w:hAnsi="宋体" w:cs="宋体"/>
                      <w:color w:val="auto"/>
                      <w:sz w:val="22"/>
                      <w:szCs w:val="22"/>
                      <w:highlight w:val="none"/>
                    </w:rPr>
                    <w:t>由</w:t>
                  </w:r>
                  <w:r>
                    <w:rPr>
                      <w:rFonts w:hint="eastAsia" w:ascii="宋体" w:hAnsi="宋体" w:cs="宋体"/>
                      <w:color w:val="auto"/>
                      <w:sz w:val="22"/>
                      <w:szCs w:val="22"/>
                      <w:highlight w:val="none"/>
                      <w:lang w:eastAsia="zh-CN"/>
                    </w:rPr>
                    <w:t>市政</w:t>
                  </w:r>
                  <w:r>
                    <w:rPr>
                      <w:rFonts w:hint="eastAsia" w:ascii="宋体" w:hAnsi="宋体" w:cs="宋体"/>
                      <w:color w:val="auto"/>
                      <w:sz w:val="22"/>
                      <w:szCs w:val="22"/>
                      <w:highlight w:val="none"/>
                    </w:rPr>
                    <w:t>供电管网供电</w:t>
                  </w:r>
                  <w:r>
                    <w:rPr>
                      <w:rFonts w:hint="eastAsia" w:ascii="宋体" w:hAnsi="宋体" w:cs="宋体"/>
                      <w:color w:val="auto"/>
                      <w:sz w:val="22"/>
                      <w:szCs w:val="22"/>
                      <w:highlight w:val="none"/>
                      <w:lang w:eastAsia="zh-CN"/>
                    </w:rPr>
                    <w:t>，</w:t>
                  </w:r>
                  <w:r>
                    <w:rPr>
                      <w:rFonts w:hint="eastAsia"/>
                      <w:color w:val="auto"/>
                      <w:highlight w:val="none"/>
                      <w:lang w:eastAsia="zh-CN"/>
                    </w:rPr>
                    <w:t>年用量</w:t>
                  </w:r>
                  <w:r>
                    <w:rPr>
                      <w:rFonts w:hint="eastAsia"/>
                      <w:color w:val="auto"/>
                      <w:highlight w:val="none"/>
                      <w:lang w:val="en-US" w:eastAsia="zh-CN"/>
                    </w:rPr>
                    <w:t>180</w:t>
                  </w:r>
                  <w:r>
                    <w:rPr>
                      <w:rFonts w:hint="eastAsia"/>
                      <w:color w:val="auto"/>
                      <w:highlight w:val="none"/>
                      <w:lang w:eastAsia="zh-CN"/>
                    </w:rPr>
                    <w:t>万kW·h</w:t>
                  </w:r>
                </w:p>
              </w:tc>
              <w:tc>
                <w:tcPr>
                  <w:tcW w:w="921" w:type="dxa"/>
                  <w:tcBorders>
                    <w:top w:val="single" w:color="333333" w:sz="4" w:space="0"/>
                    <w:left w:val="single" w:color="333333" w:sz="4" w:space="0"/>
                    <w:bottom w:val="single" w:color="333333" w:sz="4" w:space="0"/>
                    <w:right w:val="single" w:color="333333" w:sz="4" w:space="0"/>
                  </w:tcBorders>
                  <w:vAlign w:val="center"/>
                </w:tcPr>
                <w:p w14:paraId="0D559C0D">
                  <w:pPr>
                    <w:kinsoku w:val="0"/>
                    <w:overflowPunct w:val="0"/>
                    <w:autoSpaceDE w:val="0"/>
                    <w:autoSpaceDN w:val="0"/>
                    <w:adjustRightInd w:val="0"/>
                    <w:snapToGrid w:val="0"/>
                    <w:jc w:val="center"/>
                    <w:rPr>
                      <w:rFonts w:ascii="宋体"/>
                      <w:color w:val="auto"/>
                      <w:sz w:val="22"/>
                      <w:szCs w:val="22"/>
                      <w:highlight w:val="none"/>
                    </w:rPr>
                  </w:pPr>
                  <w:r>
                    <w:rPr>
                      <w:rFonts w:hint="eastAsia" w:hAnsi="宋体"/>
                      <w:color w:val="auto"/>
                      <w:sz w:val="22"/>
                      <w:szCs w:val="22"/>
                      <w:highlight w:val="none"/>
                    </w:rPr>
                    <w:t>依托</w:t>
                  </w:r>
                  <w:r>
                    <w:rPr>
                      <w:rFonts w:hint="eastAsia" w:hAnsi="宋体"/>
                      <w:color w:val="auto"/>
                      <w:sz w:val="22"/>
                      <w:szCs w:val="22"/>
                      <w:highlight w:val="none"/>
                    </w:rPr>
                    <w:br w:type="textWrapping"/>
                  </w:r>
                  <w:r>
                    <w:rPr>
                      <w:rFonts w:hint="eastAsia" w:hAnsi="宋体"/>
                      <w:color w:val="auto"/>
                      <w:sz w:val="22"/>
                      <w:szCs w:val="22"/>
                      <w:highlight w:val="none"/>
                    </w:rPr>
                    <w:t>现有</w:t>
                  </w:r>
                </w:p>
              </w:tc>
            </w:tr>
            <w:tr w14:paraId="6A39C77A">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CellMar>
                  <w:top w:w="0" w:type="dxa"/>
                  <w:left w:w="28" w:type="dxa"/>
                  <w:bottom w:w="0" w:type="dxa"/>
                  <w:right w:w="28" w:type="dxa"/>
                </w:tblCellMar>
              </w:tblPrEx>
              <w:trPr>
                <w:trHeight w:val="426" w:hRule="atLeast"/>
              </w:trPr>
              <w:tc>
                <w:tcPr>
                  <w:tcW w:w="560" w:type="dxa"/>
                  <w:vMerge w:val="continue"/>
                  <w:tcBorders>
                    <w:top w:val="single" w:color="333333" w:sz="4" w:space="0"/>
                    <w:left w:val="single" w:color="333333" w:sz="4" w:space="0"/>
                    <w:bottom w:val="single" w:color="333333" w:sz="4" w:space="0"/>
                    <w:right w:val="single" w:color="333333" w:sz="4" w:space="0"/>
                  </w:tcBorders>
                  <w:vAlign w:val="center"/>
                </w:tcPr>
                <w:p w14:paraId="1EA0F997">
                  <w:pPr>
                    <w:jc w:val="center"/>
                    <w:rPr>
                      <w:rFonts w:ascii="宋体"/>
                      <w:color w:val="auto"/>
                      <w:sz w:val="22"/>
                      <w:szCs w:val="22"/>
                      <w:highlight w:val="none"/>
                    </w:rPr>
                  </w:pPr>
                </w:p>
              </w:tc>
              <w:tc>
                <w:tcPr>
                  <w:tcW w:w="1480" w:type="dxa"/>
                  <w:tcBorders>
                    <w:top w:val="single" w:color="333333" w:sz="4" w:space="0"/>
                    <w:left w:val="single" w:color="333333" w:sz="4" w:space="0"/>
                    <w:bottom w:val="single" w:color="333333" w:sz="4" w:space="0"/>
                    <w:right w:val="single" w:color="333333" w:sz="4" w:space="0"/>
                  </w:tcBorders>
                  <w:vAlign w:val="center"/>
                </w:tcPr>
                <w:p w14:paraId="114C1B98">
                  <w:pPr>
                    <w:jc w:val="center"/>
                    <w:rPr>
                      <w:rFonts w:ascii="宋体" w:hAnsi="宋体" w:cs="宋体"/>
                      <w:color w:val="auto"/>
                      <w:sz w:val="22"/>
                      <w:szCs w:val="22"/>
                      <w:highlight w:val="none"/>
                    </w:rPr>
                  </w:pPr>
                  <w:r>
                    <w:rPr>
                      <w:rFonts w:hint="eastAsia" w:ascii="宋体" w:hAnsi="宋体" w:cs="宋体"/>
                      <w:color w:val="auto"/>
                      <w:sz w:val="22"/>
                      <w:szCs w:val="22"/>
                      <w:highlight w:val="none"/>
                    </w:rPr>
                    <w:t>消防系统</w:t>
                  </w:r>
                </w:p>
              </w:tc>
              <w:tc>
                <w:tcPr>
                  <w:tcW w:w="5396" w:type="dxa"/>
                  <w:gridSpan w:val="2"/>
                  <w:tcBorders>
                    <w:top w:val="single" w:color="333333" w:sz="4" w:space="0"/>
                    <w:left w:val="single" w:color="333333" w:sz="4" w:space="0"/>
                    <w:bottom w:val="single" w:color="333333" w:sz="4" w:space="0"/>
                    <w:right w:val="single" w:color="333333" w:sz="4" w:space="0"/>
                  </w:tcBorders>
                  <w:vAlign w:val="center"/>
                </w:tcPr>
                <w:p w14:paraId="4570094A">
                  <w:pPr>
                    <w:jc w:val="center"/>
                    <w:rPr>
                      <w:rFonts w:ascii="宋体" w:hAnsi="宋体" w:cs="宋体"/>
                      <w:color w:val="auto"/>
                      <w:sz w:val="22"/>
                      <w:szCs w:val="22"/>
                      <w:highlight w:val="none"/>
                    </w:rPr>
                  </w:pPr>
                  <w:r>
                    <w:rPr>
                      <w:rFonts w:hint="eastAsia" w:ascii="宋体" w:hAnsi="宋体" w:cs="宋体"/>
                      <w:color w:val="auto"/>
                      <w:sz w:val="22"/>
                      <w:szCs w:val="22"/>
                      <w:highlight w:val="none"/>
                    </w:rPr>
                    <w:t>按照相关规定设置各类消防设施</w:t>
                  </w:r>
                </w:p>
              </w:tc>
              <w:tc>
                <w:tcPr>
                  <w:tcW w:w="921" w:type="dxa"/>
                  <w:tcBorders>
                    <w:top w:val="single" w:color="333333" w:sz="4" w:space="0"/>
                    <w:left w:val="single" w:color="333333" w:sz="4" w:space="0"/>
                    <w:bottom w:val="single" w:color="333333" w:sz="4" w:space="0"/>
                    <w:right w:val="single" w:color="333333" w:sz="4" w:space="0"/>
                  </w:tcBorders>
                  <w:vAlign w:val="center"/>
                </w:tcPr>
                <w:p w14:paraId="39E01D36">
                  <w:pPr>
                    <w:jc w:val="center"/>
                    <w:rPr>
                      <w:rFonts w:ascii="宋体" w:hAnsi="宋体" w:cs="宋体"/>
                      <w:color w:val="auto"/>
                      <w:sz w:val="22"/>
                      <w:szCs w:val="22"/>
                      <w:highlight w:val="none"/>
                    </w:rPr>
                  </w:pPr>
                  <w:r>
                    <w:rPr>
                      <w:rFonts w:hint="eastAsia" w:ascii="宋体" w:hAnsi="宋体" w:cs="宋体"/>
                      <w:color w:val="auto"/>
                      <w:sz w:val="22"/>
                      <w:szCs w:val="22"/>
                      <w:highlight w:val="none"/>
                    </w:rPr>
                    <w:t>新建</w:t>
                  </w:r>
                </w:p>
              </w:tc>
            </w:tr>
            <w:tr w14:paraId="0DFD5304">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CellMar>
                  <w:top w:w="0" w:type="dxa"/>
                  <w:left w:w="28" w:type="dxa"/>
                  <w:bottom w:w="0" w:type="dxa"/>
                  <w:right w:w="28" w:type="dxa"/>
                </w:tblCellMar>
              </w:tblPrEx>
              <w:trPr>
                <w:trHeight w:val="708" w:hRule="atLeast"/>
              </w:trPr>
              <w:tc>
                <w:tcPr>
                  <w:tcW w:w="560" w:type="dxa"/>
                  <w:vMerge w:val="restart"/>
                  <w:tcBorders>
                    <w:top w:val="single" w:color="333333" w:sz="4" w:space="0"/>
                    <w:left w:val="single" w:color="333333" w:sz="4" w:space="0"/>
                    <w:right w:val="single" w:color="333333" w:sz="4" w:space="0"/>
                  </w:tcBorders>
                  <w:vAlign w:val="center"/>
                </w:tcPr>
                <w:p w14:paraId="03588E50">
                  <w:pPr>
                    <w:jc w:val="center"/>
                    <w:rPr>
                      <w:rFonts w:ascii="宋体"/>
                      <w:color w:val="auto"/>
                      <w:sz w:val="22"/>
                      <w:szCs w:val="22"/>
                      <w:highlight w:val="none"/>
                    </w:rPr>
                  </w:pPr>
                  <w:r>
                    <w:rPr>
                      <w:rFonts w:hint="eastAsia" w:ascii="宋体" w:hAnsi="宋体" w:cs="宋体"/>
                      <w:color w:val="auto"/>
                      <w:sz w:val="22"/>
                      <w:szCs w:val="22"/>
                      <w:highlight w:val="none"/>
                    </w:rPr>
                    <w:t>环保工程</w:t>
                  </w:r>
                </w:p>
              </w:tc>
              <w:tc>
                <w:tcPr>
                  <w:tcW w:w="1480" w:type="dxa"/>
                  <w:vMerge w:val="restart"/>
                  <w:tcBorders>
                    <w:top w:val="single" w:color="333333" w:sz="4" w:space="0"/>
                    <w:left w:val="single" w:color="333333" w:sz="4" w:space="0"/>
                    <w:right w:val="single" w:color="333333" w:sz="4" w:space="0"/>
                  </w:tcBorders>
                  <w:vAlign w:val="center"/>
                </w:tcPr>
                <w:p w14:paraId="611638D2">
                  <w:pPr>
                    <w:jc w:val="center"/>
                    <w:rPr>
                      <w:rFonts w:ascii="宋体"/>
                      <w:color w:val="auto"/>
                      <w:sz w:val="22"/>
                      <w:szCs w:val="22"/>
                      <w:highlight w:val="none"/>
                    </w:rPr>
                  </w:pPr>
                  <w:r>
                    <w:rPr>
                      <w:rFonts w:hint="eastAsia" w:ascii="宋体" w:hAnsi="宋体" w:cs="宋体"/>
                      <w:color w:val="auto"/>
                      <w:sz w:val="22"/>
                      <w:szCs w:val="22"/>
                      <w:highlight w:val="none"/>
                    </w:rPr>
                    <w:t>废水处理工程</w:t>
                  </w:r>
                </w:p>
              </w:tc>
              <w:tc>
                <w:tcPr>
                  <w:tcW w:w="5396" w:type="dxa"/>
                  <w:gridSpan w:val="2"/>
                  <w:tcBorders>
                    <w:top w:val="single" w:color="333333" w:sz="4" w:space="0"/>
                    <w:left w:val="single" w:color="333333" w:sz="4" w:space="0"/>
                    <w:bottom w:val="single" w:color="333333" w:sz="4" w:space="0"/>
                    <w:right w:val="single" w:color="333333" w:sz="4" w:space="0"/>
                  </w:tcBorders>
                  <w:vAlign w:val="center"/>
                </w:tcPr>
                <w:p w14:paraId="2F6CDB58">
                  <w:pPr>
                    <w:ind w:firstLine="440" w:firstLineChars="200"/>
                    <w:jc w:val="both"/>
                    <w:rPr>
                      <w:rFonts w:ascii="宋体" w:hAnsi="宋体" w:cs="宋体"/>
                      <w:color w:val="auto"/>
                      <w:sz w:val="22"/>
                      <w:szCs w:val="22"/>
                      <w:highlight w:val="none"/>
                    </w:rPr>
                  </w:pPr>
                  <w:r>
                    <w:rPr>
                      <w:rFonts w:hint="eastAsia" w:ascii="宋体" w:hAnsi="宋体" w:cs="宋体"/>
                      <w:color w:val="auto"/>
                      <w:sz w:val="22"/>
                      <w:szCs w:val="22"/>
                      <w:highlight w:val="none"/>
                      <w:lang w:eastAsia="zh-CN"/>
                    </w:rPr>
                    <w:t>车辆冲洗废水经洗车平台沉淀池（</w:t>
                  </w:r>
                  <w:r>
                    <w:rPr>
                      <w:rFonts w:hint="eastAsia" w:ascii="宋体" w:hAnsi="宋体" w:cs="宋体"/>
                      <w:color w:val="auto"/>
                      <w:sz w:val="22"/>
                      <w:szCs w:val="22"/>
                      <w:highlight w:val="none"/>
                      <w:lang w:val="en-US" w:eastAsia="zh-CN"/>
                    </w:rPr>
                    <w:t>6m*4m</w:t>
                  </w:r>
                  <w:r>
                    <w:rPr>
                      <w:rFonts w:hint="eastAsia" w:ascii="宋体" w:hAnsi="宋体" w:cs="宋体"/>
                      <w:color w:val="auto"/>
                      <w:sz w:val="22"/>
                      <w:szCs w:val="22"/>
                      <w:highlight w:val="none"/>
                      <w:lang w:eastAsia="zh-CN"/>
                    </w:rPr>
                    <w:t>）沉淀后回用于车辆冲洗，不外排</w:t>
                  </w:r>
                </w:p>
              </w:tc>
              <w:tc>
                <w:tcPr>
                  <w:tcW w:w="921" w:type="dxa"/>
                  <w:vMerge w:val="restart"/>
                  <w:tcBorders>
                    <w:top w:val="single" w:color="333333" w:sz="4" w:space="0"/>
                    <w:left w:val="single" w:color="333333" w:sz="4" w:space="0"/>
                    <w:right w:val="single" w:color="333333" w:sz="4" w:space="0"/>
                  </w:tcBorders>
                  <w:vAlign w:val="center"/>
                </w:tcPr>
                <w:p w14:paraId="7CDE217B">
                  <w:pPr>
                    <w:jc w:val="center"/>
                    <w:rPr>
                      <w:rFonts w:ascii="宋体" w:hAnsi="宋体" w:cs="宋体"/>
                      <w:color w:val="auto"/>
                      <w:sz w:val="22"/>
                      <w:szCs w:val="22"/>
                      <w:highlight w:val="none"/>
                    </w:rPr>
                  </w:pPr>
                  <w:r>
                    <w:rPr>
                      <w:rFonts w:hint="eastAsia" w:hAnsi="宋体"/>
                      <w:color w:val="auto"/>
                      <w:sz w:val="22"/>
                      <w:szCs w:val="22"/>
                      <w:highlight w:val="none"/>
                    </w:rPr>
                    <w:t>依托</w:t>
                  </w:r>
                  <w:r>
                    <w:rPr>
                      <w:rFonts w:hint="eastAsia" w:hAnsi="宋体"/>
                      <w:color w:val="auto"/>
                      <w:sz w:val="22"/>
                      <w:szCs w:val="22"/>
                      <w:highlight w:val="none"/>
                    </w:rPr>
                    <w:br w:type="textWrapping"/>
                  </w:r>
                  <w:r>
                    <w:rPr>
                      <w:rFonts w:hint="eastAsia" w:hAnsi="宋体"/>
                      <w:color w:val="auto"/>
                      <w:sz w:val="22"/>
                      <w:szCs w:val="22"/>
                      <w:highlight w:val="none"/>
                    </w:rPr>
                    <w:t>现有</w:t>
                  </w:r>
                </w:p>
              </w:tc>
            </w:tr>
            <w:tr w14:paraId="3CBD94A3">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CellMar>
                  <w:top w:w="0" w:type="dxa"/>
                  <w:left w:w="28" w:type="dxa"/>
                  <w:bottom w:w="0" w:type="dxa"/>
                  <w:right w:w="28" w:type="dxa"/>
                </w:tblCellMar>
              </w:tblPrEx>
              <w:trPr>
                <w:trHeight w:val="708" w:hRule="atLeast"/>
              </w:trPr>
              <w:tc>
                <w:tcPr>
                  <w:tcW w:w="560" w:type="dxa"/>
                  <w:vMerge w:val="continue"/>
                  <w:tcBorders>
                    <w:left w:val="single" w:color="333333" w:sz="4" w:space="0"/>
                    <w:bottom w:val="single" w:color="333333" w:sz="4" w:space="0"/>
                    <w:right w:val="single" w:color="333333" w:sz="4" w:space="0"/>
                  </w:tcBorders>
                  <w:vAlign w:val="center"/>
                </w:tcPr>
                <w:p w14:paraId="65877B5E">
                  <w:pPr>
                    <w:ind w:firstLine="420" w:firstLineChars="200"/>
                    <w:jc w:val="both"/>
                    <w:rPr>
                      <w:color w:val="auto"/>
                    </w:rPr>
                  </w:pPr>
                </w:p>
              </w:tc>
              <w:tc>
                <w:tcPr>
                  <w:tcW w:w="1480" w:type="dxa"/>
                  <w:vMerge w:val="continue"/>
                  <w:tcBorders>
                    <w:left w:val="single" w:color="333333" w:sz="4" w:space="0"/>
                    <w:bottom w:val="single" w:color="333333" w:sz="4" w:space="0"/>
                    <w:right w:val="single" w:color="333333" w:sz="4" w:space="0"/>
                  </w:tcBorders>
                  <w:vAlign w:val="center"/>
                </w:tcPr>
                <w:p w14:paraId="0ED0FD70">
                  <w:pPr>
                    <w:ind w:firstLine="420" w:firstLineChars="200"/>
                    <w:jc w:val="both"/>
                    <w:rPr>
                      <w:color w:val="auto"/>
                    </w:rPr>
                  </w:pPr>
                </w:p>
              </w:tc>
              <w:tc>
                <w:tcPr>
                  <w:tcW w:w="5396" w:type="dxa"/>
                  <w:gridSpan w:val="2"/>
                  <w:tcBorders>
                    <w:top w:val="single" w:color="333333" w:sz="4" w:space="0"/>
                    <w:left w:val="single" w:color="333333" w:sz="4" w:space="0"/>
                    <w:bottom w:val="single" w:color="333333" w:sz="4" w:space="0"/>
                    <w:right w:val="single" w:color="333333" w:sz="4" w:space="0"/>
                  </w:tcBorders>
                  <w:vAlign w:val="center"/>
                </w:tcPr>
                <w:p w14:paraId="695F65CB">
                  <w:pPr>
                    <w:ind w:firstLine="440" w:firstLineChars="200"/>
                    <w:jc w:val="both"/>
                    <w:rPr>
                      <w:rFonts w:hint="eastAsia" w:ascii="宋体" w:hAnsi="宋体" w:cs="宋体"/>
                      <w:color w:val="auto"/>
                      <w:sz w:val="22"/>
                      <w:szCs w:val="22"/>
                      <w:highlight w:val="none"/>
                      <w:lang w:eastAsia="zh-CN"/>
                    </w:rPr>
                  </w:pPr>
                  <w:r>
                    <w:rPr>
                      <w:rFonts w:hint="eastAsia" w:ascii="宋体" w:hAnsi="宋体" w:cs="宋体"/>
                      <w:color w:val="auto"/>
                      <w:sz w:val="22"/>
                      <w:szCs w:val="22"/>
                      <w:highlight w:val="none"/>
                    </w:rPr>
                    <w:t>生活污水经安徽麦丞新型材料科技有限公司现有化粪池进行处理后，处理后由市政污水管网进入淮北蓝海水处理有限公司深度处理，处理达标后部分作为平山电厂冷却循环水，剩余部分排入濉河</w:t>
                  </w:r>
                </w:p>
              </w:tc>
              <w:tc>
                <w:tcPr>
                  <w:tcW w:w="921" w:type="dxa"/>
                  <w:vMerge w:val="continue"/>
                  <w:tcBorders>
                    <w:left w:val="single" w:color="333333" w:sz="4" w:space="0"/>
                    <w:bottom w:val="single" w:color="333333" w:sz="4" w:space="0"/>
                    <w:right w:val="single" w:color="333333" w:sz="4" w:space="0"/>
                  </w:tcBorders>
                  <w:vAlign w:val="center"/>
                </w:tcPr>
                <w:p w14:paraId="5D0E7D10">
                  <w:pPr>
                    <w:ind w:firstLine="440" w:firstLineChars="200"/>
                    <w:jc w:val="both"/>
                    <w:rPr>
                      <w:rFonts w:hint="eastAsia" w:ascii="宋体" w:hAnsi="宋体" w:cs="宋体"/>
                      <w:color w:val="auto"/>
                      <w:sz w:val="22"/>
                      <w:szCs w:val="22"/>
                      <w:highlight w:val="none"/>
                      <w:lang w:eastAsia="zh-CN"/>
                    </w:rPr>
                  </w:pPr>
                </w:p>
              </w:tc>
            </w:tr>
            <w:tr w14:paraId="2B3CF277">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CellMar>
                  <w:top w:w="0" w:type="dxa"/>
                  <w:left w:w="28" w:type="dxa"/>
                  <w:bottom w:w="0" w:type="dxa"/>
                  <w:right w:w="28" w:type="dxa"/>
                </w:tblCellMar>
              </w:tblPrEx>
              <w:trPr>
                <w:trHeight w:val="501" w:hRule="atLeast"/>
              </w:trPr>
              <w:tc>
                <w:tcPr>
                  <w:tcW w:w="560" w:type="dxa"/>
                  <w:vMerge w:val="continue"/>
                  <w:tcBorders>
                    <w:top w:val="single" w:color="333333" w:sz="4" w:space="0"/>
                    <w:left w:val="single" w:color="333333" w:sz="4" w:space="0"/>
                    <w:bottom w:val="single" w:color="333333" w:sz="4" w:space="0"/>
                    <w:right w:val="single" w:color="333333" w:sz="4" w:space="0"/>
                  </w:tcBorders>
                  <w:vAlign w:val="center"/>
                </w:tcPr>
                <w:p w14:paraId="2669BD93">
                  <w:pPr>
                    <w:jc w:val="center"/>
                    <w:rPr>
                      <w:rFonts w:ascii="宋体"/>
                      <w:color w:val="auto"/>
                      <w:sz w:val="22"/>
                      <w:szCs w:val="22"/>
                      <w:highlight w:val="none"/>
                    </w:rPr>
                  </w:pPr>
                  <w:r>
                    <w:rPr>
                      <w:rFonts w:hint="eastAsia" w:ascii="宋体"/>
                      <w:color w:val="auto"/>
                      <w:sz w:val="22"/>
                      <w:szCs w:val="22"/>
                      <w:highlight w:val="none"/>
                    </w:rPr>
                    <w:t xml:space="preserve"> ， </w:t>
                  </w:r>
                </w:p>
              </w:tc>
              <w:tc>
                <w:tcPr>
                  <w:tcW w:w="1480" w:type="dxa"/>
                  <w:vMerge w:val="restart"/>
                  <w:tcBorders>
                    <w:top w:val="single" w:color="333333" w:sz="4" w:space="0"/>
                    <w:left w:val="single" w:color="333333" w:sz="4" w:space="0"/>
                    <w:right w:val="single" w:color="333333" w:sz="4" w:space="0"/>
                  </w:tcBorders>
                  <w:vAlign w:val="center"/>
                </w:tcPr>
                <w:p w14:paraId="7929A161">
                  <w:pPr>
                    <w:jc w:val="center"/>
                    <w:rPr>
                      <w:rFonts w:ascii="宋体"/>
                      <w:color w:val="auto"/>
                      <w:sz w:val="22"/>
                      <w:szCs w:val="22"/>
                      <w:highlight w:val="none"/>
                    </w:rPr>
                  </w:pPr>
                  <w:r>
                    <w:rPr>
                      <w:rFonts w:hint="eastAsia" w:ascii="宋体" w:hAnsi="宋体" w:cs="宋体"/>
                      <w:color w:val="auto"/>
                      <w:sz w:val="22"/>
                      <w:szCs w:val="22"/>
                      <w:highlight w:val="none"/>
                    </w:rPr>
                    <w:t>废气处理工程</w:t>
                  </w:r>
                </w:p>
              </w:tc>
              <w:tc>
                <w:tcPr>
                  <w:tcW w:w="5396" w:type="dxa"/>
                  <w:gridSpan w:val="2"/>
                  <w:tcBorders>
                    <w:top w:val="single" w:color="333333" w:sz="4" w:space="0"/>
                    <w:left w:val="single" w:color="333333" w:sz="4" w:space="0"/>
                    <w:bottom w:val="single" w:color="333333" w:sz="4" w:space="0"/>
                    <w:right w:val="single" w:color="333333" w:sz="4" w:space="0"/>
                  </w:tcBorders>
                  <w:vAlign w:val="center"/>
                </w:tcPr>
                <w:p w14:paraId="1C26E8E2">
                  <w:pPr>
                    <w:pStyle w:val="33"/>
                    <w:keepNext w:val="0"/>
                    <w:keepLines w:val="0"/>
                    <w:pageBreakBefore w:val="0"/>
                    <w:widowControl w:val="0"/>
                    <w:kinsoku/>
                    <w:wordWrap/>
                    <w:overflowPunct/>
                    <w:topLinePunct w:val="0"/>
                    <w:autoSpaceDE/>
                    <w:autoSpaceDN/>
                    <w:bidi w:val="0"/>
                    <w:adjustRightInd/>
                    <w:snapToGrid/>
                    <w:spacing w:after="0" w:line="240" w:lineRule="auto"/>
                    <w:ind w:firstLine="440" w:firstLineChars="200"/>
                    <w:textAlignment w:val="auto"/>
                    <w:rPr>
                      <w:color w:val="auto"/>
                      <w:highlight w:val="none"/>
                    </w:rPr>
                  </w:pPr>
                  <w:r>
                    <w:rPr>
                      <w:rFonts w:hint="eastAsia" w:ascii="宋体" w:hAnsi="宋体" w:cs="宋体"/>
                      <w:color w:val="auto"/>
                      <w:sz w:val="22"/>
                      <w:szCs w:val="22"/>
                      <w:highlight w:val="none"/>
                    </w:rPr>
                    <w:t>破碎、</w:t>
                  </w:r>
                  <w:r>
                    <w:rPr>
                      <w:rFonts w:hint="eastAsia" w:ascii="宋体" w:hAnsi="宋体" w:cs="宋体"/>
                      <w:color w:val="auto"/>
                      <w:sz w:val="22"/>
                      <w:szCs w:val="22"/>
                      <w:highlight w:val="none"/>
                      <w:lang w:eastAsia="zh-CN"/>
                    </w:rPr>
                    <w:t>粉碎及</w:t>
                  </w:r>
                  <w:r>
                    <w:rPr>
                      <w:rFonts w:hint="eastAsia" w:ascii="宋体" w:hAnsi="宋体" w:cs="宋体"/>
                      <w:color w:val="auto"/>
                      <w:sz w:val="22"/>
                      <w:szCs w:val="22"/>
                      <w:highlight w:val="none"/>
                    </w:rPr>
                    <w:t>制粒成型工序产生的废气经集气</w:t>
                  </w:r>
                  <w:r>
                    <w:rPr>
                      <w:rFonts w:hint="eastAsia" w:ascii="宋体" w:hAnsi="宋体" w:cs="宋体"/>
                      <w:color w:val="auto"/>
                      <w:sz w:val="22"/>
                      <w:szCs w:val="22"/>
                      <w:highlight w:val="none"/>
                      <w:lang w:eastAsia="zh-CN"/>
                    </w:rPr>
                    <w:t>罩（加装软帘）</w:t>
                  </w:r>
                  <w:r>
                    <w:rPr>
                      <w:rFonts w:hint="eastAsia" w:ascii="宋体" w:hAnsi="宋体" w:cs="宋体"/>
                      <w:color w:val="auto"/>
                      <w:sz w:val="22"/>
                      <w:szCs w:val="22"/>
                      <w:highlight w:val="none"/>
                    </w:rPr>
                    <w:t>收集后由旋风除尘+布袋除尘处理后经由1根15米高排气筒</w:t>
                  </w: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lang w:val="en-US" w:eastAsia="zh-CN"/>
                    </w:rPr>
                    <w:t>DA001</w:t>
                  </w: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rPr>
                    <w:t>排放</w:t>
                  </w:r>
                  <w:r>
                    <w:rPr>
                      <w:rFonts w:hint="eastAsia" w:ascii="宋体" w:hAnsi="宋体" w:cs="宋体"/>
                      <w:color w:val="auto"/>
                      <w:sz w:val="22"/>
                      <w:szCs w:val="22"/>
                      <w:highlight w:val="none"/>
                      <w:lang w:eastAsia="zh-CN"/>
                    </w:rPr>
                    <w:t>；</w:t>
                  </w:r>
                </w:p>
              </w:tc>
              <w:tc>
                <w:tcPr>
                  <w:tcW w:w="921" w:type="dxa"/>
                  <w:vMerge w:val="restart"/>
                  <w:tcBorders>
                    <w:top w:val="single" w:color="333333" w:sz="4" w:space="0"/>
                    <w:left w:val="single" w:color="333333" w:sz="4" w:space="0"/>
                    <w:right w:val="single" w:color="333333" w:sz="4" w:space="0"/>
                  </w:tcBorders>
                  <w:vAlign w:val="center"/>
                </w:tcPr>
                <w:p w14:paraId="6FD13FAA">
                  <w:pPr>
                    <w:jc w:val="center"/>
                    <w:rPr>
                      <w:rFonts w:ascii="宋体" w:hAnsi="宋体" w:cs="宋体"/>
                      <w:color w:val="auto"/>
                      <w:sz w:val="22"/>
                      <w:szCs w:val="22"/>
                      <w:highlight w:val="none"/>
                    </w:rPr>
                  </w:pPr>
                  <w:r>
                    <w:rPr>
                      <w:rFonts w:hint="eastAsia" w:ascii="宋体" w:hAnsi="宋体" w:cs="宋体"/>
                      <w:color w:val="auto"/>
                      <w:sz w:val="22"/>
                      <w:szCs w:val="22"/>
                      <w:highlight w:val="none"/>
                    </w:rPr>
                    <w:t>新建</w:t>
                  </w:r>
                </w:p>
              </w:tc>
            </w:tr>
            <w:tr w14:paraId="11AA1EE5">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CellMar>
                  <w:top w:w="0" w:type="dxa"/>
                  <w:left w:w="28" w:type="dxa"/>
                  <w:bottom w:w="0" w:type="dxa"/>
                  <w:right w:w="28" w:type="dxa"/>
                </w:tblCellMar>
              </w:tblPrEx>
              <w:trPr>
                <w:trHeight w:val="501" w:hRule="atLeast"/>
              </w:trPr>
              <w:tc>
                <w:tcPr>
                  <w:tcW w:w="560" w:type="dxa"/>
                  <w:vMerge w:val="continue"/>
                  <w:tcBorders>
                    <w:left w:val="single" w:color="333333" w:sz="4" w:space="0"/>
                    <w:bottom w:val="single" w:color="333333" w:sz="4" w:space="0"/>
                    <w:right w:val="single" w:color="333333" w:sz="4" w:space="0"/>
                  </w:tcBorders>
                  <w:vAlign w:val="center"/>
                </w:tcPr>
                <w:p w14:paraId="707C366A">
                  <w:pPr>
                    <w:pStyle w:val="33"/>
                    <w:keepNext w:val="0"/>
                    <w:keepLines w:val="0"/>
                    <w:pageBreakBefore w:val="0"/>
                    <w:widowControl w:val="0"/>
                    <w:kinsoku/>
                    <w:wordWrap/>
                    <w:overflowPunct/>
                    <w:topLinePunct w:val="0"/>
                    <w:autoSpaceDE/>
                    <w:autoSpaceDN/>
                    <w:bidi w:val="0"/>
                    <w:adjustRightInd/>
                    <w:snapToGrid/>
                    <w:spacing w:after="0" w:line="240" w:lineRule="auto"/>
                    <w:textAlignment w:val="auto"/>
                    <w:rPr>
                      <w:color w:val="auto"/>
                    </w:rPr>
                  </w:pPr>
                </w:p>
              </w:tc>
              <w:tc>
                <w:tcPr>
                  <w:tcW w:w="1480" w:type="dxa"/>
                  <w:vMerge w:val="continue"/>
                  <w:tcBorders>
                    <w:left w:val="single" w:color="333333" w:sz="4" w:space="0"/>
                    <w:right w:val="single" w:color="333333" w:sz="4" w:space="0"/>
                  </w:tcBorders>
                  <w:vAlign w:val="center"/>
                </w:tcPr>
                <w:p w14:paraId="7E52119D">
                  <w:pPr>
                    <w:pStyle w:val="33"/>
                    <w:keepNext w:val="0"/>
                    <w:keepLines w:val="0"/>
                    <w:pageBreakBefore w:val="0"/>
                    <w:widowControl w:val="0"/>
                    <w:kinsoku/>
                    <w:wordWrap/>
                    <w:overflowPunct/>
                    <w:topLinePunct w:val="0"/>
                    <w:autoSpaceDE/>
                    <w:autoSpaceDN/>
                    <w:bidi w:val="0"/>
                    <w:adjustRightInd/>
                    <w:snapToGrid/>
                    <w:spacing w:after="0" w:line="240" w:lineRule="auto"/>
                    <w:textAlignment w:val="auto"/>
                    <w:rPr>
                      <w:color w:val="auto"/>
                    </w:rPr>
                  </w:pPr>
                </w:p>
              </w:tc>
              <w:tc>
                <w:tcPr>
                  <w:tcW w:w="5396" w:type="dxa"/>
                  <w:gridSpan w:val="2"/>
                  <w:tcBorders>
                    <w:top w:val="single" w:color="333333" w:sz="4" w:space="0"/>
                    <w:left w:val="single" w:color="333333" w:sz="4" w:space="0"/>
                    <w:bottom w:val="single" w:color="333333" w:sz="4" w:space="0"/>
                    <w:right w:val="single" w:color="333333" w:sz="4" w:space="0"/>
                  </w:tcBorders>
                  <w:vAlign w:val="center"/>
                </w:tcPr>
                <w:p w14:paraId="591681C2">
                  <w:pPr>
                    <w:pStyle w:val="33"/>
                    <w:keepNext w:val="0"/>
                    <w:keepLines w:val="0"/>
                    <w:pageBreakBefore w:val="0"/>
                    <w:widowControl w:val="0"/>
                    <w:kinsoku/>
                    <w:wordWrap/>
                    <w:overflowPunct/>
                    <w:topLinePunct w:val="0"/>
                    <w:autoSpaceDE/>
                    <w:autoSpaceDN/>
                    <w:bidi w:val="0"/>
                    <w:adjustRightInd/>
                    <w:snapToGrid/>
                    <w:spacing w:after="0" w:line="240" w:lineRule="auto"/>
                    <w:ind w:firstLine="440" w:firstLineChars="200"/>
                    <w:textAlignment w:val="auto"/>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输送带进行密闭；破碎、粉碎后的物料暂存于碎料暂存间内（14m*14m）,储存间完全封闭；设置车辆洗车平台，运输过程中加盖篷布，厂区内道路路面硬化、定期清扫地面</w:t>
                  </w:r>
                </w:p>
              </w:tc>
              <w:tc>
                <w:tcPr>
                  <w:tcW w:w="921" w:type="dxa"/>
                  <w:vMerge w:val="continue"/>
                  <w:tcBorders>
                    <w:left w:val="single" w:color="333333" w:sz="4" w:space="0"/>
                    <w:bottom w:val="single" w:color="333333" w:sz="4" w:space="0"/>
                    <w:right w:val="single" w:color="333333" w:sz="4" w:space="0"/>
                  </w:tcBorders>
                  <w:vAlign w:val="center"/>
                </w:tcPr>
                <w:p w14:paraId="34A571F0">
                  <w:pPr>
                    <w:pStyle w:val="33"/>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cs="宋体"/>
                      <w:color w:val="auto"/>
                      <w:sz w:val="22"/>
                      <w:szCs w:val="22"/>
                      <w:highlight w:val="none"/>
                    </w:rPr>
                  </w:pPr>
                </w:p>
              </w:tc>
            </w:tr>
            <w:tr w14:paraId="4D0ED32E">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CellMar>
                  <w:top w:w="0" w:type="dxa"/>
                  <w:left w:w="28" w:type="dxa"/>
                  <w:bottom w:w="0" w:type="dxa"/>
                  <w:right w:w="28" w:type="dxa"/>
                </w:tblCellMar>
              </w:tblPrEx>
              <w:trPr>
                <w:trHeight w:val="90" w:hRule="atLeast"/>
              </w:trPr>
              <w:tc>
                <w:tcPr>
                  <w:tcW w:w="560" w:type="dxa"/>
                  <w:vMerge w:val="continue"/>
                  <w:tcBorders>
                    <w:top w:val="single" w:color="333333" w:sz="4" w:space="0"/>
                    <w:left w:val="single" w:color="333333" w:sz="4" w:space="0"/>
                    <w:bottom w:val="single" w:color="333333" w:sz="4" w:space="0"/>
                    <w:right w:val="single" w:color="333333" w:sz="4" w:space="0"/>
                  </w:tcBorders>
                  <w:vAlign w:val="center"/>
                </w:tcPr>
                <w:p w14:paraId="61FC245A">
                  <w:pPr>
                    <w:jc w:val="center"/>
                    <w:rPr>
                      <w:rFonts w:ascii="宋体"/>
                      <w:color w:val="auto"/>
                      <w:sz w:val="22"/>
                      <w:szCs w:val="22"/>
                      <w:highlight w:val="none"/>
                    </w:rPr>
                  </w:pPr>
                </w:p>
              </w:tc>
              <w:tc>
                <w:tcPr>
                  <w:tcW w:w="1480" w:type="dxa"/>
                  <w:tcBorders>
                    <w:top w:val="single" w:color="333333" w:sz="4" w:space="0"/>
                    <w:left w:val="single" w:color="333333" w:sz="4" w:space="0"/>
                    <w:right w:val="single" w:color="333333" w:sz="4" w:space="0"/>
                  </w:tcBorders>
                  <w:vAlign w:val="center"/>
                </w:tcPr>
                <w:p w14:paraId="6916C9E9">
                  <w:pPr>
                    <w:jc w:val="center"/>
                    <w:rPr>
                      <w:rFonts w:ascii="宋体"/>
                      <w:color w:val="auto"/>
                      <w:sz w:val="22"/>
                      <w:szCs w:val="22"/>
                      <w:highlight w:val="none"/>
                    </w:rPr>
                  </w:pPr>
                  <w:r>
                    <w:rPr>
                      <w:rFonts w:hint="eastAsia" w:ascii="宋体" w:hAnsi="宋体" w:cs="宋体"/>
                      <w:color w:val="auto"/>
                      <w:sz w:val="22"/>
                      <w:szCs w:val="22"/>
                      <w:highlight w:val="none"/>
                    </w:rPr>
                    <w:t>固废处置工程</w:t>
                  </w:r>
                </w:p>
              </w:tc>
              <w:tc>
                <w:tcPr>
                  <w:tcW w:w="5396" w:type="dxa"/>
                  <w:gridSpan w:val="2"/>
                  <w:tcBorders>
                    <w:top w:val="single" w:color="333333" w:sz="4" w:space="0"/>
                    <w:left w:val="single" w:color="333333" w:sz="4" w:space="0"/>
                    <w:bottom w:val="single" w:color="333333" w:sz="4" w:space="0"/>
                    <w:right w:val="single" w:color="333333" w:sz="4" w:space="0"/>
                  </w:tcBorders>
                  <w:vAlign w:val="center"/>
                </w:tcPr>
                <w:p w14:paraId="59F84297">
                  <w:pPr>
                    <w:ind w:firstLine="440" w:firstLineChars="200"/>
                    <w:jc w:val="both"/>
                    <w:rPr>
                      <w:rFonts w:ascii="宋体" w:hAnsi="宋体" w:cs="宋体"/>
                      <w:color w:val="auto"/>
                      <w:sz w:val="22"/>
                      <w:szCs w:val="22"/>
                      <w:highlight w:val="none"/>
                    </w:rPr>
                  </w:pPr>
                  <w:r>
                    <w:rPr>
                      <w:rFonts w:hint="eastAsia" w:ascii="宋体" w:hAnsi="宋体" w:cs="宋体"/>
                      <w:color w:val="auto"/>
                      <w:sz w:val="22"/>
                      <w:szCs w:val="22"/>
                      <w:highlight w:val="none"/>
                    </w:rPr>
                    <w:t>除尘器收集的粉尘收集后暂存一般固废间内，回用于生产；废机油、</w:t>
                  </w:r>
                  <w:r>
                    <w:rPr>
                      <w:rFonts w:hint="eastAsia" w:ascii="宋体" w:hAnsi="宋体" w:cs="宋体"/>
                      <w:color w:val="auto"/>
                      <w:sz w:val="22"/>
                      <w:szCs w:val="22"/>
                      <w:highlight w:val="none"/>
                      <w:lang w:eastAsia="zh-CN"/>
                    </w:rPr>
                    <w:t>废液压油、</w:t>
                  </w:r>
                  <w:r>
                    <w:rPr>
                      <w:rFonts w:hint="eastAsia" w:ascii="宋体" w:hAnsi="宋体" w:cs="宋体"/>
                      <w:color w:val="auto"/>
                      <w:sz w:val="22"/>
                      <w:szCs w:val="22"/>
                      <w:highlight w:val="none"/>
                    </w:rPr>
                    <w:t>废油桶、废含油抹布、劳保用品集中收集后暂存于危险废物暂存间内，委托具有危险废物处理资质单位处置；生活垃圾由环卫部门定期清运。一般固废暂存间，占地面积约</w:t>
                  </w:r>
                  <w:r>
                    <w:rPr>
                      <w:rFonts w:hint="eastAsia" w:ascii="宋体" w:hAnsi="宋体" w:cs="宋体"/>
                      <w:color w:val="auto"/>
                      <w:sz w:val="22"/>
                      <w:szCs w:val="22"/>
                      <w:highlight w:val="none"/>
                      <w:lang w:val="en-US" w:eastAsia="zh-CN"/>
                    </w:rPr>
                    <w:t>1</w:t>
                  </w:r>
                  <w:r>
                    <w:rPr>
                      <w:rFonts w:hint="eastAsia" w:ascii="宋体" w:hAnsi="宋体" w:cs="宋体"/>
                      <w:color w:val="auto"/>
                      <w:sz w:val="22"/>
                      <w:szCs w:val="22"/>
                      <w:highlight w:val="none"/>
                    </w:rPr>
                    <w:t>0m</w:t>
                  </w:r>
                  <w:r>
                    <w:rPr>
                      <w:rFonts w:hint="eastAsia" w:ascii="宋体" w:hAnsi="宋体" w:cs="宋体"/>
                      <w:color w:val="auto"/>
                      <w:sz w:val="22"/>
                      <w:szCs w:val="22"/>
                      <w:highlight w:val="none"/>
                      <w:vertAlign w:val="superscript"/>
                    </w:rPr>
                    <w:t>2</w:t>
                  </w:r>
                  <w:r>
                    <w:rPr>
                      <w:rFonts w:hint="eastAsia" w:ascii="宋体" w:hAnsi="宋体" w:cs="宋体"/>
                      <w:color w:val="auto"/>
                      <w:sz w:val="22"/>
                      <w:szCs w:val="22"/>
                      <w:highlight w:val="none"/>
                    </w:rPr>
                    <w:t>位于生产车间内西侧；危险废物暂存间占地面积约10m</w:t>
                  </w:r>
                  <w:r>
                    <w:rPr>
                      <w:rFonts w:hint="eastAsia" w:ascii="宋体" w:hAnsi="宋体" w:cs="宋体"/>
                      <w:color w:val="auto"/>
                      <w:sz w:val="22"/>
                      <w:szCs w:val="22"/>
                      <w:highlight w:val="none"/>
                      <w:vertAlign w:val="superscript"/>
                    </w:rPr>
                    <w:t>2</w:t>
                  </w:r>
                  <w:r>
                    <w:rPr>
                      <w:rFonts w:hint="eastAsia" w:ascii="宋体" w:hAnsi="宋体" w:cs="宋体"/>
                      <w:color w:val="auto"/>
                      <w:sz w:val="22"/>
                      <w:szCs w:val="22"/>
                      <w:highlight w:val="none"/>
                    </w:rPr>
                    <w:t>，位于生产车间内</w:t>
                  </w:r>
                  <w:r>
                    <w:rPr>
                      <w:rFonts w:hint="eastAsia" w:ascii="宋体" w:hAnsi="宋体" w:cs="宋体"/>
                      <w:color w:val="auto"/>
                      <w:sz w:val="22"/>
                      <w:szCs w:val="22"/>
                      <w:highlight w:val="none"/>
                      <w:lang w:eastAsia="zh-CN"/>
                    </w:rPr>
                    <w:t>西</w:t>
                  </w:r>
                  <w:r>
                    <w:rPr>
                      <w:rFonts w:hint="eastAsia" w:ascii="宋体" w:hAnsi="宋体" w:cs="宋体"/>
                      <w:color w:val="auto"/>
                      <w:sz w:val="22"/>
                      <w:szCs w:val="22"/>
                      <w:highlight w:val="none"/>
                    </w:rPr>
                    <w:t>侧。</w:t>
                  </w:r>
                </w:p>
              </w:tc>
              <w:tc>
                <w:tcPr>
                  <w:tcW w:w="921" w:type="dxa"/>
                  <w:tcBorders>
                    <w:top w:val="single" w:color="333333" w:sz="4" w:space="0"/>
                    <w:left w:val="single" w:color="333333" w:sz="4" w:space="0"/>
                    <w:bottom w:val="single" w:color="333333" w:sz="4" w:space="0"/>
                    <w:right w:val="single" w:color="333333" w:sz="4" w:space="0"/>
                  </w:tcBorders>
                  <w:vAlign w:val="center"/>
                </w:tcPr>
                <w:p w14:paraId="1A3C34D7">
                  <w:pPr>
                    <w:jc w:val="center"/>
                    <w:rPr>
                      <w:rFonts w:ascii="宋体" w:hAnsi="宋体" w:cs="宋体"/>
                      <w:color w:val="auto"/>
                      <w:sz w:val="22"/>
                      <w:szCs w:val="22"/>
                      <w:highlight w:val="none"/>
                    </w:rPr>
                  </w:pPr>
                  <w:r>
                    <w:rPr>
                      <w:rFonts w:hint="eastAsia" w:ascii="宋体" w:hAnsi="宋体" w:cs="宋体"/>
                      <w:color w:val="auto"/>
                      <w:sz w:val="22"/>
                      <w:szCs w:val="22"/>
                      <w:highlight w:val="none"/>
                    </w:rPr>
                    <w:t>新建</w:t>
                  </w:r>
                </w:p>
              </w:tc>
            </w:tr>
            <w:tr w14:paraId="4006ACF7">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CellMar>
                  <w:top w:w="0" w:type="dxa"/>
                  <w:left w:w="28" w:type="dxa"/>
                  <w:bottom w:w="0" w:type="dxa"/>
                  <w:right w:w="28" w:type="dxa"/>
                </w:tblCellMar>
              </w:tblPrEx>
              <w:trPr>
                <w:trHeight w:val="548" w:hRule="atLeast"/>
              </w:trPr>
              <w:tc>
                <w:tcPr>
                  <w:tcW w:w="560" w:type="dxa"/>
                  <w:vMerge w:val="continue"/>
                  <w:tcBorders>
                    <w:top w:val="single" w:color="333333" w:sz="4" w:space="0"/>
                    <w:left w:val="single" w:color="333333" w:sz="4" w:space="0"/>
                    <w:bottom w:val="single" w:color="333333" w:sz="4" w:space="0"/>
                    <w:right w:val="single" w:color="333333" w:sz="4" w:space="0"/>
                  </w:tcBorders>
                  <w:vAlign w:val="center"/>
                </w:tcPr>
                <w:p w14:paraId="3FA303EB">
                  <w:pPr>
                    <w:jc w:val="center"/>
                    <w:rPr>
                      <w:rFonts w:ascii="宋体"/>
                      <w:color w:val="auto"/>
                      <w:sz w:val="22"/>
                      <w:szCs w:val="22"/>
                      <w:highlight w:val="none"/>
                    </w:rPr>
                  </w:pPr>
                </w:p>
              </w:tc>
              <w:tc>
                <w:tcPr>
                  <w:tcW w:w="1480" w:type="dxa"/>
                  <w:tcBorders>
                    <w:top w:val="single" w:color="333333" w:sz="4" w:space="0"/>
                    <w:left w:val="single" w:color="333333" w:sz="4" w:space="0"/>
                    <w:bottom w:val="single" w:color="333333" w:sz="4" w:space="0"/>
                    <w:right w:val="single" w:color="333333" w:sz="4" w:space="0"/>
                  </w:tcBorders>
                  <w:vAlign w:val="center"/>
                </w:tcPr>
                <w:p w14:paraId="002C5A77">
                  <w:pPr>
                    <w:jc w:val="center"/>
                    <w:rPr>
                      <w:rFonts w:ascii="宋体"/>
                      <w:color w:val="auto"/>
                      <w:sz w:val="22"/>
                      <w:szCs w:val="22"/>
                      <w:highlight w:val="none"/>
                    </w:rPr>
                  </w:pPr>
                  <w:r>
                    <w:rPr>
                      <w:rFonts w:hint="eastAsia" w:ascii="宋体" w:hAnsi="宋体" w:cs="宋体"/>
                      <w:color w:val="auto"/>
                      <w:sz w:val="22"/>
                      <w:szCs w:val="22"/>
                      <w:highlight w:val="none"/>
                    </w:rPr>
                    <w:t>噪声防治工程</w:t>
                  </w:r>
                </w:p>
              </w:tc>
              <w:tc>
                <w:tcPr>
                  <w:tcW w:w="5396" w:type="dxa"/>
                  <w:gridSpan w:val="2"/>
                  <w:tcBorders>
                    <w:top w:val="single" w:color="333333" w:sz="4" w:space="0"/>
                    <w:left w:val="single" w:color="333333" w:sz="4" w:space="0"/>
                    <w:bottom w:val="single" w:color="333333" w:sz="4" w:space="0"/>
                    <w:right w:val="single" w:color="333333" w:sz="4" w:space="0"/>
                  </w:tcBorders>
                  <w:vAlign w:val="center"/>
                </w:tcPr>
                <w:p w14:paraId="1D05BDF6">
                  <w:pPr>
                    <w:jc w:val="center"/>
                    <w:rPr>
                      <w:rFonts w:ascii="宋体" w:hAnsi="宋体" w:cs="宋体"/>
                      <w:color w:val="auto"/>
                      <w:sz w:val="22"/>
                      <w:szCs w:val="22"/>
                      <w:highlight w:val="none"/>
                    </w:rPr>
                  </w:pPr>
                  <w:r>
                    <w:rPr>
                      <w:rFonts w:hint="eastAsia" w:ascii="宋体" w:hAnsi="宋体" w:cs="宋体"/>
                      <w:color w:val="auto"/>
                      <w:sz w:val="22"/>
                      <w:szCs w:val="22"/>
                      <w:highlight w:val="none"/>
                    </w:rPr>
                    <w:t>选用低噪声设备，设置减振基座，厂房隔声</w:t>
                  </w:r>
                  <w:r>
                    <w:rPr>
                      <w:rFonts w:ascii="宋体" w:hAnsi="宋体" w:cs="宋体"/>
                      <w:color w:val="auto"/>
                      <w:sz w:val="22"/>
                      <w:szCs w:val="22"/>
                      <w:highlight w:val="none"/>
                    </w:rPr>
                    <w:t>等措施</w:t>
                  </w:r>
                  <w:r>
                    <w:rPr>
                      <w:rFonts w:hint="eastAsia" w:ascii="宋体" w:hAnsi="宋体" w:cs="宋体"/>
                      <w:color w:val="auto"/>
                      <w:sz w:val="22"/>
                      <w:szCs w:val="22"/>
                      <w:highlight w:val="none"/>
                      <w:lang w:eastAsia="zh-CN"/>
                    </w:rPr>
                    <w:t>降低</w:t>
                  </w:r>
                  <w:r>
                    <w:rPr>
                      <w:rFonts w:ascii="宋体" w:hAnsi="宋体" w:cs="宋体"/>
                      <w:color w:val="auto"/>
                      <w:sz w:val="22"/>
                      <w:szCs w:val="22"/>
                      <w:highlight w:val="none"/>
                    </w:rPr>
                    <w:t>噪声污染影响</w:t>
                  </w:r>
                </w:p>
              </w:tc>
              <w:tc>
                <w:tcPr>
                  <w:tcW w:w="921" w:type="dxa"/>
                  <w:tcBorders>
                    <w:top w:val="single" w:color="333333" w:sz="4" w:space="0"/>
                    <w:left w:val="single" w:color="333333" w:sz="4" w:space="0"/>
                    <w:bottom w:val="single" w:color="333333" w:sz="4" w:space="0"/>
                    <w:right w:val="single" w:color="333333" w:sz="4" w:space="0"/>
                  </w:tcBorders>
                  <w:vAlign w:val="center"/>
                </w:tcPr>
                <w:p w14:paraId="19050CD2">
                  <w:pPr>
                    <w:jc w:val="center"/>
                    <w:rPr>
                      <w:rFonts w:ascii="宋体" w:hAnsi="宋体" w:cs="宋体"/>
                      <w:color w:val="auto"/>
                      <w:sz w:val="22"/>
                      <w:szCs w:val="22"/>
                      <w:highlight w:val="none"/>
                    </w:rPr>
                  </w:pPr>
                  <w:r>
                    <w:rPr>
                      <w:rFonts w:hint="eastAsia" w:ascii="宋体" w:hAnsi="宋体" w:cs="宋体"/>
                      <w:color w:val="auto"/>
                      <w:sz w:val="22"/>
                      <w:szCs w:val="22"/>
                      <w:highlight w:val="none"/>
                    </w:rPr>
                    <w:t>新建</w:t>
                  </w:r>
                </w:p>
              </w:tc>
            </w:tr>
            <w:tr w14:paraId="12A4BB01">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CellMar>
                  <w:top w:w="0" w:type="dxa"/>
                  <w:left w:w="28" w:type="dxa"/>
                  <w:bottom w:w="0" w:type="dxa"/>
                  <w:right w:w="28" w:type="dxa"/>
                </w:tblCellMar>
              </w:tblPrEx>
              <w:trPr>
                <w:trHeight w:val="999" w:hRule="atLeast"/>
              </w:trPr>
              <w:tc>
                <w:tcPr>
                  <w:tcW w:w="560" w:type="dxa"/>
                  <w:vMerge w:val="continue"/>
                  <w:tcBorders>
                    <w:top w:val="single" w:color="333333" w:sz="4" w:space="0"/>
                    <w:left w:val="single" w:color="333333" w:sz="4" w:space="0"/>
                    <w:bottom w:val="single" w:color="333333" w:sz="4" w:space="0"/>
                    <w:right w:val="single" w:color="333333" w:sz="4" w:space="0"/>
                  </w:tcBorders>
                  <w:vAlign w:val="center"/>
                </w:tcPr>
                <w:p w14:paraId="641169B4">
                  <w:pPr>
                    <w:jc w:val="center"/>
                    <w:rPr>
                      <w:rFonts w:ascii="宋体"/>
                      <w:color w:val="auto"/>
                      <w:sz w:val="22"/>
                      <w:szCs w:val="22"/>
                      <w:highlight w:val="none"/>
                    </w:rPr>
                  </w:pPr>
                </w:p>
              </w:tc>
              <w:tc>
                <w:tcPr>
                  <w:tcW w:w="1480" w:type="dxa"/>
                  <w:vMerge w:val="restart"/>
                  <w:tcBorders>
                    <w:top w:val="single" w:color="333333" w:sz="4" w:space="0"/>
                    <w:left w:val="single" w:color="333333" w:sz="4" w:space="0"/>
                    <w:right w:val="single" w:color="333333" w:sz="4" w:space="0"/>
                  </w:tcBorders>
                  <w:vAlign w:val="center"/>
                </w:tcPr>
                <w:p w14:paraId="09422988">
                  <w:pPr>
                    <w:jc w:val="center"/>
                    <w:rPr>
                      <w:rFonts w:ascii="宋体"/>
                      <w:color w:val="auto"/>
                      <w:sz w:val="22"/>
                      <w:szCs w:val="22"/>
                      <w:highlight w:val="none"/>
                    </w:rPr>
                  </w:pPr>
                  <w:r>
                    <w:rPr>
                      <w:rFonts w:hint="eastAsia" w:ascii="宋体" w:hAnsi="宋体" w:cs="宋体"/>
                      <w:color w:val="auto"/>
                      <w:sz w:val="22"/>
                      <w:szCs w:val="22"/>
                      <w:highlight w:val="none"/>
                    </w:rPr>
                    <w:t>土壤防治和地下水防渗工程</w:t>
                  </w:r>
                </w:p>
              </w:tc>
              <w:tc>
                <w:tcPr>
                  <w:tcW w:w="5396" w:type="dxa"/>
                  <w:gridSpan w:val="2"/>
                  <w:tcBorders>
                    <w:top w:val="single" w:color="333333" w:sz="4" w:space="0"/>
                    <w:left w:val="single" w:color="333333" w:sz="4" w:space="0"/>
                    <w:bottom w:val="single" w:color="333333" w:sz="4" w:space="0"/>
                    <w:right w:val="single" w:color="333333" w:sz="4" w:space="0"/>
                  </w:tcBorders>
                  <w:vAlign w:val="center"/>
                </w:tcPr>
                <w:p w14:paraId="4CD5BDB1">
                  <w:pPr>
                    <w:adjustRightInd w:val="0"/>
                    <w:snapToGrid w:val="0"/>
                    <w:ind w:firstLine="440" w:firstLineChars="200"/>
                    <w:jc w:val="left"/>
                    <w:rPr>
                      <w:rFonts w:ascii="宋体" w:hAnsi="宋体" w:cs="宋体"/>
                      <w:color w:val="auto"/>
                      <w:sz w:val="22"/>
                      <w:szCs w:val="22"/>
                      <w:highlight w:val="none"/>
                    </w:rPr>
                  </w:pPr>
                  <w:r>
                    <w:rPr>
                      <w:rFonts w:hint="eastAsia" w:ascii="宋体" w:hAnsi="宋体" w:eastAsia="宋体" w:cs="宋体"/>
                      <w:color w:val="auto"/>
                      <w:sz w:val="22"/>
                      <w:szCs w:val="22"/>
                      <w:highlight w:val="none"/>
                      <w:lang w:val="en-US" w:eastAsia="zh-CN"/>
                    </w:rPr>
                    <w:t>分区防控措施：</w:t>
                  </w:r>
                  <w:r>
                    <w:rPr>
                      <w:rFonts w:hint="eastAsia" w:ascii="宋体" w:hAnsi="宋体" w:cs="宋体"/>
                      <w:color w:val="auto"/>
                      <w:sz w:val="22"/>
                      <w:szCs w:val="22"/>
                      <w:highlight w:val="none"/>
                      <w:lang w:val="en-US" w:eastAsia="zh-CN"/>
                    </w:rPr>
                    <w:t>办公区及</w:t>
                  </w:r>
                  <w:r>
                    <w:rPr>
                      <w:rFonts w:hint="eastAsia" w:ascii="宋体" w:hAnsi="宋体" w:eastAsia="宋体" w:cs="宋体"/>
                      <w:color w:val="auto"/>
                      <w:sz w:val="22"/>
                      <w:szCs w:val="22"/>
                      <w:highlight w:val="none"/>
                      <w:lang w:val="en-US" w:eastAsia="zh-CN"/>
                    </w:rPr>
                    <w:t>其他区域设置为简单防渗区；</w:t>
                  </w:r>
                  <w:r>
                    <w:rPr>
                      <w:rFonts w:hint="eastAsia" w:ascii="宋体" w:hAnsi="宋体" w:cs="宋体"/>
                      <w:color w:val="auto"/>
                      <w:sz w:val="22"/>
                      <w:szCs w:val="22"/>
                      <w:highlight w:val="none"/>
                      <w:lang w:eastAsia="zh-CN"/>
                    </w:rPr>
                    <w:t>物料库及生产车间内除去重点防渗外其他区域</w:t>
                  </w:r>
                  <w:r>
                    <w:rPr>
                      <w:rFonts w:hint="eastAsia" w:ascii="宋体" w:hAnsi="宋体" w:eastAsia="宋体" w:cs="宋体"/>
                      <w:color w:val="auto"/>
                      <w:sz w:val="22"/>
                      <w:szCs w:val="22"/>
                      <w:highlight w:val="none"/>
                      <w:lang w:val="en-US" w:eastAsia="zh-CN"/>
                    </w:rPr>
                    <w:t>设置为一般防渗区</w:t>
                  </w:r>
                  <w:r>
                    <w:rPr>
                      <w:rFonts w:hint="eastAsia" w:ascii="宋体" w:hAnsi="宋体" w:cs="宋体"/>
                      <w:color w:val="auto"/>
                      <w:sz w:val="22"/>
                      <w:szCs w:val="22"/>
                      <w:highlight w:val="none"/>
                      <w:lang w:val="en-US" w:eastAsia="zh-CN"/>
                    </w:rPr>
                    <w:t>；危险废物暂存间设置为重点防渗区</w:t>
                  </w:r>
                  <w:r>
                    <w:rPr>
                      <w:rFonts w:hint="eastAsia" w:ascii="宋体" w:hAnsi="宋体" w:eastAsia="宋体" w:cs="宋体"/>
                      <w:color w:val="auto"/>
                      <w:sz w:val="22"/>
                      <w:szCs w:val="22"/>
                      <w:highlight w:val="none"/>
                      <w:lang w:val="en-US" w:eastAsia="zh-CN"/>
                    </w:rPr>
                    <w:t>。</w:t>
                  </w:r>
                </w:p>
              </w:tc>
              <w:tc>
                <w:tcPr>
                  <w:tcW w:w="921" w:type="dxa"/>
                  <w:vMerge w:val="restart"/>
                  <w:tcBorders>
                    <w:top w:val="single" w:color="333333" w:sz="4" w:space="0"/>
                    <w:left w:val="single" w:color="333333" w:sz="4" w:space="0"/>
                    <w:right w:val="single" w:color="333333" w:sz="4" w:space="0"/>
                  </w:tcBorders>
                  <w:vAlign w:val="center"/>
                </w:tcPr>
                <w:p w14:paraId="1C526DC8">
                  <w:pPr>
                    <w:kinsoku w:val="0"/>
                    <w:overflowPunct w:val="0"/>
                    <w:autoSpaceDE w:val="0"/>
                    <w:autoSpaceDN w:val="0"/>
                    <w:adjustRightInd w:val="0"/>
                    <w:snapToGrid w:val="0"/>
                    <w:jc w:val="center"/>
                    <w:rPr>
                      <w:rFonts w:hint="eastAsia" w:hAnsi="宋体" w:cs="Times New Roman"/>
                      <w:color w:val="auto"/>
                      <w:sz w:val="22"/>
                      <w:szCs w:val="22"/>
                      <w:highlight w:val="none"/>
                      <w:lang w:val="en-US" w:eastAsia="zh-CN"/>
                    </w:rPr>
                  </w:pPr>
                  <w:r>
                    <w:rPr>
                      <w:rFonts w:hint="eastAsia" w:hAnsi="宋体" w:cs="Times New Roman"/>
                      <w:color w:val="auto"/>
                      <w:sz w:val="22"/>
                      <w:szCs w:val="22"/>
                      <w:highlight w:val="none"/>
                      <w:lang w:val="en-US" w:eastAsia="zh-CN"/>
                    </w:rPr>
                    <w:t>依托</w:t>
                  </w:r>
                </w:p>
                <w:p w14:paraId="1BC1A5B2">
                  <w:pPr>
                    <w:jc w:val="center"/>
                    <w:rPr>
                      <w:rFonts w:ascii="宋体" w:hAnsi="宋体" w:cs="宋体"/>
                      <w:color w:val="auto"/>
                      <w:sz w:val="22"/>
                      <w:szCs w:val="22"/>
                      <w:highlight w:val="none"/>
                    </w:rPr>
                  </w:pPr>
                  <w:r>
                    <w:rPr>
                      <w:rFonts w:hint="eastAsia" w:hAnsi="宋体" w:cs="Times New Roman"/>
                      <w:color w:val="auto"/>
                      <w:sz w:val="22"/>
                      <w:szCs w:val="22"/>
                      <w:highlight w:val="none"/>
                      <w:lang w:val="en-US" w:eastAsia="zh-CN"/>
                    </w:rPr>
                    <w:t>现有，部分新建</w:t>
                  </w:r>
                </w:p>
              </w:tc>
            </w:tr>
            <w:tr w14:paraId="17FA7720">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CellMar>
                  <w:top w:w="0" w:type="dxa"/>
                  <w:left w:w="28" w:type="dxa"/>
                  <w:bottom w:w="0" w:type="dxa"/>
                  <w:right w:w="28" w:type="dxa"/>
                </w:tblCellMar>
              </w:tblPrEx>
              <w:trPr>
                <w:trHeight w:val="1856" w:hRule="atLeast"/>
              </w:trPr>
              <w:tc>
                <w:tcPr>
                  <w:tcW w:w="560" w:type="dxa"/>
                  <w:vMerge w:val="continue"/>
                  <w:tcBorders>
                    <w:left w:val="single" w:color="333333" w:sz="4" w:space="0"/>
                    <w:bottom w:val="single" w:color="333333" w:sz="4" w:space="0"/>
                    <w:right w:val="single" w:color="333333" w:sz="4" w:space="0"/>
                  </w:tcBorders>
                  <w:vAlign w:val="center"/>
                </w:tcPr>
                <w:p w14:paraId="50DBAAFA">
                  <w:pPr>
                    <w:jc w:val="center"/>
                    <w:rPr>
                      <w:color w:val="auto"/>
                      <w:highlight w:val="none"/>
                    </w:rPr>
                  </w:pPr>
                </w:p>
              </w:tc>
              <w:tc>
                <w:tcPr>
                  <w:tcW w:w="1480" w:type="dxa"/>
                  <w:vMerge w:val="continue"/>
                  <w:tcBorders>
                    <w:left w:val="single" w:color="333333" w:sz="4" w:space="0"/>
                    <w:bottom w:val="single" w:color="333333" w:sz="4" w:space="0"/>
                    <w:right w:val="single" w:color="333333" w:sz="4" w:space="0"/>
                  </w:tcBorders>
                  <w:vAlign w:val="center"/>
                </w:tcPr>
                <w:p w14:paraId="1CB87CF4">
                  <w:pPr>
                    <w:jc w:val="center"/>
                    <w:rPr>
                      <w:color w:val="auto"/>
                      <w:highlight w:val="none"/>
                    </w:rPr>
                  </w:pPr>
                </w:p>
              </w:tc>
              <w:tc>
                <w:tcPr>
                  <w:tcW w:w="5396" w:type="dxa"/>
                  <w:gridSpan w:val="2"/>
                  <w:tcBorders>
                    <w:top w:val="single" w:color="333333" w:sz="4" w:space="0"/>
                    <w:left w:val="single" w:color="333333" w:sz="4" w:space="0"/>
                    <w:bottom w:val="single" w:color="333333" w:sz="4" w:space="0"/>
                    <w:right w:val="single" w:color="333333" w:sz="4" w:space="0"/>
                  </w:tcBorders>
                  <w:vAlign w:val="center"/>
                </w:tcPr>
                <w:p w14:paraId="048850FF">
                  <w:pPr>
                    <w:adjustRightInd w:val="0"/>
                    <w:snapToGrid w:val="0"/>
                    <w:ind w:firstLine="440" w:firstLineChars="200"/>
                    <w:jc w:val="left"/>
                    <w:rPr>
                      <w:rFonts w:hint="default" w:ascii="宋体" w:hAnsi="宋体" w:cs="宋体"/>
                      <w:color w:val="auto"/>
                      <w:sz w:val="22"/>
                      <w:szCs w:val="22"/>
                      <w:highlight w:val="none"/>
                      <w:lang w:val="en-US"/>
                    </w:rPr>
                  </w:pPr>
                  <w:r>
                    <w:rPr>
                      <w:rFonts w:hint="eastAsia" w:ascii="宋体" w:hAnsi="宋体" w:eastAsia="宋体" w:cs="宋体"/>
                      <w:color w:val="auto"/>
                      <w:sz w:val="22"/>
                      <w:szCs w:val="22"/>
                      <w:highlight w:val="none"/>
                      <w:lang w:val="en-US" w:eastAsia="zh-CN"/>
                    </w:rPr>
                    <w:t>简单防渗区采取地面硬化；一般防渗区采用双层复合防渗结构</w:t>
                  </w:r>
                  <w:r>
                    <w:rPr>
                      <w:rFonts w:hint="eastAsia" w:ascii="宋体" w:hAnsi="宋体" w:cs="宋体"/>
                      <w:color w:val="auto"/>
                      <w:sz w:val="22"/>
                      <w:szCs w:val="22"/>
                      <w:highlight w:val="none"/>
                      <w:lang w:val="en-US" w:eastAsia="zh-CN"/>
                    </w:rPr>
                    <w:t>，</w:t>
                  </w:r>
                  <w:r>
                    <w:rPr>
                      <w:rFonts w:hint="eastAsia" w:ascii="宋体" w:hAnsi="宋体" w:eastAsia="宋体" w:cs="宋体"/>
                      <w:color w:val="auto"/>
                      <w:sz w:val="22"/>
                      <w:szCs w:val="22"/>
                      <w:highlight w:val="none"/>
                      <w:lang w:val="en-US" w:eastAsia="zh-CN"/>
                    </w:rPr>
                    <w:t>基础防渗层为至少1.5米厚粘土层（渗透系数≤10</w:t>
                  </w:r>
                  <w:r>
                    <w:rPr>
                      <w:rFonts w:hint="eastAsia" w:ascii="宋体" w:hAnsi="宋体" w:eastAsia="宋体" w:cs="宋体"/>
                      <w:color w:val="auto"/>
                      <w:sz w:val="22"/>
                      <w:szCs w:val="22"/>
                      <w:highlight w:val="none"/>
                      <w:vertAlign w:val="superscript"/>
                      <w:lang w:val="en-US" w:eastAsia="zh-CN"/>
                    </w:rPr>
                    <w:t>-7</w:t>
                  </w:r>
                  <w:r>
                    <w:rPr>
                      <w:rFonts w:hint="eastAsia" w:ascii="宋体" w:hAnsi="宋体" w:eastAsia="宋体" w:cs="宋体"/>
                      <w:color w:val="auto"/>
                      <w:sz w:val="22"/>
                      <w:szCs w:val="22"/>
                      <w:highlight w:val="none"/>
                      <w:lang w:val="en-US" w:eastAsia="zh-CN"/>
                    </w:rPr>
                    <w:t>cm/s）</w:t>
                  </w:r>
                  <w:r>
                    <w:rPr>
                      <w:rFonts w:hint="eastAsia" w:ascii="宋体" w:hAnsi="宋体" w:cs="宋体"/>
                      <w:color w:val="auto"/>
                      <w:sz w:val="22"/>
                      <w:szCs w:val="22"/>
                      <w:highlight w:val="none"/>
                      <w:lang w:val="en-US" w:eastAsia="zh-CN"/>
                    </w:rPr>
                    <w:t>；</w:t>
                  </w:r>
                  <w:r>
                    <w:rPr>
                      <w:rFonts w:hint="eastAsia" w:ascii="Times New Roman" w:hAnsi="Times New Roman" w:eastAsia="宋体" w:cs="Times New Roman"/>
                      <w:color w:val="auto"/>
                      <w:sz w:val="22"/>
                      <w:szCs w:val="22"/>
                      <w:highlight w:val="none"/>
                      <w:lang w:val="en-US" w:eastAsia="zh-CN"/>
                    </w:rPr>
                    <w:t>重点防渗区</w:t>
                  </w:r>
                  <w:r>
                    <w:rPr>
                      <w:rFonts w:hint="eastAsia" w:cs="Times New Roman"/>
                      <w:color w:val="auto"/>
                      <w:sz w:val="22"/>
                      <w:szCs w:val="22"/>
                      <w:highlight w:val="none"/>
                      <w:lang w:val="en-US" w:eastAsia="zh-CN"/>
                    </w:rPr>
                    <w:t>参照《危险废物贮存污染控制标准》（GB18597-2023）中相关要求执行（Mb</w:t>
                  </w:r>
                  <w:r>
                    <w:rPr>
                      <w:rFonts w:hint="default" w:cs="Times New Roman"/>
                      <w:color w:val="auto"/>
                      <w:sz w:val="22"/>
                      <w:szCs w:val="22"/>
                      <w:highlight w:val="none"/>
                      <w:lang w:val="en-US" w:eastAsia="zh-CN"/>
                    </w:rPr>
                    <w:t>≥</w:t>
                  </w:r>
                  <w:r>
                    <w:rPr>
                      <w:rFonts w:hint="eastAsia" w:cs="Times New Roman"/>
                      <w:color w:val="auto"/>
                      <w:sz w:val="22"/>
                      <w:szCs w:val="22"/>
                      <w:highlight w:val="none"/>
                      <w:lang w:val="en-US" w:eastAsia="zh-CN"/>
                    </w:rPr>
                    <w:t>1.0m，K&lt;1</w:t>
                  </w:r>
                  <w:r>
                    <w:rPr>
                      <w:rFonts w:hint="default" w:cs="Times New Roman"/>
                      <w:color w:val="auto"/>
                      <w:sz w:val="22"/>
                      <w:szCs w:val="22"/>
                      <w:highlight w:val="none"/>
                      <w:lang w:val="en-US" w:eastAsia="zh-CN"/>
                    </w:rPr>
                    <w:t>×</w:t>
                  </w:r>
                  <w:r>
                    <w:rPr>
                      <w:rFonts w:hint="eastAsia" w:cs="Times New Roman"/>
                      <w:color w:val="auto"/>
                      <w:sz w:val="22"/>
                      <w:szCs w:val="22"/>
                      <w:highlight w:val="none"/>
                      <w:lang w:val="en-US" w:eastAsia="zh-CN"/>
                    </w:rPr>
                    <w:t>10</w:t>
                  </w:r>
                  <w:r>
                    <w:rPr>
                      <w:rFonts w:hint="eastAsia" w:cs="Times New Roman"/>
                      <w:color w:val="auto"/>
                      <w:sz w:val="22"/>
                      <w:szCs w:val="22"/>
                      <w:highlight w:val="none"/>
                      <w:vertAlign w:val="superscript"/>
                      <w:lang w:val="en-US" w:eastAsia="zh-CN"/>
                    </w:rPr>
                    <w:t>-7</w:t>
                  </w:r>
                  <w:r>
                    <w:rPr>
                      <w:rFonts w:hint="eastAsia" w:cs="Times New Roman"/>
                      <w:color w:val="auto"/>
                      <w:sz w:val="22"/>
                      <w:szCs w:val="22"/>
                      <w:highlight w:val="none"/>
                      <w:lang w:val="en-US" w:eastAsia="zh-CN"/>
                    </w:rPr>
                    <w:t>cm/s）。</w:t>
                  </w:r>
                </w:p>
              </w:tc>
              <w:tc>
                <w:tcPr>
                  <w:tcW w:w="921" w:type="dxa"/>
                  <w:vMerge w:val="continue"/>
                  <w:tcBorders>
                    <w:left w:val="single" w:color="333333" w:sz="4" w:space="0"/>
                    <w:bottom w:val="single" w:color="333333" w:sz="4" w:space="0"/>
                    <w:right w:val="single" w:color="333333" w:sz="4" w:space="0"/>
                  </w:tcBorders>
                  <w:vAlign w:val="center"/>
                </w:tcPr>
                <w:p w14:paraId="027BB54C">
                  <w:pPr>
                    <w:jc w:val="center"/>
                    <w:rPr>
                      <w:rFonts w:ascii="宋体" w:hAnsi="宋体" w:cs="宋体"/>
                      <w:color w:val="auto"/>
                      <w:sz w:val="22"/>
                      <w:szCs w:val="22"/>
                      <w:highlight w:val="none"/>
                    </w:rPr>
                  </w:pPr>
                </w:p>
              </w:tc>
            </w:tr>
            <w:tr w14:paraId="03E22398">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CellMar>
                  <w:top w:w="0" w:type="dxa"/>
                  <w:left w:w="28" w:type="dxa"/>
                  <w:bottom w:w="0" w:type="dxa"/>
                  <w:right w:w="28" w:type="dxa"/>
                </w:tblCellMar>
              </w:tblPrEx>
              <w:trPr>
                <w:trHeight w:val="808" w:hRule="atLeast"/>
              </w:trPr>
              <w:tc>
                <w:tcPr>
                  <w:tcW w:w="560" w:type="dxa"/>
                  <w:vMerge w:val="continue"/>
                  <w:tcBorders>
                    <w:top w:val="single" w:color="333333" w:sz="4" w:space="0"/>
                    <w:left w:val="single" w:color="333333" w:sz="4" w:space="0"/>
                    <w:bottom w:val="single" w:color="333333" w:sz="4" w:space="0"/>
                    <w:right w:val="single" w:color="333333" w:sz="4" w:space="0"/>
                  </w:tcBorders>
                  <w:vAlign w:val="center"/>
                </w:tcPr>
                <w:p w14:paraId="6FF28990">
                  <w:pPr>
                    <w:jc w:val="center"/>
                    <w:rPr>
                      <w:rFonts w:ascii="宋体"/>
                      <w:color w:val="auto"/>
                      <w:sz w:val="22"/>
                      <w:szCs w:val="22"/>
                      <w:highlight w:val="none"/>
                    </w:rPr>
                  </w:pPr>
                </w:p>
              </w:tc>
              <w:tc>
                <w:tcPr>
                  <w:tcW w:w="1480" w:type="dxa"/>
                  <w:tcBorders>
                    <w:top w:val="single" w:color="333333" w:sz="4" w:space="0"/>
                    <w:left w:val="single" w:color="333333" w:sz="4" w:space="0"/>
                    <w:bottom w:val="single" w:color="333333" w:sz="4" w:space="0"/>
                    <w:right w:val="single" w:color="333333" w:sz="4" w:space="0"/>
                  </w:tcBorders>
                  <w:vAlign w:val="center"/>
                </w:tcPr>
                <w:p w14:paraId="4CFC4123">
                  <w:pPr>
                    <w:jc w:val="center"/>
                    <w:rPr>
                      <w:rFonts w:ascii="宋体"/>
                      <w:color w:val="auto"/>
                      <w:sz w:val="22"/>
                      <w:szCs w:val="22"/>
                      <w:highlight w:val="none"/>
                    </w:rPr>
                  </w:pPr>
                  <w:r>
                    <w:rPr>
                      <w:rFonts w:hint="eastAsia" w:ascii="宋体" w:hAnsi="宋体" w:cs="宋体"/>
                      <w:color w:val="auto"/>
                      <w:sz w:val="22"/>
                      <w:szCs w:val="22"/>
                      <w:highlight w:val="none"/>
                    </w:rPr>
                    <w:t>环境风险防范措施</w:t>
                  </w:r>
                </w:p>
              </w:tc>
              <w:tc>
                <w:tcPr>
                  <w:tcW w:w="5396" w:type="dxa"/>
                  <w:gridSpan w:val="2"/>
                  <w:tcBorders>
                    <w:top w:val="single" w:color="333333" w:sz="4" w:space="0"/>
                    <w:left w:val="single" w:color="333333" w:sz="4" w:space="0"/>
                    <w:bottom w:val="single" w:color="333333" w:sz="4" w:space="0"/>
                    <w:right w:val="single" w:color="333333" w:sz="4" w:space="0"/>
                  </w:tcBorders>
                  <w:vAlign w:val="center"/>
                </w:tcPr>
                <w:p w14:paraId="3E8DFC27">
                  <w:pPr>
                    <w:jc w:val="center"/>
                    <w:rPr>
                      <w:rFonts w:ascii="宋体" w:hAnsi="宋体" w:cs="宋体"/>
                      <w:color w:val="auto"/>
                      <w:sz w:val="22"/>
                      <w:szCs w:val="22"/>
                      <w:highlight w:val="none"/>
                    </w:rPr>
                  </w:pPr>
                  <w:r>
                    <w:rPr>
                      <w:rFonts w:hint="eastAsia" w:ascii="宋体" w:hAnsi="宋体" w:cs="宋体"/>
                      <w:color w:val="auto"/>
                      <w:sz w:val="22"/>
                      <w:szCs w:val="22"/>
                      <w:highlight w:val="none"/>
                    </w:rPr>
                    <w:t xml:space="preserve">   设置事故柜和急救器材、必要的急救用品等；消防器材、消防栓等的设置；加强环境风险管理</w:t>
                  </w:r>
                </w:p>
              </w:tc>
              <w:tc>
                <w:tcPr>
                  <w:tcW w:w="921" w:type="dxa"/>
                  <w:tcBorders>
                    <w:top w:val="single" w:color="333333" w:sz="4" w:space="0"/>
                    <w:left w:val="single" w:color="333333" w:sz="4" w:space="0"/>
                    <w:bottom w:val="single" w:color="333333" w:sz="4" w:space="0"/>
                    <w:right w:val="single" w:color="333333" w:sz="4" w:space="0"/>
                  </w:tcBorders>
                  <w:vAlign w:val="center"/>
                </w:tcPr>
                <w:p w14:paraId="62E9CF9E">
                  <w:pPr>
                    <w:jc w:val="center"/>
                    <w:rPr>
                      <w:rFonts w:ascii="宋体" w:hAnsi="宋体" w:cs="宋体"/>
                      <w:color w:val="auto"/>
                      <w:sz w:val="22"/>
                      <w:szCs w:val="22"/>
                      <w:highlight w:val="none"/>
                    </w:rPr>
                  </w:pPr>
                  <w:r>
                    <w:rPr>
                      <w:rFonts w:hint="eastAsia" w:ascii="宋体" w:hAnsi="宋体" w:cs="宋体"/>
                      <w:color w:val="auto"/>
                      <w:sz w:val="22"/>
                      <w:szCs w:val="22"/>
                      <w:highlight w:val="none"/>
                    </w:rPr>
                    <w:t>新建</w:t>
                  </w:r>
                </w:p>
              </w:tc>
            </w:tr>
          </w:tbl>
          <w:p w14:paraId="0C0A9FEF">
            <w:pPr>
              <w:adjustRightInd w:val="0"/>
              <w:snapToGrid w:val="0"/>
              <w:spacing w:before="240" w:beforeLines="100" w:line="360" w:lineRule="auto"/>
              <w:ind w:firstLine="482" w:firstLineChars="200"/>
              <w:jc w:val="left"/>
              <w:rPr>
                <w:b/>
                <w:bCs/>
                <w:color w:val="auto"/>
                <w:sz w:val="24"/>
                <w:szCs w:val="24"/>
                <w:highlight w:val="none"/>
              </w:rPr>
            </w:pPr>
            <w:r>
              <w:rPr>
                <w:rFonts w:hint="eastAsia" w:ascii="Times New Roman" w:hAnsi="Times New Roman" w:eastAsia="宋体" w:cs="宋体"/>
                <w:b/>
                <w:bCs/>
                <w:color w:val="auto"/>
                <w:sz w:val="24"/>
                <w:szCs w:val="24"/>
                <w:highlight w:val="none"/>
                <w:lang w:val="en-US" w:eastAsia="zh-CN"/>
              </w:rPr>
              <w:t>3</w:t>
            </w:r>
            <w:r>
              <w:rPr>
                <w:rFonts w:hint="eastAsia" w:ascii="Times New Roman" w:hAnsi="Times New Roman" w:eastAsia="宋体" w:cs="宋体"/>
                <w:b/>
                <w:bCs/>
                <w:color w:val="auto"/>
                <w:sz w:val="24"/>
                <w:szCs w:val="24"/>
                <w:highlight w:val="none"/>
              </w:rPr>
              <w:t>、产品</w:t>
            </w:r>
            <w:r>
              <w:rPr>
                <w:rFonts w:hint="eastAsia" w:cs="宋体"/>
                <w:b/>
                <w:bCs/>
                <w:color w:val="auto"/>
                <w:sz w:val="24"/>
                <w:szCs w:val="24"/>
                <w:highlight w:val="none"/>
              </w:rPr>
              <w:t>方案</w:t>
            </w:r>
          </w:p>
          <w:p w14:paraId="3ADD31A2">
            <w:pPr>
              <w:spacing w:line="360" w:lineRule="auto"/>
              <w:ind w:firstLine="440" w:firstLineChars="200"/>
              <w:jc w:val="center"/>
              <w:rPr>
                <w:color w:val="auto"/>
                <w:sz w:val="24"/>
                <w:szCs w:val="24"/>
                <w:highlight w:val="none"/>
              </w:rPr>
            </w:pPr>
            <w:r>
              <w:rPr>
                <w:rFonts w:hint="eastAsia" w:cs="宋体"/>
                <w:color w:val="auto"/>
                <w:sz w:val="22"/>
                <w:szCs w:val="22"/>
                <w:highlight w:val="none"/>
              </w:rPr>
              <w:t>表</w:t>
            </w:r>
            <w:r>
              <w:rPr>
                <w:color w:val="auto"/>
                <w:sz w:val="22"/>
                <w:szCs w:val="22"/>
                <w:highlight w:val="none"/>
              </w:rPr>
              <w:t>2-</w:t>
            </w:r>
            <w:r>
              <w:rPr>
                <w:rFonts w:hint="eastAsia"/>
                <w:color w:val="auto"/>
                <w:sz w:val="22"/>
                <w:szCs w:val="22"/>
                <w:highlight w:val="none"/>
                <w:lang w:val="en-US" w:eastAsia="zh-CN"/>
              </w:rPr>
              <w:t>2</w:t>
            </w:r>
            <w:r>
              <w:rPr>
                <w:color w:val="auto"/>
                <w:sz w:val="22"/>
                <w:szCs w:val="22"/>
                <w:highlight w:val="none"/>
              </w:rPr>
              <w:t xml:space="preserve"> </w:t>
            </w:r>
            <w:r>
              <w:rPr>
                <w:rFonts w:hint="eastAsia" w:cs="宋体"/>
                <w:color w:val="auto"/>
                <w:sz w:val="22"/>
                <w:szCs w:val="22"/>
                <w:highlight w:val="none"/>
              </w:rPr>
              <w:t>产品方案一览表</w:t>
            </w:r>
          </w:p>
          <w:tbl>
            <w:tblPr>
              <w:tblStyle w:val="37"/>
              <w:tblW w:w="7217"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32"/>
              <w:gridCol w:w="1919"/>
              <w:gridCol w:w="1296"/>
              <w:gridCol w:w="1494"/>
              <w:gridCol w:w="1576"/>
            </w:tblGrid>
            <w:tr w14:paraId="72313DC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449" w:hRule="atLeast"/>
                <w:jc w:val="center"/>
              </w:trPr>
              <w:tc>
                <w:tcPr>
                  <w:tcW w:w="932" w:type="dxa"/>
                  <w:tcBorders>
                    <w:right w:val="single" w:color="auto" w:sz="4" w:space="0"/>
                  </w:tcBorders>
                  <w:vAlign w:val="center"/>
                </w:tcPr>
                <w:p w14:paraId="6B4F0078">
                  <w:pPr>
                    <w:jc w:val="center"/>
                    <w:rPr>
                      <w:color w:val="auto"/>
                      <w:kern w:val="0"/>
                      <w:highlight w:val="none"/>
                    </w:rPr>
                  </w:pPr>
                  <w:r>
                    <w:rPr>
                      <w:rFonts w:hint="eastAsia"/>
                      <w:color w:val="auto"/>
                      <w:kern w:val="0"/>
                      <w:highlight w:val="none"/>
                    </w:rPr>
                    <w:t>序号</w:t>
                  </w:r>
                </w:p>
              </w:tc>
              <w:tc>
                <w:tcPr>
                  <w:tcW w:w="1919" w:type="dxa"/>
                  <w:tcBorders>
                    <w:left w:val="single" w:color="auto" w:sz="4" w:space="0"/>
                    <w:right w:val="single" w:color="auto" w:sz="4" w:space="0"/>
                  </w:tcBorders>
                  <w:vAlign w:val="center"/>
                </w:tcPr>
                <w:p w14:paraId="7285F333">
                  <w:pPr>
                    <w:jc w:val="center"/>
                    <w:rPr>
                      <w:color w:val="auto"/>
                      <w:kern w:val="0"/>
                      <w:highlight w:val="none"/>
                    </w:rPr>
                  </w:pPr>
                  <w:r>
                    <w:rPr>
                      <w:rFonts w:hAnsi="宋体"/>
                      <w:color w:val="auto"/>
                      <w:kern w:val="0"/>
                      <w:highlight w:val="none"/>
                    </w:rPr>
                    <w:t>产品名称</w:t>
                  </w:r>
                </w:p>
              </w:tc>
              <w:tc>
                <w:tcPr>
                  <w:tcW w:w="1296" w:type="dxa"/>
                  <w:vAlign w:val="center"/>
                </w:tcPr>
                <w:p w14:paraId="0B176AFE">
                  <w:pPr>
                    <w:jc w:val="center"/>
                    <w:rPr>
                      <w:color w:val="auto"/>
                      <w:kern w:val="0"/>
                      <w:highlight w:val="none"/>
                    </w:rPr>
                  </w:pPr>
                  <w:r>
                    <w:rPr>
                      <w:rFonts w:hint="eastAsia" w:hAnsi="宋体"/>
                      <w:color w:val="auto"/>
                      <w:kern w:val="0"/>
                      <w:highlight w:val="none"/>
                    </w:rPr>
                    <w:t>单位</w:t>
                  </w:r>
                </w:p>
              </w:tc>
              <w:tc>
                <w:tcPr>
                  <w:tcW w:w="1494" w:type="dxa"/>
                  <w:tcBorders>
                    <w:right w:val="single" w:color="auto" w:sz="4" w:space="0"/>
                  </w:tcBorders>
                  <w:vAlign w:val="center"/>
                </w:tcPr>
                <w:p w14:paraId="511C61F9">
                  <w:pPr>
                    <w:jc w:val="center"/>
                    <w:rPr>
                      <w:color w:val="auto"/>
                      <w:kern w:val="0"/>
                      <w:highlight w:val="none"/>
                    </w:rPr>
                  </w:pPr>
                  <w:r>
                    <w:rPr>
                      <w:rFonts w:hint="eastAsia"/>
                      <w:color w:val="auto"/>
                      <w:highlight w:val="none"/>
                    </w:rPr>
                    <w:t>产量</w:t>
                  </w:r>
                </w:p>
              </w:tc>
              <w:tc>
                <w:tcPr>
                  <w:tcW w:w="1576" w:type="dxa"/>
                  <w:tcBorders>
                    <w:right w:val="single" w:color="auto" w:sz="4" w:space="0"/>
                  </w:tcBorders>
                  <w:vAlign w:val="center"/>
                </w:tcPr>
                <w:p w14:paraId="56A8FA03">
                  <w:pPr>
                    <w:jc w:val="center"/>
                    <w:rPr>
                      <w:color w:val="auto"/>
                      <w:highlight w:val="none"/>
                    </w:rPr>
                  </w:pPr>
                  <w:r>
                    <w:rPr>
                      <w:rFonts w:hint="eastAsia"/>
                      <w:color w:val="auto"/>
                      <w:highlight w:val="none"/>
                    </w:rPr>
                    <w:t>备注</w:t>
                  </w:r>
                </w:p>
              </w:tc>
            </w:tr>
            <w:tr w14:paraId="2326760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15" w:hRule="atLeast"/>
                <w:jc w:val="center"/>
              </w:trPr>
              <w:tc>
                <w:tcPr>
                  <w:tcW w:w="932" w:type="dxa"/>
                  <w:tcBorders>
                    <w:top w:val="single" w:color="auto" w:sz="4" w:space="0"/>
                    <w:bottom w:val="single" w:color="auto" w:sz="4" w:space="0"/>
                    <w:right w:val="single" w:color="auto" w:sz="4" w:space="0"/>
                  </w:tcBorders>
                  <w:vAlign w:val="center"/>
                </w:tcPr>
                <w:p w14:paraId="20B7D436">
                  <w:pPr>
                    <w:jc w:val="center"/>
                    <w:rPr>
                      <w:color w:val="auto"/>
                      <w:highlight w:val="none"/>
                    </w:rPr>
                  </w:pPr>
                  <w:r>
                    <w:rPr>
                      <w:rFonts w:hint="eastAsia"/>
                      <w:color w:val="auto"/>
                      <w:highlight w:val="none"/>
                    </w:rPr>
                    <w:t>1</w:t>
                  </w:r>
                </w:p>
              </w:tc>
              <w:tc>
                <w:tcPr>
                  <w:tcW w:w="1919" w:type="dxa"/>
                  <w:tcBorders>
                    <w:top w:val="single" w:color="auto" w:sz="4" w:space="0"/>
                    <w:left w:val="single" w:color="auto" w:sz="4" w:space="0"/>
                    <w:bottom w:val="single" w:color="auto" w:sz="4" w:space="0"/>
                    <w:right w:val="single" w:color="auto" w:sz="4" w:space="0"/>
                  </w:tcBorders>
                  <w:vAlign w:val="center"/>
                </w:tcPr>
                <w:p w14:paraId="233533A5">
                  <w:pPr>
                    <w:jc w:val="center"/>
                    <w:rPr>
                      <w:color w:val="auto"/>
                      <w:highlight w:val="none"/>
                    </w:rPr>
                  </w:pPr>
                  <w:r>
                    <w:rPr>
                      <w:rFonts w:hint="eastAsia" w:hAnsi="宋体"/>
                      <w:color w:val="auto"/>
                      <w:sz w:val="22"/>
                      <w:szCs w:val="22"/>
                      <w:highlight w:val="none"/>
                    </w:rPr>
                    <w:t>生物质颗粒</w:t>
                  </w:r>
                </w:p>
              </w:tc>
              <w:tc>
                <w:tcPr>
                  <w:tcW w:w="1296" w:type="dxa"/>
                  <w:vAlign w:val="center"/>
                </w:tcPr>
                <w:p w14:paraId="2B4ABCEC">
                  <w:pPr>
                    <w:jc w:val="center"/>
                    <w:rPr>
                      <w:bCs/>
                      <w:color w:val="auto"/>
                      <w:highlight w:val="none"/>
                    </w:rPr>
                  </w:pPr>
                  <w:r>
                    <w:rPr>
                      <w:rFonts w:hint="eastAsia" w:hAnsi="宋体"/>
                      <w:color w:val="auto"/>
                      <w:sz w:val="22"/>
                      <w:szCs w:val="22"/>
                      <w:highlight w:val="none"/>
                      <w:lang w:eastAsia="zh-CN"/>
                    </w:rPr>
                    <w:t>万</w:t>
                  </w:r>
                  <w:r>
                    <w:rPr>
                      <w:rFonts w:hint="eastAsia" w:hAnsi="宋体"/>
                      <w:color w:val="auto"/>
                      <w:sz w:val="22"/>
                      <w:szCs w:val="22"/>
                      <w:highlight w:val="none"/>
                    </w:rPr>
                    <w:t>吨/年</w:t>
                  </w:r>
                </w:p>
              </w:tc>
              <w:tc>
                <w:tcPr>
                  <w:tcW w:w="1494" w:type="dxa"/>
                  <w:tcBorders>
                    <w:right w:val="single" w:color="auto" w:sz="4" w:space="0"/>
                  </w:tcBorders>
                  <w:vAlign w:val="center"/>
                </w:tcPr>
                <w:p w14:paraId="623560C9">
                  <w:pPr>
                    <w:jc w:val="center"/>
                    <w:rPr>
                      <w:rFonts w:hint="default" w:eastAsia="宋体"/>
                      <w:bCs/>
                      <w:color w:val="auto"/>
                      <w:highlight w:val="none"/>
                      <w:lang w:val="en-US" w:eastAsia="zh-CN"/>
                    </w:rPr>
                  </w:pPr>
                  <w:r>
                    <w:rPr>
                      <w:rFonts w:hint="eastAsia" w:hAnsi="宋体"/>
                      <w:color w:val="auto"/>
                      <w:sz w:val="22"/>
                      <w:szCs w:val="22"/>
                      <w:highlight w:val="none"/>
                      <w:lang w:val="en-US" w:eastAsia="zh-CN"/>
                    </w:rPr>
                    <w:t>20</w:t>
                  </w:r>
                </w:p>
              </w:tc>
              <w:tc>
                <w:tcPr>
                  <w:tcW w:w="1576" w:type="dxa"/>
                  <w:tcBorders>
                    <w:right w:val="single" w:color="auto" w:sz="4" w:space="0"/>
                  </w:tcBorders>
                  <w:vAlign w:val="center"/>
                </w:tcPr>
                <w:p w14:paraId="22B33F7E">
                  <w:pPr>
                    <w:jc w:val="center"/>
                    <w:rPr>
                      <w:rFonts w:hAnsi="宋体"/>
                      <w:color w:val="auto"/>
                      <w:sz w:val="22"/>
                      <w:szCs w:val="22"/>
                      <w:highlight w:val="none"/>
                    </w:rPr>
                  </w:pPr>
                  <w:r>
                    <w:rPr>
                      <w:rFonts w:hint="eastAsia" w:hAnsi="宋体"/>
                      <w:color w:val="auto"/>
                      <w:sz w:val="22"/>
                      <w:szCs w:val="22"/>
                      <w:highlight w:val="none"/>
                    </w:rPr>
                    <w:t>具体规格产量根据订单需求</w:t>
                  </w:r>
                </w:p>
              </w:tc>
            </w:tr>
          </w:tbl>
          <w:p w14:paraId="062D3D6C">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261" w:firstLineChars="200"/>
              <w:jc w:val="left"/>
              <w:textAlignment w:val="auto"/>
              <w:rPr>
                <w:rFonts w:hint="eastAsia" w:ascii="宋体" w:hAnsi="宋体" w:cs="宋体"/>
                <w:b/>
                <w:bCs/>
                <w:color w:val="auto"/>
                <w:sz w:val="13"/>
                <w:szCs w:val="13"/>
                <w:highlight w:val="none"/>
                <w:lang w:val="en-US" w:eastAsia="zh-CN"/>
              </w:rPr>
            </w:pPr>
          </w:p>
          <w:p w14:paraId="3D759246">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jc w:val="left"/>
              <w:textAlignment w:val="auto"/>
              <w:rPr>
                <w:rFonts w:ascii="宋体"/>
                <w:b/>
                <w:bCs/>
                <w:color w:val="auto"/>
                <w:sz w:val="24"/>
                <w:szCs w:val="24"/>
                <w:highlight w:val="none"/>
              </w:rPr>
            </w:pPr>
            <w:r>
              <w:rPr>
                <w:rFonts w:hint="eastAsia" w:ascii="宋体" w:hAnsi="宋体" w:cs="宋体"/>
                <w:b/>
                <w:bCs/>
                <w:color w:val="auto"/>
                <w:sz w:val="24"/>
                <w:szCs w:val="24"/>
                <w:highlight w:val="none"/>
                <w:lang w:val="en-US" w:eastAsia="zh-CN"/>
              </w:rPr>
              <w:t>4</w:t>
            </w:r>
            <w:r>
              <w:rPr>
                <w:rFonts w:hint="eastAsia" w:ascii="宋体" w:hAnsi="宋体" w:cs="宋体"/>
                <w:b/>
                <w:bCs/>
                <w:color w:val="auto"/>
                <w:sz w:val="24"/>
                <w:szCs w:val="24"/>
                <w:highlight w:val="none"/>
              </w:rPr>
              <w:t>、主要生产设备</w:t>
            </w:r>
          </w:p>
          <w:p w14:paraId="52013B5C">
            <w:pPr>
              <w:spacing w:line="360" w:lineRule="auto"/>
              <w:ind w:firstLine="960" w:firstLineChars="400"/>
              <w:jc w:val="both"/>
              <w:rPr>
                <w:rFonts w:hint="eastAsia" w:ascii="宋体" w:hAnsi="宋体" w:cs="宋体"/>
                <w:color w:val="auto"/>
                <w:sz w:val="24"/>
                <w:szCs w:val="24"/>
                <w:highlight w:val="none"/>
              </w:rPr>
            </w:pPr>
            <w:r>
              <w:rPr>
                <w:rFonts w:hint="eastAsia" w:ascii="宋体" w:hAnsi="宋体" w:cs="宋体"/>
                <w:color w:val="auto"/>
                <w:sz w:val="24"/>
                <w:szCs w:val="24"/>
                <w:highlight w:val="none"/>
              </w:rPr>
              <w:t>本项目生产设备见下表。</w:t>
            </w:r>
          </w:p>
          <w:p w14:paraId="5FA2479F">
            <w:pPr>
              <w:spacing w:line="360" w:lineRule="auto"/>
              <w:ind w:firstLine="880" w:firstLineChars="400"/>
              <w:jc w:val="center"/>
              <w:rPr>
                <w:rFonts w:ascii="宋体"/>
                <w:color w:val="auto"/>
                <w:sz w:val="24"/>
                <w:szCs w:val="24"/>
                <w:highlight w:val="none"/>
              </w:rPr>
            </w:pPr>
            <w:r>
              <w:rPr>
                <w:rFonts w:hint="eastAsia" w:cs="宋体"/>
                <w:color w:val="auto"/>
                <w:sz w:val="22"/>
                <w:szCs w:val="22"/>
                <w:highlight w:val="none"/>
              </w:rPr>
              <w:t>表</w:t>
            </w:r>
            <w:r>
              <w:rPr>
                <w:color w:val="auto"/>
                <w:sz w:val="22"/>
                <w:szCs w:val="22"/>
                <w:highlight w:val="none"/>
              </w:rPr>
              <w:t>2-</w:t>
            </w:r>
            <w:r>
              <w:rPr>
                <w:rFonts w:hint="eastAsia"/>
                <w:color w:val="auto"/>
                <w:sz w:val="22"/>
                <w:szCs w:val="22"/>
                <w:highlight w:val="none"/>
                <w:lang w:val="en-US" w:eastAsia="zh-CN"/>
              </w:rPr>
              <w:t>3</w:t>
            </w:r>
            <w:r>
              <w:rPr>
                <w:color w:val="auto"/>
                <w:sz w:val="22"/>
                <w:szCs w:val="22"/>
                <w:highlight w:val="none"/>
              </w:rPr>
              <w:t xml:space="preserve"> </w:t>
            </w:r>
            <w:r>
              <w:rPr>
                <w:rFonts w:hint="eastAsia" w:cs="宋体"/>
                <w:color w:val="auto"/>
                <w:sz w:val="22"/>
                <w:szCs w:val="22"/>
                <w:highlight w:val="none"/>
                <w:lang w:eastAsia="zh-CN"/>
              </w:rPr>
              <w:t>生产设备</w:t>
            </w:r>
            <w:r>
              <w:rPr>
                <w:rFonts w:hint="eastAsia" w:cs="宋体"/>
                <w:color w:val="auto"/>
                <w:sz w:val="22"/>
                <w:szCs w:val="22"/>
                <w:highlight w:val="none"/>
              </w:rPr>
              <w:t>一览表</w:t>
            </w:r>
          </w:p>
          <w:tbl>
            <w:tblPr>
              <w:tblStyle w:val="37"/>
              <w:tblW w:w="791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59"/>
              <w:gridCol w:w="2818"/>
              <w:gridCol w:w="1959"/>
              <w:gridCol w:w="1191"/>
              <w:gridCol w:w="1191"/>
            </w:tblGrid>
            <w:tr w14:paraId="472073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58" w:hRule="exact"/>
                <w:jc w:val="center"/>
              </w:trPr>
              <w:tc>
                <w:tcPr>
                  <w:tcW w:w="759" w:type="dxa"/>
                  <w:tcBorders>
                    <w:top w:val="single" w:color="auto" w:sz="6" w:space="0"/>
                    <w:left w:val="single" w:color="auto" w:sz="6" w:space="0"/>
                    <w:bottom w:val="single" w:color="auto" w:sz="6" w:space="0"/>
                    <w:right w:val="single" w:color="auto" w:sz="6" w:space="0"/>
                  </w:tcBorders>
                  <w:vAlign w:val="center"/>
                </w:tcPr>
                <w:p w14:paraId="759BDC80">
                  <w:pPr>
                    <w:jc w:val="center"/>
                    <w:rPr>
                      <w:color w:val="auto"/>
                      <w:highlight w:val="none"/>
                    </w:rPr>
                  </w:pPr>
                  <w:r>
                    <w:rPr>
                      <w:rFonts w:hint="eastAsia"/>
                      <w:color w:val="auto"/>
                      <w:highlight w:val="none"/>
                    </w:rPr>
                    <w:t>序号</w:t>
                  </w:r>
                </w:p>
              </w:tc>
              <w:tc>
                <w:tcPr>
                  <w:tcW w:w="2818" w:type="dxa"/>
                  <w:tcBorders>
                    <w:top w:val="single" w:color="auto" w:sz="6" w:space="0"/>
                    <w:left w:val="single" w:color="auto" w:sz="6" w:space="0"/>
                    <w:bottom w:val="single" w:color="auto" w:sz="6" w:space="0"/>
                    <w:right w:val="single" w:color="auto" w:sz="4" w:space="0"/>
                  </w:tcBorders>
                  <w:vAlign w:val="center"/>
                </w:tcPr>
                <w:p w14:paraId="5EA50BF8">
                  <w:pPr>
                    <w:jc w:val="center"/>
                    <w:rPr>
                      <w:color w:val="auto"/>
                      <w:highlight w:val="none"/>
                    </w:rPr>
                  </w:pPr>
                  <w:r>
                    <w:rPr>
                      <w:rFonts w:hint="eastAsia"/>
                      <w:color w:val="auto"/>
                      <w:highlight w:val="none"/>
                    </w:rPr>
                    <w:t>设备名称</w:t>
                  </w:r>
                </w:p>
              </w:tc>
              <w:tc>
                <w:tcPr>
                  <w:tcW w:w="1959" w:type="dxa"/>
                  <w:tcBorders>
                    <w:top w:val="single" w:color="auto" w:sz="6" w:space="0"/>
                    <w:left w:val="single" w:color="auto" w:sz="6" w:space="0"/>
                    <w:bottom w:val="single" w:color="auto" w:sz="6" w:space="0"/>
                    <w:right w:val="single" w:color="auto" w:sz="4" w:space="0"/>
                  </w:tcBorders>
                  <w:vAlign w:val="center"/>
                </w:tcPr>
                <w:p w14:paraId="7E6EC61B">
                  <w:pPr>
                    <w:jc w:val="center"/>
                    <w:rPr>
                      <w:color w:val="auto"/>
                      <w:highlight w:val="none"/>
                    </w:rPr>
                  </w:pPr>
                  <w:r>
                    <w:rPr>
                      <w:rFonts w:hint="eastAsia"/>
                      <w:color w:val="auto"/>
                      <w:highlight w:val="none"/>
                    </w:rPr>
                    <w:t>型号</w:t>
                  </w:r>
                </w:p>
              </w:tc>
              <w:tc>
                <w:tcPr>
                  <w:tcW w:w="1191" w:type="dxa"/>
                  <w:tcBorders>
                    <w:top w:val="single" w:color="auto" w:sz="6" w:space="0"/>
                    <w:left w:val="single" w:color="auto" w:sz="6" w:space="0"/>
                    <w:bottom w:val="single" w:color="auto" w:sz="6" w:space="0"/>
                    <w:right w:val="single" w:color="auto" w:sz="6" w:space="0"/>
                  </w:tcBorders>
                  <w:vAlign w:val="center"/>
                </w:tcPr>
                <w:p w14:paraId="57AF6092">
                  <w:pPr>
                    <w:jc w:val="center"/>
                    <w:rPr>
                      <w:color w:val="auto"/>
                      <w:highlight w:val="none"/>
                    </w:rPr>
                  </w:pPr>
                  <w:r>
                    <w:rPr>
                      <w:rFonts w:hint="eastAsia"/>
                      <w:color w:val="auto"/>
                      <w:highlight w:val="none"/>
                    </w:rPr>
                    <w:t>数量</w:t>
                  </w:r>
                </w:p>
                <w:p w14:paraId="5D60B929">
                  <w:pPr>
                    <w:jc w:val="center"/>
                    <w:rPr>
                      <w:color w:val="auto"/>
                      <w:highlight w:val="none"/>
                    </w:rPr>
                  </w:pPr>
                  <w:r>
                    <w:rPr>
                      <w:rFonts w:hint="eastAsia"/>
                      <w:color w:val="auto"/>
                      <w:highlight w:val="none"/>
                    </w:rPr>
                    <w:t>（台/套）</w:t>
                  </w:r>
                </w:p>
              </w:tc>
              <w:tc>
                <w:tcPr>
                  <w:tcW w:w="1191" w:type="dxa"/>
                  <w:tcBorders>
                    <w:top w:val="single" w:color="auto" w:sz="6" w:space="0"/>
                    <w:left w:val="single" w:color="auto" w:sz="6" w:space="0"/>
                    <w:bottom w:val="single" w:color="auto" w:sz="6" w:space="0"/>
                    <w:right w:val="single" w:color="auto" w:sz="6" w:space="0"/>
                  </w:tcBorders>
                  <w:vAlign w:val="center"/>
                </w:tcPr>
                <w:p w14:paraId="040B2E06">
                  <w:pPr>
                    <w:jc w:val="center"/>
                    <w:rPr>
                      <w:rFonts w:hint="eastAsia" w:eastAsia="宋体"/>
                      <w:color w:val="auto"/>
                      <w:highlight w:val="none"/>
                      <w:lang w:eastAsia="zh-CN"/>
                    </w:rPr>
                  </w:pPr>
                  <w:r>
                    <w:rPr>
                      <w:rFonts w:hint="eastAsia"/>
                      <w:color w:val="auto"/>
                      <w:highlight w:val="none"/>
                      <w:lang w:eastAsia="zh-CN"/>
                    </w:rPr>
                    <w:t>位置</w:t>
                  </w:r>
                </w:p>
              </w:tc>
            </w:tr>
            <w:tr w14:paraId="76ECB2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8" w:hRule="exact"/>
                <w:jc w:val="center"/>
              </w:trPr>
              <w:tc>
                <w:tcPr>
                  <w:tcW w:w="759" w:type="dxa"/>
                  <w:tcBorders>
                    <w:top w:val="single" w:color="auto" w:sz="6" w:space="0"/>
                    <w:left w:val="single" w:color="auto" w:sz="6" w:space="0"/>
                    <w:bottom w:val="single" w:color="auto" w:sz="6" w:space="0"/>
                    <w:right w:val="single" w:color="auto" w:sz="6" w:space="0"/>
                  </w:tcBorders>
                  <w:vAlign w:val="center"/>
                </w:tcPr>
                <w:p w14:paraId="483A778D">
                  <w:pPr>
                    <w:numPr>
                      <w:ilvl w:val="0"/>
                      <w:numId w:val="4"/>
                    </w:numPr>
                    <w:ind w:left="425" w:leftChars="0" w:hanging="425" w:firstLineChars="0"/>
                    <w:jc w:val="center"/>
                    <w:rPr>
                      <w:rFonts w:ascii="Calibri" w:hAnsi="Calibri"/>
                      <w:color w:val="auto"/>
                      <w:highlight w:val="none"/>
                    </w:rPr>
                  </w:pPr>
                </w:p>
              </w:tc>
              <w:tc>
                <w:tcPr>
                  <w:tcW w:w="2818" w:type="dxa"/>
                  <w:tcBorders>
                    <w:top w:val="single" w:color="auto" w:sz="6" w:space="0"/>
                    <w:left w:val="single" w:color="auto" w:sz="6" w:space="0"/>
                    <w:bottom w:val="single" w:color="auto" w:sz="6" w:space="0"/>
                    <w:right w:val="single" w:color="auto" w:sz="4" w:space="0"/>
                  </w:tcBorders>
                  <w:vAlign w:val="center"/>
                </w:tcPr>
                <w:p w14:paraId="15CA388A">
                  <w:pPr>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进料链板</w:t>
                  </w:r>
                </w:p>
              </w:tc>
              <w:tc>
                <w:tcPr>
                  <w:tcW w:w="1959" w:type="dxa"/>
                  <w:tcBorders>
                    <w:top w:val="single" w:color="auto" w:sz="6" w:space="0"/>
                    <w:left w:val="single" w:color="auto" w:sz="6" w:space="0"/>
                    <w:bottom w:val="single" w:color="auto" w:sz="6" w:space="0"/>
                    <w:right w:val="single" w:color="auto" w:sz="4" w:space="0"/>
                  </w:tcBorders>
                  <w:vAlign w:val="center"/>
                </w:tcPr>
                <w:p w14:paraId="556CCDC8">
                  <w:pPr>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5m</w:t>
                  </w:r>
                </w:p>
              </w:tc>
              <w:tc>
                <w:tcPr>
                  <w:tcW w:w="1191" w:type="dxa"/>
                  <w:tcBorders>
                    <w:top w:val="single" w:color="auto" w:sz="6" w:space="0"/>
                    <w:left w:val="single" w:color="auto" w:sz="6" w:space="0"/>
                    <w:bottom w:val="single" w:color="auto" w:sz="6" w:space="0"/>
                    <w:right w:val="single" w:color="auto" w:sz="6" w:space="0"/>
                  </w:tcBorders>
                  <w:vAlign w:val="center"/>
                </w:tcPr>
                <w:p w14:paraId="278980D4">
                  <w:pPr>
                    <w:jc w:val="center"/>
                    <w:rPr>
                      <w:rFonts w:hint="eastAsia" w:ascii="Times New Roman" w:hAnsi="Times New Roman" w:eastAsia="宋体" w:cs="Times New Roman"/>
                      <w:color w:val="auto"/>
                      <w:highlight w:val="none"/>
                      <w:lang w:eastAsia="zh-CN"/>
                    </w:rPr>
                  </w:pPr>
                  <w:r>
                    <w:rPr>
                      <w:rFonts w:hint="eastAsia" w:cs="Times New Roman"/>
                      <w:color w:val="auto"/>
                      <w:highlight w:val="none"/>
                      <w:lang w:val="en-US" w:eastAsia="zh-CN"/>
                    </w:rPr>
                    <w:t>2</w:t>
                  </w:r>
                </w:p>
              </w:tc>
              <w:tc>
                <w:tcPr>
                  <w:tcW w:w="1191" w:type="dxa"/>
                  <w:tcBorders>
                    <w:top w:val="single" w:color="auto" w:sz="6" w:space="0"/>
                    <w:left w:val="single" w:color="auto" w:sz="6" w:space="0"/>
                    <w:bottom w:val="single" w:color="auto" w:sz="6" w:space="0"/>
                    <w:right w:val="single" w:color="auto" w:sz="6" w:space="0"/>
                  </w:tcBorders>
                  <w:vAlign w:val="center"/>
                </w:tcPr>
                <w:p w14:paraId="787E2CCC">
                  <w:pPr>
                    <w:jc w:val="center"/>
                    <w:rPr>
                      <w:rFonts w:hint="eastAsia" w:ascii="Calibri" w:hAnsi="Calibri" w:eastAsia="宋体"/>
                      <w:color w:val="auto"/>
                      <w:highlight w:val="none"/>
                      <w:lang w:eastAsia="zh-CN"/>
                    </w:rPr>
                  </w:pPr>
                  <w:r>
                    <w:rPr>
                      <w:rFonts w:hint="eastAsia" w:ascii="Calibri" w:hAnsi="Calibri"/>
                      <w:color w:val="auto"/>
                      <w:highlight w:val="none"/>
                      <w:lang w:eastAsia="zh-CN"/>
                    </w:rPr>
                    <w:t>生产车间</w:t>
                  </w:r>
                </w:p>
              </w:tc>
            </w:tr>
            <w:tr w14:paraId="3EA049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8" w:hRule="exact"/>
                <w:jc w:val="center"/>
              </w:trPr>
              <w:tc>
                <w:tcPr>
                  <w:tcW w:w="759" w:type="dxa"/>
                  <w:tcBorders>
                    <w:top w:val="single" w:color="auto" w:sz="6" w:space="0"/>
                    <w:left w:val="single" w:color="auto" w:sz="6" w:space="0"/>
                    <w:bottom w:val="single" w:color="auto" w:sz="6" w:space="0"/>
                    <w:right w:val="single" w:color="auto" w:sz="6" w:space="0"/>
                  </w:tcBorders>
                  <w:vAlign w:val="center"/>
                </w:tcPr>
                <w:p w14:paraId="5A64BD61">
                  <w:pPr>
                    <w:numPr>
                      <w:ilvl w:val="0"/>
                      <w:numId w:val="4"/>
                    </w:numPr>
                    <w:ind w:left="425" w:leftChars="0" w:hanging="425" w:firstLineChars="0"/>
                    <w:jc w:val="center"/>
                    <w:rPr>
                      <w:rFonts w:ascii="Calibri" w:hAnsi="Calibri"/>
                      <w:color w:val="auto"/>
                      <w:highlight w:val="none"/>
                    </w:rPr>
                  </w:pPr>
                </w:p>
              </w:tc>
              <w:tc>
                <w:tcPr>
                  <w:tcW w:w="2818" w:type="dxa"/>
                  <w:tcBorders>
                    <w:top w:val="single" w:color="auto" w:sz="6" w:space="0"/>
                    <w:left w:val="single" w:color="auto" w:sz="6" w:space="0"/>
                    <w:bottom w:val="single" w:color="auto" w:sz="6" w:space="0"/>
                    <w:right w:val="single" w:color="auto" w:sz="4" w:space="0"/>
                  </w:tcBorders>
                  <w:vAlign w:val="center"/>
                </w:tcPr>
                <w:p w14:paraId="592CF356">
                  <w:pPr>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综合破碎机</w:t>
                  </w:r>
                </w:p>
              </w:tc>
              <w:tc>
                <w:tcPr>
                  <w:tcW w:w="1959" w:type="dxa"/>
                  <w:tcBorders>
                    <w:top w:val="single" w:color="auto" w:sz="6" w:space="0"/>
                    <w:left w:val="single" w:color="auto" w:sz="6" w:space="0"/>
                    <w:bottom w:val="single" w:color="auto" w:sz="6" w:space="0"/>
                    <w:right w:val="single" w:color="auto" w:sz="4" w:space="0"/>
                  </w:tcBorders>
                  <w:vAlign w:val="center"/>
                </w:tcPr>
                <w:p w14:paraId="133FC3BF">
                  <w:pPr>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1250</w:t>
                  </w:r>
                </w:p>
              </w:tc>
              <w:tc>
                <w:tcPr>
                  <w:tcW w:w="1191" w:type="dxa"/>
                  <w:tcBorders>
                    <w:top w:val="single" w:color="auto" w:sz="6" w:space="0"/>
                    <w:left w:val="single" w:color="auto" w:sz="6" w:space="0"/>
                    <w:bottom w:val="single" w:color="auto" w:sz="6" w:space="0"/>
                    <w:right w:val="single" w:color="auto" w:sz="6" w:space="0"/>
                  </w:tcBorders>
                  <w:vAlign w:val="center"/>
                </w:tcPr>
                <w:p w14:paraId="34E52E2F">
                  <w:pPr>
                    <w:jc w:val="center"/>
                    <w:rPr>
                      <w:rFonts w:hint="eastAsia" w:ascii="Times New Roman" w:hAnsi="Times New Roman" w:eastAsia="宋体" w:cs="Times New Roman"/>
                      <w:color w:val="auto"/>
                      <w:highlight w:val="none"/>
                      <w:lang w:eastAsia="zh-CN"/>
                    </w:rPr>
                  </w:pPr>
                  <w:r>
                    <w:rPr>
                      <w:rFonts w:hint="eastAsia" w:cs="Times New Roman"/>
                      <w:color w:val="auto"/>
                      <w:highlight w:val="none"/>
                      <w:lang w:val="en-US" w:eastAsia="zh-CN"/>
                    </w:rPr>
                    <w:t>2</w:t>
                  </w:r>
                </w:p>
              </w:tc>
              <w:tc>
                <w:tcPr>
                  <w:tcW w:w="1191" w:type="dxa"/>
                  <w:tcBorders>
                    <w:top w:val="single" w:color="auto" w:sz="6" w:space="0"/>
                    <w:left w:val="single" w:color="auto" w:sz="6" w:space="0"/>
                    <w:bottom w:val="single" w:color="auto" w:sz="6" w:space="0"/>
                    <w:right w:val="single" w:color="auto" w:sz="6" w:space="0"/>
                  </w:tcBorders>
                  <w:vAlign w:val="center"/>
                </w:tcPr>
                <w:p w14:paraId="3386BD87">
                  <w:pPr>
                    <w:jc w:val="center"/>
                    <w:rPr>
                      <w:rFonts w:hint="eastAsia"/>
                      <w:color w:val="auto"/>
                      <w:highlight w:val="none"/>
                    </w:rPr>
                  </w:pPr>
                  <w:r>
                    <w:rPr>
                      <w:rFonts w:hint="eastAsia" w:ascii="Calibri" w:hAnsi="Calibri"/>
                      <w:color w:val="auto"/>
                      <w:highlight w:val="none"/>
                      <w:lang w:eastAsia="zh-CN"/>
                    </w:rPr>
                    <w:t>生产车间</w:t>
                  </w:r>
                </w:p>
              </w:tc>
            </w:tr>
            <w:tr w14:paraId="1022FC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8" w:hRule="exact"/>
                <w:jc w:val="center"/>
              </w:trPr>
              <w:tc>
                <w:tcPr>
                  <w:tcW w:w="759" w:type="dxa"/>
                  <w:tcBorders>
                    <w:top w:val="single" w:color="auto" w:sz="6" w:space="0"/>
                    <w:left w:val="single" w:color="auto" w:sz="6" w:space="0"/>
                    <w:bottom w:val="single" w:color="auto" w:sz="6" w:space="0"/>
                    <w:right w:val="single" w:color="auto" w:sz="6" w:space="0"/>
                  </w:tcBorders>
                  <w:vAlign w:val="center"/>
                </w:tcPr>
                <w:p w14:paraId="71D81FCB">
                  <w:pPr>
                    <w:numPr>
                      <w:ilvl w:val="0"/>
                      <w:numId w:val="4"/>
                    </w:numPr>
                    <w:adjustRightInd w:val="0"/>
                    <w:snapToGrid w:val="0"/>
                    <w:ind w:left="425" w:leftChars="0" w:hanging="425" w:firstLineChars="0"/>
                    <w:jc w:val="center"/>
                    <w:rPr>
                      <w:color w:val="auto"/>
                      <w:highlight w:val="none"/>
                    </w:rPr>
                  </w:pPr>
                </w:p>
              </w:tc>
              <w:tc>
                <w:tcPr>
                  <w:tcW w:w="2818" w:type="dxa"/>
                  <w:tcBorders>
                    <w:top w:val="single" w:color="auto" w:sz="6" w:space="0"/>
                    <w:left w:val="single" w:color="auto" w:sz="6" w:space="0"/>
                    <w:bottom w:val="single" w:color="auto" w:sz="6" w:space="0"/>
                    <w:right w:val="single" w:color="auto" w:sz="4" w:space="0"/>
                  </w:tcBorders>
                  <w:vAlign w:val="center"/>
                </w:tcPr>
                <w:p w14:paraId="40B4B508">
                  <w:pPr>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出料皮带</w:t>
                  </w:r>
                </w:p>
              </w:tc>
              <w:tc>
                <w:tcPr>
                  <w:tcW w:w="1959" w:type="dxa"/>
                  <w:tcBorders>
                    <w:top w:val="single" w:color="auto" w:sz="6" w:space="0"/>
                    <w:left w:val="single" w:color="auto" w:sz="6" w:space="0"/>
                    <w:bottom w:val="single" w:color="auto" w:sz="6" w:space="0"/>
                    <w:right w:val="single" w:color="auto" w:sz="4" w:space="0"/>
                  </w:tcBorders>
                  <w:vAlign w:val="center"/>
                </w:tcPr>
                <w:p w14:paraId="37250BC3">
                  <w:pPr>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12m</w:t>
                  </w:r>
                </w:p>
              </w:tc>
              <w:tc>
                <w:tcPr>
                  <w:tcW w:w="1191" w:type="dxa"/>
                  <w:tcBorders>
                    <w:top w:val="single" w:color="auto" w:sz="6" w:space="0"/>
                    <w:left w:val="single" w:color="auto" w:sz="6" w:space="0"/>
                    <w:bottom w:val="single" w:color="auto" w:sz="6" w:space="0"/>
                    <w:right w:val="single" w:color="auto" w:sz="6" w:space="0"/>
                  </w:tcBorders>
                  <w:vAlign w:val="center"/>
                </w:tcPr>
                <w:p w14:paraId="3914A768">
                  <w:pPr>
                    <w:jc w:val="center"/>
                    <w:rPr>
                      <w:rFonts w:hint="eastAsia" w:ascii="Times New Roman" w:hAnsi="Times New Roman" w:eastAsia="宋体" w:cs="Times New Roman"/>
                      <w:color w:val="auto"/>
                      <w:highlight w:val="none"/>
                      <w:lang w:eastAsia="zh-CN"/>
                    </w:rPr>
                  </w:pPr>
                  <w:r>
                    <w:rPr>
                      <w:rFonts w:hint="eastAsia" w:cs="Times New Roman"/>
                      <w:color w:val="auto"/>
                      <w:highlight w:val="none"/>
                      <w:lang w:val="en-US" w:eastAsia="zh-CN"/>
                    </w:rPr>
                    <w:t>2</w:t>
                  </w:r>
                </w:p>
              </w:tc>
              <w:tc>
                <w:tcPr>
                  <w:tcW w:w="1191" w:type="dxa"/>
                  <w:tcBorders>
                    <w:top w:val="single" w:color="auto" w:sz="6" w:space="0"/>
                    <w:left w:val="single" w:color="auto" w:sz="6" w:space="0"/>
                    <w:bottom w:val="single" w:color="auto" w:sz="6" w:space="0"/>
                    <w:right w:val="single" w:color="auto" w:sz="6" w:space="0"/>
                  </w:tcBorders>
                  <w:vAlign w:val="center"/>
                </w:tcPr>
                <w:p w14:paraId="15C9C45C">
                  <w:pPr>
                    <w:jc w:val="center"/>
                    <w:rPr>
                      <w:rFonts w:hint="eastAsia"/>
                      <w:color w:val="auto"/>
                      <w:highlight w:val="none"/>
                    </w:rPr>
                  </w:pPr>
                  <w:r>
                    <w:rPr>
                      <w:rFonts w:hint="eastAsia" w:ascii="Calibri" w:hAnsi="Calibri"/>
                      <w:color w:val="auto"/>
                      <w:highlight w:val="none"/>
                      <w:lang w:eastAsia="zh-CN"/>
                    </w:rPr>
                    <w:t>生产车间</w:t>
                  </w:r>
                </w:p>
              </w:tc>
            </w:tr>
            <w:tr w14:paraId="6AE23A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8" w:hRule="exact"/>
                <w:jc w:val="center"/>
              </w:trPr>
              <w:tc>
                <w:tcPr>
                  <w:tcW w:w="759" w:type="dxa"/>
                  <w:tcBorders>
                    <w:top w:val="single" w:color="auto" w:sz="6" w:space="0"/>
                    <w:left w:val="single" w:color="auto" w:sz="6" w:space="0"/>
                    <w:bottom w:val="single" w:color="auto" w:sz="6" w:space="0"/>
                    <w:right w:val="single" w:color="auto" w:sz="6" w:space="0"/>
                  </w:tcBorders>
                  <w:vAlign w:val="center"/>
                </w:tcPr>
                <w:p w14:paraId="1C08AAC1">
                  <w:pPr>
                    <w:numPr>
                      <w:ilvl w:val="0"/>
                      <w:numId w:val="4"/>
                    </w:numPr>
                    <w:adjustRightInd w:val="0"/>
                    <w:snapToGrid w:val="0"/>
                    <w:ind w:left="425" w:leftChars="0" w:hanging="425" w:firstLineChars="0"/>
                    <w:jc w:val="center"/>
                    <w:rPr>
                      <w:color w:val="auto"/>
                      <w:highlight w:val="none"/>
                    </w:rPr>
                  </w:pPr>
                </w:p>
              </w:tc>
              <w:tc>
                <w:tcPr>
                  <w:tcW w:w="2818" w:type="dxa"/>
                  <w:tcBorders>
                    <w:top w:val="single" w:color="auto" w:sz="6" w:space="0"/>
                    <w:left w:val="single" w:color="auto" w:sz="6" w:space="0"/>
                    <w:bottom w:val="single" w:color="auto" w:sz="6" w:space="0"/>
                    <w:right w:val="single" w:color="auto" w:sz="4" w:space="0"/>
                  </w:tcBorders>
                  <w:vAlign w:val="center"/>
                </w:tcPr>
                <w:p w14:paraId="68FFBC69">
                  <w:pPr>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封边皮带输送机</w:t>
                  </w:r>
                </w:p>
              </w:tc>
              <w:tc>
                <w:tcPr>
                  <w:tcW w:w="1959" w:type="dxa"/>
                  <w:tcBorders>
                    <w:top w:val="single" w:color="auto" w:sz="6" w:space="0"/>
                    <w:left w:val="single" w:color="auto" w:sz="6" w:space="0"/>
                    <w:bottom w:val="single" w:color="auto" w:sz="6" w:space="0"/>
                    <w:right w:val="single" w:color="auto" w:sz="4" w:space="0"/>
                  </w:tcBorders>
                  <w:vAlign w:val="center"/>
                </w:tcPr>
                <w:p w14:paraId="1BC22801">
                  <w:pPr>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1.2*10m</w:t>
                  </w:r>
                </w:p>
              </w:tc>
              <w:tc>
                <w:tcPr>
                  <w:tcW w:w="1191" w:type="dxa"/>
                  <w:tcBorders>
                    <w:top w:val="single" w:color="auto" w:sz="6" w:space="0"/>
                    <w:left w:val="single" w:color="auto" w:sz="6" w:space="0"/>
                    <w:bottom w:val="single" w:color="auto" w:sz="6" w:space="0"/>
                    <w:right w:val="single" w:color="auto" w:sz="6" w:space="0"/>
                  </w:tcBorders>
                  <w:vAlign w:val="center"/>
                </w:tcPr>
                <w:p w14:paraId="79B4E1FA">
                  <w:pPr>
                    <w:jc w:val="center"/>
                    <w:rPr>
                      <w:rFonts w:hint="eastAsia" w:ascii="Times New Roman" w:hAnsi="Times New Roman" w:eastAsia="宋体" w:cs="Times New Roman"/>
                      <w:color w:val="auto"/>
                      <w:highlight w:val="none"/>
                      <w:lang w:eastAsia="zh-CN"/>
                    </w:rPr>
                  </w:pPr>
                  <w:r>
                    <w:rPr>
                      <w:rFonts w:hint="eastAsia" w:cs="Times New Roman"/>
                      <w:color w:val="auto"/>
                      <w:highlight w:val="none"/>
                      <w:lang w:val="en-US" w:eastAsia="zh-CN"/>
                    </w:rPr>
                    <w:t>2</w:t>
                  </w:r>
                </w:p>
              </w:tc>
              <w:tc>
                <w:tcPr>
                  <w:tcW w:w="1191" w:type="dxa"/>
                  <w:tcBorders>
                    <w:top w:val="single" w:color="auto" w:sz="6" w:space="0"/>
                    <w:left w:val="single" w:color="auto" w:sz="6" w:space="0"/>
                    <w:bottom w:val="single" w:color="auto" w:sz="6" w:space="0"/>
                    <w:right w:val="single" w:color="auto" w:sz="6" w:space="0"/>
                  </w:tcBorders>
                  <w:vAlign w:val="center"/>
                </w:tcPr>
                <w:p w14:paraId="00C9B5EC">
                  <w:pPr>
                    <w:jc w:val="center"/>
                    <w:rPr>
                      <w:rFonts w:hint="eastAsia"/>
                      <w:color w:val="auto"/>
                      <w:highlight w:val="none"/>
                    </w:rPr>
                  </w:pPr>
                  <w:r>
                    <w:rPr>
                      <w:rFonts w:hint="eastAsia" w:ascii="Calibri" w:hAnsi="Calibri"/>
                      <w:color w:val="auto"/>
                      <w:highlight w:val="none"/>
                      <w:lang w:eastAsia="zh-CN"/>
                    </w:rPr>
                    <w:t>生产车间</w:t>
                  </w:r>
                </w:p>
              </w:tc>
            </w:tr>
            <w:tr w14:paraId="466C9D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8" w:hRule="exact"/>
                <w:jc w:val="center"/>
              </w:trPr>
              <w:tc>
                <w:tcPr>
                  <w:tcW w:w="759" w:type="dxa"/>
                  <w:tcBorders>
                    <w:top w:val="single" w:color="auto" w:sz="6" w:space="0"/>
                    <w:left w:val="single" w:color="auto" w:sz="6" w:space="0"/>
                    <w:bottom w:val="single" w:color="auto" w:sz="6" w:space="0"/>
                    <w:right w:val="single" w:color="auto" w:sz="6" w:space="0"/>
                  </w:tcBorders>
                  <w:vAlign w:val="center"/>
                </w:tcPr>
                <w:p w14:paraId="123592D2">
                  <w:pPr>
                    <w:numPr>
                      <w:ilvl w:val="0"/>
                      <w:numId w:val="4"/>
                    </w:numPr>
                    <w:adjustRightInd w:val="0"/>
                    <w:snapToGrid w:val="0"/>
                    <w:ind w:left="425" w:leftChars="0" w:hanging="425" w:firstLineChars="0"/>
                    <w:jc w:val="center"/>
                    <w:rPr>
                      <w:color w:val="auto"/>
                      <w:highlight w:val="none"/>
                    </w:rPr>
                  </w:pPr>
                </w:p>
              </w:tc>
              <w:tc>
                <w:tcPr>
                  <w:tcW w:w="2818" w:type="dxa"/>
                  <w:tcBorders>
                    <w:top w:val="single" w:color="auto" w:sz="6" w:space="0"/>
                    <w:left w:val="single" w:color="auto" w:sz="6" w:space="0"/>
                    <w:bottom w:val="single" w:color="auto" w:sz="6" w:space="0"/>
                    <w:right w:val="single" w:color="auto" w:sz="4" w:space="0"/>
                  </w:tcBorders>
                  <w:vAlign w:val="center"/>
                </w:tcPr>
                <w:p w14:paraId="3EF4A173">
                  <w:pPr>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高效木屑粉碎机</w:t>
                  </w:r>
                </w:p>
              </w:tc>
              <w:tc>
                <w:tcPr>
                  <w:tcW w:w="1959" w:type="dxa"/>
                  <w:tcBorders>
                    <w:top w:val="single" w:color="auto" w:sz="6" w:space="0"/>
                    <w:left w:val="single" w:color="auto" w:sz="6" w:space="0"/>
                    <w:bottom w:val="single" w:color="auto" w:sz="6" w:space="0"/>
                    <w:right w:val="single" w:color="auto" w:sz="4" w:space="0"/>
                  </w:tcBorders>
                  <w:vAlign w:val="center"/>
                </w:tcPr>
                <w:p w14:paraId="13C78E82">
                  <w:pPr>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1200*1600</w:t>
                  </w:r>
                </w:p>
              </w:tc>
              <w:tc>
                <w:tcPr>
                  <w:tcW w:w="1191" w:type="dxa"/>
                  <w:tcBorders>
                    <w:top w:val="single" w:color="auto" w:sz="6" w:space="0"/>
                    <w:left w:val="single" w:color="auto" w:sz="6" w:space="0"/>
                    <w:bottom w:val="single" w:color="auto" w:sz="6" w:space="0"/>
                    <w:right w:val="single" w:color="auto" w:sz="6" w:space="0"/>
                  </w:tcBorders>
                  <w:vAlign w:val="center"/>
                </w:tcPr>
                <w:p w14:paraId="204A1F64">
                  <w:pPr>
                    <w:jc w:val="center"/>
                    <w:rPr>
                      <w:rFonts w:hint="eastAsia" w:ascii="Times New Roman" w:hAnsi="Times New Roman" w:eastAsia="宋体" w:cs="Times New Roman"/>
                      <w:color w:val="auto"/>
                      <w:highlight w:val="none"/>
                      <w:lang w:eastAsia="zh-CN"/>
                    </w:rPr>
                  </w:pPr>
                  <w:r>
                    <w:rPr>
                      <w:rFonts w:hint="eastAsia" w:cs="Times New Roman"/>
                      <w:color w:val="auto"/>
                      <w:highlight w:val="none"/>
                      <w:lang w:val="en-US" w:eastAsia="zh-CN"/>
                    </w:rPr>
                    <w:t>2</w:t>
                  </w:r>
                </w:p>
              </w:tc>
              <w:tc>
                <w:tcPr>
                  <w:tcW w:w="1191" w:type="dxa"/>
                  <w:tcBorders>
                    <w:top w:val="single" w:color="auto" w:sz="6" w:space="0"/>
                    <w:left w:val="single" w:color="auto" w:sz="6" w:space="0"/>
                    <w:bottom w:val="single" w:color="auto" w:sz="6" w:space="0"/>
                    <w:right w:val="single" w:color="auto" w:sz="6" w:space="0"/>
                  </w:tcBorders>
                  <w:vAlign w:val="center"/>
                </w:tcPr>
                <w:p w14:paraId="6A0D4D50">
                  <w:pPr>
                    <w:jc w:val="center"/>
                    <w:rPr>
                      <w:rFonts w:hint="eastAsia"/>
                      <w:color w:val="auto"/>
                      <w:highlight w:val="none"/>
                    </w:rPr>
                  </w:pPr>
                  <w:r>
                    <w:rPr>
                      <w:rFonts w:hint="eastAsia" w:ascii="Calibri" w:hAnsi="Calibri"/>
                      <w:color w:val="auto"/>
                      <w:highlight w:val="none"/>
                      <w:lang w:eastAsia="zh-CN"/>
                    </w:rPr>
                    <w:t>生产车间</w:t>
                  </w:r>
                </w:p>
              </w:tc>
            </w:tr>
            <w:tr w14:paraId="53BF29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7" w:hRule="exact"/>
                <w:jc w:val="center"/>
              </w:trPr>
              <w:tc>
                <w:tcPr>
                  <w:tcW w:w="759" w:type="dxa"/>
                  <w:tcBorders>
                    <w:top w:val="single" w:color="auto" w:sz="6" w:space="0"/>
                    <w:left w:val="single" w:color="auto" w:sz="6" w:space="0"/>
                    <w:bottom w:val="single" w:color="auto" w:sz="6" w:space="0"/>
                    <w:right w:val="single" w:color="auto" w:sz="6" w:space="0"/>
                  </w:tcBorders>
                  <w:vAlign w:val="center"/>
                </w:tcPr>
                <w:p w14:paraId="5EC6270F">
                  <w:pPr>
                    <w:numPr>
                      <w:ilvl w:val="0"/>
                      <w:numId w:val="4"/>
                    </w:numPr>
                    <w:adjustRightInd w:val="0"/>
                    <w:snapToGrid w:val="0"/>
                    <w:ind w:left="425" w:leftChars="0" w:hanging="425" w:firstLineChars="0"/>
                    <w:jc w:val="center"/>
                    <w:rPr>
                      <w:rFonts w:hint="eastAsia"/>
                      <w:color w:val="auto"/>
                      <w:highlight w:val="none"/>
                    </w:rPr>
                  </w:pPr>
                </w:p>
              </w:tc>
              <w:tc>
                <w:tcPr>
                  <w:tcW w:w="2818" w:type="dxa"/>
                  <w:tcBorders>
                    <w:top w:val="single" w:color="auto" w:sz="6" w:space="0"/>
                    <w:left w:val="single" w:color="auto" w:sz="6" w:space="0"/>
                    <w:bottom w:val="single" w:color="auto" w:sz="6" w:space="0"/>
                    <w:right w:val="single" w:color="auto" w:sz="4" w:space="0"/>
                  </w:tcBorders>
                  <w:vAlign w:val="center"/>
                </w:tcPr>
                <w:p w14:paraId="36E03658">
                  <w:pPr>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双绞辊出料</w:t>
                  </w:r>
                </w:p>
              </w:tc>
              <w:tc>
                <w:tcPr>
                  <w:tcW w:w="1959" w:type="dxa"/>
                  <w:tcBorders>
                    <w:top w:val="single" w:color="auto" w:sz="6" w:space="0"/>
                    <w:left w:val="single" w:color="auto" w:sz="6" w:space="0"/>
                    <w:bottom w:val="single" w:color="auto" w:sz="6" w:space="0"/>
                    <w:right w:val="single" w:color="auto" w:sz="4" w:space="0"/>
                  </w:tcBorders>
                  <w:vAlign w:val="center"/>
                </w:tcPr>
                <w:p w14:paraId="62250078">
                  <w:pPr>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273</w:t>
                  </w:r>
                </w:p>
              </w:tc>
              <w:tc>
                <w:tcPr>
                  <w:tcW w:w="1191" w:type="dxa"/>
                  <w:tcBorders>
                    <w:top w:val="single" w:color="auto" w:sz="6" w:space="0"/>
                    <w:left w:val="single" w:color="auto" w:sz="6" w:space="0"/>
                    <w:bottom w:val="single" w:color="auto" w:sz="6" w:space="0"/>
                    <w:right w:val="single" w:color="auto" w:sz="6" w:space="0"/>
                  </w:tcBorders>
                  <w:vAlign w:val="center"/>
                </w:tcPr>
                <w:p w14:paraId="2E91E522">
                  <w:pPr>
                    <w:jc w:val="center"/>
                    <w:rPr>
                      <w:rFonts w:hint="eastAsia" w:ascii="Times New Roman" w:hAnsi="Times New Roman" w:eastAsia="宋体" w:cs="Times New Roman"/>
                      <w:color w:val="auto"/>
                      <w:highlight w:val="none"/>
                      <w:lang w:eastAsia="zh-CN"/>
                    </w:rPr>
                  </w:pPr>
                  <w:r>
                    <w:rPr>
                      <w:rFonts w:hint="eastAsia" w:cs="Times New Roman"/>
                      <w:color w:val="auto"/>
                      <w:highlight w:val="none"/>
                      <w:lang w:val="en-US" w:eastAsia="zh-CN"/>
                    </w:rPr>
                    <w:t>2</w:t>
                  </w:r>
                </w:p>
              </w:tc>
              <w:tc>
                <w:tcPr>
                  <w:tcW w:w="1191" w:type="dxa"/>
                  <w:tcBorders>
                    <w:top w:val="single" w:color="auto" w:sz="6" w:space="0"/>
                    <w:left w:val="single" w:color="auto" w:sz="6" w:space="0"/>
                    <w:bottom w:val="single" w:color="auto" w:sz="6" w:space="0"/>
                    <w:right w:val="single" w:color="auto" w:sz="6" w:space="0"/>
                  </w:tcBorders>
                  <w:vAlign w:val="center"/>
                </w:tcPr>
                <w:p w14:paraId="7312AFDD">
                  <w:pPr>
                    <w:jc w:val="center"/>
                    <w:rPr>
                      <w:rFonts w:hint="eastAsia" w:ascii="Calibri" w:hAnsi="Calibri"/>
                      <w:color w:val="auto"/>
                      <w:highlight w:val="none"/>
                      <w:lang w:eastAsia="zh-CN"/>
                    </w:rPr>
                  </w:pPr>
                  <w:r>
                    <w:rPr>
                      <w:rFonts w:hint="eastAsia" w:ascii="Calibri" w:hAnsi="Calibri"/>
                      <w:color w:val="auto"/>
                      <w:highlight w:val="none"/>
                      <w:lang w:eastAsia="zh-CN"/>
                    </w:rPr>
                    <w:t>生产车间</w:t>
                  </w:r>
                </w:p>
              </w:tc>
            </w:tr>
            <w:tr w14:paraId="0D142B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7" w:hRule="exact"/>
                <w:jc w:val="center"/>
              </w:trPr>
              <w:tc>
                <w:tcPr>
                  <w:tcW w:w="759" w:type="dxa"/>
                  <w:tcBorders>
                    <w:top w:val="single" w:color="auto" w:sz="6" w:space="0"/>
                    <w:left w:val="single" w:color="auto" w:sz="6" w:space="0"/>
                    <w:bottom w:val="single" w:color="auto" w:sz="6" w:space="0"/>
                    <w:right w:val="single" w:color="auto" w:sz="6" w:space="0"/>
                  </w:tcBorders>
                  <w:vAlign w:val="center"/>
                </w:tcPr>
                <w:p w14:paraId="03C1975F">
                  <w:pPr>
                    <w:numPr>
                      <w:ilvl w:val="0"/>
                      <w:numId w:val="4"/>
                    </w:numPr>
                    <w:adjustRightInd w:val="0"/>
                    <w:snapToGrid w:val="0"/>
                    <w:ind w:left="425" w:leftChars="0" w:hanging="425" w:firstLineChars="0"/>
                    <w:jc w:val="center"/>
                    <w:rPr>
                      <w:rFonts w:hint="eastAsia"/>
                      <w:color w:val="auto"/>
                      <w:highlight w:val="none"/>
                    </w:rPr>
                  </w:pPr>
                </w:p>
              </w:tc>
              <w:tc>
                <w:tcPr>
                  <w:tcW w:w="2818" w:type="dxa"/>
                  <w:tcBorders>
                    <w:top w:val="single" w:color="auto" w:sz="6" w:space="0"/>
                    <w:left w:val="single" w:color="auto" w:sz="6" w:space="0"/>
                    <w:bottom w:val="single" w:color="auto" w:sz="6" w:space="0"/>
                    <w:right w:val="single" w:color="auto" w:sz="4" w:space="0"/>
                  </w:tcBorders>
                  <w:vAlign w:val="center"/>
                </w:tcPr>
                <w:p w14:paraId="591F60BA">
                  <w:pPr>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封边皮带输送机</w:t>
                  </w:r>
                </w:p>
              </w:tc>
              <w:tc>
                <w:tcPr>
                  <w:tcW w:w="1959" w:type="dxa"/>
                  <w:tcBorders>
                    <w:top w:val="single" w:color="auto" w:sz="6" w:space="0"/>
                    <w:left w:val="single" w:color="auto" w:sz="6" w:space="0"/>
                    <w:bottom w:val="single" w:color="auto" w:sz="6" w:space="0"/>
                    <w:right w:val="single" w:color="auto" w:sz="4" w:space="0"/>
                  </w:tcBorders>
                  <w:shd w:val="clear" w:color="auto" w:fill="auto"/>
                  <w:vAlign w:val="center"/>
                </w:tcPr>
                <w:p w14:paraId="73935ECF">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1*8m</w:t>
                  </w:r>
                </w:p>
              </w:tc>
              <w:tc>
                <w:tcPr>
                  <w:tcW w:w="1191" w:type="dxa"/>
                  <w:tcBorders>
                    <w:top w:val="single" w:color="auto" w:sz="6" w:space="0"/>
                    <w:left w:val="single" w:color="auto" w:sz="6" w:space="0"/>
                    <w:bottom w:val="single" w:color="auto" w:sz="6" w:space="0"/>
                    <w:right w:val="single" w:color="auto" w:sz="6" w:space="0"/>
                  </w:tcBorders>
                  <w:vAlign w:val="center"/>
                </w:tcPr>
                <w:p w14:paraId="205032FB">
                  <w:pPr>
                    <w:jc w:val="center"/>
                    <w:rPr>
                      <w:rFonts w:hint="eastAsia" w:ascii="Times New Roman" w:hAnsi="Times New Roman" w:eastAsia="宋体" w:cs="Times New Roman"/>
                      <w:color w:val="auto"/>
                      <w:highlight w:val="none"/>
                      <w:lang w:eastAsia="zh-CN"/>
                    </w:rPr>
                  </w:pPr>
                  <w:r>
                    <w:rPr>
                      <w:rFonts w:hint="eastAsia" w:cs="Times New Roman"/>
                      <w:color w:val="auto"/>
                      <w:highlight w:val="none"/>
                      <w:lang w:val="en-US" w:eastAsia="zh-CN"/>
                    </w:rPr>
                    <w:t>2</w:t>
                  </w:r>
                </w:p>
              </w:tc>
              <w:tc>
                <w:tcPr>
                  <w:tcW w:w="1191" w:type="dxa"/>
                  <w:tcBorders>
                    <w:top w:val="single" w:color="auto" w:sz="6" w:space="0"/>
                    <w:left w:val="single" w:color="auto" w:sz="6" w:space="0"/>
                    <w:bottom w:val="single" w:color="auto" w:sz="6" w:space="0"/>
                    <w:right w:val="single" w:color="auto" w:sz="6" w:space="0"/>
                  </w:tcBorders>
                  <w:vAlign w:val="center"/>
                </w:tcPr>
                <w:p w14:paraId="2AE949B0">
                  <w:pPr>
                    <w:jc w:val="center"/>
                    <w:rPr>
                      <w:rFonts w:hint="eastAsia" w:ascii="Calibri" w:hAnsi="Calibri"/>
                      <w:color w:val="auto"/>
                      <w:highlight w:val="none"/>
                      <w:lang w:eastAsia="zh-CN"/>
                    </w:rPr>
                  </w:pPr>
                  <w:r>
                    <w:rPr>
                      <w:rFonts w:hint="eastAsia" w:ascii="Calibri" w:hAnsi="Calibri"/>
                      <w:color w:val="auto"/>
                      <w:highlight w:val="none"/>
                      <w:lang w:eastAsia="zh-CN"/>
                    </w:rPr>
                    <w:t>生产车间</w:t>
                  </w:r>
                </w:p>
              </w:tc>
            </w:tr>
            <w:tr w14:paraId="3531A6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7" w:hRule="exact"/>
                <w:jc w:val="center"/>
              </w:trPr>
              <w:tc>
                <w:tcPr>
                  <w:tcW w:w="759" w:type="dxa"/>
                  <w:tcBorders>
                    <w:top w:val="single" w:color="auto" w:sz="6" w:space="0"/>
                    <w:left w:val="single" w:color="auto" w:sz="6" w:space="0"/>
                    <w:bottom w:val="single" w:color="auto" w:sz="6" w:space="0"/>
                    <w:right w:val="single" w:color="auto" w:sz="6" w:space="0"/>
                  </w:tcBorders>
                  <w:vAlign w:val="center"/>
                </w:tcPr>
                <w:p w14:paraId="4F41ADDA">
                  <w:pPr>
                    <w:numPr>
                      <w:ilvl w:val="0"/>
                      <w:numId w:val="4"/>
                    </w:numPr>
                    <w:adjustRightInd w:val="0"/>
                    <w:snapToGrid w:val="0"/>
                    <w:ind w:left="425" w:leftChars="0" w:hanging="425" w:firstLineChars="0"/>
                    <w:jc w:val="center"/>
                    <w:rPr>
                      <w:rFonts w:hint="eastAsia"/>
                      <w:color w:val="auto"/>
                      <w:highlight w:val="none"/>
                    </w:rPr>
                  </w:pPr>
                </w:p>
              </w:tc>
              <w:tc>
                <w:tcPr>
                  <w:tcW w:w="2818" w:type="dxa"/>
                  <w:tcBorders>
                    <w:top w:val="single" w:color="auto" w:sz="6" w:space="0"/>
                    <w:left w:val="single" w:color="auto" w:sz="6" w:space="0"/>
                    <w:bottom w:val="single" w:color="auto" w:sz="6" w:space="0"/>
                    <w:right w:val="single" w:color="auto" w:sz="4" w:space="0"/>
                  </w:tcBorders>
                  <w:vAlign w:val="center"/>
                </w:tcPr>
                <w:p w14:paraId="14CA2138">
                  <w:pPr>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地坑绞龙</w:t>
                  </w:r>
                </w:p>
              </w:tc>
              <w:tc>
                <w:tcPr>
                  <w:tcW w:w="1959" w:type="dxa"/>
                  <w:tcBorders>
                    <w:top w:val="single" w:color="auto" w:sz="6" w:space="0"/>
                    <w:left w:val="single" w:color="auto" w:sz="6" w:space="0"/>
                    <w:bottom w:val="single" w:color="auto" w:sz="6" w:space="0"/>
                    <w:right w:val="single" w:color="auto" w:sz="4" w:space="0"/>
                  </w:tcBorders>
                  <w:vAlign w:val="center"/>
                </w:tcPr>
                <w:p w14:paraId="55AF1BB2">
                  <w:pPr>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1.5*4m</w:t>
                  </w:r>
                </w:p>
              </w:tc>
              <w:tc>
                <w:tcPr>
                  <w:tcW w:w="1191" w:type="dxa"/>
                  <w:tcBorders>
                    <w:top w:val="single" w:color="auto" w:sz="6" w:space="0"/>
                    <w:left w:val="single" w:color="auto" w:sz="6" w:space="0"/>
                    <w:bottom w:val="single" w:color="auto" w:sz="6" w:space="0"/>
                    <w:right w:val="single" w:color="auto" w:sz="6" w:space="0"/>
                  </w:tcBorders>
                  <w:vAlign w:val="center"/>
                </w:tcPr>
                <w:p w14:paraId="130AE41D">
                  <w:pPr>
                    <w:jc w:val="center"/>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4</w:t>
                  </w:r>
                </w:p>
              </w:tc>
              <w:tc>
                <w:tcPr>
                  <w:tcW w:w="1191" w:type="dxa"/>
                  <w:tcBorders>
                    <w:top w:val="single" w:color="auto" w:sz="6" w:space="0"/>
                    <w:left w:val="single" w:color="auto" w:sz="6" w:space="0"/>
                    <w:bottom w:val="single" w:color="auto" w:sz="6" w:space="0"/>
                    <w:right w:val="single" w:color="auto" w:sz="6" w:space="0"/>
                  </w:tcBorders>
                  <w:vAlign w:val="center"/>
                </w:tcPr>
                <w:p w14:paraId="7D19112B">
                  <w:pPr>
                    <w:jc w:val="center"/>
                    <w:rPr>
                      <w:rFonts w:hint="eastAsia" w:ascii="Calibri" w:hAnsi="Calibri"/>
                      <w:color w:val="auto"/>
                      <w:highlight w:val="none"/>
                      <w:lang w:eastAsia="zh-CN"/>
                    </w:rPr>
                  </w:pPr>
                  <w:r>
                    <w:rPr>
                      <w:rFonts w:hint="eastAsia" w:ascii="Calibri" w:hAnsi="Calibri"/>
                      <w:color w:val="auto"/>
                      <w:highlight w:val="none"/>
                      <w:lang w:eastAsia="zh-CN"/>
                    </w:rPr>
                    <w:t>生产车间</w:t>
                  </w:r>
                </w:p>
              </w:tc>
            </w:tr>
            <w:tr w14:paraId="7B84DC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7" w:hRule="exact"/>
                <w:jc w:val="center"/>
              </w:trPr>
              <w:tc>
                <w:tcPr>
                  <w:tcW w:w="759" w:type="dxa"/>
                  <w:tcBorders>
                    <w:top w:val="single" w:color="auto" w:sz="6" w:space="0"/>
                    <w:left w:val="single" w:color="auto" w:sz="6" w:space="0"/>
                    <w:bottom w:val="single" w:color="auto" w:sz="6" w:space="0"/>
                    <w:right w:val="single" w:color="auto" w:sz="6" w:space="0"/>
                  </w:tcBorders>
                  <w:vAlign w:val="center"/>
                </w:tcPr>
                <w:p w14:paraId="3F923279">
                  <w:pPr>
                    <w:numPr>
                      <w:ilvl w:val="0"/>
                      <w:numId w:val="4"/>
                    </w:numPr>
                    <w:adjustRightInd w:val="0"/>
                    <w:snapToGrid w:val="0"/>
                    <w:ind w:left="425" w:leftChars="0" w:hanging="425" w:firstLineChars="0"/>
                    <w:jc w:val="center"/>
                    <w:rPr>
                      <w:rFonts w:hint="eastAsia"/>
                      <w:color w:val="auto"/>
                      <w:highlight w:val="none"/>
                    </w:rPr>
                  </w:pPr>
                </w:p>
              </w:tc>
              <w:tc>
                <w:tcPr>
                  <w:tcW w:w="2818" w:type="dxa"/>
                  <w:tcBorders>
                    <w:top w:val="single" w:color="auto" w:sz="6" w:space="0"/>
                    <w:left w:val="single" w:color="auto" w:sz="6" w:space="0"/>
                    <w:bottom w:val="single" w:color="auto" w:sz="6" w:space="0"/>
                    <w:right w:val="single" w:color="auto" w:sz="4" w:space="0"/>
                  </w:tcBorders>
                  <w:vAlign w:val="center"/>
                </w:tcPr>
                <w:p w14:paraId="2304357F">
                  <w:pPr>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地坑绞龙</w:t>
                  </w:r>
                </w:p>
              </w:tc>
              <w:tc>
                <w:tcPr>
                  <w:tcW w:w="1959" w:type="dxa"/>
                  <w:tcBorders>
                    <w:top w:val="single" w:color="auto" w:sz="6" w:space="0"/>
                    <w:left w:val="single" w:color="auto" w:sz="6" w:space="0"/>
                    <w:bottom w:val="single" w:color="auto" w:sz="6" w:space="0"/>
                    <w:right w:val="single" w:color="auto" w:sz="4" w:space="0"/>
                  </w:tcBorders>
                  <w:vAlign w:val="center"/>
                </w:tcPr>
                <w:p w14:paraId="106360A7">
                  <w:pPr>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1.5*6m</w:t>
                  </w:r>
                </w:p>
              </w:tc>
              <w:tc>
                <w:tcPr>
                  <w:tcW w:w="1191" w:type="dxa"/>
                  <w:tcBorders>
                    <w:top w:val="single" w:color="auto" w:sz="6" w:space="0"/>
                    <w:left w:val="single" w:color="auto" w:sz="6" w:space="0"/>
                    <w:bottom w:val="single" w:color="auto" w:sz="6" w:space="0"/>
                    <w:right w:val="single" w:color="auto" w:sz="6" w:space="0"/>
                  </w:tcBorders>
                  <w:vAlign w:val="center"/>
                </w:tcPr>
                <w:p w14:paraId="62E0EFCF">
                  <w:pPr>
                    <w:jc w:val="center"/>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2</w:t>
                  </w:r>
                </w:p>
              </w:tc>
              <w:tc>
                <w:tcPr>
                  <w:tcW w:w="1191" w:type="dxa"/>
                  <w:tcBorders>
                    <w:top w:val="single" w:color="auto" w:sz="6" w:space="0"/>
                    <w:left w:val="single" w:color="auto" w:sz="6" w:space="0"/>
                    <w:bottom w:val="single" w:color="auto" w:sz="6" w:space="0"/>
                    <w:right w:val="single" w:color="auto" w:sz="6" w:space="0"/>
                  </w:tcBorders>
                  <w:vAlign w:val="center"/>
                </w:tcPr>
                <w:p w14:paraId="49A9BBF0">
                  <w:pPr>
                    <w:jc w:val="center"/>
                    <w:rPr>
                      <w:rFonts w:hint="eastAsia" w:ascii="Calibri" w:hAnsi="Calibri"/>
                      <w:color w:val="auto"/>
                      <w:highlight w:val="none"/>
                      <w:lang w:eastAsia="zh-CN"/>
                    </w:rPr>
                  </w:pPr>
                  <w:r>
                    <w:rPr>
                      <w:rFonts w:hint="eastAsia" w:ascii="Calibri" w:hAnsi="Calibri"/>
                      <w:color w:val="auto"/>
                      <w:highlight w:val="none"/>
                      <w:lang w:eastAsia="zh-CN"/>
                    </w:rPr>
                    <w:t>生产车间</w:t>
                  </w:r>
                </w:p>
              </w:tc>
            </w:tr>
            <w:tr w14:paraId="672166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7" w:hRule="exact"/>
                <w:jc w:val="center"/>
              </w:trPr>
              <w:tc>
                <w:tcPr>
                  <w:tcW w:w="759" w:type="dxa"/>
                  <w:tcBorders>
                    <w:top w:val="single" w:color="auto" w:sz="6" w:space="0"/>
                    <w:left w:val="single" w:color="auto" w:sz="6" w:space="0"/>
                    <w:bottom w:val="single" w:color="auto" w:sz="6" w:space="0"/>
                    <w:right w:val="single" w:color="auto" w:sz="6" w:space="0"/>
                  </w:tcBorders>
                  <w:vAlign w:val="center"/>
                </w:tcPr>
                <w:p w14:paraId="19D635FF">
                  <w:pPr>
                    <w:numPr>
                      <w:ilvl w:val="0"/>
                      <w:numId w:val="4"/>
                    </w:numPr>
                    <w:adjustRightInd w:val="0"/>
                    <w:snapToGrid w:val="0"/>
                    <w:ind w:left="425" w:leftChars="0" w:hanging="425" w:firstLineChars="0"/>
                    <w:jc w:val="center"/>
                    <w:rPr>
                      <w:rFonts w:hint="eastAsia"/>
                      <w:color w:val="auto"/>
                      <w:highlight w:val="none"/>
                    </w:rPr>
                  </w:pPr>
                </w:p>
              </w:tc>
              <w:tc>
                <w:tcPr>
                  <w:tcW w:w="2818" w:type="dxa"/>
                  <w:tcBorders>
                    <w:top w:val="single" w:color="auto" w:sz="6" w:space="0"/>
                    <w:left w:val="single" w:color="auto" w:sz="6" w:space="0"/>
                    <w:bottom w:val="single" w:color="auto" w:sz="6" w:space="0"/>
                    <w:right w:val="single" w:color="auto" w:sz="4" w:space="0"/>
                  </w:tcBorders>
                  <w:vAlign w:val="center"/>
                </w:tcPr>
                <w:p w14:paraId="16983B30">
                  <w:pPr>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上料绞龙</w:t>
                  </w:r>
                </w:p>
              </w:tc>
              <w:tc>
                <w:tcPr>
                  <w:tcW w:w="1959" w:type="dxa"/>
                  <w:tcBorders>
                    <w:top w:val="single" w:color="auto" w:sz="6" w:space="0"/>
                    <w:left w:val="single" w:color="auto" w:sz="6" w:space="0"/>
                    <w:bottom w:val="single" w:color="auto" w:sz="6" w:space="0"/>
                    <w:right w:val="single" w:color="auto" w:sz="4" w:space="0"/>
                  </w:tcBorders>
                  <w:vAlign w:val="center"/>
                </w:tcPr>
                <w:p w14:paraId="40A5CF82">
                  <w:pPr>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273*8m</w:t>
                  </w:r>
                </w:p>
              </w:tc>
              <w:tc>
                <w:tcPr>
                  <w:tcW w:w="1191" w:type="dxa"/>
                  <w:tcBorders>
                    <w:top w:val="single" w:color="auto" w:sz="6" w:space="0"/>
                    <w:left w:val="single" w:color="auto" w:sz="6" w:space="0"/>
                    <w:bottom w:val="single" w:color="auto" w:sz="6" w:space="0"/>
                    <w:right w:val="single" w:color="auto" w:sz="6" w:space="0"/>
                  </w:tcBorders>
                  <w:vAlign w:val="center"/>
                </w:tcPr>
                <w:p w14:paraId="1C724B28">
                  <w:pPr>
                    <w:jc w:val="center"/>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6</w:t>
                  </w:r>
                </w:p>
              </w:tc>
              <w:tc>
                <w:tcPr>
                  <w:tcW w:w="1191" w:type="dxa"/>
                  <w:tcBorders>
                    <w:top w:val="single" w:color="auto" w:sz="6" w:space="0"/>
                    <w:left w:val="single" w:color="auto" w:sz="6" w:space="0"/>
                    <w:bottom w:val="single" w:color="auto" w:sz="6" w:space="0"/>
                    <w:right w:val="single" w:color="auto" w:sz="6" w:space="0"/>
                  </w:tcBorders>
                  <w:vAlign w:val="center"/>
                </w:tcPr>
                <w:p w14:paraId="48EF2609">
                  <w:pPr>
                    <w:jc w:val="center"/>
                    <w:rPr>
                      <w:rFonts w:hint="eastAsia" w:ascii="Calibri" w:hAnsi="Calibri"/>
                      <w:color w:val="auto"/>
                      <w:highlight w:val="none"/>
                      <w:lang w:eastAsia="zh-CN"/>
                    </w:rPr>
                  </w:pPr>
                  <w:r>
                    <w:rPr>
                      <w:rFonts w:hint="eastAsia" w:ascii="Calibri" w:hAnsi="Calibri"/>
                      <w:color w:val="auto"/>
                      <w:highlight w:val="none"/>
                      <w:lang w:eastAsia="zh-CN"/>
                    </w:rPr>
                    <w:t>生产车间</w:t>
                  </w:r>
                </w:p>
              </w:tc>
            </w:tr>
            <w:tr w14:paraId="03BBCE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7" w:hRule="exact"/>
                <w:jc w:val="center"/>
              </w:trPr>
              <w:tc>
                <w:tcPr>
                  <w:tcW w:w="759" w:type="dxa"/>
                  <w:tcBorders>
                    <w:top w:val="single" w:color="auto" w:sz="6" w:space="0"/>
                    <w:left w:val="single" w:color="auto" w:sz="6" w:space="0"/>
                    <w:bottom w:val="single" w:color="auto" w:sz="6" w:space="0"/>
                    <w:right w:val="single" w:color="auto" w:sz="6" w:space="0"/>
                  </w:tcBorders>
                  <w:vAlign w:val="center"/>
                </w:tcPr>
                <w:p w14:paraId="52AC8D58">
                  <w:pPr>
                    <w:numPr>
                      <w:ilvl w:val="0"/>
                      <w:numId w:val="4"/>
                    </w:numPr>
                    <w:adjustRightInd w:val="0"/>
                    <w:snapToGrid w:val="0"/>
                    <w:ind w:left="425" w:leftChars="0" w:hanging="425" w:firstLineChars="0"/>
                    <w:jc w:val="center"/>
                    <w:rPr>
                      <w:rFonts w:hint="eastAsia"/>
                      <w:color w:val="auto"/>
                      <w:highlight w:val="none"/>
                    </w:rPr>
                  </w:pPr>
                </w:p>
              </w:tc>
              <w:tc>
                <w:tcPr>
                  <w:tcW w:w="2818" w:type="dxa"/>
                  <w:tcBorders>
                    <w:top w:val="single" w:color="auto" w:sz="6" w:space="0"/>
                    <w:left w:val="single" w:color="auto" w:sz="6" w:space="0"/>
                    <w:bottom w:val="single" w:color="auto" w:sz="6" w:space="0"/>
                    <w:right w:val="single" w:color="auto" w:sz="4" w:space="0"/>
                  </w:tcBorders>
                  <w:vAlign w:val="center"/>
                </w:tcPr>
                <w:p w14:paraId="02D1BC4A">
                  <w:pPr>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新款</w:t>
                  </w:r>
                  <w:r>
                    <w:rPr>
                      <w:rFonts w:hint="eastAsia" w:cs="Times New Roman"/>
                      <w:color w:val="auto"/>
                      <w:highlight w:val="none"/>
                      <w:lang w:val="en-US" w:eastAsia="zh-CN"/>
                    </w:rPr>
                    <w:t>850</w:t>
                  </w:r>
                  <w:r>
                    <w:rPr>
                      <w:rFonts w:hint="eastAsia" w:ascii="Times New Roman" w:hAnsi="Times New Roman" w:eastAsia="宋体" w:cs="Times New Roman"/>
                      <w:color w:val="auto"/>
                      <w:highlight w:val="none"/>
                      <w:lang w:val="en-US" w:eastAsia="zh-CN"/>
                    </w:rPr>
                    <w:t>下拨料颗粒机</w:t>
                  </w:r>
                </w:p>
              </w:tc>
              <w:tc>
                <w:tcPr>
                  <w:tcW w:w="1959" w:type="dxa"/>
                  <w:tcBorders>
                    <w:top w:val="single" w:color="auto" w:sz="6" w:space="0"/>
                    <w:left w:val="single" w:color="auto" w:sz="6" w:space="0"/>
                    <w:bottom w:val="single" w:color="auto" w:sz="6" w:space="0"/>
                    <w:right w:val="single" w:color="auto" w:sz="4" w:space="0"/>
                  </w:tcBorders>
                  <w:vAlign w:val="center"/>
                </w:tcPr>
                <w:p w14:paraId="39785346">
                  <w:pPr>
                    <w:jc w:val="center"/>
                    <w:rPr>
                      <w:rFonts w:hint="default" w:ascii="Times New Roman" w:hAnsi="Times New Roman" w:eastAsia="宋体" w:cs="Times New Roman"/>
                      <w:color w:val="auto"/>
                      <w:highlight w:val="none"/>
                      <w:lang w:val="en-US"/>
                    </w:rPr>
                  </w:pPr>
                  <w:r>
                    <w:rPr>
                      <w:rFonts w:hint="eastAsia" w:cs="Times New Roman"/>
                      <w:color w:val="auto"/>
                      <w:highlight w:val="none"/>
                      <w:lang w:val="en-US" w:eastAsia="zh-CN"/>
                    </w:rPr>
                    <w:t>850</w:t>
                  </w:r>
                </w:p>
              </w:tc>
              <w:tc>
                <w:tcPr>
                  <w:tcW w:w="1191" w:type="dxa"/>
                  <w:tcBorders>
                    <w:top w:val="single" w:color="auto" w:sz="6" w:space="0"/>
                    <w:left w:val="single" w:color="auto" w:sz="6" w:space="0"/>
                    <w:bottom w:val="single" w:color="auto" w:sz="6" w:space="0"/>
                    <w:right w:val="single" w:color="auto" w:sz="6" w:space="0"/>
                  </w:tcBorders>
                  <w:vAlign w:val="center"/>
                </w:tcPr>
                <w:p w14:paraId="011C93A4">
                  <w:pPr>
                    <w:jc w:val="center"/>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6</w:t>
                  </w:r>
                </w:p>
              </w:tc>
              <w:tc>
                <w:tcPr>
                  <w:tcW w:w="1191" w:type="dxa"/>
                  <w:tcBorders>
                    <w:top w:val="single" w:color="auto" w:sz="6" w:space="0"/>
                    <w:left w:val="single" w:color="auto" w:sz="6" w:space="0"/>
                    <w:bottom w:val="single" w:color="auto" w:sz="6" w:space="0"/>
                    <w:right w:val="single" w:color="auto" w:sz="6" w:space="0"/>
                  </w:tcBorders>
                  <w:vAlign w:val="center"/>
                </w:tcPr>
                <w:p w14:paraId="003C673C">
                  <w:pPr>
                    <w:jc w:val="center"/>
                    <w:rPr>
                      <w:rFonts w:hint="eastAsia" w:ascii="Calibri" w:hAnsi="Calibri"/>
                      <w:color w:val="auto"/>
                      <w:highlight w:val="none"/>
                      <w:lang w:eastAsia="zh-CN"/>
                    </w:rPr>
                  </w:pPr>
                  <w:r>
                    <w:rPr>
                      <w:rFonts w:hint="eastAsia" w:ascii="Calibri" w:hAnsi="Calibri"/>
                      <w:color w:val="auto"/>
                      <w:highlight w:val="none"/>
                      <w:lang w:eastAsia="zh-CN"/>
                    </w:rPr>
                    <w:t>生产车间</w:t>
                  </w:r>
                </w:p>
              </w:tc>
            </w:tr>
            <w:tr w14:paraId="51C4F3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7" w:hRule="exact"/>
                <w:jc w:val="center"/>
              </w:trPr>
              <w:tc>
                <w:tcPr>
                  <w:tcW w:w="759" w:type="dxa"/>
                  <w:tcBorders>
                    <w:top w:val="single" w:color="auto" w:sz="6" w:space="0"/>
                    <w:left w:val="single" w:color="auto" w:sz="6" w:space="0"/>
                    <w:bottom w:val="single" w:color="auto" w:sz="6" w:space="0"/>
                    <w:right w:val="single" w:color="auto" w:sz="6" w:space="0"/>
                  </w:tcBorders>
                  <w:vAlign w:val="center"/>
                </w:tcPr>
                <w:p w14:paraId="55386EEA">
                  <w:pPr>
                    <w:numPr>
                      <w:ilvl w:val="0"/>
                      <w:numId w:val="4"/>
                    </w:numPr>
                    <w:adjustRightInd w:val="0"/>
                    <w:snapToGrid w:val="0"/>
                    <w:ind w:left="425" w:leftChars="0" w:hanging="425" w:firstLineChars="0"/>
                    <w:jc w:val="center"/>
                    <w:rPr>
                      <w:rFonts w:hint="eastAsia"/>
                      <w:color w:val="auto"/>
                      <w:highlight w:val="none"/>
                    </w:rPr>
                  </w:pPr>
                </w:p>
              </w:tc>
              <w:tc>
                <w:tcPr>
                  <w:tcW w:w="2818" w:type="dxa"/>
                  <w:tcBorders>
                    <w:top w:val="single" w:color="auto" w:sz="6" w:space="0"/>
                    <w:left w:val="single" w:color="auto" w:sz="6" w:space="0"/>
                    <w:bottom w:val="single" w:color="auto" w:sz="6" w:space="0"/>
                    <w:right w:val="single" w:color="auto" w:sz="4" w:space="0"/>
                  </w:tcBorders>
                  <w:vAlign w:val="center"/>
                </w:tcPr>
                <w:p w14:paraId="0CD59485">
                  <w:pPr>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封边皮带输送机</w:t>
                  </w:r>
                </w:p>
              </w:tc>
              <w:tc>
                <w:tcPr>
                  <w:tcW w:w="1959" w:type="dxa"/>
                  <w:tcBorders>
                    <w:top w:val="single" w:color="auto" w:sz="6" w:space="0"/>
                    <w:left w:val="single" w:color="auto" w:sz="6" w:space="0"/>
                    <w:bottom w:val="single" w:color="auto" w:sz="6" w:space="0"/>
                    <w:right w:val="single" w:color="auto" w:sz="4" w:space="0"/>
                  </w:tcBorders>
                  <w:vAlign w:val="center"/>
                </w:tcPr>
                <w:p w14:paraId="41CE027D">
                  <w:pPr>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60*8m</w:t>
                  </w:r>
                </w:p>
              </w:tc>
              <w:tc>
                <w:tcPr>
                  <w:tcW w:w="1191" w:type="dxa"/>
                  <w:tcBorders>
                    <w:top w:val="single" w:color="auto" w:sz="6" w:space="0"/>
                    <w:left w:val="single" w:color="auto" w:sz="6" w:space="0"/>
                    <w:bottom w:val="single" w:color="auto" w:sz="6" w:space="0"/>
                    <w:right w:val="single" w:color="auto" w:sz="6" w:space="0"/>
                  </w:tcBorders>
                  <w:vAlign w:val="center"/>
                </w:tcPr>
                <w:p w14:paraId="1403AB32">
                  <w:pPr>
                    <w:jc w:val="center"/>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2</w:t>
                  </w:r>
                </w:p>
              </w:tc>
              <w:tc>
                <w:tcPr>
                  <w:tcW w:w="1191" w:type="dxa"/>
                  <w:tcBorders>
                    <w:top w:val="single" w:color="auto" w:sz="6" w:space="0"/>
                    <w:left w:val="single" w:color="auto" w:sz="6" w:space="0"/>
                    <w:bottom w:val="single" w:color="auto" w:sz="6" w:space="0"/>
                    <w:right w:val="single" w:color="auto" w:sz="6" w:space="0"/>
                  </w:tcBorders>
                  <w:vAlign w:val="center"/>
                </w:tcPr>
                <w:p w14:paraId="2F3B022B">
                  <w:pPr>
                    <w:jc w:val="center"/>
                    <w:rPr>
                      <w:rFonts w:hint="eastAsia" w:ascii="Calibri" w:hAnsi="Calibri"/>
                      <w:color w:val="auto"/>
                      <w:highlight w:val="none"/>
                      <w:lang w:eastAsia="zh-CN"/>
                    </w:rPr>
                  </w:pPr>
                  <w:r>
                    <w:rPr>
                      <w:rFonts w:hint="eastAsia" w:ascii="Calibri" w:hAnsi="Calibri"/>
                      <w:color w:val="auto"/>
                      <w:highlight w:val="none"/>
                      <w:lang w:eastAsia="zh-CN"/>
                    </w:rPr>
                    <w:t>生产车间</w:t>
                  </w:r>
                </w:p>
              </w:tc>
            </w:tr>
            <w:tr w14:paraId="47782C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7" w:hRule="exact"/>
                <w:jc w:val="center"/>
              </w:trPr>
              <w:tc>
                <w:tcPr>
                  <w:tcW w:w="759" w:type="dxa"/>
                  <w:tcBorders>
                    <w:top w:val="single" w:color="auto" w:sz="6" w:space="0"/>
                    <w:left w:val="single" w:color="auto" w:sz="6" w:space="0"/>
                    <w:bottom w:val="single" w:color="auto" w:sz="6" w:space="0"/>
                    <w:right w:val="single" w:color="auto" w:sz="6" w:space="0"/>
                  </w:tcBorders>
                  <w:vAlign w:val="center"/>
                </w:tcPr>
                <w:p w14:paraId="29EB696E">
                  <w:pPr>
                    <w:numPr>
                      <w:ilvl w:val="0"/>
                      <w:numId w:val="4"/>
                    </w:numPr>
                    <w:adjustRightInd w:val="0"/>
                    <w:snapToGrid w:val="0"/>
                    <w:ind w:left="425" w:leftChars="0" w:hanging="425" w:firstLineChars="0"/>
                    <w:jc w:val="center"/>
                    <w:rPr>
                      <w:rFonts w:hint="eastAsia"/>
                      <w:color w:val="auto"/>
                      <w:highlight w:val="none"/>
                    </w:rPr>
                  </w:pPr>
                </w:p>
              </w:tc>
              <w:tc>
                <w:tcPr>
                  <w:tcW w:w="2818" w:type="dxa"/>
                  <w:tcBorders>
                    <w:top w:val="single" w:color="auto" w:sz="6" w:space="0"/>
                    <w:left w:val="single" w:color="auto" w:sz="6" w:space="0"/>
                    <w:bottom w:val="single" w:color="auto" w:sz="6" w:space="0"/>
                    <w:right w:val="single" w:color="auto" w:sz="4" w:space="0"/>
                  </w:tcBorders>
                  <w:vAlign w:val="center"/>
                </w:tcPr>
                <w:p w14:paraId="2DE99969">
                  <w:pPr>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大倾角皮带机</w:t>
                  </w:r>
                </w:p>
              </w:tc>
              <w:tc>
                <w:tcPr>
                  <w:tcW w:w="1959" w:type="dxa"/>
                  <w:tcBorders>
                    <w:top w:val="single" w:color="auto" w:sz="6" w:space="0"/>
                    <w:left w:val="single" w:color="auto" w:sz="6" w:space="0"/>
                    <w:bottom w:val="single" w:color="auto" w:sz="6" w:space="0"/>
                    <w:right w:val="single" w:color="auto" w:sz="4" w:space="0"/>
                  </w:tcBorders>
                  <w:vAlign w:val="center"/>
                </w:tcPr>
                <w:p w14:paraId="19783235">
                  <w:pPr>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60*10m</w:t>
                  </w:r>
                </w:p>
              </w:tc>
              <w:tc>
                <w:tcPr>
                  <w:tcW w:w="1191" w:type="dxa"/>
                  <w:tcBorders>
                    <w:top w:val="single" w:color="auto" w:sz="6" w:space="0"/>
                    <w:left w:val="single" w:color="auto" w:sz="6" w:space="0"/>
                    <w:bottom w:val="single" w:color="auto" w:sz="6" w:space="0"/>
                    <w:right w:val="single" w:color="auto" w:sz="6" w:space="0"/>
                  </w:tcBorders>
                  <w:vAlign w:val="center"/>
                </w:tcPr>
                <w:p w14:paraId="31E33C2C">
                  <w:pPr>
                    <w:jc w:val="center"/>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2</w:t>
                  </w:r>
                </w:p>
              </w:tc>
              <w:tc>
                <w:tcPr>
                  <w:tcW w:w="1191" w:type="dxa"/>
                  <w:tcBorders>
                    <w:top w:val="single" w:color="auto" w:sz="6" w:space="0"/>
                    <w:left w:val="single" w:color="auto" w:sz="6" w:space="0"/>
                    <w:bottom w:val="single" w:color="auto" w:sz="6" w:space="0"/>
                    <w:right w:val="single" w:color="auto" w:sz="6" w:space="0"/>
                  </w:tcBorders>
                  <w:vAlign w:val="center"/>
                </w:tcPr>
                <w:p w14:paraId="19D8F628">
                  <w:pPr>
                    <w:jc w:val="center"/>
                    <w:rPr>
                      <w:rFonts w:hint="eastAsia" w:ascii="Calibri" w:hAnsi="Calibri"/>
                      <w:color w:val="auto"/>
                      <w:highlight w:val="none"/>
                      <w:lang w:eastAsia="zh-CN"/>
                    </w:rPr>
                  </w:pPr>
                  <w:r>
                    <w:rPr>
                      <w:rFonts w:hint="eastAsia" w:ascii="Calibri" w:hAnsi="Calibri"/>
                      <w:color w:val="auto"/>
                      <w:highlight w:val="none"/>
                      <w:lang w:eastAsia="zh-CN"/>
                    </w:rPr>
                    <w:t>生产车间</w:t>
                  </w:r>
                </w:p>
              </w:tc>
            </w:tr>
            <w:tr w14:paraId="41159B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7" w:hRule="exact"/>
                <w:jc w:val="center"/>
              </w:trPr>
              <w:tc>
                <w:tcPr>
                  <w:tcW w:w="759" w:type="dxa"/>
                  <w:tcBorders>
                    <w:top w:val="single" w:color="auto" w:sz="6" w:space="0"/>
                    <w:left w:val="single" w:color="auto" w:sz="6" w:space="0"/>
                    <w:bottom w:val="single" w:color="auto" w:sz="6" w:space="0"/>
                    <w:right w:val="single" w:color="auto" w:sz="6" w:space="0"/>
                  </w:tcBorders>
                  <w:vAlign w:val="center"/>
                </w:tcPr>
                <w:p w14:paraId="2F9782E1">
                  <w:pPr>
                    <w:numPr>
                      <w:ilvl w:val="0"/>
                      <w:numId w:val="4"/>
                    </w:numPr>
                    <w:adjustRightInd w:val="0"/>
                    <w:snapToGrid w:val="0"/>
                    <w:ind w:left="425" w:leftChars="0" w:hanging="425" w:firstLineChars="0"/>
                    <w:jc w:val="center"/>
                    <w:rPr>
                      <w:rFonts w:hint="eastAsia"/>
                      <w:color w:val="auto"/>
                      <w:highlight w:val="none"/>
                    </w:rPr>
                  </w:pPr>
                </w:p>
              </w:tc>
              <w:tc>
                <w:tcPr>
                  <w:tcW w:w="2818" w:type="dxa"/>
                  <w:tcBorders>
                    <w:top w:val="single" w:color="auto" w:sz="6" w:space="0"/>
                    <w:left w:val="single" w:color="auto" w:sz="6" w:space="0"/>
                    <w:bottom w:val="single" w:color="auto" w:sz="6" w:space="0"/>
                    <w:right w:val="single" w:color="auto" w:sz="4" w:space="0"/>
                  </w:tcBorders>
                  <w:vAlign w:val="center"/>
                </w:tcPr>
                <w:p w14:paraId="175D44C1">
                  <w:pPr>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成品仓</w:t>
                  </w:r>
                </w:p>
              </w:tc>
              <w:tc>
                <w:tcPr>
                  <w:tcW w:w="1959" w:type="dxa"/>
                  <w:tcBorders>
                    <w:top w:val="single" w:color="auto" w:sz="6" w:space="0"/>
                    <w:left w:val="single" w:color="auto" w:sz="6" w:space="0"/>
                    <w:bottom w:val="single" w:color="auto" w:sz="6" w:space="0"/>
                    <w:right w:val="single" w:color="auto" w:sz="4" w:space="0"/>
                  </w:tcBorders>
                  <w:vAlign w:val="center"/>
                </w:tcPr>
                <w:p w14:paraId="6BAB4C10">
                  <w:pPr>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80m³</w:t>
                  </w:r>
                </w:p>
              </w:tc>
              <w:tc>
                <w:tcPr>
                  <w:tcW w:w="1191" w:type="dxa"/>
                  <w:tcBorders>
                    <w:top w:val="single" w:color="auto" w:sz="6" w:space="0"/>
                    <w:left w:val="single" w:color="auto" w:sz="6" w:space="0"/>
                    <w:bottom w:val="single" w:color="auto" w:sz="6" w:space="0"/>
                    <w:right w:val="single" w:color="auto" w:sz="6" w:space="0"/>
                  </w:tcBorders>
                  <w:vAlign w:val="center"/>
                </w:tcPr>
                <w:p w14:paraId="3D7C0F5C">
                  <w:pPr>
                    <w:jc w:val="center"/>
                    <w:rPr>
                      <w:rFonts w:hint="eastAsia" w:ascii="Times New Roman" w:hAnsi="Times New Roman" w:eastAsia="宋体" w:cs="Times New Roman"/>
                      <w:color w:val="auto"/>
                      <w:highlight w:val="none"/>
                    </w:rPr>
                  </w:pPr>
                  <w:r>
                    <w:rPr>
                      <w:rFonts w:hint="eastAsia" w:cs="Times New Roman"/>
                      <w:color w:val="auto"/>
                      <w:highlight w:val="none"/>
                      <w:lang w:val="en-US" w:eastAsia="zh-CN"/>
                    </w:rPr>
                    <w:t>2</w:t>
                  </w:r>
                </w:p>
              </w:tc>
              <w:tc>
                <w:tcPr>
                  <w:tcW w:w="1191" w:type="dxa"/>
                  <w:tcBorders>
                    <w:top w:val="single" w:color="auto" w:sz="6" w:space="0"/>
                    <w:left w:val="single" w:color="auto" w:sz="6" w:space="0"/>
                    <w:bottom w:val="single" w:color="auto" w:sz="6" w:space="0"/>
                    <w:right w:val="single" w:color="auto" w:sz="6" w:space="0"/>
                  </w:tcBorders>
                  <w:vAlign w:val="center"/>
                </w:tcPr>
                <w:p w14:paraId="3B07F52E">
                  <w:pPr>
                    <w:jc w:val="center"/>
                    <w:rPr>
                      <w:rFonts w:hint="eastAsia" w:ascii="Calibri" w:hAnsi="Calibri"/>
                      <w:color w:val="auto"/>
                      <w:highlight w:val="none"/>
                      <w:lang w:eastAsia="zh-CN"/>
                    </w:rPr>
                  </w:pPr>
                  <w:r>
                    <w:rPr>
                      <w:rFonts w:hint="eastAsia" w:ascii="Calibri" w:hAnsi="Calibri"/>
                      <w:color w:val="auto"/>
                      <w:highlight w:val="none"/>
                      <w:lang w:eastAsia="zh-CN"/>
                    </w:rPr>
                    <w:t>生产车间</w:t>
                  </w:r>
                </w:p>
              </w:tc>
            </w:tr>
            <w:tr w14:paraId="194B1A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7" w:hRule="exact"/>
                <w:jc w:val="center"/>
              </w:trPr>
              <w:tc>
                <w:tcPr>
                  <w:tcW w:w="759" w:type="dxa"/>
                  <w:tcBorders>
                    <w:top w:val="single" w:color="auto" w:sz="6" w:space="0"/>
                    <w:left w:val="single" w:color="auto" w:sz="6" w:space="0"/>
                    <w:bottom w:val="single" w:color="auto" w:sz="6" w:space="0"/>
                    <w:right w:val="single" w:color="auto" w:sz="6" w:space="0"/>
                  </w:tcBorders>
                  <w:vAlign w:val="center"/>
                </w:tcPr>
                <w:p w14:paraId="412053F3">
                  <w:pPr>
                    <w:numPr>
                      <w:ilvl w:val="0"/>
                      <w:numId w:val="4"/>
                    </w:numPr>
                    <w:adjustRightInd w:val="0"/>
                    <w:snapToGrid w:val="0"/>
                    <w:ind w:left="425" w:leftChars="0" w:hanging="425" w:firstLineChars="0"/>
                    <w:jc w:val="center"/>
                    <w:rPr>
                      <w:rFonts w:hint="eastAsia"/>
                      <w:color w:val="auto"/>
                      <w:highlight w:val="none"/>
                    </w:rPr>
                  </w:pPr>
                </w:p>
              </w:tc>
              <w:tc>
                <w:tcPr>
                  <w:tcW w:w="2818" w:type="dxa"/>
                  <w:tcBorders>
                    <w:top w:val="single" w:color="auto" w:sz="6" w:space="0"/>
                    <w:left w:val="single" w:color="auto" w:sz="6" w:space="0"/>
                    <w:bottom w:val="single" w:color="auto" w:sz="6" w:space="0"/>
                    <w:right w:val="single" w:color="auto" w:sz="4" w:space="0"/>
                  </w:tcBorders>
                  <w:vAlign w:val="center"/>
                </w:tcPr>
                <w:p w14:paraId="7F528D83">
                  <w:pPr>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大倾角皮带机</w:t>
                  </w:r>
                </w:p>
              </w:tc>
              <w:tc>
                <w:tcPr>
                  <w:tcW w:w="1959" w:type="dxa"/>
                  <w:tcBorders>
                    <w:top w:val="single" w:color="auto" w:sz="6" w:space="0"/>
                    <w:left w:val="single" w:color="auto" w:sz="6" w:space="0"/>
                    <w:bottom w:val="single" w:color="auto" w:sz="6" w:space="0"/>
                    <w:right w:val="single" w:color="auto" w:sz="4" w:space="0"/>
                  </w:tcBorders>
                  <w:vAlign w:val="center"/>
                </w:tcPr>
                <w:p w14:paraId="472BBA26">
                  <w:pPr>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50*10m</w:t>
                  </w:r>
                </w:p>
              </w:tc>
              <w:tc>
                <w:tcPr>
                  <w:tcW w:w="1191" w:type="dxa"/>
                  <w:tcBorders>
                    <w:top w:val="single" w:color="auto" w:sz="6" w:space="0"/>
                    <w:left w:val="single" w:color="auto" w:sz="6" w:space="0"/>
                    <w:bottom w:val="single" w:color="auto" w:sz="6" w:space="0"/>
                    <w:right w:val="single" w:color="auto" w:sz="6" w:space="0"/>
                  </w:tcBorders>
                  <w:vAlign w:val="center"/>
                </w:tcPr>
                <w:p w14:paraId="1898229C">
                  <w:pPr>
                    <w:jc w:val="center"/>
                    <w:rPr>
                      <w:rFonts w:hint="eastAsia" w:ascii="Times New Roman" w:hAnsi="Times New Roman" w:eastAsia="宋体" w:cs="Times New Roman"/>
                      <w:color w:val="auto"/>
                      <w:highlight w:val="none"/>
                    </w:rPr>
                  </w:pPr>
                  <w:r>
                    <w:rPr>
                      <w:rFonts w:hint="eastAsia" w:cs="Times New Roman"/>
                      <w:color w:val="auto"/>
                      <w:highlight w:val="none"/>
                      <w:lang w:val="en-US" w:eastAsia="zh-CN"/>
                    </w:rPr>
                    <w:t>2</w:t>
                  </w:r>
                </w:p>
              </w:tc>
              <w:tc>
                <w:tcPr>
                  <w:tcW w:w="1191" w:type="dxa"/>
                  <w:tcBorders>
                    <w:top w:val="single" w:color="auto" w:sz="6" w:space="0"/>
                    <w:left w:val="single" w:color="auto" w:sz="6" w:space="0"/>
                    <w:bottom w:val="single" w:color="auto" w:sz="6" w:space="0"/>
                    <w:right w:val="single" w:color="auto" w:sz="6" w:space="0"/>
                  </w:tcBorders>
                  <w:vAlign w:val="center"/>
                </w:tcPr>
                <w:p w14:paraId="4A1A1622">
                  <w:pPr>
                    <w:jc w:val="center"/>
                    <w:rPr>
                      <w:rFonts w:hint="eastAsia" w:ascii="Calibri" w:hAnsi="Calibri"/>
                      <w:color w:val="auto"/>
                      <w:highlight w:val="none"/>
                      <w:lang w:eastAsia="zh-CN"/>
                    </w:rPr>
                  </w:pPr>
                  <w:r>
                    <w:rPr>
                      <w:rFonts w:hint="eastAsia" w:ascii="Calibri" w:hAnsi="Calibri"/>
                      <w:color w:val="auto"/>
                      <w:highlight w:val="none"/>
                      <w:lang w:eastAsia="zh-CN"/>
                    </w:rPr>
                    <w:t>生产车间</w:t>
                  </w:r>
                </w:p>
              </w:tc>
            </w:tr>
            <w:tr w14:paraId="17C815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7" w:hRule="exact"/>
                <w:jc w:val="center"/>
              </w:trPr>
              <w:tc>
                <w:tcPr>
                  <w:tcW w:w="759" w:type="dxa"/>
                  <w:tcBorders>
                    <w:top w:val="single" w:color="auto" w:sz="6" w:space="0"/>
                    <w:left w:val="single" w:color="auto" w:sz="6" w:space="0"/>
                    <w:bottom w:val="single" w:color="auto" w:sz="6" w:space="0"/>
                    <w:right w:val="single" w:color="auto" w:sz="6" w:space="0"/>
                  </w:tcBorders>
                  <w:vAlign w:val="center"/>
                </w:tcPr>
                <w:p w14:paraId="6C531272">
                  <w:pPr>
                    <w:numPr>
                      <w:ilvl w:val="0"/>
                      <w:numId w:val="4"/>
                    </w:numPr>
                    <w:adjustRightInd w:val="0"/>
                    <w:snapToGrid w:val="0"/>
                    <w:ind w:left="425" w:leftChars="0" w:hanging="425" w:firstLineChars="0"/>
                    <w:jc w:val="center"/>
                    <w:rPr>
                      <w:rFonts w:hint="eastAsia"/>
                      <w:color w:val="auto"/>
                      <w:highlight w:val="none"/>
                    </w:rPr>
                  </w:pPr>
                </w:p>
              </w:tc>
              <w:tc>
                <w:tcPr>
                  <w:tcW w:w="2818" w:type="dxa"/>
                  <w:tcBorders>
                    <w:top w:val="single" w:color="auto" w:sz="6" w:space="0"/>
                    <w:left w:val="single" w:color="auto" w:sz="6" w:space="0"/>
                    <w:bottom w:val="single" w:color="auto" w:sz="6" w:space="0"/>
                    <w:right w:val="single" w:color="auto" w:sz="4" w:space="0"/>
                  </w:tcBorders>
                  <w:vAlign w:val="center"/>
                </w:tcPr>
                <w:p w14:paraId="04CC6781">
                  <w:pPr>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打包机</w:t>
                  </w:r>
                </w:p>
              </w:tc>
              <w:tc>
                <w:tcPr>
                  <w:tcW w:w="1959" w:type="dxa"/>
                  <w:tcBorders>
                    <w:top w:val="single" w:color="auto" w:sz="6" w:space="0"/>
                    <w:left w:val="single" w:color="auto" w:sz="6" w:space="0"/>
                    <w:bottom w:val="single" w:color="auto" w:sz="6" w:space="0"/>
                    <w:right w:val="single" w:color="auto" w:sz="4" w:space="0"/>
                  </w:tcBorders>
                  <w:vAlign w:val="center"/>
                </w:tcPr>
                <w:p w14:paraId="0FAA6BAA">
                  <w:pPr>
                    <w:jc w:val="center"/>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val="en-US" w:eastAsia="zh-CN"/>
                    </w:rPr>
                    <w:t>/</w:t>
                  </w:r>
                </w:p>
              </w:tc>
              <w:tc>
                <w:tcPr>
                  <w:tcW w:w="1191" w:type="dxa"/>
                  <w:tcBorders>
                    <w:top w:val="single" w:color="auto" w:sz="6" w:space="0"/>
                    <w:left w:val="single" w:color="auto" w:sz="6" w:space="0"/>
                    <w:bottom w:val="single" w:color="auto" w:sz="6" w:space="0"/>
                    <w:right w:val="single" w:color="auto" w:sz="6" w:space="0"/>
                  </w:tcBorders>
                  <w:vAlign w:val="center"/>
                </w:tcPr>
                <w:p w14:paraId="34C5E6F5">
                  <w:pPr>
                    <w:jc w:val="center"/>
                    <w:rPr>
                      <w:rFonts w:hint="eastAsia" w:ascii="Times New Roman" w:hAnsi="Times New Roman" w:eastAsia="宋体" w:cs="Times New Roman"/>
                      <w:color w:val="auto"/>
                      <w:highlight w:val="none"/>
                    </w:rPr>
                  </w:pPr>
                  <w:r>
                    <w:rPr>
                      <w:rFonts w:hint="eastAsia" w:cs="Times New Roman"/>
                      <w:color w:val="auto"/>
                      <w:highlight w:val="none"/>
                      <w:lang w:val="en-US" w:eastAsia="zh-CN"/>
                    </w:rPr>
                    <w:t>2</w:t>
                  </w:r>
                </w:p>
              </w:tc>
              <w:tc>
                <w:tcPr>
                  <w:tcW w:w="1191" w:type="dxa"/>
                  <w:tcBorders>
                    <w:top w:val="single" w:color="auto" w:sz="6" w:space="0"/>
                    <w:left w:val="single" w:color="auto" w:sz="6" w:space="0"/>
                    <w:bottom w:val="single" w:color="auto" w:sz="6" w:space="0"/>
                    <w:right w:val="single" w:color="auto" w:sz="6" w:space="0"/>
                  </w:tcBorders>
                  <w:vAlign w:val="center"/>
                </w:tcPr>
                <w:p w14:paraId="0A0718C1">
                  <w:pPr>
                    <w:jc w:val="center"/>
                    <w:rPr>
                      <w:rFonts w:hint="eastAsia" w:ascii="Calibri" w:hAnsi="Calibri"/>
                      <w:color w:val="auto"/>
                      <w:highlight w:val="none"/>
                      <w:lang w:eastAsia="zh-CN"/>
                    </w:rPr>
                  </w:pPr>
                  <w:r>
                    <w:rPr>
                      <w:rFonts w:hint="eastAsia" w:ascii="Calibri" w:hAnsi="Calibri"/>
                      <w:color w:val="auto"/>
                      <w:highlight w:val="none"/>
                      <w:lang w:eastAsia="zh-CN"/>
                    </w:rPr>
                    <w:t>生产车间</w:t>
                  </w:r>
                </w:p>
              </w:tc>
            </w:tr>
            <w:tr w14:paraId="31C13E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7" w:hRule="exact"/>
                <w:jc w:val="center"/>
              </w:trPr>
              <w:tc>
                <w:tcPr>
                  <w:tcW w:w="759" w:type="dxa"/>
                  <w:tcBorders>
                    <w:top w:val="single" w:color="auto" w:sz="6" w:space="0"/>
                    <w:left w:val="single" w:color="auto" w:sz="6" w:space="0"/>
                    <w:bottom w:val="single" w:color="auto" w:sz="6" w:space="0"/>
                    <w:right w:val="single" w:color="auto" w:sz="6" w:space="0"/>
                  </w:tcBorders>
                  <w:vAlign w:val="center"/>
                </w:tcPr>
                <w:p w14:paraId="3DF84E98">
                  <w:pPr>
                    <w:numPr>
                      <w:ilvl w:val="0"/>
                      <w:numId w:val="4"/>
                    </w:numPr>
                    <w:adjustRightInd w:val="0"/>
                    <w:snapToGrid w:val="0"/>
                    <w:ind w:left="425" w:leftChars="0" w:hanging="425" w:firstLineChars="0"/>
                    <w:jc w:val="center"/>
                    <w:rPr>
                      <w:rFonts w:hint="eastAsia"/>
                      <w:color w:val="auto"/>
                      <w:highlight w:val="none"/>
                    </w:rPr>
                  </w:pPr>
                </w:p>
              </w:tc>
              <w:tc>
                <w:tcPr>
                  <w:tcW w:w="2818" w:type="dxa"/>
                  <w:tcBorders>
                    <w:top w:val="single" w:color="auto" w:sz="6" w:space="0"/>
                    <w:left w:val="single" w:color="auto" w:sz="6" w:space="0"/>
                    <w:bottom w:val="single" w:color="auto" w:sz="6" w:space="0"/>
                    <w:right w:val="single" w:color="auto" w:sz="4" w:space="0"/>
                  </w:tcBorders>
                  <w:vAlign w:val="center"/>
                </w:tcPr>
                <w:p w14:paraId="63B6912E">
                  <w:pPr>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打包机输送带</w:t>
                  </w:r>
                </w:p>
              </w:tc>
              <w:tc>
                <w:tcPr>
                  <w:tcW w:w="1959" w:type="dxa"/>
                  <w:tcBorders>
                    <w:top w:val="single" w:color="auto" w:sz="6" w:space="0"/>
                    <w:left w:val="single" w:color="auto" w:sz="6" w:space="0"/>
                    <w:bottom w:val="single" w:color="auto" w:sz="6" w:space="0"/>
                    <w:right w:val="single" w:color="auto" w:sz="4" w:space="0"/>
                  </w:tcBorders>
                  <w:vAlign w:val="center"/>
                </w:tcPr>
                <w:p w14:paraId="1FF1C7AA">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c>
                <w:tcPr>
                  <w:tcW w:w="1191" w:type="dxa"/>
                  <w:tcBorders>
                    <w:top w:val="single" w:color="auto" w:sz="6" w:space="0"/>
                    <w:left w:val="single" w:color="auto" w:sz="6" w:space="0"/>
                    <w:bottom w:val="single" w:color="auto" w:sz="6" w:space="0"/>
                    <w:right w:val="single" w:color="auto" w:sz="6" w:space="0"/>
                  </w:tcBorders>
                  <w:vAlign w:val="center"/>
                </w:tcPr>
                <w:p w14:paraId="1EA7ED5E">
                  <w:pPr>
                    <w:jc w:val="center"/>
                    <w:rPr>
                      <w:rFonts w:hint="eastAsia" w:ascii="Times New Roman" w:hAnsi="Times New Roman" w:eastAsia="宋体" w:cs="Times New Roman"/>
                      <w:color w:val="auto"/>
                      <w:highlight w:val="none"/>
                    </w:rPr>
                  </w:pPr>
                  <w:r>
                    <w:rPr>
                      <w:rFonts w:hint="eastAsia" w:cs="Times New Roman"/>
                      <w:color w:val="auto"/>
                      <w:highlight w:val="none"/>
                      <w:lang w:val="en-US" w:eastAsia="zh-CN"/>
                    </w:rPr>
                    <w:t>2</w:t>
                  </w:r>
                </w:p>
              </w:tc>
              <w:tc>
                <w:tcPr>
                  <w:tcW w:w="1191" w:type="dxa"/>
                  <w:tcBorders>
                    <w:top w:val="single" w:color="auto" w:sz="6" w:space="0"/>
                    <w:left w:val="single" w:color="auto" w:sz="6" w:space="0"/>
                    <w:bottom w:val="single" w:color="auto" w:sz="6" w:space="0"/>
                    <w:right w:val="single" w:color="auto" w:sz="6" w:space="0"/>
                  </w:tcBorders>
                  <w:vAlign w:val="center"/>
                </w:tcPr>
                <w:p w14:paraId="236158F6">
                  <w:pPr>
                    <w:jc w:val="center"/>
                    <w:rPr>
                      <w:rFonts w:hint="eastAsia" w:ascii="Calibri" w:hAnsi="Calibri"/>
                      <w:color w:val="auto"/>
                      <w:highlight w:val="none"/>
                      <w:lang w:eastAsia="zh-CN"/>
                    </w:rPr>
                  </w:pPr>
                  <w:r>
                    <w:rPr>
                      <w:rFonts w:hint="eastAsia" w:ascii="Calibri" w:hAnsi="Calibri"/>
                      <w:color w:val="auto"/>
                      <w:highlight w:val="none"/>
                      <w:lang w:eastAsia="zh-CN"/>
                    </w:rPr>
                    <w:t>生产车间</w:t>
                  </w:r>
                </w:p>
              </w:tc>
            </w:tr>
          </w:tbl>
          <w:p w14:paraId="06CD3160">
            <w:pPr>
              <w:spacing w:line="480" w:lineRule="exact"/>
              <w:ind w:left="719" w:leftChars="228" w:hanging="240" w:hangingChars="100"/>
              <w:rPr>
                <w:rFonts w:hint="eastAsia" w:ascii="宋体" w:hAnsi="宋体" w:eastAsia="宋体"/>
                <w:bCs/>
                <w:color w:val="auto"/>
                <w:sz w:val="24"/>
                <w:lang w:eastAsia="zh-CN"/>
              </w:rPr>
            </w:pPr>
            <w:r>
              <w:rPr>
                <w:rFonts w:hint="eastAsia" w:ascii="宋体" w:hAnsi="宋体"/>
                <w:bCs/>
                <w:color w:val="auto"/>
                <w:sz w:val="24"/>
              </w:rPr>
              <w:t>产能匹配性分析：</w:t>
            </w:r>
          </w:p>
          <w:p w14:paraId="4075E127">
            <w:pPr>
              <w:spacing w:line="480" w:lineRule="exact"/>
              <w:ind w:left="719" w:leftChars="228" w:hanging="240" w:hangingChars="100"/>
              <w:rPr>
                <w:rFonts w:hint="eastAsia" w:ascii="宋体" w:hAnsi="宋体"/>
                <w:bCs/>
                <w:color w:val="auto"/>
                <w:sz w:val="24"/>
              </w:rPr>
            </w:pPr>
            <w:r>
              <w:rPr>
                <w:rFonts w:hint="eastAsia" w:ascii="宋体" w:hAnsi="宋体"/>
                <w:bCs/>
                <w:color w:val="auto"/>
                <w:sz w:val="24"/>
              </w:rPr>
              <w:t>对比淘汰落后设备清单，本项目生产设备无淘汰落后设备。因设备型</w:t>
            </w:r>
          </w:p>
          <w:p w14:paraId="343ED677">
            <w:pPr>
              <w:spacing w:line="480" w:lineRule="exact"/>
              <w:rPr>
                <w:rFonts w:hint="eastAsia" w:ascii="宋体" w:hAnsi="宋体"/>
                <w:bCs/>
                <w:color w:val="auto"/>
                <w:sz w:val="24"/>
              </w:rPr>
            </w:pPr>
            <w:r>
              <w:rPr>
                <w:rFonts w:hint="eastAsia" w:ascii="宋体" w:hAnsi="宋体"/>
                <w:bCs/>
                <w:color w:val="auto"/>
                <w:sz w:val="24"/>
              </w:rPr>
              <w:t>号、数量与项目产能密切相关，本项目单机产能如下：</w:t>
            </w:r>
          </w:p>
          <w:p w14:paraId="07A0CD1E">
            <w:pPr>
              <w:spacing w:before="120" w:beforeLines="50" w:line="360" w:lineRule="auto"/>
              <w:jc w:val="center"/>
              <w:rPr>
                <w:rFonts w:hint="eastAsia" w:ascii="宋体" w:hAnsi="宋体"/>
                <w:b/>
                <w:color w:val="auto"/>
                <w:sz w:val="24"/>
              </w:rPr>
            </w:pPr>
            <w:r>
              <w:rPr>
                <w:rFonts w:hint="eastAsia" w:ascii="宋体" w:hAnsi="宋体" w:cs="宋体"/>
                <w:color w:val="auto"/>
                <w:szCs w:val="21"/>
              </w:rPr>
              <w:t>表2-4 项目产能匹配性分析表</w:t>
            </w:r>
          </w:p>
          <w:tbl>
            <w:tblPr>
              <w:tblStyle w:val="37"/>
              <w:tblW w:w="79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0"/>
              <w:gridCol w:w="2035"/>
              <w:gridCol w:w="1957"/>
              <w:gridCol w:w="1588"/>
              <w:gridCol w:w="1588"/>
            </w:tblGrid>
            <w:tr w14:paraId="2A842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770" w:type="dxa"/>
                  <w:noWrap w:val="0"/>
                  <w:vAlign w:val="center"/>
                </w:tcPr>
                <w:p w14:paraId="1C579D67">
                  <w:pPr>
                    <w:jc w:val="center"/>
                    <w:rPr>
                      <w:rFonts w:hint="eastAsia" w:ascii="宋体" w:hAnsi="宋体"/>
                      <w:bCs/>
                      <w:color w:val="auto"/>
                      <w:sz w:val="24"/>
                    </w:rPr>
                  </w:pPr>
                  <w:r>
                    <w:rPr>
                      <w:rFonts w:hint="eastAsia" w:ascii="宋体" w:hAnsi="宋体"/>
                      <w:bCs/>
                      <w:color w:val="auto"/>
                      <w:sz w:val="24"/>
                    </w:rPr>
                    <w:t>序号</w:t>
                  </w:r>
                </w:p>
              </w:tc>
              <w:tc>
                <w:tcPr>
                  <w:tcW w:w="2035" w:type="dxa"/>
                  <w:noWrap w:val="0"/>
                  <w:vAlign w:val="center"/>
                </w:tcPr>
                <w:p w14:paraId="35D41AF2">
                  <w:pPr>
                    <w:jc w:val="center"/>
                    <w:rPr>
                      <w:rFonts w:hint="eastAsia" w:ascii="宋体" w:hAnsi="宋体"/>
                      <w:bCs/>
                      <w:color w:val="auto"/>
                      <w:sz w:val="24"/>
                    </w:rPr>
                  </w:pPr>
                  <w:r>
                    <w:rPr>
                      <w:rFonts w:hint="eastAsia" w:ascii="宋体" w:hAnsi="宋体"/>
                      <w:bCs/>
                      <w:color w:val="auto"/>
                      <w:sz w:val="24"/>
                    </w:rPr>
                    <w:t>设备名称</w:t>
                  </w:r>
                </w:p>
              </w:tc>
              <w:tc>
                <w:tcPr>
                  <w:tcW w:w="1957" w:type="dxa"/>
                  <w:noWrap w:val="0"/>
                  <w:vAlign w:val="center"/>
                </w:tcPr>
                <w:p w14:paraId="040D4019">
                  <w:pPr>
                    <w:jc w:val="center"/>
                    <w:rPr>
                      <w:rFonts w:hint="eastAsia" w:ascii="宋体" w:hAnsi="宋体"/>
                      <w:bCs/>
                      <w:color w:val="auto"/>
                      <w:sz w:val="24"/>
                    </w:rPr>
                  </w:pPr>
                  <w:r>
                    <w:rPr>
                      <w:rFonts w:hint="eastAsia" w:ascii="宋体" w:hAnsi="宋体"/>
                      <w:bCs/>
                      <w:color w:val="auto"/>
                      <w:sz w:val="24"/>
                    </w:rPr>
                    <w:t>型号</w:t>
                  </w:r>
                </w:p>
              </w:tc>
              <w:tc>
                <w:tcPr>
                  <w:tcW w:w="1588" w:type="dxa"/>
                  <w:noWrap w:val="0"/>
                  <w:vAlign w:val="center"/>
                </w:tcPr>
                <w:p w14:paraId="128E9CC3">
                  <w:pPr>
                    <w:jc w:val="center"/>
                    <w:rPr>
                      <w:rFonts w:hint="eastAsia" w:ascii="宋体" w:hAnsi="宋体" w:eastAsia="宋体"/>
                      <w:bCs/>
                      <w:color w:val="auto"/>
                      <w:sz w:val="24"/>
                      <w:lang w:eastAsia="zh-CN"/>
                    </w:rPr>
                  </w:pPr>
                  <w:r>
                    <w:rPr>
                      <w:rFonts w:hint="eastAsia" w:ascii="宋体" w:hAnsi="宋体"/>
                      <w:bCs/>
                      <w:color w:val="auto"/>
                      <w:sz w:val="24"/>
                    </w:rPr>
                    <w:t>产能</w:t>
                  </w:r>
                  <w:r>
                    <w:rPr>
                      <w:rFonts w:hint="eastAsia"/>
                      <w:color w:val="auto"/>
                      <w:lang w:eastAsia="zh-CN"/>
                    </w:rPr>
                    <w:t>（</w:t>
                  </w:r>
                  <w:r>
                    <w:rPr>
                      <w:rFonts w:hint="eastAsia"/>
                      <w:color w:val="auto"/>
                      <w:lang w:val="en-US" w:eastAsia="zh-CN"/>
                    </w:rPr>
                    <w:t>t/h</w:t>
                  </w:r>
                  <w:r>
                    <w:rPr>
                      <w:rFonts w:hint="eastAsia"/>
                      <w:color w:val="auto"/>
                      <w:lang w:eastAsia="zh-CN"/>
                    </w:rPr>
                    <w:t>）</w:t>
                  </w:r>
                </w:p>
              </w:tc>
              <w:tc>
                <w:tcPr>
                  <w:tcW w:w="1588" w:type="dxa"/>
                  <w:noWrap w:val="0"/>
                  <w:vAlign w:val="center"/>
                </w:tcPr>
                <w:p w14:paraId="6F0517A5">
                  <w:pPr>
                    <w:jc w:val="center"/>
                    <w:rPr>
                      <w:rFonts w:hint="eastAsia" w:ascii="宋体" w:hAnsi="宋体"/>
                      <w:bCs/>
                      <w:color w:val="auto"/>
                      <w:sz w:val="24"/>
                    </w:rPr>
                  </w:pPr>
                  <w:r>
                    <w:rPr>
                      <w:rFonts w:hint="eastAsia" w:ascii="宋体" w:hAnsi="宋体"/>
                      <w:bCs/>
                      <w:color w:val="auto"/>
                      <w:sz w:val="24"/>
                    </w:rPr>
                    <w:t>数量（台/套）</w:t>
                  </w:r>
                </w:p>
              </w:tc>
            </w:tr>
            <w:tr w14:paraId="1CFF8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770" w:type="dxa"/>
                  <w:noWrap w:val="0"/>
                  <w:vAlign w:val="center"/>
                </w:tcPr>
                <w:p w14:paraId="21F7A57C">
                  <w:pPr>
                    <w:jc w:val="center"/>
                    <w:rPr>
                      <w:rFonts w:hint="eastAsia" w:ascii="宋体" w:hAnsi="宋体"/>
                      <w:bCs/>
                      <w:color w:val="auto"/>
                      <w:sz w:val="24"/>
                    </w:rPr>
                  </w:pPr>
                  <w:r>
                    <w:rPr>
                      <w:rFonts w:hint="eastAsia" w:ascii="宋体" w:hAnsi="宋体"/>
                      <w:bCs/>
                      <w:color w:val="auto"/>
                      <w:sz w:val="24"/>
                    </w:rPr>
                    <w:t>1</w:t>
                  </w:r>
                </w:p>
              </w:tc>
              <w:tc>
                <w:tcPr>
                  <w:tcW w:w="2035" w:type="dxa"/>
                  <w:noWrap w:val="0"/>
                  <w:vAlign w:val="center"/>
                </w:tcPr>
                <w:p w14:paraId="3C82C61F">
                  <w:pPr>
                    <w:jc w:val="center"/>
                    <w:rPr>
                      <w:rFonts w:hint="eastAsia" w:ascii="宋体" w:hAnsi="宋体"/>
                      <w:bCs/>
                      <w:color w:val="auto"/>
                      <w:sz w:val="24"/>
                    </w:rPr>
                  </w:pPr>
                  <w:r>
                    <w:rPr>
                      <w:rFonts w:hint="eastAsia" w:ascii="Times New Roman" w:hAnsi="Times New Roman" w:eastAsia="宋体" w:cs="Times New Roman"/>
                      <w:color w:val="auto"/>
                      <w:highlight w:val="none"/>
                      <w:lang w:val="en-US" w:eastAsia="zh-CN"/>
                    </w:rPr>
                    <w:t>综合破碎机</w:t>
                  </w:r>
                </w:p>
              </w:tc>
              <w:tc>
                <w:tcPr>
                  <w:tcW w:w="1957" w:type="dxa"/>
                  <w:noWrap w:val="0"/>
                  <w:vAlign w:val="center"/>
                </w:tcPr>
                <w:p w14:paraId="222BA053">
                  <w:pPr>
                    <w:jc w:val="center"/>
                    <w:rPr>
                      <w:rFonts w:hint="eastAsia" w:ascii="宋体" w:hAnsi="宋体"/>
                      <w:bCs/>
                      <w:color w:val="auto"/>
                      <w:sz w:val="24"/>
                    </w:rPr>
                  </w:pPr>
                  <w:r>
                    <w:rPr>
                      <w:rFonts w:hint="eastAsia" w:ascii="Times New Roman" w:hAnsi="Times New Roman" w:eastAsia="宋体" w:cs="Times New Roman"/>
                      <w:color w:val="auto"/>
                      <w:highlight w:val="none"/>
                      <w:lang w:val="en-US" w:eastAsia="zh-CN"/>
                    </w:rPr>
                    <w:t>1250</w:t>
                  </w:r>
                </w:p>
              </w:tc>
              <w:tc>
                <w:tcPr>
                  <w:tcW w:w="1588" w:type="dxa"/>
                  <w:noWrap w:val="0"/>
                  <w:vAlign w:val="center"/>
                </w:tcPr>
                <w:p w14:paraId="378599E5">
                  <w:pPr>
                    <w:jc w:val="center"/>
                    <w:rPr>
                      <w:rFonts w:hint="default" w:ascii="宋体" w:hAnsi="宋体" w:eastAsia="宋体"/>
                      <w:bCs/>
                      <w:color w:val="auto"/>
                      <w:sz w:val="24"/>
                      <w:highlight w:val="red"/>
                      <w:lang w:val="en-US" w:eastAsia="zh-CN"/>
                    </w:rPr>
                  </w:pPr>
                  <w:r>
                    <w:rPr>
                      <w:rFonts w:hint="eastAsia" w:ascii="宋体" w:hAnsi="宋体"/>
                      <w:bCs/>
                      <w:color w:val="auto"/>
                      <w:sz w:val="24"/>
                      <w:highlight w:val="none"/>
                      <w:lang w:val="en-US" w:eastAsia="zh-CN"/>
                    </w:rPr>
                    <w:t>15</w:t>
                  </w:r>
                </w:p>
              </w:tc>
              <w:tc>
                <w:tcPr>
                  <w:tcW w:w="1588" w:type="dxa"/>
                  <w:noWrap w:val="0"/>
                  <w:vAlign w:val="center"/>
                </w:tcPr>
                <w:p w14:paraId="4B75622E">
                  <w:pPr>
                    <w:jc w:val="center"/>
                    <w:rPr>
                      <w:rFonts w:hint="eastAsia" w:ascii="宋体" w:hAnsi="宋体" w:eastAsia="宋体"/>
                      <w:bCs/>
                      <w:color w:val="auto"/>
                      <w:sz w:val="24"/>
                      <w:lang w:eastAsia="zh-CN"/>
                    </w:rPr>
                  </w:pPr>
                  <w:r>
                    <w:rPr>
                      <w:rFonts w:hint="eastAsia" w:ascii="宋体" w:hAnsi="宋体"/>
                      <w:bCs/>
                      <w:color w:val="auto"/>
                      <w:sz w:val="24"/>
                      <w:lang w:val="en-US" w:eastAsia="zh-CN"/>
                    </w:rPr>
                    <w:t>2</w:t>
                  </w:r>
                </w:p>
              </w:tc>
            </w:tr>
            <w:tr w14:paraId="094B8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770" w:type="dxa"/>
                  <w:noWrap w:val="0"/>
                  <w:vAlign w:val="center"/>
                </w:tcPr>
                <w:p w14:paraId="0F3F7BE5">
                  <w:pPr>
                    <w:jc w:val="center"/>
                    <w:rPr>
                      <w:rFonts w:hint="eastAsia" w:ascii="宋体" w:hAnsi="宋体"/>
                      <w:bCs/>
                      <w:color w:val="auto"/>
                      <w:sz w:val="24"/>
                    </w:rPr>
                  </w:pPr>
                  <w:r>
                    <w:rPr>
                      <w:rFonts w:hint="eastAsia" w:ascii="宋体" w:hAnsi="宋体"/>
                      <w:bCs/>
                      <w:color w:val="auto"/>
                      <w:sz w:val="24"/>
                    </w:rPr>
                    <w:t>2</w:t>
                  </w:r>
                </w:p>
              </w:tc>
              <w:tc>
                <w:tcPr>
                  <w:tcW w:w="2035" w:type="dxa"/>
                  <w:noWrap w:val="0"/>
                  <w:vAlign w:val="center"/>
                </w:tcPr>
                <w:p w14:paraId="313547A0">
                  <w:pPr>
                    <w:jc w:val="center"/>
                    <w:rPr>
                      <w:rFonts w:hint="eastAsia" w:ascii="宋体" w:hAnsi="宋体"/>
                      <w:bCs/>
                      <w:color w:val="auto"/>
                      <w:sz w:val="24"/>
                    </w:rPr>
                  </w:pPr>
                  <w:r>
                    <w:rPr>
                      <w:rFonts w:hint="eastAsia" w:ascii="Times New Roman" w:hAnsi="Times New Roman" w:eastAsia="宋体" w:cs="Times New Roman"/>
                      <w:color w:val="auto"/>
                      <w:highlight w:val="none"/>
                      <w:lang w:val="en-US" w:eastAsia="zh-CN"/>
                    </w:rPr>
                    <w:t>高效木屑粉碎机</w:t>
                  </w:r>
                </w:p>
              </w:tc>
              <w:tc>
                <w:tcPr>
                  <w:tcW w:w="1957" w:type="dxa"/>
                  <w:noWrap w:val="0"/>
                  <w:vAlign w:val="center"/>
                </w:tcPr>
                <w:p w14:paraId="73B63CF9">
                  <w:pPr>
                    <w:jc w:val="center"/>
                    <w:rPr>
                      <w:rFonts w:hint="eastAsia" w:ascii="宋体" w:hAnsi="宋体"/>
                      <w:bCs/>
                      <w:color w:val="auto"/>
                      <w:sz w:val="24"/>
                    </w:rPr>
                  </w:pPr>
                  <w:r>
                    <w:rPr>
                      <w:rFonts w:hint="eastAsia" w:ascii="Times New Roman" w:hAnsi="Times New Roman" w:eastAsia="宋体" w:cs="Times New Roman"/>
                      <w:color w:val="auto"/>
                      <w:highlight w:val="none"/>
                      <w:lang w:val="en-US" w:eastAsia="zh-CN"/>
                    </w:rPr>
                    <w:t>1200*1600</w:t>
                  </w:r>
                </w:p>
              </w:tc>
              <w:tc>
                <w:tcPr>
                  <w:tcW w:w="1588" w:type="dxa"/>
                  <w:noWrap w:val="0"/>
                  <w:vAlign w:val="center"/>
                </w:tcPr>
                <w:p w14:paraId="5D85ACAB">
                  <w:pPr>
                    <w:jc w:val="center"/>
                    <w:rPr>
                      <w:rFonts w:hint="default" w:ascii="宋体" w:hAnsi="宋体" w:eastAsia="宋体"/>
                      <w:bCs/>
                      <w:color w:val="auto"/>
                      <w:sz w:val="24"/>
                      <w:highlight w:val="red"/>
                      <w:lang w:val="en-US" w:eastAsia="zh-CN"/>
                    </w:rPr>
                  </w:pPr>
                  <w:r>
                    <w:rPr>
                      <w:rFonts w:hint="eastAsia" w:ascii="宋体" w:hAnsi="宋体"/>
                      <w:bCs/>
                      <w:color w:val="auto"/>
                      <w:sz w:val="24"/>
                      <w:highlight w:val="none"/>
                      <w:lang w:val="en-US" w:eastAsia="zh-CN"/>
                    </w:rPr>
                    <w:t>15</w:t>
                  </w:r>
                </w:p>
              </w:tc>
              <w:tc>
                <w:tcPr>
                  <w:tcW w:w="1588" w:type="dxa"/>
                  <w:noWrap w:val="0"/>
                  <w:vAlign w:val="center"/>
                </w:tcPr>
                <w:p w14:paraId="19799B00">
                  <w:pPr>
                    <w:jc w:val="center"/>
                    <w:rPr>
                      <w:rFonts w:hint="eastAsia" w:ascii="宋体" w:hAnsi="宋体" w:eastAsia="宋体"/>
                      <w:bCs/>
                      <w:color w:val="auto"/>
                      <w:sz w:val="24"/>
                      <w:lang w:eastAsia="zh-CN"/>
                    </w:rPr>
                  </w:pPr>
                  <w:r>
                    <w:rPr>
                      <w:rFonts w:hint="eastAsia" w:ascii="宋体" w:hAnsi="宋体"/>
                      <w:bCs/>
                      <w:color w:val="auto"/>
                      <w:sz w:val="24"/>
                      <w:lang w:val="en-US" w:eastAsia="zh-CN"/>
                    </w:rPr>
                    <w:t>2</w:t>
                  </w:r>
                </w:p>
              </w:tc>
            </w:tr>
            <w:tr w14:paraId="758D1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770" w:type="dxa"/>
                  <w:noWrap w:val="0"/>
                  <w:vAlign w:val="center"/>
                </w:tcPr>
                <w:p w14:paraId="5972CA16">
                  <w:pPr>
                    <w:jc w:val="center"/>
                    <w:rPr>
                      <w:rFonts w:hint="eastAsia" w:ascii="宋体" w:hAnsi="宋体"/>
                      <w:bCs/>
                      <w:color w:val="auto"/>
                      <w:sz w:val="24"/>
                    </w:rPr>
                  </w:pPr>
                  <w:r>
                    <w:rPr>
                      <w:rFonts w:hint="eastAsia" w:ascii="宋体" w:hAnsi="宋体"/>
                      <w:bCs/>
                      <w:color w:val="auto"/>
                      <w:sz w:val="24"/>
                    </w:rPr>
                    <w:t>3</w:t>
                  </w:r>
                </w:p>
              </w:tc>
              <w:tc>
                <w:tcPr>
                  <w:tcW w:w="2035" w:type="dxa"/>
                  <w:noWrap w:val="0"/>
                  <w:vAlign w:val="center"/>
                </w:tcPr>
                <w:p w14:paraId="592595C3">
                  <w:pPr>
                    <w:jc w:val="center"/>
                    <w:rPr>
                      <w:rFonts w:hint="eastAsia" w:ascii="宋体" w:hAnsi="宋体"/>
                      <w:bCs/>
                      <w:color w:val="auto"/>
                      <w:sz w:val="24"/>
                      <w:highlight w:val="none"/>
                    </w:rPr>
                  </w:pPr>
                  <w:r>
                    <w:rPr>
                      <w:rFonts w:hint="eastAsia" w:ascii="Times New Roman" w:hAnsi="Times New Roman" w:eastAsia="宋体" w:cs="Times New Roman"/>
                      <w:color w:val="auto"/>
                      <w:highlight w:val="none"/>
                      <w:lang w:val="en-US" w:eastAsia="zh-CN"/>
                    </w:rPr>
                    <w:t>新款</w:t>
                  </w:r>
                  <w:r>
                    <w:rPr>
                      <w:rFonts w:hint="eastAsia" w:cs="Times New Roman"/>
                      <w:color w:val="auto"/>
                      <w:highlight w:val="none"/>
                      <w:lang w:val="en-US" w:eastAsia="zh-CN"/>
                    </w:rPr>
                    <w:t>850</w:t>
                  </w:r>
                  <w:r>
                    <w:rPr>
                      <w:rFonts w:hint="eastAsia" w:ascii="Times New Roman" w:hAnsi="Times New Roman" w:eastAsia="宋体" w:cs="Times New Roman"/>
                      <w:color w:val="auto"/>
                      <w:highlight w:val="none"/>
                      <w:lang w:val="en-US" w:eastAsia="zh-CN"/>
                    </w:rPr>
                    <w:t>下拨料颗粒机</w:t>
                  </w:r>
                </w:p>
              </w:tc>
              <w:tc>
                <w:tcPr>
                  <w:tcW w:w="1957" w:type="dxa"/>
                  <w:noWrap w:val="0"/>
                  <w:vAlign w:val="center"/>
                </w:tcPr>
                <w:p w14:paraId="77E54411">
                  <w:pPr>
                    <w:jc w:val="center"/>
                    <w:rPr>
                      <w:rFonts w:hint="default" w:ascii="宋体" w:hAnsi="宋体"/>
                      <w:bCs/>
                      <w:color w:val="auto"/>
                      <w:sz w:val="24"/>
                      <w:highlight w:val="none"/>
                      <w:lang w:val="en-US"/>
                    </w:rPr>
                  </w:pPr>
                  <w:r>
                    <w:rPr>
                      <w:rFonts w:hint="eastAsia" w:cs="Times New Roman"/>
                      <w:color w:val="auto"/>
                      <w:highlight w:val="none"/>
                      <w:lang w:val="en-US" w:eastAsia="zh-CN"/>
                    </w:rPr>
                    <w:t>850</w:t>
                  </w:r>
                </w:p>
              </w:tc>
              <w:tc>
                <w:tcPr>
                  <w:tcW w:w="1588" w:type="dxa"/>
                  <w:noWrap w:val="0"/>
                  <w:vAlign w:val="center"/>
                </w:tcPr>
                <w:p w14:paraId="012F4F59">
                  <w:pPr>
                    <w:jc w:val="center"/>
                    <w:rPr>
                      <w:rFonts w:hint="default" w:ascii="宋体" w:hAnsi="宋体" w:eastAsia="宋体"/>
                      <w:bCs/>
                      <w:color w:val="auto"/>
                      <w:sz w:val="24"/>
                      <w:highlight w:val="none"/>
                      <w:lang w:val="en-US" w:eastAsia="zh-CN"/>
                    </w:rPr>
                  </w:pPr>
                  <w:r>
                    <w:rPr>
                      <w:rFonts w:hint="eastAsia" w:ascii="宋体" w:hAnsi="宋体"/>
                      <w:bCs/>
                      <w:color w:val="auto"/>
                      <w:sz w:val="24"/>
                      <w:highlight w:val="none"/>
                      <w:lang w:val="en-US" w:eastAsia="zh-CN"/>
                    </w:rPr>
                    <w:t>8</w:t>
                  </w:r>
                </w:p>
              </w:tc>
              <w:tc>
                <w:tcPr>
                  <w:tcW w:w="1588" w:type="dxa"/>
                  <w:noWrap w:val="0"/>
                  <w:vAlign w:val="center"/>
                </w:tcPr>
                <w:p w14:paraId="312A81FA">
                  <w:pPr>
                    <w:jc w:val="center"/>
                    <w:rPr>
                      <w:rFonts w:hint="eastAsia" w:ascii="宋体" w:hAnsi="宋体" w:eastAsia="宋体"/>
                      <w:bCs/>
                      <w:color w:val="auto"/>
                      <w:sz w:val="24"/>
                      <w:lang w:eastAsia="zh-CN"/>
                    </w:rPr>
                  </w:pPr>
                  <w:r>
                    <w:rPr>
                      <w:rFonts w:hint="eastAsia" w:ascii="宋体" w:hAnsi="宋体"/>
                      <w:bCs/>
                      <w:color w:val="auto"/>
                      <w:sz w:val="24"/>
                      <w:lang w:val="en-US" w:eastAsia="zh-CN"/>
                    </w:rPr>
                    <w:t>6</w:t>
                  </w:r>
                </w:p>
              </w:tc>
            </w:tr>
          </w:tbl>
          <w:p w14:paraId="2D87BACC">
            <w:pPr>
              <w:spacing w:before="120" w:beforeLines="50" w:line="360" w:lineRule="auto"/>
              <w:ind w:firstLine="480" w:firstLineChars="200"/>
              <w:jc w:val="both"/>
              <w:rPr>
                <w:b/>
                <w:bCs/>
                <w:color w:val="auto"/>
                <w:sz w:val="24"/>
                <w:szCs w:val="24"/>
                <w:highlight w:val="none"/>
              </w:rPr>
            </w:pPr>
            <w:r>
              <w:rPr>
                <w:rFonts w:hint="eastAsia" w:ascii="宋体" w:hAnsi="宋体"/>
                <w:bCs/>
                <w:color w:val="auto"/>
                <w:sz w:val="24"/>
                <w:szCs w:val="24"/>
              </w:rPr>
              <w:t>注：年生产时间按3</w:t>
            </w:r>
            <w:r>
              <w:rPr>
                <w:rFonts w:hint="eastAsia" w:ascii="宋体" w:hAnsi="宋体"/>
                <w:bCs/>
                <w:color w:val="auto"/>
                <w:sz w:val="24"/>
                <w:szCs w:val="24"/>
                <w:lang w:val="en-US" w:eastAsia="zh-CN"/>
              </w:rPr>
              <w:t>0</w:t>
            </w:r>
            <w:r>
              <w:rPr>
                <w:rFonts w:hint="eastAsia" w:ascii="宋体" w:hAnsi="宋体"/>
                <w:bCs/>
                <w:color w:val="auto"/>
                <w:sz w:val="24"/>
                <w:szCs w:val="24"/>
              </w:rPr>
              <w:t>0天，两班制，每班8小时，</w:t>
            </w:r>
            <w:r>
              <w:rPr>
                <w:rFonts w:hint="eastAsia" w:ascii="宋体" w:hAnsi="宋体"/>
                <w:bCs/>
                <w:color w:val="auto"/>
                <w:sz w:val="24"/>
                <w:szCs w:val="24"/>
                <w:lang w:eastAsia="zh-CN"/>
              </w:rPr>
              <w:t>主要</w:t>
            </w:r>
            <w:r>
              <w:rPr>
                <w:rFonts w:hint="eastAsia" w:ascii="宋体" w:hAnsi="宋体"/>
                <w:bCs/>
                <w:color w:val="auto"/>
                <w:sz w:val="24"/>
                <w:szCs w:val="24"/>
              </w:rPr>
              <w:t>生产设备能够满足产能需求</w:t>
            </w:r>
            <w:r>
              <w:rPr>
                <w:rFonts w:hint="eastAsia" w:ascii="宋体" w:hAnsi="宋体"/>
                <w:bCs/>
                <w:color w:val="auto"/>
                <w:sz w:val="24"/>
                <w:szCs w:val="24"/>
                <w:lang w:eastAsia="zh-CN"/>
              </w:rPr>
              <w:t>（</w:t>
            </w:r>
            <w:r>
              <w:rPr>
                <w:rFonts w:hint="eastAsia" w:ascii="宋体" w:hAnsi="宋体"/>
                <w:bCs/>
                <w:color w:val="auto"/>
                <w:sz w:val="24"/>
                <w:szCs w:val="24"/>
                <w:lang w:val="en-US" w:eastAsia="zh-CN"/>
              </w:rPr>
              <w:t>新款850下拨料颗粒机</w:t>
            </w:r>
            <w:r>
              <w:rPr>
                <w:rFonts w:hint="eastAsia" w:ascii="宋体" w:hAnsi="宋体"/>
                <w:bCs/>
                <w:color w:val="auto"/>
                <w:sz w:val="24"/>
                <w:szCs w:val="24"/>
                <w:lang w:eastAsia="zh-CN"/>
              </w:rPr>
              <w:t>全负荷状态下年产量为</w:t>
            </w:r>
            <w:r>
              <w:rPr>
                <w:rFonts w:hint="eastAsia" w:ascii="宋体" w:hAnsi="宋体"/>
                <w:bCs/>
                <w:color w:val="auto"/>
                <w:sz w:val="24"/>
                <w:szCs w:val="24"/>
                <w:lang w:val="en-US" w:eastAsia="zh-CN"/>
              </w:rPr>
              <w:t>8*6*16*300=38400=230400t，可满足年产20万吨生物质颗粒的能力</w:t>
            </w:r>
            <w:r>
              <w:rPr>
                <w:rFonts w:hint="eastAsia" w:ascii="宋体" w:hAnsi="宋体"/>
                <w:bCs/>
                <w:color w:val="auto"/>
                <w:sz w:val="24"/>
                <w:szCs w:val="24"/>
                <w:lang w:eastAsia="zh-CN"/>
              </w:rPr>
              <w:t>）</w:t>
            </w:r>
            <w:r>
              <w:rPr>
                <w:rFonts w:hint="eastAsia" w:ascii="宋体" w:hAnsi="宋体"/>
                <w:bCs/>
                <w:color w:val="auto"/>
                <w:sz w:val="24"/>
                <w:szCs w:val="24"/>
              </w:rPr>
              <w:t>。</w:t>
            </w:r>
            <w:r>
              <w:rPr>
                <w:rFonts w:hint="eastAsia" w:ascii="宋体" w:hAnsi="宋体"/>
                <w:bCs/>
                <w:color w:val="auto"/>
                <w:sz w:val="24"/>
                <w:szCs w:val="24"/>
              </w:rPr>
              <w:br w:type="textWrapping"/>
            </w:r>
            <w:r>
              <w:rPr>
                <w:rFonts w:hint="eastAsia" w:ascii="宋体" w:hAnsi="宋体"/>
                <w:bCs/>
                <w:color w:val="auto"/>
                <w:sz w:val="24"/>
                <w:szCs w:val="24"/>
                <w:lang w:eastAsia="zh-CN"/>
              </w:rPr>
              <w:t xml:space="preserve">    </w:t>
            </w:r>
            <w:r>
              <w:rPr>
                <w:rFonts w:hint="eastAsia"/>
                <w:b/>
                <w:bCs/>
                <w:color w:val="auto"/>
                <w:sz w:val="24"/>
                <w:szCs w:val="24"/>
                <w:highlight w:val="none"/>
                <w:lang w:val="en-US" w:eastAsia="zh-CN"/>
              </w:rPr>
              <w:t>5</w:t>
            </w:r>
            <w:r>
              <w:rPr>
                <w:rFonts w:hint="eastAsia" w:cs="宋体"/>
                <w:b/>
                <w:bCs/>
                <w:color w:val="auto"/>
                <w:sz w:val="24"/>
                <w:szCs w:val="24"/>
                <w:highlight w:val="none"/>
              </w:rPr>
              <w:t>、主要原辅材料及能源消耗</w:t>
            </w:r>
          </w:p>
          <w:p w14:paraId="477922E5">
            <w:pPr>
              <w:adjustRightInd w:val="0"/>
              <w:snapToGrid w:val="0"/>
              <w:spacing w:before="120" w:beforeLines="50" w:line="360" w:lineRule="auto"/>
              <w:ind w:firstLine="480" w:firstLineChars="200"/>
              <w:jc w:val="left"/>
              <w:rPr>
                <w:rFonts w:ascii="宋体"/>
                <w:color w:val="auto"/>
                <w:sz w:val="24"/>
                <w:szCs w:val="24"/>
                <w:highlight w:val="none"/>
              </w:rPr>
            </w:pPr>
            <w:r>
              <w:rPr>
                <w:rFonts w:hint="eastAsia" w:ascii="宋体" w:hAnsi="宋体" w:cs="宋体"/>
                <w:color w:val="auto"/>
                <w:sz w:val="24"/>
                <w:szCs w:val="24"/>
                <w:highlight w:val="none"/>
              </w:rPr>
              <w:t>本项目原辅材料及能源消耗情况详见表。</w:t>
            </w:r>
          </w:p>
          <w:p w14:paraId="27EC865F">
            <w:pPr>
              <w:spacing w:line="360" w:lineRule="auto"/>
              <w:jc w:val="center"/>
              <w:rPr>
                <w:color w:val="auto"/>
                <w:sz w:val="24"/>
                <w:szCs w:val="24"/>
                <w:highlight w:val="none"/>
              </w:rPr>
            </w:pPr>
            <w:r>
              <w:rPr>
                <w:rFonts w:hint="eastAsia" w:cs="宋体"/>
                <w:color w:val="auto"/>
                <w:sz w:val="22"/>
                <w:szCs w:val="22"/>
                <w:highlight w:val="none"/>
              </w:rPr>
              <w:t>表</w:t>
            </w:r>
            <w:r>
              <w:rPr>
                <w:color w:val="auto"/>
                <w:sz w:val="22"/>
                <w:szCs w:val="22"/>
                <w:highlight w:val="none"/>
              </w:rPr>
              <w:t>2-</w:t>
            </w:r>
            <w:r>
              <w:rPr>
                <w:rFonts w:hint="eastAsia"/>
                <w:color w:val="auto"/>
                <w:sz w:val="22"/>
                <w:szCs w:val="22"/>
                <w:highlight w:val="none"/>
                <w:lang w:val="en-US" w:eastAsia="zh-CN"/>
              </w:rPr>
              <w:t>4</w:t>
            </w:r>
            <w:r>
              <w:rPr>
                <w:color w:val="auto"/>
                <w:sz w:val="22"/>
                <w:szCs w:val="22"/>
                <w:highlight w:val="none"/>
              </w:rPr>
              <w:t xml:space="preserve"> </w:t>
            </w:r>
            <w:r>
              <w:rPr>
                <w:rFonts w:hint="eastAsia" w:cs="宋体"/>
                <w:color w:val="auto"/>
                <w:sz w:val="22"/>
                <w:szCs w:val="22"/>
                <w:highlight w:val="none"/>
              </w:rPr>
              <w:t>主要原辅材料年消耗清单</w:t>
            </w:r>
          </w:p>
          <w:tbl>
            <w:tblPr>
              <w:tblStyle w:val="37"/>
              <w:tblW w:w="8435"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3"/>
              <w:gridCol w:w="951"/>
              <w:gridCol w:w="1144"/>
              <w:gridCol w:w="716"/>
              <w:gridCol w:w="938"/>
              <w:gridCol w:w="1089"/>
              <w:gridCol w:w="989"/>
              <w:gridCol w:w="1755"/>
            </w:tblGrid>
            <w:tr w14:paraId="2E090D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53" w:type="dxa"/>
                  <w:tcBorders>
                    <w:top w:val="single" w:color="auto" w:sz="6" w:space="0"/>
                    <w:left w:val="single" w:color="auto" w:sz="6" w:space="0"/>
                    <w:bottom w:val="single" w:color="auto" w:sz="6" w:space="0"/>
                    <w:right w:val="single" w:color="auto" w:sz="6" w:space="0"/>
                  </w:tcBorders>
                  <w:vAlign w:val="center"/>
                </w:tcPr>
                <w:p w14:paraId="4994B178">
                  <w:pPr>
                    <w:pStyle w:val="124"/>
                    <w:spacing w:line="240" w:lineRule="auto"/>
                    <w:ind w:firstLine="0"/>
                    <w:jc w:val="center"/>
                    <w:rPr>
                      <w:rFonts w:ascii="Times New Roman"/>
                      <w:color w:val="auto"/>
                      <w:kern w:val="2"/>
                      <w:sz w:val="21"/>
                      <w:szCs w:val="21"/>
                      <w:highlight w:val="none"/>
                    </w:rPr>
                  </w:pPr>
                  <w:r>
                    <w:rPr>
                      <w:rFonts w:hint="eastAsia" w:ascii="Times New Roman"/>
                      <w:color w:val="auto"/>
                      <w:kern w:val="2"/>
                      <w:sz w:val="21"/>
                      <w:szCs w:val="21"/>
                      <w:highlight w:val="none"/>
                    </w:rPr>
                    <w:t>类别</w:t>
                  </w:r>
                </w:p>
              </w:tc>
              <w:tc>
                <w:tcPr>
                  <w:tcW w:w="951" w:type="dxa"/>
                  <w:tcBorders>
                    <w:top w:val="single" w:color="auto" w:sz="6" w:space="0"/>
                    <w:left w:val="single" w:color="auto" w:sz="6" w:space="0"/>
                    <w:bottom w:val="single" w:color="auto" w:sz="6" w:space="0"/>
                    <w:right w:val="single" w:color="auto" w:sz="6" w:space="0"/>
                  </w:tcBorders>
                  <w:vAlign w:val="center"/>
                </w:tcPr>
                <w:p w14:paraId="03B1B08D">
                  <w:pPr>
                    <w:pStyle w:val="124"/>
                    <w:spacing w:line="240" w:lineRule="auto"/>
                    <w:ind w:firstLine="0"/>
                    <w:jc w:val="center"/>
                    <w:rPr>
                      <w:rFonts w:ascii="Times New Roman"/>
                      <w:color w:val="auto"/>
                      <w:kern w:val="2"/>
                      <w:sz w:val="21"/>
                      <w:szCs w:val="21"/>
                      <w:highlight w:val="none"/>
                    </w:rPr>
                  </w:pPr>
                  <w:r>
                    <w:rPr>
                      <w:rFonts w:hint="eastAsia" w:ascii="Times New Roman"/>
                      <w:color w:val="auto"/>
                      <w:kern w:val="2"/>
                      <w:sz w:val="21"/>
                      <w:szCs w:val="21"/>
                      <w:highlight w:val="none"/>
                    </w:rPr>
                    <w:t>名称</w:t>
                  </w:r>
                </w:p>
              </w:tc>
              <w:tc>
                <w:tcPr>
                  <w:tcW w:w="1144" w:type="dxa"/>
                  <w:tcBorders>
                    <w:top w:val="single" w:color="auto" w:sz="6" w:space="0"/>
                    <w:left w:val="single" w:color="auto" w:sz="6" w:space="0"/>
                    <w:bottom w:val="single" w:color="auto" w:sz="6" w:space="0"/>
                    <w:right w:val="single" w:color="auto" w:sz="6" w:space="0"/>
                  </w:tcBorders>
                  <w:vAlign w:val="center"/>
                </w:tcPr>
                <w:p w14:paraId="4683AF40">
                  <w:pPr>
                    <w:pStyle w:val="124"/>
                    <w:spacing w:line="240" w:lineRule="auto"/>
                    <w:ind w:firstLine="0"/>
                    <w:jc w:val="center"/>
                    <w:rPr>
                      <w:rFonts w:ascii="Times New Roman"/>
                      <w:color w:val="auto"/>
                      <w:kern w:val="2"/>
                      <w:sz w:val="21"/>
                      <w:szCs w:val="21"/>
                      <w:highlight w:val="none"/>
                    </w:rPr>
                  </w:pPr>
                  <w:r>
                    <w:rPr>
                      <w:rFonts w:hint="eastAsia" w:ascii="Times New Roman"/>
                      <w:color w:val="auto"/>
                      <w:kern w:val="2"/>
                      <w:sz w:val="21"/>
                      <w:szCs w:val="21"/>
                      <w:highlight w:val="none"/>
                    </w:rPr>
                    <w:t>单位</w:t>
                  </w:r>
                </w:p>
              </w:tc>
              <w:tc>
                <w:tcPr>
                  <w:tcW w:w="716" w:type="dxa"/>
                  <w:tcBorders>
                    <w:top w:val="single" w:color="auto" w:sz="6" w:space="0"/>
                    <w:left w:val="single" w:color="auto" w:sz="6" w:space="0"/>
                    <w:bottom w:val="single" w:color="auto" w:sz="6" w:space="0"/>
                    <w:right w:val="single" w:color="auto" w:sz="6" w:space="0"/>
                  </w:tcBorders>
                  <w:vAlign w:val="center"/>
                </w:tcPr>
                <w:p w14:paraId="70D9C476">
                  <w:pPr>
                    <w:pStyle w:val="124"/>
                    <w:spacing w:line="240" w:lineRule="auto"/>
                    <w:ind w:firstLine="0"/>
                    <w:jc w:val="center"/>
                    <w:rPr>
                      <w:rFonts w:ascii="Times New Roman"/>
                      <w:color w:val="auto"/>
                      <w:kern w:val="2"/>
                      <w:sz w:val="21"/>
                      <w:szCs w:val="21"/>
                      <w:highlight w:val="none"/>
                    </w:rPr>
                  </w:pPr>
                  <w:r>
                    <w:rPr>
                      <w:rFonts w:hint="eastAsia" w:ascii="Times New Roman"/>
                      <w:color w:val="auto"/>
                      <w:kern w:val="2"/>
                      <w:sz w:val="21"/>
                      <w:szCs w:val="21"/>
                      <w:highlight w:val="none"/>
                    </w:rPr>
                    <w:t>用量</w:t>
                  </w:r>
                </w:p>
              </w:tc>
              <w:tc>
                <w:tcPr>
                  <w:tcW w:w="938" w:type="dxa"/>
                  <w:tcBorders>
                    <w:top w:val="single" w:color="auto" w:sz="6" w:space="0"/>
                    <w:left w:val="single" w:color="auto" w:sz="4" w:space="0"/>
                    <w:bottom w:val="single" w:color="auto" w:sz="6" w:space="0"/>
                    <w:right w:val="single" w:color="auto" w:sz="4" w:space="0"/>
                  </w:tcBorders>
                  <w:vAlign w:val="center"/>
                </w:tcPr>
                <w:p w14:paraId="522B4A7B">
                  <w:pPr>
                    <w:pStyle w:val="124"/>
                    <w:spacing w:line="240" w:lineRule="auto"/>
                    <w:ind w:firstLine="0"/>
                    <w:jc w:val="center"/>
                    <w:rPr>
                      <w:rFonts w:ascii="Times New Roman"/>
                      <w:color w:val="auto"/>
                      <w:kern w:val="2"/>
                      <w:sz w:val="21"/>
                      <w:szCs w:val="21"/>
                      <w:highlight w:val="none"/>
                    </w:rPr>
                  </w:pPr>
                  <w:r>
                    <w:rPr>
                      <w:rFonts w:hint="eastAsia" w:ascii="Times New Roman"/>
                      <w:color w:val="auto"/>
                      <w:kern w:val="2"/>
                      <w:sz w:val="21"/>
                      <w:szCs w:val="21"/>
                      <w:highlight w:val="none"/>
                    </w:rPr>
                    <w:t>最大储存量</w:t>
                  </w:r>
                </w:p>
              </w:tc>
              <w:tc>
                <w:tcPr>
                  <w:tcW w:w="1089" w:type="dxa"/>
                  <w:tcBorders>
                    <w:top w:val="single" w:color="auto" w:sz="6" w:space="0"/>
                    <w:left w:val="single" w:color="auto" w:sz="4" w:space="0"/>
                    <w:bottom w:val="single" w:color="auto" w:sz="6" w:space="0"/>
                    <w:right w:val="single" w:color="auto" w:sz="4" w:space="0"/>
                  </w:tcBorders>
                  <w:vAlign w:val="center"/>
                </w:tcPr>
                <w:p w14:paraId="2788AD35">
                  <w:pPr>
                    <w:pStyle w:val="124"/>
                    <w:spacing w:line="240" w:lineRule="auto"/>
                    <w:ind w:firstLine="0" w:firstLineChars="0"/>
                    <w:jc w:val="center"/>
                    <w:rPr>
                      <w:rFonts w:hint="eastAsia" w:ascii="Times New Roman"/>
                      <w:color w:val="auto"/>
                      <w:kern w:val="2"/>
                      <w:sz w:val="21"/>
                      <w:szCs w:val="21"/>
                      <w:highlight w:val="none"/>
                    </w:rPr>
                  </w:pPr>
                  <w:r>
                    <w:rPr>
                      <w:rFonts w:hint="eastAsia" w:ascii="Times New Roman"/>
                      <w:color w:val="auto"/>
                      <w:kern w:val="2"/>
                      <w:sz w:val="21"/>
                      <w:szCs w:val="21"/>
                      <w:highlight w:val="none"/>
                      <w:lang w:eastAsia="zh-CN"/>
                    </w:rPr>
                    <w:t>包装方式</w:t>
                  </w:r>
                </w:p>
              </w:tc>
              <w:tc>
                <w:tcPr>
                  <w:tcW w:w="989" w:type="dxa"/>
                  <w:tcBorders>
                    <w:top w:val="single" w:color="auto" w:sz="6" w:space="0"/>
                    <w:left w:val="single" w:color="auto" w:sz="4" w:space="0"/>
                    <w:bottom w:val="single" w:color="auto" w:sz="6" w:space="0"/>
                    <w:right w:val="single" w:color="auto" w:sz="4" w:space="0"/>
                  </w:tcBorders>
                  <w:vAlign w:val="center"/>
                </w:tcPr>
                <w:p w14:paraId="2853E790">
                  <w:pPr>
                    <w:pStyle w:val="124"/>
                    <w:spacing w:line="240" w:lineRule="auto"/>
                    <w:ind w:firstLine="0" w:firstLineChars="0"/>
                    <w:jc w:val="center"/>
                    <w:rPr>
                      <w:rFonts w:hint="eastAsia" w:ascii="Times New Roman"/>
                      <w:color w:val="auto"/>
                      <w:kern w:val="2"/>
                      <w:sz w:val="21"/>
                      <w:szCs w:val="21"/>
                      <w:highlight w:val="none"/>
                    </w:rPr>
                  </w:pPr>
                  <w:r>
                    <w:rPr>
                      <w:rFonts w:hint="eastAsia" w:ascii="Times New Roman"/>
                      <w:color w:val="auto"/>
                      <w:kern w:val="2"/>
                      <w:sz w:val="21"/>
                      <w:szCs w:val="21"/>
                      <w:highlight w:val="none"/>
                      <w:lang w:eastAsia="zh-CN"/>
                    </w:rPr>
                    <w:t>来源</w:t>
                  </w:r>
                </w:p>
              </w:tc>
              <w:tc>
                <w:tcPr>
                  <w:tcW w:w="1755" w:type="dxa"/>
                  <w:tcBorders>
                    <w:top w:val="single" w:color="auto" w:sz="6" w:space="0"/>
                    <w:left w:val="single" w:color="auto" w:sz="4" w:space="0"/>
                    <w:bottom w:val="single" w:color="auto" w:sz="6" w:space="0"/>
                    <w:right w:val="single" w:color="auto" w:sz="4" w:space="0"/>
                  </w:tcBorders>
                  <w:vAlign w:val="center"/>
                </w:tcPr>
                <w:p w14:paraId="51E6757C">
                  <w:pPr>
                    <w:pStyle w:val="124"/>
                    <w:spacing w:line="240" w:lineRule="auto"/>
                    <w:ind w:firstLine="0"/>
                    <w:jc w:val="center"/>
                    <w:rPr>
                      <w:rFonts w:ascii="Times New Roman"/>
                      <w:color w:val="auto"/>
                      <w:kern w:val="2"/>
                      <w:sz w:val="21"/>
                      <w:szCs w:val="21"/>
                      <w:highlight w:val="none"/>
                    </w:rPr>
                  </w:pPr>
                  <w:r>
                    <w:rPr>
                      <w:rFonts w:hint="eastAsia" w:ascii="Times New Roman"/>
                      <w:color w:val="auto"/>
                      <w:kern w:val="2"/>
                      <w:sz w:val="21"/>
                      <w:szCs w:val="21"/>
                      <w:highlight w:val="none"/>
                    </w:rPr>
                    <w:t>备注</w:t>
                  </w:r>
                </w:p>
              </w:tc>
            </w:tr>
            <w:tr w14:paraId="2D5F21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4" w:hRule="atLeast"/>
                <w:jc w:val="center"/>
              </w:trPr>
              <w:tc>
                <w:tcPr>
                  <w:tcW w:w="853" w:type="dxa"/>
                  <w:vMerge w:val="restart"/>
                  <w:tcBorders>
                    <w:top w:val="single" w:color="auto" w:sz="6" w:space="0"/>
                    <w:left w:val="single" w:color="auto" w:sz="6" w:space="0"/>
                    <w:right w:val="single" w:color="auto" w:sz="6" w:space="0"/>
                  </w:tcBorders>
                  <w:vAlign w:val="center"/>
                </w:tcPr>
                <w:p w14:paraId="09FD09BE">
                  <w:pPr>
                    <w:jc w:val="center"/>
                    <w:rPr>
                      <w:color w:val="auto"/>
                      <w:highlight w:val="none"/>
                    </w:rPr>
                  </w:pPr>
                  <w:r>
                    <w:rPr>
                      <w:rFonts w:hint="eastAsia"/>
                      <w:color w:val="auto"/>
                      <w:highlight w:val="none"/>
                    </w:rPr>
                    <w:t>生物质颗粒生产线</w:t>
                  </w:r>
                </w:p>
              </w:tc>
              <w:tc>
                <w:tcPr>
                  <w:tcW w:w="951" w:type="dxa"/>
                  <w:tcBorders>
                    <w:top w:val="single" w:color="auto" w:sz="6" w:space="0"/>
                    <w:left w:val="single" w:color="auto" w:sz="6" w:space="0"/>
                    <w:bottom w:val="single" w:color="auto" w:sz="6" w:space="0"/>
                    <w:right w:val="single" w:color="auto" w:sz="6" w:space="0"/>
                  </w:tcBorders>
                  <w:vAlign w:val="center"/>
                </w:tcPr>
                <w:p w14:paraId="47BC474F">
                  <w:pPr>
                    <w:jc w:val="center"/>
                    <w:rPr>
                      <w:color w:val="auto"/>
                      <w:highlight w:val="none"/>
                    </w:rPr>
                  </w:pPr>
                  <w:r>
                    <w:rPr>
                      <w:rFonts w:hint="eastAsia"/>
                      <w:color w:val="auto"/>
                      <w:highlight w:val="none"/>
                    </w:rPr>
                    <w:t>秸秆</w:t>
                  </w:r>
                </w:p>
              </w:tc>
              <w:tc>
                <w:tcPr>
                  <w:tcW w:w="1144" w:type="dxa"/>
                  <w:tcBorders>
                    <w:top w:val="single" w:color="auto" w:sz="6" w:space="0"/>
                    <w:left w:val="single" w:color="auto" w:sz="6" w:space="0"/>
                    <w:right w:val="single" w:color="auto" w:sz="6" w:space="0"/>
                  </w:tcBorders>
                  <w:vAlign w:val="center"/>
                </w:tcPr>
                <w:p w14:paraId="7DA90759">
                  <w:pPr>
                    <w:jc w:val="center"/>
                    <w:rPr>
                      <w:rFonts w:hint="eastAsia" w:eastAsia="宋体"/>
                      <w:color w:val="auto"/>
                      <w:spacing w:val="8"/>
                      <w:kern w:val="24"/>
                      <w:highlight w:val="none"/>
                      <w:lang w:val="en-US" w:eastAsia="zh-CN"/>
                    </w:rPr>
                  </w:pPr>
                  <w:r>
                    <w:rPr>
                      <w:rFonts w:hint="default"/>
                      <w:color w:val="auto"/>
                      <w:spacing w:val="8"/>
                      <w:kern w:val="24"/>
                      <w:highlight w:val="none"/>
                    </w:rPr>
                    <w:t>万</w:t>
                  </w:r>
                  <w:r>
                    <w:rPr>
                      <w:rFonts w:hint="eastAsia"/>
                      <w:color w:val="auto"/>
                      <w:spacing w:val="8"/>
                      <w:kern w:val="24"/>
                      <w:highlight w:val="none"/>
                    </w:rPr>
                    <w:t>吨</w:t>
                  </w:r>
                  <w:r>
                    <w:rPr>
                      <w:rFonts w:hint="eastAsia"/>
                      <w:color w:val="auto"/>
                      <w:spacing w:val="8"/>
                      <w:kern w:val="24"/>
                      <w:highlight w:val="none"/>
                      <w:lang w:val="en-US" w:eastAsia="zh-CN"/>
                    </w:rPr>
                    <w:t>/年</w:t>
                  </w:r>
                </w:p>
              </w:tc>
              <w:tc>
                <w:tcPr>
                  <w:tcW w:w="716" w:type="dxa"/>
                  <w:tcBorders>
                    <w:top w:val="single" w:color="auto" w:sz="6" w:space="0"/>
                    <w:left w:val="single" w:color="auto" w:sz="6" w:space="0"/>
                    <w:right w:val="single" w:color="auto" w:sz="6" w:space="0"/>
                  </w:tcBorders>
                  <w:vAlign w:val="center"/>
                </w:tcPr>
                <w:p w14:paraId="40022B56">
                  <w:pPr>
                    <w:jc w:val="center"/>
                    <w:rPr>
                      <w:rFonts w:hint="default" w:eastAsia="宋体"/>
                      <w:color w:val="auto"/>
                      <w:highlight w:val="none"/>
                      <w:lang w:val="en-US" w:eastAsia="zh-CN"/>
                    </w:rPr>
                  </w:pPr>
                  <w:r>
                    <w:rPr>
                      <w:rFonts w:hint="default"/>
                      <w:color w:val="auto"/>
                      <w:highlight w:val="none"/>
                      <w:lang w:eastAsia="zh-CN"/>
                    </w:rPr>
                    <w:t>10</w:t>
                  </w:r>
                  <w:r>
                    <w:rPr>
                      <w:rFonts w:hint="eastAsia"/>
                      <w:color w:val="auto"/>
                      <w:highlight w:val="none"/>
                      <w:lang w:val="en-US" w:eastAsia="zh-CN"/>
                    </w:rPr>
                    <w:t>.1</w:t>
                  </w:r>
                </w:p>
              </w:tc>
              <w:tc>
                <w:tcPr>
                  <w:tcW w:w="938" w:type="dxa"/>
                  <w:tcBorders>
                    <w:top w:val="single" w:color="auto" w:sz="6" w:space="0"/>
                    <w:left w:val="single" w:color="auto" w:sz="4" w:space="0"/>
                    <w:right w:val="single" w:color="auto" w:sz="4" w:space="0"/>
                  </w:tcBorders>
                  <w:vAlign w:val="center"/>
                </w:tcPr>
                <w:p w14:paraId="5F8A6AF6">
                  <w:pPr>
                    <w:jc w:val="center"/>
                    <w:rPr>
                      <w:rFonts w:hint="default" w:eastAsia="宋体"/>
                      <w:color w:val="auto"/>
                      <w:highlight w:val="none"/>
                      <w:lang w:eastAsia="zh-CN"/>
                    </w:rPr>
                  </w:pPr>
                  <w:r>
                    <w:rPr>
                      <w:rFonts w:hint="default"/>
                      <w:color w:val="auto"/>
                      <w:highlight w:val="none"/>
                      <w:lang w:eastAsia="zh-CN"/>
                    </w:rPr>
                    <w:t>0.5</w:t>
                  </w:r>
                </w:p>
              </w:tc>
              <w:tc>
                <w:tcPr>
                  <w:tcW w:w="1089" w:type="dxa"/>
                  <w:tcBorders>
                    <w:top w:val="single" w:color="auto" w:sz="6" w:space="0"/>
                    <w:left w:val="single" w:color="auto" w:sz="4" w:space="0"/>
                    <w:right w:val="single" w:color="auto" w:sz="4" w:space="0"/>
                  </w:tcBorders>
                  <w:vAlign w:val="center"/>
                </w:tcPr>
                <w:p w14:paraId="2D23C4C0">
                  <w:pPr>
                    <w:jc w:val="center"/>
                    <w:rPr>
                      <w:rFonts w:hint="default"/>
                      <w:color w:val="auto"/>
                      <w:highlight w:val="none"/>
                      <w:lang w:eastAsia="zh-CN"/>
                    </w:rPr>
                  </w:pPr>
                  <w:r>
                    <w:rPr>
                      <w:rFonts w:hint="eastAsia"/>
                      <w:color w:val="auto"/>
                      <w:highlight w:val="none"/>
                      <w:lang w:val="en-US" w:eastAsia="zh-CN"/>
                    </w:rPr>
                    <w:t>5吨/包</w:t>
                  </w:r>
                </w:p>
              </w:tc>
              <w:tc>
                <w:tcPr>
                  <w:tcW w:w="989" w:type="dxa"/>
                  <w:vMerge w:val="restart"/>
                  <w:tcBorders>
                    <w:top w:val="single" w:color="auto" w:sz="6" w:space="0"/>
                    <w:left w:val="single" w:color="auto" w:sz="4" w:space="0"/>
                    <w:right w:val="single" w:color="auto" w:sz="4" w:space="0"/>
                  </w:tcBorders>
                  <w:vAlign w:val="center"/>
                </w:tcPr>
                <w:p w14:paraId="236FE32A">
                  <w:pPr>
                    <w:jc w:val="center"/>
                    <w:rPr>
                      <w:rFonts w:hint="default"/>
                      <w:color w:val="auto"/>
                      <w:highlight w:val="none"/>
                      <w:lang w:eastAsia="zh-CN"/>
                    </w:rPr>
                  </w:pPr>
                  <w:r>
                    <w:rPr>
                      <w:rFonts w:hint="eastAsia"/>
                      <w:color w:val="auto"/>
                      <w:highlight w:val="none"/>
                      <w:lang w:eastAsia="zh-CN"/>
                    </w:rPr>
                    <w:t>周边地区打包秸秆、园林修剪碎木、锯末等</w:t>
                  </w:r>
                </w:p>
              </w:tc>
              <w:tc>
                <w:tcPr>
                  <w:tcW w:w="1755" w:type="dxa"/>
                  <w:vMerge w:val="restart"/>
                  <w:tcBorders>
                    <w:top w:val="single" w:color="auto" w:sz="6" w:space="0"/>
                    <w:left w:val="single" w:color="auto" w:sz="4" w:space="0"/>
                    <w:right w:val="single" w:color="auto" w:sz="4" w:space="0"/>
                  </w:tcBorders>
                  <w:vAlign w:val="center"/>
                </w:tcPr>
                <w:p w14:paraId="112D39D3">
                  <w:pPr>
                    <w:jc w:val="center"/>
                    <w:rPr>
                      <w:color w:val="auto"/>
                      <w:highlight w:val="none"/>
                    </w:rPr>
                  </w:pPr>
                  <w:r>
                    <w:rPr>
                      <w:rFonts w:hint="eastAsia"/>
                      <w:color w:val="auto"/>
                      <w:highlight w:val="none"/>
                      <w:lang w:eastAsia="zh-CN"/>
                    </w:rPr>
                    <w:t>原料不使用</w:t>
                  </w:r>
                  <w:r>
                    <w:rPr>
                      <w:rFonts w:hint="eastAsia"/>
                      <w:color w:val="auto"/>
                      <w:highlight w:val="none"/>
                    </w:rPr>
                    <w:t>沾染油渍的</w:t>
                  </w:r>
                  <w:r>
                    <w:rPr>
                      <w:rFonts w:hint="eastAsia"/>
                      <w:color w:val="auto"/>
                      <w:highlight w:val="none"/>
                      <w:lang w:eastAsia="zh-CN"/>
                    </w:rPr>
                    <w:t>、</w:t>
                  </w:r>
                  <w:r>
                    <w:rPr>
                      <w:rFonts w:hint="eastAsia"/>
                      <w:color w:val="auto"/>
                      <w:highlight w:val="none"/>
                    </w:rPr>
                    <w:t>混入有毒有害等物质的</w:t>
                  </w:r>
                  <w:r>
                    <w:rPr>
                      <w:rFonts w:hint="eastAsia"/>
                      <w:color w:val="auto"/>
                      <w:highlight w:val="none"/>
                      <w:lang w:eastAsia="zh-CN"/>
                    </w:rPr>
                    <w:t>、</w:t>
                  </w:r>
                  <w:r>
                    <w:rPr>
                      <w:rFonts w:hint="eastAsia"/>
                      <w:color w:val="auto"/>
                      <w:highlight w:val="none"/>
                    </w:rPr>
                    <w:t>垃圾和污泥等。</w:t>
                  </w:r>
                </w:p>
              </w:tc>
            </w:tr>
            <w:tr w14:paraId="34F91E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4" w:hRule="atLeast"/>
                <w:jc w:val="center"/>
              </w:trPr>
              <w:tc>
                <w:tcPr>
                  <w:tcW w:w="853" w:type="dxa"/>
                  <w:vMerge w:val="continue"/>
                  <w:tcBorders>
                    <w:left w:val="single" w:color="auto" w:sz="6" w:space="0"/>
                    <w:right w:val="single" w:color="auto" w:sz="6" w:space="0"/>
                  </w:tcBorders>
                  <w:vAlign w:val="center"/>
                </w:tcPr>
                <w:p w14:paraId="75C161EE">
                  <w:pPr>
                    <w:jc w:val="center"/>
                    <w:rPr>
                      <w:color w:val="auto"/>
                      <w:highlight w:val="none"/>
                    </w:rPr>
                  </w:pPr>
                </w:p>
              </w:tc>
              <w:tc>
                <w:tcPr>
                  <w:tcW w:w="951" w:type="dxa"/>
                  <w:tcBorders>
                    <w:top w:val="single" w:color="auto" w:sz="6" w:space="0"/>
                    <w:left w:val="single" w:color="auto" w:sz="6" w:space="0"/>
                    <w:bottom w:val="single" w:color="auto" w:sz="6" w:space="0"/>
                    <w:right w:val="single" w:color="auto" w:sz="6" w:space="0"/>
                  </w:tcBorders>
                  <w:vAlign w:val="center"/>
                </w:tcPr>
                <w:p w14:paraId="67793647">
                  <w:pPr>
                    <w:jc w:val="center"/>
                    <w:rPr>
                      <w:rFonts w:hint="eastAsia"/>
                      <w:color w:val="auto"/>
                      <w:highlight w:val="none"/>
                    </w:rPr>
                  </w:pPr>
                  <w:r>
                    <w:rPr>
                      <w:rFonts w:hint="eastAsia"/>
                      <w:color w:val="auto"/>
                      <w:highlight w:val="none"/>
                    </w:rPr>
                    <w:t>碎木</w:t>
                  </w:r>
                </w:p>
              </w:tc>
              <w:tc>
                <w:tcPr>
                  <w:tcW w:w="1144" w:type="dxa"/>
                  <w:tcBorders>
                    <w:left w:val="single" w:color="auto" w:sz="6" w:space="0"/>
                    <w:right w:val="single" w:color="auto" w:sz="6" w:space="0"/>
                  </w:tcBorders>
                  <w:vAlign w:val="center"/>
                </w:tcPr>
                <w:p w14:paraId="04ABCDAE">
                  <w:pPr>
                    <w:jc w:val="center"/>
                    <w:rPr>
                      <w:rFonts w:hint="eastAsia"/>
                      <w:color w:val="auto"/>
                      <w:highlight w:val="none"/>
                    </w:rPr>
                  </w:pPr>
                  <w:r>
                    <w:rPr>
                      <w:rFonts w:hint="default"/>
                      <w:color w:val="auto"/>
                      <w:spacing w:val="8"/>
                      <w:kern w:val="24"/>
                      <w:highlight w:val="none"/>
                    </w:rPr>
                    <w:t>万</w:t>
                  </w:r>
                  <w:r>
                    <w:rPr>
                      <w:rFonts w:hint="eastAsia"/>
                      <w:color w:val="auto"/>
                      <w:spacing w:val="8"/>
                      <w:kern w:val="24"/>
                      <w:highlight w:val="none"/>
                    </w:rPr>
                    <w:t>吨</w:t>
                  </w:r>
                  <w:r>
                    <w:rPr>
                      <w:rFonts w:hint="eastAsia"/>
                      <w:color w:val="auto"/>
                      <w:spacing w:val="8"/>
                      <w:kern w:val="24"/>
                      <w:highlight w:val="none"/>
                      <w:lang w:val="en-US" w:eastAsia="zh-CN"/>
                    </w:rPr>
                    <w:t>/年</w:t>
                  </w:r>
                </w:p>
              </w:tc>
              <w:tc>
                <w:tcPr>
                  <w:tcW w:w="716" w:type="dxa"/>
                  <w:tcBorders>
                    <w:left w:val="single" w:color="auto" w:sz="6" w:space="0"/>
                    <w:right w:val="single" w:color="auto" w:sz="6" w:space="0"/>
                  </w:tcBorders>
                  <w:vAlign w:val="center"/>
                </w:tcPr>
                <w:p w14:paraId="18F989AA">
                  <w:pPr>
                    <w:jc w:val="center"/>
                    <w:rPr>
                      <w:rFonts w:hint="default"/>
                      <w:color w:val="auto"/>
                      <w:highlight w:val="none"/>
                    </w:rPr>
                  </w:pPr>
                  <w:r>
                    <w:rPr>
                      <w:rFonts w:hint="default"/>
                      <w:color w:val="auto"/>
                      <w:highlight w:val="none"/>
                    </w:rPr>
                    <w:t>5</w:t>
                  </w:r>
                </w:p>
              </w:tc>
              <w:tc>
                <w:tcPr>
                  <w:tcW w:w="938" w:type="dxa"/>
                  <w:tcBorders>
                    <w:left w:val="single" w:color="auto" w:sz="4" w:space="0"/>
                    <w:right w:val="single" w:color="auto" w:sz="4" w:space="0"/>
                  </w:tcBorders>
                  <w:vAlign w:val="center"/>
                </w:tcPr>
                <w:p w14:paraId="6F9FF965">
                  <w:pPr>
                    <w:jc w:val="center"/>
                    <w:rPr>
                      <w:rFonts w:hint="default"/>
                      <w:color w:val="auto"/>
                      <w:highlight w:val="none"/>
                    </w:rPr>
                  </w:pPr>
                  <w:r>
                    <w:rPr>
                      <w:rFonts w:hint="default"/>
                      <w:color w:val="auto"/>
                      <w:highlight w:val="none"/>
                    </w:rPr>
                    <w:t>0.25</w:t>
                  </w:r>
                </w:p>
              </w:tc>
              <w:tc>
                <w:tcPr>
                  <w:tcW w:w="1089" w:type="dxa"/>
                  <w:tcBorders>
                    <w:left w:val="single" w:color="auto" w:sz="4" w:space="0"/>
                    <w:right w:val="single" w:color="auto" w:sz="4" w:space="0"/>
                  </w:tcBorders>
                  <w:vAlign w:val="center"/>
                </w:tcPr>
                <w:p w14:paraId="24C0E7F5">
                  <w:pPr>
                    <w:jc w:val="center"/>
                    <w:rPr>
                      <w:rFonts w:hint="eastAsia" w:eastAsia="宋体"/>
                      <w:color w:val="auto"/>
                      <w:highlight w:val="none"/>
                      <w:lang w:val="en-US" w:eastAsia="zh-CN"/>
                    </w:rPr>
                  </w:pPr>
                  <w:r>
                    <w:rPr>
                      <w:rFonts w:hint="eastAsia"/>
                      <w:color w:val="auto"/>
                      <w:highlight w:val="none"/>
                      <w:lang w:val="en-US" w:eastAsia="zh-CN"/>
                    </w:rPr>
                    <w:t>/</w:t>
                  </w:r>
                </w:p>
              </w:tc>
              <w:tc>
                <w:tcPr>
                  <w:tcW w:w="989" w:type="dxa"/>
                  <w:vMerge w:val="continue"/>
                  <w:tcBorders>
                    <w:left w:val="single" w:color="auto" w:sz="4" w:space="0"/>
                    <w:right w:val="single" w:color="auto" w:sz="4" w:space="0"/>
                  </w:tcBorders>
                  <w:vAlign w:val="center"/>
                </w:tcPr>
                <w:p w14:paraId="64A5271A">
                  <w:pPr>
                    <w:jc w:val="center"/>
                    <w:rPr>
                      <w:rFonts w:hint="default"/>
                      <w:color w:val="auto"/>
                      <w:highlight w:val="none"/>
                    </w:rPr>
                  </w:pPr>
                </w:p>
              </w:tc>
              <w:tc>
                <w:tcPr>
                  <w:tcW w:w="1755" w:type="dxa"/>
                  <w:vMerge w:val="continue"/>
                  <w:tcBorders>
                    <w:left w:val="single" w:color="auto" w:sz="4" w:space="0"/>
                    <w:right w:val="single" w:color="auto" w:sz="4" w:space="0"/>
                  </w:tcBorders>
                  <w:vAlign w:val="center"/>
                </w:tcPr>
                <w:p w14:paraId="3E439AAD">
                  <w:pPr>
                    <w:jc w:val="center"/>
                    <w:rPr>
                      <w:rFonts w:hint="eastAsia"/>
                      <w:color w:val="auto"/>
                      <w:highlight w:val="none"/>
                    </w:rPr>
                  </w:pPr>
                </w:p>
              </w:tc>
            </w:tr>
            <w:tr w14:paraId="178492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53" w:type="dxa"/>
                  <w:vMerge w:val="continue"/>
                  <w:tcBorders>
                    <w:left w:val="single" w:color="auto" w:sz="6" w:space="0"/>
                    <w:right w:val="single" w:color="auto" w:sz="6" w:space="0"/>
                  </w:tcBorders>
                  <w:vAlign w:val="center"/>
                </w:tcPr>
                <w:p w14:paraId="02DEF8DA">
                  <w:pPr>
                    <w:jc w:val="center"/>
                    <w:rPr>
                      <w:rFonts w:hint="eastAsia"/>
                      <w:color w:val="auto"/>
                      <w:highlight w:val="none"/>
                    </w:rPr>
                  </w:pPr>
                </w:p>
              </w:tc>
              <w:tc>
                <w:tcPr>
                  <w:tcW w:w="951" w:type="dxa"/>
                  <w:tcBorders>
                    <w:top w:val="single" w:color="auto" w:sz="6" w:space="0"/>
                    <w:left w:val="single" w:color="auto" w:sz="6" w:space="0"/>
                    <w:bottom w:val="single" w:color="auto" w:sz="6" w:space="0"/>
                    <w:right w:val="single" w:color="auto" w:sz="6" w:space="0"/>
                  </w:tcBorders>
                  <w:vAlign w:val="center"/>
                </w:tcPr>
                <w:p w14:paraId="57D36FD6">
                  <w:pPr>
                    <w:jc w:val="center"/>
                    <w:rPr>
                      <w:rFonts w:hint="eastAsia"/>
                      <w:color w:val="auto"/>
                      <w:highlight w:val="none"/>
                    </w:rPr>
                  </w:pPr>
                  <w:r>
                    <w:rPr>
                      <w:color w:val="auto"/>
                      <w:highlight w:val="none"/>
                    </w:rPr>
                    <w:t>锯末</w:t>
                  </w:r>
                </w:p>
              </w:tc>
              <w:tc>
                <w:tcPr>
                  <w:tcW w:w="1144" w:type="dxa"/>
                  <w:tcBorders>
                    <w:left w:val="single" w:color="auto" w:sz="6" w:space="0"/>
                    <w:bottom w:val="single" w:color="auto" w:sz="6" w:space="0"/>
                    <w:right w:val="single" w:color="auto" w:sz="6" w:space="0"/>
                  </w:tcBorders>
                  <w:vAlign w:val="center"/>
                </w:tcPr>
                <w:p w14:paraId="22DC1906">
                  <w:pPr>
                    <w:jc w:val="center"/>
                    <w:rPr>
                      <w:rFonts w:hint="eastAsia"/>
                      <w:color w:val="auto"/>
                      <w:highlight w:val="none"/>
                    </w:rPr>
                  </w:pPr>
                  <w:r>
                    <w:rPr>
                      <w:rFonts w:hint="default"/>
                      <w:color w:val="auto"/>
                      <w:spacing w:val="8"/>
                      <w:kern w:val="24"/>
                      <w:highlight w:val="none"/>
                    </w:rPr>
                    <w:t>万</w:t>
                  </w:r>
                  <w:r>
                    <w:rPr>
                      <w:rFonts w:hint="eastAsia"/>
                      <w:color w:val="auto"/>
                      <w:spacing w:val="8"/>
                      <w:kern w:val="24"/>
                      <w:highlight w:val="none"/>
                    </w:rPr>
                    <w:t>吨</w:t>
                  </w:r>
                  <w:r>
                    <w:rPr>
                      <w:rFonts w:hint="eastAsia"/>
                      <w:color w:val="auto"/>
                      <w:spacing w:val="8"/>
                      <w:kern w:val="24"/>
                      <w:highlight w:val="none"/>
                      <w:lang w:val="en-US" w:eastAsia="zh-CN"/>
                    </w:rPr>
                    <w:t>/年</w:t>
                  </w:r>
                </w:p>
              </w:tc>
              <w:tc>
                <w:tcPr>
                  <w:tcW w:w="716" w:type="dxa"/>
                  <w:tcBorders>
                    <w:left w:val="single" w:color="auto" w:sz="6" w:space="0"/>
                    <w:bottom w:val="single" w:color="auto" w:sz="6" w:space="0"/>
                    <w:right w:val="single" w:color="auto" w:sz="6" w:space="0"/>
                  </w:tcBorders>
                  <w:vAlign w:val="center"/>
                </w:tcPr>
                <w:p w14:paraId="21F4000F">
                  <w:pPr>
                    <w:jc w:val="center"/>
                    <w:rPr>
                      <w:rFonts w:hint="default"/>
                      <w:color w:val="auto"/>
                      <w:highlight w:val="none"/>
                    </w:rPr>
                  </w:pPr>
                  <w:r>
                    <w:rPr>
                      <w:rFonts w:hint="default"/>
                      <w:color w:val="auto"/>
                      <w:highlight w:val="none"/>
                    </w:rPr>
                    <w:t>5</w:t>
                  </w:r>
                </w:p>
              </w:tc>
              <w:tc>
                <w:tcPr>
                  <w:tcW w:w="938" w:type="dxa"/>
                  <w:tcBorders>
                    <w:left w:val="single" w:color="auto" w:sz="4" w:space="0"/>
                    <w:bottom w:val="single" w:color="auto" w:sz="6" w:space="0"/>
                    <w:right w:val="single" w:color="auto" w:sz="4" w:space="0"/>
                  </w:tcBorders>
                  <w:vAlign w:val="center"/>
                </w:tcPr>
                <w:p w14:paraId="7A0B0EBE">
                  <w:pPr>
                    <w:jc w:val="center"/>
                    <w:rPr>
                      <w:rFonts w:hint="default"/>
                      <w:color w:val="auto"/>
                      <w:highlight w:val="none"/>
                    </w:rPr>
                  </w:pPr>
                  <w:r>
                    <w:rPr>
                      <w:rFonts w:hint="default"/>
                      <w:color w:val="auto"/>
                      <w:highlight w:val="none"/>
                    </w:rPr>
                    <w:t>0.25</w:t>
                  </w:r>
                </w:p>
              </w:tc>
              <w:tc>
                <w:tcPr>
                  <w:tcW w:w="1089" w:type="dxa"/>
                  <w:tcBorders>
                    <w:left w:val="single" w:color="auto" w:sz="4" w:space="0"/>
                    <w:bottom w:val="single" w:color="auto" w:sz="6" w:space="0"/>
                    <w:right w:val="single" w:color="auto" w:sz="4" w:space="0"/>
                  </w:tcBorders>
                  <w:vAlign w:val="center"/>
                </w:tcPr>
                <w:p w14:paraId="33DA36A8">
                  <w:pPr>
                    <w:jc w:val="center"/>
                    <w:rPr>
                      <w:rFonts w:hint="default" w:eastAsia="宋体"/>
                      <w:color w:val="auto"/>
                      <w:highlight w:val="none"/>
                      <w:lang w:val="en-US" w:eastAsia="zh-CN"/>
                    </w:rPr>
                  </w:pPr>
                  <w:r>
                    <w:rPr>
                      <w:rFonts w:hint="eastAsia"/>
                      <w:color w:val="auto"/>
                      <w:highlight w:val="none"/>
                      <w:lang w:val="en-US" w:eastAsia="zh-CN"/>
                    </w:rPr>
                    <w:t>1.2吨/包</w:t>
                  </w:r>
                </w:p>
              </w:tc>
              <w:tc>
                <w:tcPr>
                  <w:tcW w:w="989" w:type="dxa"/>
                  <w:vMerge w:val="continue"/>
                  <w:tcBorders>
                    <w:left w:val="single" w:color="auto" w:sz="4" w:space="0"/>
                    <w:bottom w:val="single" w:color="auto" w:sz="6" w:space="0"/>
                    <w:right w:val="single" w:color="auto" w:sz="4" w:space="0"/>
                  </w:tcBorders>
                  <w:vAlign w:val="center"/>
                </w:tcPr>
                <w:p w14:paraId="414D5458">
                  <w:pPr>
                    <w:jc w:val="center"/>
                    <w:rPr>
                      <w:rFonts w:hint="default"/>
                      <w:color w:val="auto"/>
                      <w:highlight w:val="none"/>
                    </w:rPr>
                  </w:pPr>
                </w:p>
              </w:tc>
              <w:tc>
                <w:tcPr>
                  <w:tcW w:w="1755" w:type="dxa"/>
                  <w:vMerge w:val="continue"/>
                  <w:tcBorders>
                    <w:left w:val="single" w:color="auto" w:sz="4" w:space="0"/>
                    <w:bottom w:val="single" w:color="auto" w:sz="6" w:space="0"/>
                    <w:right w:val="single" w:color="auto" w:sz="4" w:space="0"/>
                  </w:tcBorders>
                  <w:vAlign w:val="center"/>
                </w:tcPr>
                <w:p w14:paraId="7DEFA924">
                  <w:pPr>
                    <w:jc w:val="center"/>
                    <w:rPr>
                      <w:rFonts w:hint="eastAsia"/>
                      <w:color w:val="auto"/>
                      <w:highlight w:val="none"/>
                    </w:rPr>
                  </w:pPr>
                </w:p>
              </w:tc>
            </w:tr>
            <w:tr w14:paraId="08B9E4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53" w:type="dxa"/>
                  <w:vMerge w:val="continue"/>
                  <w:tcBorders>
                    <w:left w:val="single" w:color="auto" w:sz="6" w:space="0"/>
                    <w:right w:val="single" w:color="auto" w:sz="6" w:space="0"/>
                  </w:tcBorders>
                  <w:vAlign w:val="center"/>
                </w:tcPr>
                <w:p w14:paraId="7BC728C5">
                  <w:pPr>
                    <w:jc w:val="center"/>
                    <w:rPr>
                      <w:rFonts w:hint="eastAsia"/>
                      <w:color w:val="auto"/>
                      <w:highlight w:val="none"/>
                    </w:rPr>
                  </w:pPr>
                </w:p>
              </w:tc>
              <w:tc>
                <w:tcPr>
                  <w:tcW w:w="951" w:type="dxa"/>
                  <w:tcBorders>
                    <w:top w:val="single" w:color="auto" w:sz="6" w:space="0"/>
                    <w:left w:val="single" w:color="auto" w:sz="6" w:space="0"/>
                    <w:bottom w:val="single" w:color="auto" w:sz="6" w:space="0"/>
                    <w:right w:val="single" w:color="auto" w:sz="6" w:space="0"/>
                  </w:tcBorders>
                  <w:vAlign w:val="center"/>
                </w:tcPr>
                <w:p w14:paraId="4BA9311C">
                  <w:pPr>
                    <w:jc w:val="center"/>
                    <w:rPr>
                      <w:rFonts w:hint="eastAsia" w:eastAsia="宋体"/>
                      <w:color w:val="auto"/>
                      <w:highlight w:val="none"/>
                      <w:lang w:eastAsia="zh-CN"/>
                    </w:rPr>
                  </w:pPr>
                  <w:r>
                    <w:rPr>
                      <w:rFonts w:hint="eastAsia"/>
                      <w:color w:val="auto"/>
                      <w:highlight w:val="none"/>
                      <w:lang w:eastAsia="zh-CN"/>
                    </w:rPr>
                    <w:t>机油</w:t>
                  </w:r>
                </w:p>
              </w:tc>
              <w:tc>
                <w:tcPr>
                  <w:tcW w:w="1144" w:type="dxa"/>
                  <w:tcBorders>
                    <w:left w:val="single" w:color="auto" w:sz="6" w:space="0"/>
                    <w:bottom w:val="single" w:color="auto" w:sz="6" w:space="0"/>
                    <w:right w:val="single" w:color="auto" w:sz="6" w:space="0"/>
                  </w:tcBorders>
                  <w:vAlign w:val="center"/>
                </w:tcPr>
                <w:p w14:paraId="03A47BE1">
                  <w:pPr>
                    <w:jc w:val="center"/>
                    <w:rPr>
                      <w:rFonts w:hint="default"/>
                      <w:color w:val="auto"/>
                      <w:spacing w:val="8"/>
                      <w:kern w:val="24"/>
                      <w:highlight w:val="none"/>
                    </w:rPr>
                  </w:pPr>
                  <w:r>
                    <w:rPr>
                      <w:rFonts w:hint="eastAsia"/>
                      <w:color w:val="auto"/>
                      <w:spacing w:val="8"/>
                      <w:kern w:val="24"/>
                      <w:highlight w:val="none"/>
                    </w:rPr>
                    <w:t>吨</w:t>
                  </w:r>
                  <w:r>
                    <w:rPr>
                      <w:rFonts w:hint="eastAsia"/>
                      <w:color w:val="auto"/>
                      <w:spacing w:val="8"/>
                      <w:kern w:val="24"/>
                      <w:highlight w:val="none"/>
                      <w:lang w:val="en-US" w:eastAsia="zh-CN"/>
                    </w:rPr>
                    <w:t>/年</w:t>
                  </w:r>
                </w:p>
              </w:tc>
              <w:tc>
                <w:tcPr>
                  <w:tcW w:w="716" w:type="dxa"/>
                  <w:tcBorders>
                    <w:left w:val="single" w:color="auto" w:sz="6" w:space="0"/>
                    <w:bottom w:val="single" w:color="auto" w:sz="6" w:space="0"/>
                    <w:right w:val="single" w:color="auto" w:sz="6" w:space="0"/>
                  </w:tcBorders>
                  <w:vAlign w:val="center"/>
                </w:tcPr>
                <w:p w14:paraId="4796E119">
                  <w:pPr>
                    <w:jc w:val="center"/>
                    <w:rPr>
                      <w:rFonts w:hint="default" w:eastAsia="宋体"/>
                      <w:color w:val="auto"/>
                      <w:highlight w:val="none"/>
                      <w:lang w:val="en-US" w:eastAsia="zh-CN"/>
                    </w:rPr>
                  </w:pPr>
                  <w:r>
                    <w:rPr>
                      <w:rFonts w:hint="eastAsia"/>
                      <w:color w:val="auto"/>
                      <w:highlight w:val="none"/>
                      <w:lang w:val="en-US" w:eastAsia="zh-CN"/>
                    </w:rPr>
                    <w:t>0.5</w:t>
                  </w:r>
                </w:p>
              </w:tc>
              <w:tc>
                <w:tcPr>
                  <w:tcW w:w="938" w:type="dxa"/>
                  <w:tcBorders>
                    <w:left w:val="single" w:color="auto" w:sz="4" w:space="0"/>
                    <w:bottom w:val="single" w:color="auto" w:sz="6" w:space="0"/>
                    <w:right w:val="single" w:color="auto" w:sz="4" w:space="0"/>
                  </w:tcBorders>
                  <w:vAlign w:val="center"/>
                </w:tcPr>
                <w:p w14:paraId="3DC91D3C">
                  <w:pPr>
                    <w:jc w:val="center"/>
                    <w:rPr>
                      <w:rFonts w:hint="default" w:eastAsia="宋体"/>
                      <w:color w:val="auto"/>
                      <w:highlight w:val="none"/>
                      <w:lang w:val="en-US" w:eastAsia="zh-CN"/>
                    </w:rPr>
                  </w:pPr>
                  <w:r>
                    <w:rPr>
                      <w:rFonts w:hint="eastAsia"/>
                      <w:color w:val="auto"/>
                      <w:highlight w:val="none"/>
                      <w:lang w:val="en-US" w:eastAsia="zh-CN"/>
                    </w:rPr>
                    <w:t>0.1</w:t>
                  </w:r>
                </w:p>
              </w:tc>
              <w:tc>
                <w:tcPr>
                  <w:tcW w:w="1089" w:type="dxa"/>
                  <w:tcBorders>
                    <w:left w:val="single" w:color="auto" w:sz="4" w:space="0"/>
                    <w:bottom w:val="single" w:color="auto" w:sz="6" w:space="0"/>
                    <w:right w:val="single" w:color="auto" w:sz="4" w:space="0"/>
                  </w:tcBorders>
                  <w:vAlign w:val="center"/>
                </w:tcPr>
                <w:p w14:paraId="47F314FB">
                  <w:pPr>
                    <w:jc w:val="center"/>
                    <w:rPr>
                      <w:rFonts w:hint="eastAsia"/>
                      <w:color w:val="auto"/>
                      <w:highlight w:val="none"/>
                      <w:lang w:val="en-US" w:eastAsia="zh-CN"/>
                    </w:rPr>
                  </w:pPr>
                  <w:r>
                    <w:rPr>
                      <w:rFonts w:hint="eastAsia"/>
                      <w:color w:val="auto"/>
                      <w:highlight w:val="none"/>
                      <w:lang w:val="en-US" w:eastAsia="zh-CN"/>
                    </w:rPr>
                    <w:t>桶装（20升/桶）</w:t>
                  </w:r>
                </w:p>
              </w:tc>
              <w:tc>
                <w:tcPr>
                  <w:tcW w:w="989" w:type="dxa"/>
                  <w:tcBorders>
                    <w:left w:val="single" w:color="auto" w:sz="4" w:space="0"/>
                    <w:bottom w:val="single" w:color="auto" w:sz="6" w:space="0"/>
                    <w:right w:val="single" w:color="auto" w:sz="4" w:space="0"/>
                  </w:tcBorders>
                  <w:vAlign w:val="center"/>
                </w:tcPr>
                <w:p w14:paraId="4A517D96">
                  <w:pPr>
                    <w:tabs>
                      <w:tab w:val="center" w:pos="394"/>
                      <w:tab w:val="left" w:pos="503"/>
                    </w:tabs>
                    <w:jc w:val="left"/>
                    <w:rPr>
                      <w:rFonts w:hint="default"/>
                      <w:color w:val="auto"/>
                      <w:highlight w:val="none"/>
                      <w:lang w:val="en-US" w:eastAsia="zh-CN"/>
                    </w:rPr>
                  </w:pPr>
                  <w:r>
                    <w:rPr>
                      <w:rFonts w:hint="eastAsia"/>
                      <w:color w:val="auto"/>
                      <w:highlight w:val="none"/>
                      <w:lang w:val="en-US" w:eastAsia="zh-CN"/>
                    </w:rPr>
                    <w:tab/>
                  </w:r>
                  <w:r>
                    <w:rPr>
                      <w:rFonts w:hint="eastAsia"/>
                      <w:color w:val="auto"/>
                      <w:highlight w:val="none"/>
                      <w:lang w:val="en-US" w:eastAsia="zh-CN"/>
                    </w:rPr>
                    <w:t>外购</w:t>
                  </w:r>
                </w:p>
              </w:tc>
              <w:tc>
                <w:tcPr>
                  <w:tcW w:w="1755" w:type="dxa"/>
                  <w:vMerge w:val="restart"/>
                  <w:tcBorders>
                    <w:left w:val="single" w:color="auto" w:sz="4" w:space="0"/>
                    <w:right w:val="single" w:color="auto" w:sz="4" w:space="0"/>
                  </w:tcBorders>
                  <w:vAlign w:val="center"/>
                </w:tcPr>
                <w:p w14:paraId="1ED01AB5">
                  <w:pPr>
                    <w:jc w:val="center"/>
                    <w:rPr>
                      <w:rFonts w:hint="default" w:eastAsia="宋体"/>
                      <w:color w:val="auto"/>
                      <w:highlight w:val="none"/>
                      <w:lang w:val="en-US" w:eastAsia="zh-CN"/>
                    </w:rPr>
                  </w:pPr>
                  <w:r>
                    <w:rPr>
                      <w:rFonts w:hint="eastAsia"/>
                      <w:color w:val="auto"/>
                      <w:highlight w:val="none"/>
                      <w:lang w:val="en-US" w:eastAsia="zh-CN"/>
                    </w:rPr>
                    <w:t>暂存于维修库内</w:t>
                  </w:r>
                </w:p>
              </w:tc>
            </w:tr>
            <w:tr w14:paraId="09A057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53" w:type="dxa"/>
                  <w:vMerge w:val="continue"/>
                  <w:tcBorders>
                    <w:left w:val="single" w:color="auto" w:sz="6" w:space="0"/>
                    <w:right w:val="single" w:color="auto" w:sz="6" w:space="0"/>
                  </w:tcBorders>
                  <w:vAlign w:val="center"/>
                </w:tcPr>
                <w:p w14:paraId="08937F1D">
                  <w:pPr>
                    <w:jc w:val="center"/>
                    <w:rPr>
                      <w:rFonts w:hint="eastAsia"/>
                      <w:color w:val="auto"/>
                      <w:highlight w:val="none"/>
                    </w:rPr>
                  </w:pPr>
                </w:p>
              </w:tc>
              <w:tc>
                <w:tcPr>
                  <w:tcW w:w="951" w:type="dxa"/>
                  <w:tcBorders>
                    <w:top w:val="single" w:color="auto" w:sz="6" w:space="0"/>
                    <w:left w:val="single" w:color="auto" w:sz="6" w:space="0"/>
                    <w:bottom w:val="single" w:color="auto" w:sz="6" w:space="0"/>
                    <w:right w:val="single" w:color="auto" w:sz="6" w:space="0"/>
                  </w:tcBorders>
                  <w:vAlign w:val="center"/>
                </w:tcPr>
                <w:p w14:paraId="7E627436">
                  <w:pPr>
                    <w:jc w:val="center"/>
                    <w:rPr>
                      <w:rFonts w:hint="eastAsia"/>
                      <w:color w:val="auto"/>
                      <w:highlight w:val="none"/>
                      <w:lang w:eastAsia="zh-CN"/>
                    </w:rPr>
                  </w:pPr>
                  <w:r>
                    <w:rPr>
                      <w:rFonts w:hint="eastAsia"/>
                      <w:color w:val="auto"/>
                      <w:highlight w:val="none"/>
                      <w:lang w:eastAsia="zh-CN"/>
                    </w:rPr>
                    <w:t>液压油</w:t>
                  </w:r>
                </w:p>
              </w:tc>
              <w:tc>
                <w:tcPr>
                  <w:tcW w:w="1144" w:type="dxa"/>
                  <w:tcBorders>
                    <w:left w:val="single" w:color="auto" w:sz="6" w:space="0"/>
                    <w:bottom w:val="single" w:color="auto" w:sz="6" w:space="0"/>
                    <w:right w:val="single" w:color="auto" w:sz="6" w:space="0"/>
                  </w:tcBorders>
                  <w:vAlign w:val="center"/>
                </w:tcPr>
                <w:p w14:paraId="57E207EA">
                  <w:pPr>
                    <w:jc w:val="center"/>
                    <w:rPr>
                      <w:rFonts w:hint="eastAsia"/>
                      <w:color w:val="auto"/>
                      <w:spacing w:val="8"/>
                      <w:kern w:val="24"/>
                      <w:highlight w:val="none"/>
                    </w:rPr>
                  </w:pPr>
                  <w:r>
                    <w:rPr>
                      <w:rFonts w:hint="eastAsia"/>
                      <w:color w:val="auto"/>
                      <w:spacing w:val="8"/>
                      <w:kern w:val="24"/>
                      <w:highlight w:val="none"/>
                    </w:rPr>
                    <w:t>吨</w:t>
                  </w:r>
                  <w:r>
                    <w:rPr>
                      <w:rFonts w:hint="eastAsia"/>
                      <w:color w:val="auto"/>
                      <w:spacing w:val="8"/>
                      <w:kern w:val="24"/>
                      <w:highlight w:val="none"/>
                      <w:lang w:val="en-US" w:eastAsia="zh-CN"/>
                    </w:rPr>
                    <w:t>/年</w:t>
                  </w:r>
                </w:p>
              </w:tc>
              <w:tc>
                <w:tcPr>
                  <w:tcW w:w="716" w:type="dxa"/>
                  <w:tcBorders>
                    <w:left w:val="single" w:color="auto" w:sz="6" w:space="0"/>
                    <w:bottom w:val="single" w:color="auto" w:sz="6" w:space="0"/>
                    <w:right w:val="single" w:color="auto" w:sz="6" w:space="0"/>
                  </w:tcBorders>
                  <w:vAlign w:val="center"/>
                </w:tcPr>
                <w:p w14:paraId="6C78ACC3">
                  <w:pPr>
                    <w:jc w:val="center"/>
                    <w:rPr>
                      <w:rFonts w:hint="default"/>
                      <w:color w:val="auto"/>
                      <w:highlight w:val="none"/>
                      <w:lang w:val="en-US" w:eastAsia="zh-CN"/>
                    </w:rPr>
                  </w:pPr>
                  <w:r>
                    <w:rPr>
                      <w:rFonts w:hint="eastAsia"/>
                      <w:color w:val="auto"/>
                      <w:highlight w:val="none"/>
                      <w:lang w:val="en-US" w:eastAsia="zh-CN"/>
                    </w:rPr>
                    <w:t>0.5</w:t>
                  </w:r>
                </w:p>
              </w:tc>
              <w:tc>
                <w:tcPr>
                  <w:tcW w:w="938" w:type="dxa"/>
                  <w:tcBorders>
                    <w:left w:val="single" w:color="auto" w:sz="4" w:space="0"/>
                    <w:bottom w:val="single" w:color="auto" w:sz="6" w:space="0"/>
                    <w:right w:val="single" w:color="auto" w:sz="4" w:space="0"/>
                  </w:tcBorders>
                  <w:vAlign w:val="center"/>
                </w:tcPr>
                <w:p w14:paraId="3909BEE0">
                  <w:pPr>
                    <w:jc w:val="center"/>
                    <w:rPr>
                      <w:rFonts w:hint="eastAsia"/>
                      <w:color w:val="auto"/>
                      <w:highlight w:val="none"/>
                      <w:lang w:val="en-US" w:eastAsia="zh-CN"/>
                    </w:rPr>
                  </w:pPr>
                  <w:r>
                    <w:rPr>
                      <w:rFonts w:hint="eastAsia"/>
                      <w:color w:val="auto"/>
                      <w:highlight w:val="none"/>
                      <w:lang w:val="en-US" w:eastAsia="zh-CN"/>
                    </w:rPr>
                    <w:t>0.1</w:t>
                  </w:r>
                </w:p>
              </w:tc>
              <w:tc>
                <w:tcPr>
                  <w:tcW w:w="1089" w:type="dxa"/>
                  <w:tcBorders>
                    <w:left w:val="single" w:color="auto" w:sz="4" w:space="0"/>
                    <w:bottom w:val="single" w:color="auto" w:sz="6" w:space="0"/>
                    <w:right w:val="single" w:color="auto" w:sz="4" w:space="0"/>
                  </w:tcBorders>
                  <w:vAlign w:val="center"/>
                </w:tcPr>
                <w:p w14:paraId="38AB88AA">
                  <w:pPr>
                    <w:jc w:val="center"/>
                    <w:rPr>
                      <w:rFonts w:hint="eastAsia"/>
                      <w:color w:val="auto"/>
                      <w:highlight w:val="none"/>
                      <w:lang w:val="en-US" w:eastAsia="zh-CN"/>
                    </w:rPr>
                  </w:pPr>
                  <w:r>
                    <w:rPr>
                      <w:rFonts w:hint="eastAsia"/>
                      <w:color w:val="auto"/>
                      <w:highlight w:val="none"/>
                      <w:lang w:val="en-US" w:eastAsia="zh-CN"/>
                    </w:rPr>
                    <w:t>桶装（15kg/桶）</w:t>
                  </w:r>
                </w:p>
              </w:tc>
              <w:tc>
                <w:tcPr>
                  <w:tcW w:w="989" w:type="dxa"/>
                  <w:tcBorders>
                    <w:left w:val="single" w:color="auto" w:sz="4" w:space="0"/>
                    <w:bottom w:val="single" w:color="auto" w:sz="6" w:space="0"/>
                    <w:right w:val="single" w:color="auto" w:sz="4" w:space="0"/>
                  </w:tcBorders>
                  <w:vAlign w:val="center"/>
                </w:tcPr>
                <w:p w14:paraId="003A0EF2">
                  <w:pPr>
                    <w:jc w:val="center"/>
                    <w:rPr>
                      <w:rFonts w:hint="default"/>
                      <w:color w:val="auto"/>
                      <w:highlight w:val="none"/>
                      <w:lang w:val="en-US" w:eastAsia="zh-CN"/>
                    </w:rPr>
                  </w:pPr>
                  <w:r>
                    <w:rPr>
                      <w:rFonts w:hint="eastAsia"/>
                      <w:color w:val="auto"/>
                      <w:highlight w:val="none"/>
                      <w:lang w:val="en-US" w:eastAsia="zh-CN"/>
                    </w:rPr>
                    <w:t>外购</w:t>
                  </w:r>
                </w:p>
              </w:tc>
              <w:tc>
                <w:tcPr>
                  <w:tcW w:w="1755" w:type="dxa"/>
                  <w:vMerge w:val="continue"/>
                  <w:tcBorders>
                    <w:left w:val="single" w:color="auto" w:sz="4" w:space="0"/>
                    <w:bottom w:val="single" w:color="auto" w:sz="6" w:space="0"/>
                    <w:right w:val="single" w:color="auto" w:sz="4" w:space="0"/>
                  </w:tcBorders>
                  <w:vAlign w:val="center"/>
                </w:tcPr>
                <w:p w14:paraId="625D806F">
                  <w:pPr>
                    <w:jc w:val="center"/>
                    <w:rPr>
                      <w:rFonts w:hint="eastAsia"/>
                      <w:color w:val="auto"/>
                      <w:highlight w:val="none"/>
                    </w:rPr>
                  </w:pPr>
                </w:p>
              </w:tc>
            </w:tr>
            <w:tr w14:paraId="0B8577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53" w:type="dxa"/>
                  <w:vMerge w:val="continue"/>
                  <w:tcBorders>
                    <w:left w:val="single" w:color="auto" w:sz="6" w:space="0"/>
                    <w:right w:val="single" w:color="auto" w:sz="6" w:space="0"/>
                  </w:tcBorders>
                  <w:vAlign w:val="center"/>
                </w:tcPr>
                <w:p w14:paraId="3DEA09F9">
                  <w:pPr>
                    <w:jc w:val="center"/>
                    <w:rPr>
                      <w:color w:val="auto"/>
                      <w:highlight w:val="none"/>
                    </w:rPr>
                  </w:pPr>
                </w:p>
              </w:tc>
              <w:tc>
                <w:tcPr>
                  <w:tcW w:w="951" w:type="dxa"/>
                  <w:tcBorders>
                    <w:top w:val="single" w:color="auto" w:sz="6" w:space="0"/>
                    <w:left w:val="single" w:color="auto" w:sz="6" w:space="0"/>
                    <w:bottom w:val="single" w:color="auto" w:sz="6" w:space="0"/>
                    <w:right w:val="single" w:color="auto" w:sz="6" w:space="0"/>
                  </w:tcBorders>
                  <w:vAlign w:val="center"/>
                </w:tcPr>
                <w:p w14:paraId="7ED6D180">
                  <w:pPr>
                    <w:jc w:val="center"/>
                    <w:rPr>
                      <w:color w:val="auto"/>
                      <w:spacing w:val="8"/>
                      <w:kern w:val="24"/>
                      <w:highlight w:val="none"/>
                    </w:rPr>
                  </w:pPr>
                  <w:r>
                    <w:rPr>
                      <w:rFonts w:hint="eastAsia"/>
                      <w:color w:val="auto"/>
                      <w:spacing w:val="8"/>
                      <w:kern w:val="24"/>
                      <w:highlight w:val="none"/>
                    </w:rPr>
                    <w:t>电</w:t>
                  </w:r>
                </w:p>
              </w:tc>
              <w:tc>
                <w:tcPr>
                  <w:tcW w:w="1144" w:type="dxa"/>
                  <w:tcBorders>
                    <w:top w:val="single" w:color="auto" w:sz="6" w:space="0"/>
                    <w:left w:val="single" w:color="auto" w:sz="6" w:space="0"/>
                    <w:bottom w:val="single" w:color="auto" w:sz="6" w:space="0"/>
                    <w:right w:val="single" w:color="auto" w:sz="6" w:space="0"/>
                  </w:tcBorders>
                  <w:vAlign w:val="center"/>
                </w:tcPr>
                <w:p w14:paraId="7F8C6146">
                  <w:pPr>
                    <w:jc w:val="center"/>
                    <w:rPr>
                      <w:color w:val="auto"/>
                      <w:spacing w:val="8"/>
                      <w:kern w:val="24"/>
                      <w:highlight w:val="none"/>
                    </w:rPr>
                  </w:pPr>
                  <w:r>
                    <w:rPr>
                      <w:rFonts w:hint="eastAsia"/>
                      <w:color w:val="auto"/>
                      <w:spacing w:val="8"/>
                      <w:kern w:val="24"/>
                      <w:highlight w:val="none"/>
                      <w:lang w:eastAsia="zh-CN"/>
                    </w:rPr>
                    <w:t>万</w:t>
                  </w:r>
                  <w:r>
                    <w:rPr>
                      <w:rFonts w:hint="eastAsia"/>
                      <w:color w:val="auto"/>
                      <w:spacing w:val="8"/>
                      <w:kern w:val="24"/>
                      <w:highlight w:val="none"/>
                    </w:rPr>
                    <w:t>kw·h</w:t>
                  </w:r>
                </w:p>
              </w:tc>
              <w:tc>
                <w:tcPr>
                  <w:tcW w:w="716" w:type="dxa"/>
                  <w:tcBorders>
                    <w:top w:val="single" w:color="auto" w:sz="6" w:space="0"/>
                    <w:left w:val="single" w:color="auto" w:sz="6" w:space="0"/>
                    <w:bottom w:val="single" w:color="auto" w:sz="6" w:space="0"/>
                    <w:right w:val="single" w:color="auto" w:sz="6" w:space="0"/>
                  </w:tcBorders>
                  <w:vAlign w:val="center"/>
                </w:tcPr>
                <w:p w14:paraId="789E7C2C">
                  <w:pPr>
                    <w:jc w:val="center"/>
                    <w:rPr>
                      <w:rFonts w:hint="default" w:eastAsia="宋体"/>
                      <w:color w:val="auto"/>
                      <w:spacing w:val="8"/>
                      <w:kern w:val="24"/>
                      <w:highlight w:val="none"/>
                      <w:lang w:val="en-US" w:eastAsia="zh-CN"/>
                    </w:rPr>
                  </w:pPr>
                  <w:r>
                    <w:rPr>
                      <w:rFonts w:hint="eastAsia"/>
                      <w:color w:val="auto"/>
                      <w:spacing w:val="8"/>
                      <w:kern w:val="24"/>
                      <w:highlight w:val="none"/>
                      <w:lang w:val="en-US" w:eastAsia="zh-CN"/>
                    </w:rPr>
                    <w:t>180</w:t>
                  </w:r>
                </w:p>
              </w:tc>
              <w:tc>
                <w:tcPr>
                  <w:tcW w:w="938" w:type="dxa"/>
                  <w:tcBorders>
                    <w:top w:val="single" w:color="auto" w:sz="6" w:space="0"/>
                    <w:left w:val="single" w:color="auto" w:sz="4" w:space="0"/>
                    <w:bottom w:val="single" w:color="auto" w:sz="6" w:space="0"/>
                    <w:right w:val="single" w:color="auto" w:sz="4" w:space="0"/>
                  </w:tcBorders>
                  <w:vAlign w:val="center"/>
                </w:tcPr>
                <w:p w14:paraId="7BF1D981">
                  <w:pPr>
                    <w:jc w:val="center"/>
                    <w:rPr>
                      <w:color w:val="auto"/>
                      <w:highlight w:val="none"/>
                    </w:rPr>
                  </w:pPr>
                  <w:r>
                    <w:rPr>
                      <w:rFonts w:hint="eastAsia"/>
                      <w:color w:val="auto"/>
                      <w:highlight w:val="none"/>
                    </w:rPr>
                    <w:t>/</w:t>
                  </w:r>
                </w:p>
              </w:tc>
              <w:tc>
                <w:tcPr>
                  <w:tcW w:w="1089" w:type="dxa"/>
                  <w:tcBorders>
                    <w:top w:val="single" w:color="auto" w:sz="6" w:space="0"/>
                    <w:left w:val="single" w:color="auto" w:sz="4" w:space="0"/>
                    <w:bottom w:val="single" w:color="auto" w:sz="6" w:space="0"/>
                    <w:right w:val="single" w:color="auto" w:sz="4" w:space="0"/>
                  </w:tcBorders>
                  <w:vAlign w:val="center"/>
                </w:tcPr>
                <w:p w14:paraId="5BE460F2">
                  <w:pPr>
                    <w:jc w:val="center"/>
                    <w:rPr>
                      <w:rFonts w:hint="eastAsia" w:eastAsia="宋体"/>
                      <w:color w:val="auto"/>
                      <w:highlight w:val="none"/>
                      <w:lang w:val="en-US" w:eastAsia="zh-CN"/>
                    </w:rPr>
                  </w:pPr>
                  <w:r>
                    <w:rPr>
                      <w:rFonts w:hint="eastAsia"/>
                      <w:color w:val="auto"/>
                      <w:highlight w:val="none"/>
                      <w:lang w:val="en-US" w:eastAsia="zh-CN"/>
                    </w:rPr>
                    <w:t>/</w:t>
                  </w:r>
                </w:p>
              </w:tc>
              <w:tc>
                <w:tcPr>
                  <w:tcW w:w="989" w:type="dxa"/>
                  <w:tcBorders>
                    <w:top w:val="single" w:color="auto" w:sz="6" w:space="0"/>
                    <w:left w:val="single" w:color="auto" w:sz="4" w:space="0"/>
                    <w:bottom w:val="single" w:color="auto" w:sz="6" w:space="0"/>
                    <w:right w:val="single" w:color="auto" w:sz="4" w:space="0"/>
                  </w:tcBorders>
                  <w:vAlign w:val="center"/>
                </w:tcPr>
                <w:p w14:paraId="589ED95A">
                  <w:pPr>
                    <w:jc w:val="center"/>
                    <w:rPr>
                      <w:rFonts w:hint="eastAsia" w:eastAsia="宋体"/>
                      <w:color w:val="auto"/>
                      <w:highlight w:val="none"/>
                      <w:lang w:val="en-US" w:eastAsia="zh-CN"/>
                    </w:rPr>
                  </w:pPr>
                  <w:r>
                    <w:rPr>
                      <w:rFonts w:hint="eastAsia"/>
                      <w:color w:val="auto"/>
                      <w:highlight w:val="none"/>
                      <w:lang w:val="en-US" w:eastAsia="zh-CN"/>
                    </w:rPr>
                    <w:t>/</w:t>
                  </w:r>
                </w:p>
              </w:tc>
              <w:tc>
                <w:tcPr>
                  <w:tcW w:w="1755" w:type="dxa"/>
                  <w:tcBorders>
                    <w:top w:val="single" w:color="auto" w:sz="6" w:space="0"/>
                    <w:left w:val="single" w:color="auto" w:sz="4" w:space="0"/>
                    <w:bottom w:val="single" w:color="auto" w:sz="6" w:space="0"/>
                    <w:right w:val="single" w:color="auto" w:sz="4" w:space="0"/>
                  </w:tcBorders>
                  <w:vAlign w:val="center"/>
                </w:tcPr>
                <w:p w14:paraId="42E7DBC6">
                  <w:pPr>
                    <w:jc w:val="center"/>
                    <w:rPr>
                      <w:color w:val="auto"/>
                      <w:highlight w:val="none"/>
                    </w:rPr>
                  </w:pPr>
                  <w:r>
                    <w:rPr>
                      <w:rFonts w:hint="eastAsia"/>
                      <w:color w:val="auto"/>
                      <w:highlight w:val="none"/>
                    </w:rPr>
                    <w:t>/</w:t>
                  </w:r>
                </w:p>
              </w:tc>
            </w:tr>
            <w:tr w14:paraId="042ECC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53" w:type="dxa"/>
                  <w:vMerge w:val="continue"/>
                  <w:tcBorders>
                    <w:left w:val="single" w:color="auto" w:sz="6" w:space="0"/>
                    <w:right w:val="single" w:color="auto" w:sz="6" w:space="0"/>
                  </w:tcBorders>
                  <w:vAlign w:val="center"/>
                </w:tcPr>
                <w:p w14:paraId="56250627">
                  <w:pPr>
                    <w:jc w:val="center"/>
                    <w:rPr>
                      <w:color w:val="auto"/>
                      <w:highlight w:val="none"/>
                    </w:rPr>
                  </w:pPr>
                </w:p>
              </w:tc>
              <w:tc>
                <w:tcPr>
                  <w:tcW w:w="951" w:type="dxa"/>
                  <w:tcBorders>
                    <w:top w:val="single" w:color="auto" w:sz="6" w:space="0"/>
                    <w:left w:val="single" w:color="auto" w:sz="6" w:space="0"/>
                    <w:bottom w:val="single" w:color="auto" w:sz="6" w:space="0"/>
                    <w:right w:val="single" w:color="auto" w:sz="6" w:space="0"/>
                  </w:tcBorders>
                  <w:vAlign w:val="center"/>
                </w:tcPr>
                <w:p w14:paraId="7DA4E8E1">
                  <w:pPr>
                    <w:jc w:val="center"/>
                    <w:rPr>
                      <w:color w:val="auto"/>
                      <w:spacing w:val="8"/>
                      <w:kern w:val="24"/>
                      <w:highlight w:val="none"/>
                    </w:rPr>
                  </w:pPr>
                  <w:r>
                    <w:rPr>
                      <w:rFonts w:hint="eastAsia"/>
                      <w:color w:val="auto"/>
                      <w:spacing w:val="8"/>
                      <w:kern w:val="24"/>
                      <w:highlight w:val="none"/>
                    </w:rPr>
                    <w:t>水</w:t>
                  </w:r>
                </w:p>
              </w:tc>
              <w:tc>
                <w:tcPr>
                  <w:tcW w:w="1144" w:type="dxa"/>
                  <w:tcBorders>
                    <w:top w:val="single" w:color="auto" w:sz="6" w:space="0"/>
                    <w:left w:val="single" w:color="auto" w:sz="6" w:space="0"/>
                    <w:right w:val="single" w:color="auto" w:sz="6" w:space="0"/>
                  </w:tcBorders>
                  <w:vAlign w:val="center"/>
                </w:tcPr>
                <w:p w14:paraId="445C5BD0">
                  <w:pPr>
                    <w:jc w:val="center"/>
                    <w:rPr>
                      <w:color w:val="auto"/>
                      <w:spacing w:val="8"/>
                      <w:kern w:val="24"/>
                      <w:highlight w:val="none"/>
                    </w:rPr>
                  </w:pPr>
                  <w:r>
                    <w:rPr>
                      <w:rFonts w:hint="eastAsia"/>
                      <w:color w:val="auto"/>
                      <w:spacing w:val="8"/>
                      <w:kern w:val="24"/>
                      <w:highlight w:val="none"/>
                    </w:rPr>
                    <w:t>吨</w:t>
                  </w:r>
                </w:p>
              </w:tc>
              <w:tc>
                <w:tcPr>
                  <w:tcW w:w="716" w:type="dxa"/>
                  <w:tcBorders>
                    <w:top w:val="single" w:color="auto" w:sz="6" w:space="0"/>
                    <w:left w:val="single" w:color="auto" w:sz="6" w:space="0"/>
                    <w:right w:val="single" w:color="auto" w:sz="6" w:space="0"/>
                  </w:tcBorders>
                  <w:vAlign w:val="center"/>
                </w:tcPr>
                <w:p w14:paraId="6ABB3D43">
                  <w:pPr>
                    <w:jc w:val="center"/>
                    <w:rPr>
                      <w:rFonts w:hint="default" w:eastAsia="宋体"/>
                      <w:color w:val="auto"/>
                      <w:spacing w:val="8"/>
                      <w:kern w:val="24"/>
                      <w:highlight w:val="none"/>
                      <w:lang w:val="en-US" w:eastAsia="zh-CN"/>
                    </w:rPr>
                  </w:pPr>
                  <w:r>
                    <w:rPr>
                      <w:rFonts w:hint="eastAsia"/>
                      <w:color w:val="auto"/>
                      <w:spacing w:val="8"/>
                      <w:kern w:val="24"/>
                      <w:highlight w:val="none"/>
                      <w:lang w:val="en-US" w:eastAsia="zh-CN"/>
                    </w:rPr>
                    <w:t>360</w:t>
                  </w:r>
                </w:p>
              </w:tc>
              <w:tc>
                <w:tcPr>
                  <w:tcW w:w="938" w:type="dxa"/>
                  <w:tcBorders>
                    <w:top w:val="single" w:color="auto" w:sz="6" w:space="0"/>
                    <w:left w:val="single" w:color="auto" w:sz="4" w:space="0"/>
                    <w:right w:val="single" w:color="auto" w:sz="4" w:space="0"/>
                  </w:tcBorders>
                  <w:vAlign w:val="center"/>
                </w:tcPr>
                <w:p w14:paraId="44AA14A7">
                  <w:pPr>
                    <w:jc w:val="center"/>
                    <w:rPr>
                      <w:color w:val="auto"/>
                      <w:highlight w:val="none"/>
                    </w:rPr>
                  </w:pPr>
                  <w:r>
                    <w:rPr>
                      <w:rFonts w:hint="eastAsia"/>
                      <w:color w:val="auto"/>
                      <w:highlight w:val="none"/>
                    </w:rPr>
                    <w:t>/</w:t>
                  </w:r>
                </w:p>
              </w:tc>
              <w:tc>
                <w:tcPr>
                  <w:tcW w:w="1089" w:type="dxa"/>
                  <w:tcBorders>
                    <w:top w:val="single" w:color="auto" w:sz="6" w:space="0"/>
                    <w:left w:val="single" w:color="auto" w:sz="4" w:space="0"/>
                    <w:right w:val="single" w:color="auto" w:sz="4" w:space="0"/>
                  </w:tcBorders>
                  <w:vAlign w:val="center"/>
                </w:tcPr>
                <w:p w14:paraId="6F5E938A">
                  <w:pPr>
                    <w:jc w:val="center"/>
                    <w:rPr>
                      <w:rFonts w:hint="eastAsia" w:eastAsia="宋体"/>
                      <w:color w:val="auto"/>
                      <w:highlight w:val="none"/>
                      <w:lang w:val="en-US" w:eastAsia="zh-CN"/>
                    </w:rPr>
                  </w:pPr>
                  <w:r>
                    <w:rPr>
                      <w:rFonts w:hint="eastAsia"/>
                      <w:color w:val="auto"/>
                      <w:highlight w:val="none"/>
                      <w:lang w:val="en-US" w:eastAsia="zh-CN"/>
                    </w:rPr>
                    <w:t>/</w:t>
                  </w:r>
                </w:p>
              </w:tc>
              <w:tc>
                <w:tcPr>
                  <w:tcW w:w="989" w:type="dxa"/>
                  <w:tcBorders>
                    <w:top w:val="single" w:color="auto" w:sz="6" w:space="0"/>
                    <w:left w:val="single" w:color="auto" w:sz="4" w:space="0"/>
                    <w:right w:val="single" w:color="auto" w:sz="4" w:space="0"/>
                  </w:tcBorders>
                  <w:vAlign w:val="center"/>
                </w:tcPr>
                <w:p w14:paraId="671990B0">
                  <w:pPr>
                    <w:jc w:val="center"/>
                    <w:rPr>
                      <w:rFonts w:hint="eastAsia" w:eastAsia="宋体"/>
                      <w:color w:val="auto"/>
                      <w:highlight w:val="none"/>
                      <w:lang w:val="en-US" w:eastAsia="zh-CN"/>
                    </w:rPr>
                  </w:pPr>
                  <w:r>
                    <w:rPr>
                      <w:rFonts w:hint="eastAsia"/>
                      <w:color w:val="auto"/>
                      <w:highlight w:val="none"/>
                      <w:lang w:val="en-US" w:eastAsia="zh-CN"/>
                    </w:rPr>
                    <w:t>/</w:t>
                  </w:r>
                </w:p>
              </w:tc>
              <w:tc>
                <w:tcPr>
                  <w:tcW w:w="1755" w:type="dxa"/>
                  <w:tcBorders>
                    <w:top w:val="single" w:color="auto" w:sz="6" w:space="0"/>
                    <w:left w:val="single" w:color="auto" w:sz="4" w:space="0"/>
                    <w:right w:val="single" w:color="auto" w:sz="4" w:space="0"/>
                  </w:tcBorders>
                  <w:vAlign w:val="center"/>
                </w:tcPr>
                <w:p w14:paraId="5C7D42EF">
                  <w:pPr>
                    <w:jc w:val="center"/>
                    <w:rPr>
                      <w:color w:val="auto"/>
                      <w:highlight w:val="none"/>
                    </w:rPr>
                  </w:pPr>
                  <w:r>
                    <w:rPr>
                      <w:rFonts w:hint="eastAsia"/>
                      <w:color w:val="auto"/>
                      <w:highlight w:val="none"/>
                    </w:rPr>
                    <w:t>/</w:t>
                  </w:r>
                </w:p>
              </w:tc>
            </w:tr>
          </w:tbl>
          <w:p w14:paraId="17040FCD">
            <w:pPr>
              <w:tabs>
                <w:tab w:val="left" w:pos="1180"/>
              </w:tabs>
              <w:spacing w:before="240" w:beforeLines="100" w:line="360" w:lineRule="auto"/>
              <w:ind w:firstLine="482" w:firstLineChars="200"/>
              <w:jc w:val="left"/>
              <w:rPr>
                <w:rFonts w:ascii="Times New Roman" w:hAnsi="Times New Roman" w:cs="Times New Roman"/>
                <w:b/>
                <w:bCs/>
                <w:color w:val="auto"/>
                <w:sz w:val="24"/>
                <w:highlight w:val="none"/>
              </w:rPr>
            </w:pPr>
            <w:r>
              <w:rPr>
                <w:b/>
                <w:bCs/>
                <w:color w:val="auto"/>
                <w:sz w:val="24"/>
                <w:szCs w:val="24"/>
                <w:highlight w:val="none"/>
              </w:rPr>
              <w:t>6</w:t>
            </w:r>
            <w:r>
              <w:rPr>
                <w:rFonts w:hint="eastAsia" w:cs="宋体"/>
                <w:b/>
                <w:bCs/>
                <w:color w:val="auto"/>
                <w:sz w:val="24"/>
                <w:szCs w:val="24"/>
                <w:highlight w:val="none"/>
              </w:rPr>
              <w:t>、</w:t>
            </w:r>
            <w:r>
              <w:rPr>
                <w:rFonts w:hint="eastAsia" w:cs="宋体"/>
                <w:b/>
                <w:bCs/>
                <w:color w:val="auto"/>
                <w:sz w:val="24"/>
                <w:szCs w:val="24"/>
                <w:highlight w:val="none"/>
                <w:lang w:eastAsia="zh-CN"/>
              </w:rPr>
              <w:t>公用工程</w:t>
            </w:r>
          </w:p>
          <w:p w14:paraId="11DEEFF6">
            <w:pPr>
              <w:numPr>
                <w:ilvl w:val="0"/>
                <w:numId w:val="5"/>
              </w:numPr>
              <w:spacing w:line="360" w:lineRule="auto"/>
              <w:ind w:left="479" w:leftChars="228"/>
              <w:rPr>
                <w:rFonts w:ascii="Times New Roman" w:hAnsi="Times New Roman" w:cs="Times New Roman"/>
                <w:color w:val="auto"/>
                <w:sz w:val="24"/>
                <w:highlight w:val="none"/>
              </w:rPr>
            </w:pPr>
            <w:r>
              <w:rPr>
                <w:rFonts w:ascii="Times New Roman" w:hAnsi="Times New Roman" w:cs="Times New Roman"/>
                <w:color w:val="auto"/>
                <w:sz w:val="24"/>
                <w:highlight w:val="none"/>
              </w:rPr>
              <w:t>供水：</w:t>
            </w:r>
          </w:p>
          <w:p w14:paraId="25BE849C">
            <w:pPr>
              <w:spacing w:line="360" w:lineRule="auto"/>
              <w:ind w:firstLine="480" w:firstLineChars="200"/>
              <w:rPr>
                <w:rFonts w:hint="eastAsia" w:ascii="宋体" w:hAnsi="宋体" w:eastAsia="宋体" w:cs="宋体"/>
                <w:color w:val="auto"/>
                <w:sz w:val="24"/>
                <w:highlight w:val="none"/>
                <w:lang w:eastAsia="zh-CN"/>
              </w:rPr>
            </w:pPr>
            <w:r>
              <w:rPr>
                <w:rFonts w:hint="eastAsia" w:ascii="Times New Roman" w:hAnsi="Times New Roman" w:cs="Times New Roman"/>
                <w:color w:val="auto"/>
                <w:sz w:val="24"/>
                <w:highlight w:val="none"/>
              </w:rPr>
              <w:t>项目供水由</w:t>
            </w:r>
            <w:r>
              <w:rPr>
                <w:rFonts w:hint="eastAsia" w:cs="Times New Roman"/>
                <w:color w:val="auto"/>
                <w:sz w:val="24"/>
                <w:highlight w:val="none"/>
                <w:lang w:eastAsia="zh-CN"/>
              </w:rPr>
              <w:t>园区市政供水管网</w:t>
            </w:r>
            <w:r>
              <w:rPr>
                <w:rFonts w:hint="eastAsia" w:ascii="Times New Roman" w:hAnsi="Times New Roman" w:cs="Times New Roman"/>
                <w:color w:val="auto"/>
                <w:sz w:val="24"/>
                <w:highlight w:val="none"/>
              </w:rPr>
              <w:t>供给</w:t>
            </w:r>
            <w:r>
              <w:rPr>
                <w:rFonts w:hint="eastAsia" w:cs="Times New Roman"/>
                <w:color w:val="auto"/>
                <w:sz w:val="24"/>
                <w:highlight w:val="none"/>
                <w:lang w:eastAsia="zh-CN"/>
              </w:rPr>
              <w:t>，</w:t>
            </w:r>
            <w:r>
              <w:rPr>
                <w:rFonts w:hint="eastAsia" w:ascii="Times New Roman" w:hAnsi="Times New Roman" w:cs="Times New Roman"/>
                <w:color w:val="auto"/>
                <w:sz w:val="24"/>
                <w:highlight w:val="none"/>
              </w:rPr>
              <w:t>主要为</w:t>
            </w:r>
            <w:r>
              <w:rPr>
                <w:rFonts w:hint="eastAsia" w:ascii="Times New Roman" w:hAnsi="Times New Roman" w:cs="Times New Roman"/>
                <w:color w:val="auto"/>
                <w:sz w:val="24"/>
                <w:highlight w:val="none"/>
                <w:lang w:eastAsia="zh-CN"/>
              </w:rPr>
              <w:t>生活用水</w:t>
            </w:r>
            <w:r>
              <w:rPr>
                <w:rFonts w:hint="eastAsia" w:cs="Times New Roman"/>
                <w:color w:val="auto"/>
                <w:sz w:val="24"/>
                <w:highlight w:val="none"/>
                <w:lang w:eastAsia="zh-CN"/>
              </w:rPr>
              <w:t>、车辆冲洗用水</w:t>
            </w:r>
            <w:r>
              <w:rPr>
                <w:rFonts w:hint="eastAsia" w:ascii="Times New Roman" w:hAnsi="Times New Roman" w:cs="Times New Roman"/>
                <w:color w:val="auto"/>
                <w:sz w:val="24"/>
                <w:highlight w:val="none"/>
              </w:rPr>
              <w:t>。</w:t>
            </w:r>
          </w:p>
          <w:p w14:paraId="553FEED1">
            <w:pPr>
              <w:spacing w:line="360" w:lineRule="auto"/>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（2）排水</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eastAsia="zh-CN"/>
              </w:rPr>
              <w:t>车辆冲洗废水经沉淀池沉淀后回用于车辆冲洗，不外排；</w:t>
            </w:r>
            <w:r>
              <w:rPr>
                <w:rFonts w:hint="eastAsia" w:ascii="宋体" w:hAnsi="宋体" w:eastAsia="宋体" w:cs="宋体"/>
                <w:color w:val="auto"/>
                <w:sz w:val="24"/>
                <w:szCs w:val="24"/>
                <w:highlight w:val="none"/>
              </w:rPr>
              <w:t>生活污水经安徽麦丞新型材料科技有限公司现有化粪池进行处理后，处理后由市政污水管网进入淮北蓝海水处理有限公司深度处理，</w:t>
            </w:r>
            <w:r>
              <w:rPr>
                <w:rFonts w:hint="eastAsia" w:ascii="宋体" w:hAnsi="宋体" w:cs="宋体"/>
                <w:color w:val="auto"/>
                <w:sz w:val="24"/>
                <w:szCs w:val="24"/>
                <w:highlight w:val="none"/>
                <w:lang w:eastAsia="zh-CN"/>
              </w:rPr>
              <w:t>处理达标后部分作为平山电厂冷却循环水，剩余部分排入濉河</w:t>
            </w:r>
            <w:r>
              <w:rPr>
                <w:rFonts w:hint="eastAsia" w:ascii="宋体" w:hAnsi="宋体" w:eastAsia="宋体" w:cs="宋体"/>
                <w:color w:val="auto"/>
                <w:sz w:val="24"/>
                <w:szCs w:val="24"/>
                <w:highlight w:val="none"/>
              </w:rPr>
              <w:t>；</w:t>
            </w:r>
            <w:r>
              <w:rPr>
                <w:rFonts w:ascii="Times New Roman" w:hAnsi="Times New Roman" w:cs="Times New Roman"/>
                <w:color w:val="auto"/>
                <w:sz w:val="24"/>
                <w:highlight w:val="none"/>
              </w:rPr>
              <w:br w:type="textWrapping"/>
            </w:r>
            <w:r>
              <w:rPr>
                <w:rFonts w:hint="eastAsia" w:ascii="Times New Roman" w:hAnsi="Times New Roman" w:cs="Times New Roman"/>
                <w:color w:val="auto"/>
                <w:sz w:val="24"/>
                <w:highlight w:val="none"/>
              </w:rPr>
              <w:t xml:space="preserve">    </w:t>
            </w:r>
            <w:r>
              <w:rPr>
                <w:rFonts w:ascii="Times New Roman" w:hAnsi="Times New Roman" w:cs="Times New Roman"/>
                <w:color w:val="auto"/>
                <w:sz w:val="24"/>
                <w:highlight w:val="none"/>
              </w:rPr>
              <w:t>（3）供电：依托由</w:t>
            </w:r>
            <w:r>
              <w:rPr>
                <w:rFonts w:hint="eastAsia" w:cs="Times New Roman"/>
                <w:color w:val="auto"/>
                <w:sz w:val="24"/>
                <w:highlight w:val="none"/>
                <w:lang w:eastAsia="zh-CN"/>
              </w:rPr>
              <w:t>园区市政</w:t>
            </w:r>
            <w:r>
              <w:rPr>
                <w:rFonts w:hint="eastAsia" w:ascii="Times New Roman" w:hAnsi="Times New Roman" w:cs="Times New Roman"/>
                <w:color w:val="auto"/>
                <w:sz w:val="24"/>
                <w:highlight w:val="none"/>
                <w:lang w:eastAsia="zh-CN"/>
              </w:rPr>
              <w:t>供电管网</w:t>
            </w:r>
            <w:r>
              <w:rPr>
                <w:rFonts w:ascii="Times New Roman" w:hAnsi="Times New Roman" w:cs="Times New Roman"/>
                <w:color w:val="auto"/>
                <w:sz w:val="24"/>
                <w:highlight w:val="none"/>
              </w:rPr>
              <w:t>供电</w:t>
            </w:r>
            <w:r>
              <w:rPr>
                <w:rFonts w:hint="eastAsia" w:ascii="Times New Roman" w:hAnsi="Times New Roman" w:cs="Times New Roman"/>
                <w:color w:val="auto"/>
                <w:sz w:val="24"/>
                <w:highlight w:val="none"/>
              </w:rPr>
              <w:t>；</w:t>
            </w:r>
            <w:r>
              <w:rPr>
                <w:rFonts w:ascii="Times New Roman" w:hAnsi="Times New Roman" w:cs="Times New Roman"/>
                <w:color w:val="auto"/>
                <w:sz w:val="24"/>
                <w:highlight w:val="none"/>
              </w:rPr>
              <w:tab/>
            </w:r>
          </w:p>
          <w:p w14:paraId="03F475E2">
            <w:pPr>
              <w:keepNext w:val="0"/>
              <w:keepLines w:val="0"/>
              <w:pageBreakBefore w:val="0"/>
              <w:widowControl w:val="0"/>
              <w:tabs>
                <w:tab w:val="left" w:pos="1180"/>
              </w:tabs>
              <w:kinsoku/>
              <w:wordWrap/>
              <w:overflowPunct/>
              <w:topLinePunct w:val="0"/>
              <w:autoSpaceDE/>
              <w:autoSpaceDN/>
              <w:bidi w:val="0"/>
              <w:adjustRightInd/>
              <w:snapToGrid/>
              <w:spacing w:line="360" w:lineRule="auto"/>
              <w:ind w:firstLine="480" w:firstLineChars="200"/>
              <w:jc w:val="left"/>
              <w:textAlignment w:val="auto"/>
              <w:rPr>
                <w:rFonts w:hint="eastAsia" w:cs="Times New Roman"/>
                <w:color w:val="auto"/>
                <w:sz w:val="24"/>
                <w:highlight w:val="none"/>
                <w:lang w:val="en-US" w:eastAsia="zh-CN"/>
              </w:rPr>
            </w:pPr>
            <w:r>
              <w:rPr>
                <w:rFonts w:ascii="Times New Roman" w:hAnsi="Times New Roman" w:cs="Times New Roman"/>
                <w:color w:val="auto"/>
                <w:sz w:val="24"/>
                <w:highlight w:val="none"/>
              </w:rPr>
              <w:t>（4）消防系统</w:t>
            </w:r>
            <w:r>
              <w:rPr>
                <w:rFonts w:ascii="Times New Roman" w:hAnsi="Times New Roman" w:cs="Times New Roman"/>
                <w:color w:val="auto"/>
                <w:sz w:val="24"/>
                <w:highlight w:val="none"/>
              </w:rPr>
              <w:tab/>
            </w:r>
            <w:r>
              <w:rPr>
                <w:rFonts w:ascii="Times New Roman" w:hAnsi="Times New Roman" w:cs="Times New Roman"/>
                <w:color w:val="auto"/>
                <w:sz w:val="24"/>
                <w:highlight w:val="none"/>
              </w:rPr>
              <w:t>：按照相关规定设置各类消防设施</w:t>
            </w:r>
            <w:r>
              <w:rPr>
                <w:rFonts w:hint="eastAsia" w:cs="Times New Roman"/>
                <w:color w:val="auto"/>
                <w:sz w:val="24"/>
                <w:highlight w:val="none"/>
                <w:lang w:val="en-US" w:eastAsia="zh-CN"/>
              </w:rPr>
              <w:t>。</w:t>
            </w:r>
          </w:p>
          <w:p w14:paraId="65585308">
            <w:pPr>
              <w:pStyle w:val="3"/>
              <w:ind w:left="434" w:leftChars="202" w:hanging="10" w:hangingChars="4"/>
              <w:rPr>
                <w:rFonts w:hint="eastAsia" w:ascii="Times New Roman" w:hAnsi="Times New Roman" w:eastAsia="宋体" w:cs="Times New Roman"/>
                <w:b/>
                <w:bCs/>
                <w:color w:val="auto"/>
                <w:kern w:val="2"/>
                <w:sz w:val="24"/>
                <w:szCs w:val="21"/>
                <w:highlight w:val="none"/>
                <w:lang w:val="en-US" w:eastAsia="zh-CN" w:bidi="ar-SA"/>
              </w:rPr>
            </w:pPr>
            <w:r>
              <w:rPr>
                <w:rFonts w:hint="eastAsia" w:ascii="Times New Roman" w:hAnsi="Times New Roman" w:eastAsia="宋体" w:cs="Times New Roman"/>
                <w:b/>
                <w:bCs/>
                <w:color w:val="auto"/>
                <w:kern w:val="2"/>
                <w:sz w:val="24"/>
                <w:szCs w:val="21"/>
                <w:highlight w:val="none"/>
                <w:lang w:val="en-US" w:eastAsia="zh-CN" w:bidi="ar-SA"/>
              </w:rPr>
              <w:t>7、水平衡</w:t>
            </w:r>
          </w:p>
          <w:p w14:paraId="57F3E820">
            <w:pPr>
              <w:snapToGrid w:val="0"/>
              <w:spacing w:line="360" w:lineRule="auto"/>
              <w:ind w:left="315" w:leftChars="150" w:firstLine="240" w:firstLineChars="100"/>
              <w:rPr>
                <w:rFonts w:hint="eastAsia" w:eastAsia="宋体"/>
                <w:color w:val="auto"/>
                <w:kern w:val="0"/>
                <w:sz w:val="24"/>
                <w:szCs w:val="24"/>
                <w:highlight w:val="none"/>
                <w:lang w:eastAsia="zh-CN"/>
              </w:rPr>
            </w:pPr>
            <w:r>
              <w:rPr>
                <w:rFonts w:hint="eastAsia"/>
                <w:color w:val="auto"/>
                <w:kern w:val="0"/>
                <w:sz w:val="24"/>
                <w:szCs w:val="24"/>
                <w:highlight w:val="none"/>
                <w:lang w:eastAsia="zh-CN"/>
              </w:rPr>
              <w:t>本项目用水主要为</w:t>
            </w:r>
            <w:r>
              <w:rPr>
                <w:rFonts w:hint="eastAsia"/>
                <w:color w:val="auto"/>
                <w:kern w:val="0"/>
                <w:sz w:val="24"/>
                <w:szCs w:val="24"/>
                <w:highlight w:val="none"/>
              </w:rPr>
              <w:t>生活用水</w:t>
            </w:r>
            <w:r>
              <w:rPr>
                <w:rFonts w:hint="eastAsia"/>
                <w:color w:val="auto"/>
                <w:kern w:val="0"/>
                <w:sz w:val="24"/>
                <w:szCs w:val="24"/>
                <w:highlight w:val="none"/>
                <w:lang w:eastAsia="zh-CN"/>
              </w:rPr>
              <w:t>及车辆冲洗用水。</w:t>
            </w:r>
          </w:p>
          <w:p w14:paraId="5051AD28">
            <w:pPr>
              <w:snapToGrid w:val="0"/>
              <w:spacing w:line="360" w:lineRule="auto"/>
              <w:ind w:left="315" w:leftChars="150" w:firstLine="240" w:firstLineChars="100"/>
              <w:rPr>
                <w:rFonts w:hint="default" w:eastAsia="宋体"/>
                <w:color w:val="auto"/>
                <w:kern w:val="0"/>
                <w:sz w:val="24"/>
                <w:szCs w:val="24"/>
                <w:highlight w:val="none"/>
                <w:lang w:val="en-US" w:eastAsia="zh-CN"/>
              </w:rPr>
            </w:pPr>
            <w:r>
              <w:rPr>
                <w:rFonts w:hint="eastAsia"/>
                <w:color w:val="auto"/>
                <w:kern w:val="0"/>
                <w:sz w:val="24"/>
                <w:szCs w:val="24"/>
                <w:highlight w:val="none"/>
                <w:lang w:val="en-US" w:eastAsia="zh-CN"/>
              </w:rPr>
              <w:t>（1）生活用水</w:t>
            </w:r>
          </w:p>
          <w:p w14:paraId="24697AC2">
            <w:pPr>
              <w:snapToGrid w:val="0"/>
              <w:spacing w:line="360" w:lineRule="auto"/>
              <w:ind w:left="315" w:leftChars="150" w:firstLine="240" w:firstLineChars="100"/>
              <w:rPr>
                <w:color w:val="auto"/>
                <w:kern w:val="0"/>
                <w:sz w:val="24"/>
                <w:szCs w:val="24"/>
                <w:highlight w:val="none"/>
              </w:rPr>
            </w:pPr>
            <w:r>
              <w:rPr>
                <w:rFonts w:hint="eastAsia"/>
                <w:color w:val="auto"/>
                <w:kern w:val="0"/>
                <w:sz w:val="24"/>
                <w:szCs w:val="24"/>
                <w:highlight w:val="none"/>
              </w:rPr>
              <w:t>本项目劳动定员</w:t>
            </w:r>
            <w:r>
              <w:rPr>
                <w:rFonts w:hint="eastAsia"/>
                <w:color w:val="auto"/>
                <w:kern w:val="0"/>
                <w:sz w:val="24"/>
                <w:szCs w:val="24"/>
                <w:highlight w:val="none"/>
                <w:lang w:val="en-US" w:eastAsia="zh-CN"/>
              </w:rPr>
              <w:t>2</w:t>
            </w:r>
            <w:r>
              <w:rPr>
                <w:rFonts w:hint="eastAsia"/>
                <w:color w:val="auto"/>
                <w:kern w:val="0"/>
                <w:sz w:val="24"/>
                <w:szCs w:val="24"/>
                <w:highlight w:val="none"/>
              </w:rPr>
              <w:t>0人，年工作时间300天，根据《安徽省行业用水定额》</w:t>
            </w:r>
          </w:p>
          <w:p w14:paraId="70C3E25F">
            <w:pPr>
              <w:autoSpaceDE w:val="0"/>
              <w:autoSpaceDN w:val="0"/>
              <w:spacing w:line="360" w:lineRule="auto"/>
              <w:ind w:firstLine="480" w:firstLineChars="200"/>
              <w:jc w:val="left"/>
              <w:rPr>
                <w:color w:val="auto"/>
                <w:sz w:val="24"/>
                <w:highlight w:val="none"/>
              </w:rPr>
            </w:pPr>
            <w:r>
              <w:rPr>
                <w:rFonts w:hint="eastAsia"/>
                <w:color w:val="auto"/>
                <w:kern w:val="0"/>
                <w:sz w:val="24"/>
                <w:szCs w:val="24"/>
                <w:highlight w:val="none"/>
              </w:rPr>
              <w:t>（DB34/T 679-2019）中显示无食堂办公室用水为60L/（人·天），项目用水量约为</w:t>
            </w:r>
            <w:r>
              <w:rPr>
                <w:rFonts w:hint="eastAsia"/>
                <w:color w:val="auto"/>
                <w:kern w:val="0"/>
                <w:sz w:val="24"/>
                <w:szCs w:val="24"/>
                <w:highlight w:val="none"/>
                <w:lang w:val="en-US" w:eastAsia="zh-CN"/>
              </w:rPr>
              <w:t>360</w:t>
            </w:r>
            <w:r>
              <w:rPr>
                <w:rFonts w:hint="eastAsia"/>
                <w:color w:val="auto"/>
                <w:kern w:val="0"/>
                <w:sz w:val="24"/>
                <w:szCs w:val="24"/>
                <w:highlight w:val="none"/>
              </w:rPr>
              <w:t>t/a</w:t>
            </w:r>
            <w:r>
              <w:rPr>
                <w:rFonts w:hint="eastAsia"/>
                <w:color w:val="auto"/>
                <w:kern w:val="0"/>
                <w:sz w:val="24"/>
                <w:szCs w:val="24"/>
                <w:highlight w:val="none"/>
                <w:lang w:eastAsia="zh-CN"/>
              </w:rPr>
              <w:t>，</w:t>
            </w:r>
            <w:r>
              <w:rPr>
                <w:rFonts w:hint="eastAsia"/>
                <w:color w:val="auto"/>
                <w:kern w:val="0"/>
                <w:sz w:val="24"/>
                <w:szCs w:val="24"/>
                <w:highlight w:val="none"/>
              </w:rPr>
              <w:t>生活污水按80%计</w:t>
            </w:r>
            <w:r>
              <w:rPr>
                <w:rFonts w:hint="eastAsia"/>
                <w:color w:val="auto"/>
                <w:kern w:val="0"/>
                <w:sz w:val="24"/>
                <w:szCs w:val="24"/>
                <w:highlight w:val="none"/>
                <w:lang w:eastAsia="zh-CN"/>
              </w:rPr>
              <w:t>，</w:t>
            </w:r>
            <w:r>
              <w:rPr>
                <w:rFonts w:hint="eastAsia"/>
                <w:color w:val="auto"/>
                <w:kern w:val="0"/>
                <w:sz w:val="24"/>
                <w:szCs w:val="24"/>
                <w:highlight w:val="none"/>
              </w:rPr>
              <w:t>生活污水产生量为</w:t>
            </w:r>
            <w:r>
              <w:rPr>
                <w:rFonts w:hint="eastAsia"/>
                <w:color w:val="auto"/>
                <w:kern w:val="0"/>
                <w:sz w:val="24"/>
                <w:szCs w:val="24"/>
                <w:highlight w:val="none"/>
                <w:lang w:val="en-US" w:eastAsia="zh-CN"/>
              </w:rPr>
              <w:t>288</w:t>
            </w:r>
            <w:r>
              <w:rPr>
                <w:rFonts w:hint="eastAsia"/>
                <w:color w:val="auto"/>
                <w:kern w:val="0"/>
                <w:sz w:val="24"/>
                <w:szCs w:val="24"/>
                <w:highlight w:val="none"/>
              </w:rPr>
              <w:t>t/a</w:t>
            </w:r>
            <w:r>
              <w:rPr>
                <w:rFonts w:hint="eastAsia"/>
                <w:color w:val="auto"/>
                <w:kern w:val="0"/>
                <w:sz w:val="24"/>
                <w:szCs w:val="24"/>
                <w:highlight w:val="none"/>
                <w:lang w:eastAsia="zh-CN"/>
              </w:rPr>
              <w:t>，</w:t>
            </w:r>
            <w:r>
              <w:rPr>
                <w:rFonts w:hint="eastAsia"/>
                <w:color w:val="auto"/>
                <w:kern w:val="0"/>
                <w:sz w:val="24"/>
                <w:szCs w:val="24"/>
                <w:highlight w:val="none"/>
              </w:rPr>
              <w:t>主要污染因子为COD、BOD</w:t>
            </w:r>
            <w:r>
              <w:rPr>
                <w:rFonts w:hint="eastAsia"/>
                <w:color w:val="auto"/>
                <w:kern w:val="0"/>
                <w:sz w:val="24"/>
                <w:szCs w:val="24"/>
                <w:highlight w:val="none"/>
                <w:vertAlign w:val="subscript"/>
              </w:rPr>
              <w:t>5</w:t>
            </w:r>
            <w:r>
              <w:rPr>
                <w:rFonts w:hint="eastAsia"/>
                <w:color w:val="auto"/>
                <w:kern w:val="0"/>
                <w:sz w:val="24"/>
                <w:szCs w:val="24"/>
                <w:highlight w:val="none"/>
              </w:rPr>
              <w:t>、SS、氨氮等。</w:t>
            </w:r>
            <w:r>
              <w:rPr>
                <w:rFonts w:hint="eastAsia"/>
                <w:color w:val="auto"/>
                <w:kern w:val="0"/>
                <w:sz w:val="24"/>
                <w:szCs w:val="24"/>
                <w:highlight w:val="none"/>
              </w:rPr>
              <w:br w:type="textWrapping"/>
            </w:r>
            <w:r>
              <w:rPr>
                <w:rFonts w:hint="eastAsia"/>
                <w:color w:val="auto"/>
                <w:kern w:val="0"/>
                <w:sz w:val="24"/>
                <w:szCs w:val="24"/>
                <w:highlight w:val="none"/>
                <w:lang w:val="en-US" w:eastAsia="zh-CN"/>
              </w:rPr>
              <w:t xml:space="preserve">    （2）车辆冲洗用水</w:t>
            </w:r>
            <w:r>
              <w:rPr>
                <w:rFonts w:hint="eastAsia"/>
                <w:color w:val="auto"/>
                <w:kern w:val="0"/>
                <w:sz w:val="24"/>
                <w:szCs w:val="24"/>
                <w:highlight w:val="none"/>
                <w:lang w:val="en-US" w:eastAsia="zh-CN"/>
              </w:rPr>
              <w:br w:type="textWrapping"/>
            </w:r>
            <w:r>
              <w:rPr>
                <w:rFonts w:hint="eastAsia"/>
                <w:color w:val="auto"/>
                <w:kern w:val="0"/>
                <w:sz w:val="24"/>
                <w:szCs w:val="24"/>
                <w:highlight w:val="none"/>
                <w:lang w:val="en-US" w:eastAsia="zh-CN"/>
              </w:rPr>
              <w:t xml:space="preserve">    </w:t>
            </w:r>
            <w:r>
              <w:rPr>
                <w:rFonts w:hint="eastAsia"/>
                <w:color w:val="auto"/>
                <w:sz w:val="24"/>
                <w:highlight w:val="none"/>
              </w:rPr>
              <w:t>项目在厂区内出入口建设1套车辆冲洗平台，并配套建设1座沉淀池。车辆冲洗废水经沉淀后回用于车辆冲洗，部分被车辆带走和蒸发，平均补充水量1t/d，</w:t>
            </w:r>
            <w:r>
              <w:rPr>
                <w:rFonts w:hint="eastAsia"/>
                <w:color w:val="auto"/>
                <w:sz w:val="24"/>
                <w:highlight w:val="none"/>
                <w:lang w:val="en-US" w:eastAsia="zh-CN"/>
              </w:rPr>
              <w:t>30</w:t>
            </w:r>
            <w:r>
              <w:rPr>
                <w:rFonts w:hint="eastAsia"/>
                <w:color w:val="auto"/>
                <w:sz w:val="24"/>
                <w:highlight w:val="none"/>
              </w:rPr>
              <w:t>0t/a。污水产生系数按照</w:t>
            </w:r>
            <w:r>
              <w:rPr>
                <w:rFonts w:hint="eastAsia"/>
                <w:color w:val="auto"/>
                <w:sz w:val="24"/>
                <w:highlight w:val="none"/>
                <w:lang w:val="en-US" w:eastAsia="zh-CN"/>
              </w:rPr>
              <w:t>9</w:t>
            </w:r>
            <w:r>
              <w:rPr>
                <w:rFonts w:hint="eastAsia"/>
                <w:color w:val="auto"/>
                <w:sz w:val="24"/>
                <w:highlight w:val="none"/>
              </w:rPr>
              <w:t>0%计，则车辆冲洗废水产生的总量为0.</w:t>
            </w:r>
            <w:r>
              <w:rPr>
                <w:rFonts w:hint="eastAsia"/>
                <w:color w:val="auto"/>
                <w:sz w:val="24"/>
                <w:highlight w:val="none"/>
                <w:lang w:val="en-US" w:eastAsia="zh-CN"/>
              </w:rPr>
              <w:t>9</w:t>
            </w:r>
            <w:r>
              <w:rPr>
                <w:rFonts w:hint="eastAsia"/>
                <w:color w:val="auto"/>
                <w:sz w:val="24"/>
                <w:highlight w:val="none"/>
              </w:rPr>
              <w:t>t/d，</w:t>
            </w:r>
            <w:r>
              <w:rPr>
                <w:rFonts w:hint="eastAsia"/>
                <w:color w:val="auto"/>
                <w:sz w:val="24"/>
                <w:highlight w:val="none"/>
                <w:lang w:val="en-US" w:eastAsia="zh-CN"/>
              </w:rPr>
              <w:t>270</w:t>
            </w:r>
            <w:r>
              <w:rPr>
                <w:rFonts w:hint="eastAsia"/>
                <w:color w:val="auto"/>
                <w:sz w:val="24"/>
                <w:highlight w:val="none"/>
              </w:rPr>
              <w:t>t/a。车辆冲洗废水收集后经</w:t>
            </w:r>
            <w:r>
              <w:rPr>
                <w:rFonts w:hint="eastAsia"/>
                <w:color w:val="auto"/>
                <w:sz w:val="24"/>
                <w:highlight w:val="none"/>
                <w:lang w:eastAsia="zh-CN"/>
              </w:rPr>
              <w:t>厂区内</w:t>
            </w:r>
            <w:r>
              <w:rPr>
                <w:rFonts w:hint="eastAsia"/>
                <w:color w:val="auto"/>
                <w:sz w:val="24"/>
                <w:highlight w:val="none"/>
              </w:rPr>
              <w:t>沉淀池沉淀后回用于车辆冲洗，循环利用，不外排。</w:t>
            </w:r>
          </w:p>
          <w:p w14:paraId="5EC21523">
            <w:pPr>
              <w:snapToGrid w:val="0"/>
              <w:spacing w:line="360" w:lineRule="auto"/>
              <w:ind w:left="315" w:leftChars="150"/>
              <w:rPr>
                <w:color w:val="auto"/>
                <w:kern w:val="0"/>
                <w:sz w:val="24"/>
                <w:szCs w:val="24"/>
                <w:highlight w:val="none"/>
              </w:rPr>
            </w:pPr>
            <w:r>
              <w:rPr>
                <w:rFonts w:hint="eastAsia"/>
                <w:color w:val="auto"/>
                <w:kern w:val="0"/>
                <w:sz w:val="24"/>
                <w:szCs w:val="24"/>
                <w:highlight w:val="none"/>
              </w:rPr>
              <w:t xml:space="preserve"> 本项目生产过程水平衡见下图2-</w:t>
            </w:r>
            <w:r>
              <w:rPr>
                <w:rFonts w:hint="eastAsia"/>
                <w:color w:val="auto"/>
                <w:kern w:val="0"/>
                <w:sz w:val="24"/>
                <w:szCs w:val="24"/>
                <w:highlight w:val="none"/>
                <w:lang w:val="en-US" w:eastAsia="zh-CN"/>
              </w:rPr>
              <w:t>1</w:t>
            </w:r>
            <w:r>
              <w:rPr>
                <w:rFonts w:hint="eastAsia"/>
                <w:color w:val="auto"/>
                <w:kern w:val="0"/>
                <w:sz w:val="24"/>
                <w:szCs w:val="24"/>
                <w:highlight w:val="none"/>
              </w:rPr>
              <w:t>。</w:t>
            </w:r>
          </w:p>
          <w:p w14:paraId="18BB27AD">
            <w:pPr>
              <w:adjustRightInd w:val="0"/>
              <w:snapToGrid w:val="0"/>
              <w:jc w:val="center"/>
              <w:rPr>
                <w:color w:val="auto"/>
                <w:highlight w:val="none"/>
              </w:rPr>
            </w:pPr>
            <w:r>
              <w:rPr>
                <w:color w:val="auto"/>
                <w:highlight w:val="none"/>
              </w:rPr>
              <w:drawing>
                <wp:inline distT="0" distB="0" distL="114300" distR="114300">
                  <wp:extent cx="5290820" cy="1362075"/>
                  <wp:effectExtent l="0" t="0" r="1270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90820" cy="1362075"/>
                          </a:xfrm>
                          <a:prstGeom prst="rect">
                            <a:avLst/>
                          </a:prstGeom>
                          <a:noFill/>
                          <a:ln>
                            <a:noFill/>
                          </a:ln>
                        </pic:spPr>
                      </pic:pic>
                    </a:graphicData>
                  </a:graphic>
                </wp:inline>
              </w:drawing>
            </w:r>
          </w:p>
          <w:p w14:paraId="1B26C376">
            <w:pPr>
              <w:jc w:val="center"/>
              <w:rPr>
                <w:rFonts w:hint="eastAsia"/>
                <w:color w:val="auto"/>
                <w:highlight w:val="none"/>
                <w:lang w:val="en-US" w:eastAsia="zh-CN"/>
              </w:rPr>
            </w:pPr>
            <w:r>
              <w:rPr>
                <w:rFonts w:hint="eastAsia"/>
                <w:color w:val="auto"/>
                <w:highlight w:val="none"/>
              </w:rPr>
              <w:t>图</w:t>
            </w:r>
            <w:r>
              <w:rPr>
                <w:color w:val="auto"/>
                <w:highlight w:val="none"/>
              </w:rPr>
              <w:t>2-</w:t>
            </w:r>
            <w:r>
              <w:rPr>
                <w:rFonts w:hint="eastAsia"/>
                <w:color w:val="auto"/>
                <w:highlight w:val="none"/>
                <w:lang w:val="en-US" w:eastAsia="zh-CN"/>
              </w:rPr>
              <w:t>1</w:t>
            </w:r>
            <w:r>
              <w:rPr>
                <w:color w:val="auto"/>
                <w:highlight w:val="none"/>
              </w:rPr>
              <w:t xml:space="preserve"> </w:t>
            </w:r>
            <w:r>
              <w:rPr>
                <w:rFonts w:hint="eastAsia"/>
                <w:color w:val="auto"/>
                <w:highlight w:val="none"/>
              </w:rPr>
              <w:t>本项目水平衡图</w:t>
            </w:r>
            <w:r>
              <w:rPr>
                <w:color w:val="auto"/>
                <w:highlight w:val="none"/>
              </w:rPr>
              <w:t xml:space="preserve">   </w:t>
            </w:r>
            <w:r>
              <w:rPr>
                <w:rFonts w:hint="eastAsia"/>
                <w:color w:val="auto"/>
                <w:highlight w:val="none"/>
              </w:rPr>
              <w:t>单位：</w:t>
            </w:r>
            <w:r>
              <w:rPr>
                <w:rFonts w:hint="eastAsia"/>
                <w:color w:val="auto"/>
                <w:highlight w:val="none"/>
                <w:lang w:val="en-US" w:eastAsia="zh-CN"/>
              </w:rPr>
              <w:t>d</w:t>
            </w:r>
            <w:r>
              <w:rPr>
                <w:color w:val="auto"/>
                <w:highlight w:val="none"/>
              </w:rPr>
              <w:t>/a</w:t>
            </w:r>
          </w:p>
          <w:p w14:paraId="1C6DF524">
            <w:pPr>
              <w:rPr>
                <w:color w:val="auto"/>
                <w:highlight w:val="red"/>
              </w:rPr>
            </w:pPr>
          </w:p>
          <w:p w14:paraId="359C097C">
            <w:pPr>
              <w:tabs>
                <w:tab w:val="left" w:pos="1180"/>
              </w:tabs>
              <w:spacing w:before="240" w:beforeLines="100" w:line="360" w:lineRule="auto"/>
              <w:ind w:firstLine="482" w:firstLineChars="200"/>
              <w:jc w:val="left"/>
              <w:rPr>
                <w:b/>
                <w:bCs/>
                <w:color w:val="auto"/>
                <w:sz w:val="24"/>
                <w:szCs w:val="24"/>
                <w:highlight w:val="none"/>
              </w:rPr>
            </w:pPr>
            <w:r>
              <w:rPr>
                <w:rFonts w:hint="eastAsia"/>
                <w:b/>
                <w:bCs/>
                <w:color w:val="auto"/>
                <w:sz w:val="24"/>
                <w:szCs w:val="24"/>
                <w:highlight w:val="none"/>
                <w:lang w:val="en-US" w:eastAsia="zh-CN"/>
              </w:rPr>
              <w:t>8</w:t>
            </w:r>
            <w:r>
              <w:rPr>
                <w:rFonts w:hint="eastAsia" w:cs="宋体"/>
                <w:b/>
                <w:bCs/>
                <w:color w:val="auto"/>
                <w:sz w:val="24"/>
                <w:szCs w:val="24"/>
                <w:highlight w:val="none"/>
              </w:rPr>
              <w:t>、劳动定员及工作制度</w:t>
            </w:r>
          </w:p>
          <w:p w14:paraId="6AC3560A">
            <w:pPr>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本项目职工人数</w:t>
            </w:r>
            <w:r>
              <w:rPr>
                <w:rFonts w:hint="eastAsia" w:ascii="宋体" w:hAnsi="宋体" w:cs="宋体"/>
                <w:color w:val="auto"/>
                <w:sz w:val="24"/>
                <w:szCs w:val="24"/>
                <w:highlight w:val="none"/>
                <w:lang w:val="en-US" w:eastAsia="zh-CN"/>
              </w:rPr>
              <w:t>20</w:t>
            </w:r>
            <w:r>
              <w:rPr>
                <w:rFonts w:hint="eastAsia" w:ascii="宋体" w:hAnsi="宋体" w:cs="宋体"/>
                <w:color w:val="auto"/>
                <w:sz w:val="24"/>
                <w:szCs w:val="24"/>
                <w:highlight w:val="none"/>
              </w:rPr>
              <w:t>人，采用</w:t>
            </w:r>
            <w:r>
              <w:rPr>
                <w:rFonts w:hint="eastAsia" w:ascii="宋体" w:hAnsi="宋体" w:cs="宋体"/>
                <w:color w:val="auto"/>
                <w:sz w:val="24"/>
                <w:szCs w:val="24"/>
                <w:highlight w:val="none"/>
                <w:lang w:val="en-US" w:eastAsia="zh-CN"/>
              </w:rPr>
              <w:t>8</w:t>
            </w:r>
            <w:r>
              <w:rPr>
                <w:rFonts w:ascii="宋体" w:hAnsi="宋体" w:cs="宋体"/>
                <w:color w:val="auto"/>
                <w:sz w:val="24"/>
                <w:szCs w:val="24"/>
                <w:highlight w:val="none"/>
              </w:rPr>
              <w:t>小时</w:t>
            </w:r>
            <w:r>
              <w:rPr>
                <w:rFonts w:hint="eastAsia" w:ascii="宋体" w:hAnsi="宋体" w:cs="宋体"/>
                <w:color w:val="auto"/>
                <w:sz w:val="24"/>
                <w:szCs w:val="24"/>
                <w:highlight w:val="none"/>
                <w:lang w:eastAsia="zh-CN"/>
              </w:rPr>
              <w:t>两班制</w:t>
            </w:r>
            <w:r>
              <w:rPr>
                <w:rFonts w:hint="eastAsia" w:ascii="宋体" w:hAnsi="宋体" w:cs="宋体"/>
                <w:color w:val="auto"/>
                <w:sz w:val="24"/>
                <w:szCs w:val="24"/>
                <w:highlight w:val="none"/>
              </w:rPr>
              <w:t>，年工作</w:t>
            </w:r>
            <w:r>
              <w:rPr>
                <w:rFonts w:ascii="宋体" w:hAnsi="宋体" w:cs="宋体"/>
                <w:color w:val="auto"/>
                <w:sz w:val="24"/>
                <w:szCs w:val="24"/>
                <w:highlight w:val="none"/>
              </w:rPr>
              <w:t>300天</w:t>
            </w:r>
            <w:r>
              <w:rPr>
                <w:rFonts w:hint="eastAsia" w:ascii="宋体" w:hAnsi="宋体" w:cs="宋体"/>
                <w:color w:val="auto"/>
                <w:sz w:val="24"/>
                <w:szCs w:val="24"/>
                <w:highlight w:val="none"/>
                <w:lang w:eastAsia="zh-CN"/>
              </w:rPr>
              <w:t>。</w:t>
            </w:r>
          </w:p>
          <w:p w14:paraId="0C2B466C">
            <w:pPr>
              <w:adjustRightInd w:val="0"/>
              <w:snapToGrid w:val="0"/>
              <w:spacing w:before="240" w:beforeLines="100" w:line="360" w:lineRule="auto"/>
              <w:ind w:firstLine="482" w:firstLineChars="200"/>
              <w:jc w:val="left"/>
              <w:rPr>
                <w:rFonts w:ascii="宋体"/>
                <w:b/>
                <w:bCs/>
                <w:color w:val="auto"/>
                <w:sz w:val="24"/>
                <w:szCs w:val="24"/>
                <w:highlight w:val="none"/>
              </w:rPr>
            </w:pPr>
            <w:r>
              <w:rPr>
                <w:rFonts w:hint="eastAsia" w:ascii="宋体" w:hAnsi="宋体" w:cs="宋体"/>
                <w:b/>
                <w:bCs/>
                <w:color w:val="auto"/>
                <w:sz w:val="24"/>
                <w:szCs w:val="24"/>
                <w:highlight w:val="none"/>
                <w:lang w:val="en-US" w:eastAsia="zh-CN"/>
              </w:rPr>
              <w:t>9、</w:t>
            </w:r>
            <w:r>
              <w:rPr>
                <w:rFonts w:hint="eastAsia" w:ascii="宋体" w:hAnsi="宋体" w:cs="宋体"/>
                <w:b/>
                <w:bCs/>
                <w:color w:val="auto"/>
                <w:sz w:val="24"/>
                <w:szCs w:val="24"/>
                <w:highlight w:val="none"/>
                <w:lang w:eastAsia="zh-CN"/>
              </w:rPr>
              <w:t>建设项目厂区</w:t>
            </w:r>
            <w:r>
              <w:rPr>
                <w:rFonts w:hint="eastAsia" w:ascii="宋体" w:hAnsi="宋体" w:cs="宋体"/>
                <w:b/>
                <w:bCs/>
                <w:color w:val="auto"/>
                <w:sz w:val="24"/>
                <w:szCs w:val="24"/>
                <w:highlight w:val="none"/>
              </w:rPr>
              <w:t>平面布置</w:t>
            </w:r>
          </w:p>
          <w:p w14:paraId="08A8EA6F">
            <w:pPr>
              <w:widowControl/>
              <w:spacing w:line="360" w:lineRule="auto"/>
              <w:ind w:firstLine="480" w:firstLineChars="200"/>
              <w:jc w:val="left"/>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rPr>
              <w:t>项目位于</w:t>
            </w:r>
            <w:r>
              <w:rPr>
                <w:rFonts w:hint="eastAsia" w:ascii="宋体" w:hAnsi="宋体" w:cs="宋体"/>
                <w:color w:val="auto"/>
                <w:sz w:val="24"/>
                <w:szCs w:val="24"/>
                <w:highlight w:val="none"/>
                <w:lang w:eastAsia="zh-CN"/>
              </w:rPr>
              <w:t>淮北市烈山区古饶镇烈山经济开发区南塘路与邱家沟交叉口东北角1号</w:t>
            </w:r>
            <w:r>
              <w:rPr>
                <w:rFonts w:hint="eastAsia" w:ascii="宋体" w:hAnsi="宋体" w:cs="宋体"/>
                <w:color w:val="auto"/>
                <w:sz w:val="24"/>
                <w:szCs w:val="24"/>
                <w:highlight w:val="none"/>
              </w:rPr>
              <w:t>，</w:t>
            </w:r>
            <w:r>
              <w:rPr>
                <w:rFonts w:hint="eastAsia" w:ascii="宋体" w:hAnsi="宋体" w:cs="宋体"/>
                <w:color w:val="auto"/>
                <w:sz w:val="24"/>
                <w:szCs w:val="24"/>
                <w:highlight w:val="none"/>
                <w:lang w:eastAsia="zh-CN"/>
              </w:rPr>
              <w:t>租赁</w:t>
            </w:r>
            <w:r>
              <w:rPr>
                <w:rFonts w:hint="eastAsia" w:ascii="宋体" w:hAnsi="宋体" w:eastAsia="宋体" w:cs="宋体"/>
                <w:color w:val="auto"/>
                <w:sz w:val="24"/>
                <w:szCs w:val="24"/>
                <w:highlight w:val="none"/>
              </w:rPr>
              <w:t>安徽麦丞新型材料科技有限公司</w:t>
            </w:r>
            <w:r>
              <w:rPr>
                <w:rFonts w:hint="eastAsia" w:ascii="宋体" w:hAnsi="宋体" w:eastAsia="宋体" w:cs="宋体"/>
                <w:color w:val="auto"/>
                <w:sz w:val="24"/>
                <w:szCs w:val="24"/>
                <w:highlight w:val="none"/>
                <w:lang w:eastAsia="zh-CN"/>
              </w:rPr>
              <w:t>建成厂房作为生产经营场所。</w:t>
            </w:r>
            <w:r>
              <w:rPr>
                <w:rFonts w:hint="eastAsia" w:ascii="宋体" w:hAnsi="宋体" w:cs="宋体"/>
                <w:color w:val="auto"/>
                <w:sz w:val="24"/>
                <w:szCs w:val="24"/>
                <w:highlight w:val="none"/>
              </w:rPr>
              <w:t>项目区域内布局结构合理通透，厂区内水、电、通讯、应急设施等，满足应急、贮存与消防要求。本项目在厂区内分别建设一座占地面积</w:t>
            </w:r>
            <w:r>
              <w:rPr>
                <w:rFonts w:hint="eastAsia" w:ascii="宋体" w:hAnsi="宋体" w:cs="宋体"/>
                <w:color w:val="auto"/>
                <w:sz w:val="24"/>
                <w:szCs w:val="24"/>
                <w:highlight w:val="none"/>
                <w:lang w:eastAsia="zh-CN"/>
              </w:rPr>
              <w:t>约</w:t>
            </w:r>
            <w:r>
              <w:rPr>
                <w:rFonts w:hint="eastAsia" w:ascii="宋体" w:hAnsi="宋体" w:cs="宋体"/>
                <w:color w:val="auto"/>
                <w:sz w:val="24"/>
                <w:szCs w:val="24"/>
                <w:highlight w:val="none"/>
                <w:lang w:val="en-US" w:eastAsia="zh-CN"/>
              </w:rPr>
              <w:t>100</w:t>
            </w:r>
            <w:r>
              <w:rPr>
                <w:rFonts w:hint="eastAsia" w:ascii="宋体" w:hAnsi="宋体" w:cs="宋体"/>
                <w:color w:val="auto"/>
                <w:sz w:val="24"/>
                <w:szCs w:val="24"/>
                <w:highlight w:val="none"/>
              </w:rPr>
              <w:t>00m</w:t>
            </w:r>
            <w:r>
              <w:rPr>
                <w:rFonts w:hint="eastAsia" w:ascii="宋体" w:hAnsi="宋体" w:cs="宋体"/>
                <w:color w:val="auto"/>
                <w:sz w:val="24"/>
                <w:szCs w:val="24"/>
                <w:highlight w:val="none"/>
                <w:vertAlign w:val="superscript"/>
              </w:rPr>
              <w:t>2</w:t>
            </w:r>
            <w:r>
              <w:rPr>
                <w:rFonts w:hint="eastAsia" w:ascii="宋体" w:hAnsi="宋体" w:cs="宋体"/>
                <w:color w:val="auto"/>
                <w:sz w:val="24"/>
                <w:szCs w:val="24"/>
                <w:highlight w:val="none"/>
                <w:lang w:eastAsia="zh-CN"/>
              </w:rPr>
              <w:t>的物料库</w:t>
            </w:r>
            <w:r>
              <w:rPr>
                <w:rFonts w:hint="eastAsia" w:ascii="宋体" w:hAnsi="宋体" w:cs="宋体"/>
                <w:color w:val="auto"/>
                <w:sz w:val="24"/>
                <w:szCs w:val="24"/>
                <w:highlight w:val="none"/>
              </w:rPr>
              <w:t>、占地面积</w:t>
            </w:r>
            <w:r>
              <w:rPr>
                <w:rFonts w:hint="eastAsia" w:ascii="宋体" w:hAnsi="宋体" w:cs="宋体"/>
                <w:color w:val="auto"/>
                <w:sz w:val="24"/>
                <w:szCs w:val="24"/>
                <w:highlight w:val="none"/>
                <w:lang w:val="en-US" w:eastAsia="zh-CN"/>
              </w:rPr>
              <w:t>3979</w:t>
            </w:r>
            <w:r>
              <w:rPr>
                <w:rFonts w:hint="eastAsia" w:ascii="宋体" w:hAnsi="宋体" w:cs="宋体"/>
                <w:color w:val="auto"/>
                <w:sz w:val="24"/>
                <w:szCs w:val="24"/>
                <w:highlight w:val="none"/>
              </w:rPr>
              <w:t>m</w:t>
            </w:r>
            <w:r>
              <w:rPr>
                <w:rFonts w:hint="eastAsia" w:ascii="宋体" w:hAnsi="宋体" w:cs="宋体"/>
                <w:color w:val="auto"/>
                <w:sz w:val="24"/>
                <w:szCs w:val="24"/>
                <w:highlight w:val="none"/>
                <w:vertAlign w:val="superscript"/>
              </w:rPr>
              <w:t>2</w:t>
            </w:r>
            <w:r>
              <w:rPr>
                <w:rFonts w:hint="eastAsia" w:ascii="宋体" w:hAnsi="宋体" w:cs="宋体"/>
                <w:color w:val="auto"/>
                <w:sz w:val="24"/>
                <w:szCs w:val="24"/>
                <w:highlight w:val="none"/>
              </w:rPr>
              <w:t>生产车间</w:t>
            </w:r>
            <w:r>
              <w:rPr>
                <w:rFonts w:hint="eastAsia" w:ascii="宋体" w:hAnsi="宋体" w:cs="宋体"/>
                <w:color w:val="auto"/>
                <w:sz w:val="24"/>
                <w:szCs w:val="24"/>
                <w:highlight w:val="none"/>
                <w:lang w:val="en-US" w:eastAsia="zh-CN"/>
              </w:rPr>
              <w:t>。</w:t>
            </w:r>
            <w:r>
              <w:rPr>
                <w:rFonts w:hint="eastAsia" w:ascii="宋体" w:hAnsi="宋体" w:cs="宋体"/>
                <w:color w:val="auto"/>
                <w:sz w:val="24"/>
                <w:szCs w:val="24"/>
                <w:highlight w:val="none"/>
              </w:rPr>
              <w:t>其中</w:t>
            </w:r>
            <w:r>
              <w:rPr>
                <w:rFonts w:hint="eastAsia" w:ascii="宋体" w:hAnsi="宋体" w:cs="宋体"/>
                <w:color w:val="auto"/>
                <w:sz w:val="24"/>
                <w:szCs w:val="24"/>
                <w:highlight w:val="none"/>
                <w:lang w:eastAsia="zh-CN"/>
              </w:rPr>
              <w:t>物料库位于厂区北侧；</w:t>
            </w:r>
            <w:r>
              <w:rPr>
                <w:rFonts w:hint="eastAsia" w:ascii="宋体" w:hAnsi="宋体" w:cs="宋体"/>
                <w:color w:val="auto"/>
                <w:sz w:val="24"/>
                <w:szCs w:val="24"/>
                <w:highlight w:val="none"/>
              </w:rPr>
              <w:t>生产车间位于厂区</w:t>
            </w:r>
            <w:r>
              <w:rPr>
                <w:rFonts w:hint="eastAsia" w:ascii="宋体" w:hAnsi="宋体" w:cs="宋体"/>
                <w:color w:val="auto"/>
                <w:sz w:val="24"/>
                <w:szCs w:val="24"/>
                <w:highlight w:val="none"/>
                <w:lang w:eastAsia="zh-CN"/>
              </w:rPr>
              <w:t>南</w:t>
            </w:r>
            <w:r>
              <w:rPr>
                <w:rFonts w:hint="eastAsia" w:ascii="宋体" w:hAnsi="宋体" w:cs="宋体"/>
                <w:color w:val="auto"/>
                <w:sz w:val="24"/>
                <w:szCs w:val="24"/>
                <w:highlight w:val="none"/>
              </w:rPr>
              <w:t>侧，主要包括破碎机</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粉碎机、新款</w:t>
            </w:r>
            <w:r>
              <w:rPr>
                <w:rFonts w:hint="eastAsia" w:ascii="宋体" w:hAnsi="宋体" w:cs="宋体"/>
                <w:color w:val="auto"/>
                <w:sz w:val="24"/>
                <w:szCs w:val="24"/>
                <w:highlight w:val="none"/>
                <w:lang w:val="en-US" w:eastAsia="zh-CN"/>
              </w:rPr>
              <w:t>850</w:t>
            </w:r>
            <w:r>
              <w:rPr>
                <w:rFonts w:hint="eastAsia" w:ascii="宋体" w:hAnsi="宋体" w:cs="宋体"/>
                <w:color w:val="auto"/>
                <w:sz w:val="24"/>
                <w:szCs w:val="24"/>
                <w:highlight w:val="none"/>
              </w:rPr>
              <w:t>下拨料颗粒机等生产设备。厂区南侧建设一座面积</w:t>
            </w:r>
            <w:r>
              <w:rPr>
                <w:rFonts w:hint="eastAsia" w:ascii="宋体" w:hAnsi="宋体" w:cs="宋体"/>
                <w:color w:val="auto"/>
                <w:sz w:val="24"/>
                <w:szCs w:val="24"/>
                <w:highlight w:val="none"/>
                <w:lang w:val="en-US" w:eastAsia="zh-CN"/>
              </w:rPr>
              <w:t>300</w:t>
            </w:r>
            <w:r>
              <w:rPr>
                <w:rFonts w:hint="eastAsia" w:ascii="宋体" w:hAnsi="宋体" w:cs="宋体"/>
                <w:color w:val="auto"/>
                <w:sz w:val="24"/>
                <w:szCs w:val="24"/>
                <w:highlight w:val="none"/>
              </w:rPr>
              <w:t>m</w:t>
            </w:r>
            <w:r>
              <w:rPr>
                <w:rFonts w:hint="eastAsia" w:ascii="宋体" w:hAnsi="宋体" w:cs="宋体"/>
                <w:color w:val="auto"/>
                <w:sz w:val="24"/>
                <w:szCs w:val="24"/>
                <w:highlight w:val="none"/>
                <w:vertAlign w:val="superscript"/>
              </w:rPr>
              <w:t>2</w:t>
            </w:r>
            <w:r>
              <w:rPr>
                <w:rFonts w:hint="eastAsia" w:ascii="宋体" w:hAnsi="宋体" w:cs="宋体"/>
                <w:color w:val="auto"/>
                <w:sz w:val="24"/>
                <w:szCs w:val="24"/>
                <w:highlight w:val="none"/>
              </w:rPr>
              <w:t xml:space="preserve"> 的办公室。</w:t>
            </w:r>
            <w:r>
              <w:rPr>
                <w:rFonts w:hint="eastAsia" w:ascii="宋体" w:hAnsi="宋体" w:cs="宋体"/>
                <w:color w:val="auto"/>
                <w:sz w:val="24"/>
                <w:szCs w:val="24"/>
                <w:highlight w:val="none"/>
                <w:lang w:eastAsia="zh-CN"/>
              </w:rPr>
              <w:t>厂区西侧设置一座占地面积</w:t>
            </w:r>
            <w:r>
              <w:rPr>
                <w:rFonts w:hint="eastAsia" w:ascii="宋体" w:hAnsi="宋体" w:cs="宋体"/>
                <w:color w:val="auto"/>
                <w:sz w:val="24"/>
                <w:szCs w:val="24"/>
                <w:highlight w:val="none"/>
                <w:lang w:val="en-US" w:eastAsia="zh-CN"/>
              </w:rPr>
              <w:t>72</w:t>
            </w:r>
            <w:r>
              <w:rPr>
                <w:rFonts w:hint="eastAsia" w:ascii="宋体" w:hAnsi="宋体" w:cs="宋体"/>
                <w:color w:val="auto"/>
                <w:sz w:val="24"/>
                <w:szCs w:val="24"/>
                <w:highlight w:val="none"/>
              </w:rPr>
              <w:t>m</w:t>
            </w:r>
            <w:r>
              <w:rPr>
                <w:rFonts w:hint="eastAsia" w:ascii="宋体" w:hAnsi="宋体" w:cs="宋体"/>
                <w:color w:val="auto"/>
                <w:sz w:val="24"/>
                <w:szCs w:val="24"/>
                <w:highlight w:val="none"/>
                <w:vertAlign w:val="superscript"/>
              </w:rPr>
              <w:t>2</w:t>
            </w:r>
            <w:r>
              <w:rPr>
                <w:rFonts w:hint="eastAsia" w:ascii="宋体" w:hAnsi="宋体" w:cs="宋体"/>
                <w:color w:val="auto"/>
                <w:sz w:val="24"/>
                <w:szCs w:val="24"/>
                <w:highlight w:val="none"/>
              </w:rPr>
              <w:t xml:space="preserve"> </w:t>
            </w:r>
            <w:r>
              <w:rPr>
                <w:rFonts w:hint="eastAsia" w:ascii="宋体" w:hAnsi="宋体" w:cs="宋体"/>
                <w:color w:val="auto"/>
                <w:sz w:val="24"/>
                <w:szCs w:val="24"/>
                <w:highlight w:val="none"/>
                <w:lang w:val="en-US" w:eastAsia="zh-CN"/>
              </w:rPr>
              <w:t>的维修库。</w:t>
            </w:r>
          </w:p>
          <w:p w14:paraId="615DAFA2">
            <w:pPr>
              <w:widowControl/>
              <w:spacing w:line="360" w:lineRule="auto"/>
              <w:ind w:firstLine="480" w:firstLineChars="200"/>
              <w:jc w:val="left"/>
              <w:rPr>
                <w:rFonts w:hint="eastAsia" w:ascii="Times New Roman" w:hAnsi="Times New Roman" w:cs="Times New Roman"/>
                <w:color w:val="auto"/>
                <w:sz w:val="24"/>
                <w:highlight w:val="none"/>
              </w:rPr>
            </w:pPr>
            <w:r>
              <w:rPr>
                <w:rFonts w:hint="eastAsia" w:ascii="Times New Roman" w:hAnsi="Times New Roman"/>
                <w:color w:val="auto"/>
                <w:sz w:val="24"/>
                <w:highlight w:val="none"/>
              </w:rPr>
              <w:t>项目布置总体来说，结构明朗，流程顺畅，布局紧凑，符合防火、安全卫生、环保、交通、运输、生产工艺流程等需求。总体上做到按功能分区，系统分明，布置整齐。</w:t>
            </w:r>
            <w:r>
              <w:rPr>
                <w:rFonts w:ascii="Times New Roman" w:hAnsi="Times New Roman" w:cs="Times New Roman"/>
                <w:color w:val="auto"/>
                <w:sz w:val="24"/>
                <w:highlight w:val="none"/>
              </w:rPr>
              <w:t>项目平面布置满足生产人流、物流分离、互不交叉干扰的原则</w:t>
            </w:r>
            <w:r>
              <w:rPr>
                <w:rFonts w:hint="eastAsia" w:ascii="Times New Roman" w:hAnsi="Times New Roman" w:cs="Times New Roman"/>
                <w:color w:val="auto"/>
                <w:sz w:val="24"/>
                <w:highlight w:val="none"/>
              </w:rPr>
              <w:t>。</w:t>
            </w:r>
          </w:p>
          <w:p w14:paraId="1C3A81CF">
            <w:pPr>
              <w:widowControl/>
              <w:spacing w:line="360" w:lineRule="auto"/>
              <w:ind w:firstLine="480" w:firstLineChars="200"/>
              <w:jc w:val="left"/>
              <w:rPr>
                <w:color w:val="auto"/>
                <w:highlight w:val="none"/>
              </w:rPr>
            </w:pPr>
            <w:r>
              <w:rPr>
                <w:rFonts w:ascii="Times New Roman" w:hAnsi="Times New Roman" w:cs="Times New Roman"/>
                <w:color w:val="auto"/>
                <w:sz w:val="24"/>
                <w:highlight w:val="none"/>
              </w:rPr>
              <w:t>建设项目</w:t>
            </w:r>
            <w:r>
              <w:rPr>
                <w:rFonts w:hint="eastAsia" w:ascii="Times New Roman" w:hAnsi="Times New Roman" w:cs="Times New Roman"/>
                <w:color w:val="auto"/>
                <w:sz w:val="24"/>
                <w:highlight w:val="none"/>
              </w:rPr>
              <w:t>厂区平面布置图见附图</w:t>
            </w:r>
            <w:r>
              <w:rPr>
                <w:rFonts w:hint="eastAsia" w:ascii="宋体" w:hAnsi="宋体" w:cs="宋体"/>
                <w:color w:val="auto"/>
                <w:sz w:val="24"/>
                <w:szCs w:val="24"/>
                <w:highlight w:val="none"/>
              </w:rPr>
              <w:t>3。</w:t>
            </w:r>
          </w:p>
        </w:tc>
      </w:tr>
      <w:tr w14:paraId="570510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73" w:hRule="atLeast"/>
          <w:jc w:val="center"/>
        </w:trPr>
        <w:tc>
          <w:tcPr>
            <w:tcW w:w="600" w:type="dxa"/>
            <w:vAlign w:val="center"/>
          </w:tcPr>
          <w:p w14:paraId="0B036FC4">
            <w:pPr>
              <w:pStyle w:val="34"/>
              <w:adjustRightInd w:val="0"/>
              <w:snapToGrid w:val="0"/>
              <w:spacing w:before="0" w:beforeAutospacing="0" w:after="0" w:afterAutospacing="0"/>
              <w:jc w:val="center"/>
              <w:rPr>
                <w:rFonts w:cs="Times New Roman"/>
                <w:color w:val="auto"/>
                <w:sz w:val="21"/>
                <w:szCs w:val="21"/>
                <w:highlight w:val="none"/>
              </w:rPr>
            </w:pPr>
            <w:r>
              <w:rPr>
                <w:rFonts w:hint="eastAsia"/>
                <w:color w:val="auto"/>
                <w:kern w:val="2"/>
                <w:highlight w:val="none"/>
              </w:rPr>
              <w:t>工艺流程和产排污环节</w:t>
            </w:r>
          </w:p>
        </w:tc>
        <w:tc>
          <w:tcPr>
            <w:tcW w:w="8552" w:type="dxa"/>
          </w:tcPr>
          <w:p w14:paraId="1B8CC1C5">
            <w:pPr>
              <w:keepNext w:val="0"/>
              <w:keepLines w:val="0"/>
              <w:pageBreakBefore w:val="0"/>
              <w:widowControl w:val="0"/>
              <w:kinsoku/>
              <w:wordWrap/>
              <w:overflowPunct/>
              <w:topLinePunct w:val="0"/>
              <w:autoSpaceDE/>
              <w:autoSpaceDN/>
              <w:bidi w:val="0"/>
              <w:adjustRightInd/>
              <w:snapToGrid/>
              <w:spacing w:before="313" w:beforeLines="100" w:line="360" w:lineRule="auto"/>
              <w:ind w:firstLine="482" w:firstLineChars="200"/>
              <w:textAlignment w:val="auto"/>
              <w:rPr>
                <w:rFonts w:hint="eastAsia" w:ascii="宋体" w:hAnsi="宋体" w:cs="宋体"/>
                <w:b/>
                <w:bCs/>
                <w:color w:val="auto"/>
                <w:sz w:val="24"/>
                <w:szCs w:val="24"/>
                <w:highlight w:val="none"/>
                <w:lang w:eastAsia="zh-CN"/>
              </w:rPr>
            </w:pPr>
            <w:r>
              <w:rPr>
                <w:rFonts w:hint="eastAsia" w:ascii="宋体" w:hAnsi="宋体" w:cs="宋体"/>
                <w:b/>
                <w:bCs/>
                <w:color w:val="auto"/>
                <w:sz w:val="24"/>
                <w:szCs w:val="24"/>
                <w:highlight w:val="none"/>
                <w:lang w:val="en-US" w:eastAsia="zh-CN"/>
              </w:rPr>
              <w:t>1、</w:t>
            </w:r>
            <w:r>
              <w:rPr>
                <w:rFonts w:hint="eastAsia" w:ascii="宋体" w:hAnsi="宋体" w:cs="宋体"/>
                <w:b/>
                <w:bCs/>
                <w:color w:val="auto"/>
                <w:sz w:val="24"/>
                <w:szCs w:val="24"/>
                <w:highlight w:val="none"/>
              </w:rPr>
              <w:t>施工期工艺流程</w:t>
            </w:r>
            <w:r>
              <w:rPr>
                <w:rFonts w:hint="eastAsia" w:ascii="宋体" w:hAnsi="宋体" w:cs="宋体"/>
                <w:b/>
                <w:bCs/>
                <w:color w:val="auto"/>
                <w:sz w:val="24"/>
                <w:szCs w:val="24"/>
                <w:highlight w:val="none"/>
                <w:lang w:eastAsia="zh-CN"/>
              </w:rPr>
              <w:t>简述</w:t>
            </w:r>
          </w:p>
          <w:p w14:paraId="7F7C902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根据现场勘探可知，</w:t>
            </w:r>
            <w:r>
              <w:rPr>
                <w:rFonts w:hint="eastAsia" w:ascii="宋体" w:hAnsi="宋体" w:eastAsia="宋体" w:cs="宋体"/>
                <w:color w:val="auto"/>
                <w:sz w:val="24"/>
                <w:szCs w:val="24"/>
                <w:highlight w:val="none"/>
                <w:lang w:val="en-US" w:eastAsia="zh-CN"/>
              </w:rPr>
              <w:t>项目</w:t>
            </w:r>
            <w:r>
              <w:rPr>
                <w:rFonts w:hint="eastAsia" w:ascii="宋体" w:hAnsi="宋体" w:cs="宋体"/>
                <w:color w:val="auto"/>
                <w:sz w:val="24"/>
                <w:szCs w:val="24"/>
                <w:highlight w:val="none"/>
              </w:rPr>
              <w:t>位于</w:t>
            </w:r>
            <w:r>
              <w:rPr>
                <w:rFonts w:hint="eastAsia" w:ascii="宋体" w:hAnsi="宋体" w:cs="宋体"/>
                <w:color w:val="auto"/>
                <w:sz w:val="24"/>
                <w:szCs w:val="24"/>
                <w:highlight w:val="none"/>
                <w:lang w:eastAsia="zh-CN"/>
              </w:rPr>
              <w:t>淮北市烈山区古饶镇烈山经济开发区南塘路与邱家沟交叉口东北角1号</w:t>
            </w:r>
            <w:r>
              <w:rPr>
                <w:rFonts w:hint="eastAsia" w:ascii="宋体" w:hAnsi="宋体" w:cs="宋体"/>
                <w:color w:val="auto"/>
                <w:sz w:val="24"/>
                <w:szCs w:val="24"/>
                <w:highlight w:val="none"/>
              </w:rPr>
              <w:t>，</w:t>
            </w:r>
            <w:r>
              <w:rPr>
                <w:rFonts w:hint="eastAsia" w:ascii="宋体" w:hAnsi="宋体" w:cs="宋体"/>
                <w:color w:val="auto"/>
                <w:sz w:val="24"/>
                <w:szCs w:val="24"/>
                <w:highlight w:val="none"/>
                <w:lang w:eastAsia="zh-CN"/>
              </w:rPr>
              <w:t>租赁</w:t>
            </w:r>
            <w:r>
              <w:rPr>
                <w:rFonts w:hint="eastAsia" w:ascii="宋体" w:hAnsi="宋体" w:eastAsia="宋体" w:cs="宋体"/>
                <w:color w:val="auto"/>
                <w:sz w:val="24"/>
                <w:szCs w:val="24"/>
                <w:highlight w:val="none"/>
              </w:rPr>
              <w:t>安徽麦丞新型材料科技有限公司</w:t>
            </w:r>
            <w:r>
              <w:rPr>
                <w:rFonts w:hint="eastAsia" w:ascii="宋体" w:hAnsi="宋体" w:eastAsia="宋体" w:cs="宋体"/>
                <w:color w:val="auto"/>
                <w:sz w:val="24"/>
                <w:szCs w:val="24"/>
                <w:highlight w:val="none"/>
                <w:lang w:eastAsia="zh-CN"/>
              </w:rPr>
              <w:t>建成厂房作为生产经营场所</w:t>
            </w:r>
            <w:r>
              <w:rPr>
                <w:rFonts w:hint="eastAsia" w:ascii="宋体" w:hAnsi="宋体" w:eastAsia="宋体" w:cs="宋体"/>
                <w:color w:val="auto"/>
                <w:sz w:val="24"/>
                <w:szCs w:val="24"/>
                <w:highlight w:val="none"/>
                <w:lang w:val="en-US" w:eastAsia="zh-CN"/>
              </w:rPr>
              <w:t>。</w:t>
            </w:r>
            <w:r>
              <w:rPr>
                <w:rFonts w:hint="default" w:ascii="宋体" w:hAnsi="宋体" w:eastAsia="宋体" w:cs="宋体"/>
                <w:color w:val="auto"/>
                <w:sz w:val="24"/>
                <w:szCs w:val="24"/>
                <w:highlight w:val="none"/>
                <w:lang w:val="en-US" w:eastAsia="zh-CN"/>
              </w:rPr>
              <w:t>施工期仅为设备安装</w:t>
            </w:r>
            <w:r>
              <w:rPr>
                <w:rFonts w:hint="eastAsia" w:ascii="宋体" w:hAnsi="宋体" w:eastAsia="宋体" w:cs="宋体"/>
                <w:color w:val="auto"/>
                <w:sz w:val="24"/>
                <w:szCs w:val="24"/>
                <w:highlight w:val="none"/>
                <w:lang w:val="en-US" w:eastAsia="zh-CN"/>
              </w:rPr>
              <w:t>、厂房内区域划分等</w:t>
            </w:r>
            <w:r>
              <w:rPr>
                <w:rFonts w:hint="default" w:ascii="宋体" w:hAnsi="宋体" w:eastAsia="宋体" w:cs="宋体"/>
                <w:color w:val="auto"/>
                <w:sz w:val="24"/>
                <w:szCs w:val="24"/>
                <w:highlight w:val="none"/>
                <w:lang w:val="en-US" w:eastAsia="zh-CN"/>
              </w:rPr>
              <w:t>。因此</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本环评不对施工期进行分析。</w:t>
            </w:r>
          </w:p>
          <w:p w14:paraId="5251AF5E">
            <w:pPr>
              <w:numPr>
                <w:ilvl w:val="0"/>
                <w:numId w:val="0"/>
              </w:numPr>
              <w:spacing w:before="240" w:beforeLines="100" w:line="360" w:lineRule="auto"/>
              <w:ind w:firstLine="482" w:firstLineChars="200"/>
              <w:rPr>
                <w:rFonts w:hint="eastAsia" w:ascii="宋体" w:hAnsi="宋体" w:cs="宋体"/>
                <w:b/>
                <w:bCs/>
                <w:color w:val="auto"/>
                <w:sz w:val="24"/>
                <w:szCs w:val="24"/>
                <w:highlight w:val="none"/>
              </w:rPr>
            </w:pPr>
            <w:r>
              <w:rPr>
                <w:rFonts w:hint="eastAsia" w:ascii="宋体" w:hAnsi="宋体" w:cs="宋体"/>
                <w:b/>
                <w:bCs/>
                <w:color w:val="auto"/>
                <w:sz w:val="24"/>
                <w:szCs w:val="24"/>
                <w:highlight w:val="none"/>
                <w:lang w:val="en-US" w:eastAsia="zh-CN"/>
              </w:rPr>
              <w:t>2、</w:t>
            </w:r>
            <w:r>
              <w:rPr>
                <w:rFonts w:hint="eastAsia" w:ascii="宋体" w:hAnsi="宋体" w:cs="宋体"/>
                <w:b/>
                <w:bCs/>
                <w:color w:val="auto"/>
                <w:sz w:val="24"/>
                <w:szCs w:val="24"/>
                <w:highlight w:val="none"/>
              </w:rPr>
              <w:t>运营期工艺流程和产污环节</w:t>
            </w:r>
          </w:p>
          <w:p w14:paraId="2D947127">
            <w:pPr>
              <w:numPr>
                <w:ilvl w:val="0"/>
                <w:numId w:val="0"/>
              </w:numPr>
              <w:spacing w:before="240" w:beforeLines="100" w:line="360" w:lineRule="auto"/>
              <w:ind w:leftChars="128" w:firstLine="240" w:firstLineChars="100"/>
              <w:rPr>
                <w:rFonts w:hint="default" w:ascii="宋体" w:hAnsi="宋体" w:eastAsia="宋体" w:cs="宋体"/>
                <w:b/>
                <w:bCs/>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2.1 运营期工艺流程</w:t>
            </w:r>
          </w:p>
          <w:p w14:paraId="324D1A84">
            <w:pPr>
              <w:pStyle w:val="45"/>
              <w:ind w:firstLine="480" w:firstLineChars="200"/>
              <w:rPr>
                <w:color w:val="auto"/>
                <w:highlight w:val="none"/>
              </w:rPr>
            </w:pPr>
            <w:r>
              <w:rPr>
                <w:rFonts w:hint="eastAsia"/>
                <w:b w:val="0"/>
                <w:bCs/>
                <w:color w:val="auto"/>
                <w:highlight w:val="none"/>
              </w:rPr>
              <w:t>运营期项目产品生物质颗粒生产工艺流程及产污环节见图2-</w:t>
            </w:r>
            <w:r>
              <w:rPr>
                <w:rFonts w:hint="eastAsia"/>
                <w:b w:val="0"/>
                <w:bCs/>
                <w:color w:val="auto"/>
                <w:highlight w:val="none"/>
                <w:lang w:val="en-US" w:eastAsia="zh-CN"/>
              </w:rPr>
              <w:t>2：</w:t>
            </w:r>
            <w:r>
              <w:rPr>
                <w:rFonts w:hint="eastAsia"/>
                <w:color w:val="auto"/>
                <w:highlight w:val="none"/>
              </w:rPr>
              <w:br w:type="textWrapping"/>
            </w:r>
          </w:p>
          <w:p w14:paraId="7A63155E">
            <w:pPr>
              <w:pStyle w:val="45"/>
              <w:jc w:val="center"/>
              <w:rPr>
                <w:rFonts w:hint="eastAsia" w:eastAsia="宋体"/>
                <w:color w:val="auto"/>
                <w:highlight w:val="none"/>
                <w:lang w:eastAsia="zh-CN"/>
              </w:rPr>
            </w:pPr>
            <w:r>
              <w:rPr>
                <w:color w:val="auto"/>
                <w:highlight w:val="none"/>
              </w:rPr>
              <w:drawing>
                <wp:inline distT="0" distB="0" distL="114300" distR="114300">
                  <wp:extent cx="5292725" cy="2839085"/>
                  <wp:effectExtent l="0" t="0" r="10795" b="10795"/>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8"/>
                          <a:stretch>
                            <a:fillRect/>
                          </a:stretch>
                        </pic:blipFill>
                        <pic:spPr>
                          <a:xfrm>
                            <a:off x="0" y="0"/>
                            <a:ext cx="5292725" cy="2839085"/>
                          </a:xfrm>
                          <a:prstGeom prst="rect">
                            <a:avLst/>
                          </a:prstGeom>
                          <a:noFill/>
                          <a:ln>
                            <a:noFill/>
                          </a:ln>
                        </pic:spPr>
                      </pic:pic>
                    </a:graphicData>
                  </a:graphic>
                </wp:inline>
              </w:drawing>
            </w:r>
          </w:p>
          <w:p w14:paraId="0810E891">
            <w:pPr>
              <w:adjustRightInd w:val="0"/>
              <w:snapToGrid w:val="0"/>
              <w:spacing w:before="120" w:beforeLines="50" w:line="360" w:lineRule="auto"/>
              <w:jc w:val="center"/>
              <w:rPr>
                <w:color w:val="auto"/>
                <w:highlight w:val="none"/>
              </w:rPr>
            </w:pPr>
            <w:r>
              <w:rPr>
                <w:rFonts w:hint="eastAsia"/>
                <w:color w:val="auto"/>
                <w:highlight w:val="none"/>
              </w:rPr>
              <w:t>图</w:t>
            </w:r>
            <w:r>
              <w:rPr>
                <w:color w:val="auto"/>
                <w:highlight w:val="none"/>
              </w:rPr>
              <w:t>2-</w:t>
            </w:r>
            <w:r>
              <w:rPr>
                <w:rFonts w:hint="eastAsia"/>
                <w:color w:val="auto"/>
                <w:highlight w:val="none"/>
              </w:rPr>
              <w:t>2</w:t>
            </w:r>
            <w:r>
              <w:rPr>
                <w:color w:val="auto"/>
                <w:highlight w:val="none"/>
              </w:rPr>
              <w:t xml:space="preserve">  </w:t>
            </w:r>
            <w:r>
              <w:rPr>
                <w:rFonts w:hint="eastAsia"/>
                <w:color w:val="auto"/>
                <w:highlight w:val="none"/>
              </w:rPr>
              <w:t>生物质颗粒生产工艺和产污环节图</w:t>
            </w:r>
          </w:p>
          <w:p w14:paraId="7AADB3E3">
            <w:pPr>
              <w:spacing w:line="360" w:lineRule="auto"/>
              <w:ind w:firstLine="480" w:firstLineChars="200"/>
              <w:rPr>
                <w:color w:val="auto"/>
                <w:kern w:val="0"/>
                <w:sz w:val="24"/>
                <w:szCs w:val="24"/>
                <w:highlight w:val="none"/>
              </w:rPr>
            </w:pPr>
            <w:r>
              <w:rPr>
                <w:rFonts w:hint="eastAsia"/>
                <w:color w:val="auto"/>
                <w:kern w:val="0"/>
                <w:sz w:val="24"/>
                <w:szCs w:val="24"/>
                <w:highlight w:val="none"/>
              </w:rPr>
              <w:t>生产工艺说明：</w:t>
            </w:r>
          </w:p>
          <w:p w14:paraId="717431A7">
            <w:pPr>
              <w:numPr>
                <w:ilvl w:val="0"/>
                <w:numId w:val="0"/>
              </w:numPr>
              <w:spacing w:line="360" w:lineRule="auto"/>
              <w:ind w:firstLine="480" w:firstLineChars="200"/>
              <w:rPr>
                <w:color w:val="auto"/>
                <w:kern w:val="0"/>
                <w:sz w:val="24"/>
                <w:szCs w:val="24"/>
                <w:highlight w:val="none"/>
              </w:rPr>
            </w:pPr>
            <w:r>
              <w:rPr>
                <w:rFonts w:hint="eastAsia"/>
                <w:color w:val="auto"/>
                <w:kern w:val="0"/>
                <w:sz w:val="24"/>
                <w:szCs w:val="24"/>
                <w:highlight w:val="none"/>
                <w:lang w:val="en-US" w:eastAsia="zh-CN"/>
              </w:rPr>
              <w:t>1、</w:t>
            </w:r>
            <w:r>
              <w:rPr>
                <w:rFonts w:hint="eastAsia"/>
                <w:color w:val="auto"/>
                <w:kern w:val="0"/>
                <w:sz w:val="24"/>
                <w:szCs w:val="24"/>
                <w:highlight w:val="none"/>
              </w:rPr>
              <w:t>外购的碎木</w:t>
            </w:r>
            <w:r>
              <w:rPr>
                <w:rFonts w:hint="eastAsia"/>
                <w:color w:val="auto"/>
                <w:kern w:val="0"/>
                <w:sz w:val="24"/>
                <w:szCs w:val="24"/>
                <w:highlight w:val="none"/>
                <w:lang w:eastAsia="zh-CN"/>
              </w:rPr>
              <w:t>需要</w:t>
            </w:r>
            <w:r>
              <w:rPr>
                <w:rFonts w:hint="eastAsia"/>
                <w:color w:val="auto"/>
                <w:kern w:val="0"/>
                <w:sz w:val="24"/>
                <w:szCs w:val="24"/>
                <w:highlight w:val="none"/>
              </w:rPr>
              <w:t>投入破碎机经</w:t>
            </w:r>
            <w:r>
              <w:rPr>
                <w:rFonts w:hint="eastAsia"/>
                <w:color w:val="auto"/>
                <w:kern w:val="0"/>
                <w:sz w:val="24"/>
                <w:szCs w:val="24"/>
                <w:highlight w:val="none"/>
                <w:lang w:eastAsia="zh-CN"/>
              </w:rPr>
              <w:t>综合</w:t>
            </w:r>
            <w:r>
              <w:rPr>
                <w:rFonts w:hint="eastAsia"/>
                <w:color w:val="auto"/>
                <w:kern w:val="0"/>
                <w:sz w:val="24"/>
                <w:szCs w:val="24"/>
                <w:highlight w:val="none"/>
              </w:rPr>
              <w:t>破碎机破碎至长度为1cm以下，</w:t>
            </w:r>
            <w:r>
              <w:rPr>
                <w:rFonts w:hint="eastAsia"/>
                <w:color w:val="auto"/>
                <w:kern w:val="0"/>
                <w:sz w:val="24"/>
                <w:szCs w:val="24"/>
                <w:highlight w:val="none"/>
                <w:lang w:eastAsia="zh-CN"/>
              </w:rPr>
              <w:t>暂存碎料暂存间，</w:t>
            </w:r>
            <w:r>
              <w:rPr>
                <w:rFonts w:hint="eastAsia"/>
                <w:color w:val="auto"/>
                <w:kern w:val="0"/>
                <w:sz w:val="24"/>
                <w:szCs w:val="24"/>
                <w:highlight w:val="none"/>
              </w:rPr>
              <w:t>然后</w:t>
            </w:r>
            <w:r>
              <w:rPr>
                <w:rFonts w:hint="eastAsia"/>
                <w:color w:val="auto"/>
                <w:kern w:val="0"/>
                <w:sz w:val="24"/>
                <w:szCs w:val="24"/>
                <w:highlight w:val="none"/>
                <w:lang w:eastAsia="zh-CN"/>
              </w:rPr>
              <w:t>由密闭式运输带运输至粉碎机</w:t>
            </w:r>
            <w:r>
              <w:rPr>
                <w:rFonts w:hint="eastAsia"/>
                <w:color w:val="auto"/>
                <w:kern w:val="0"/>
                <w:sz w:val="24"/>
                <w:szCs w:val="24"/>
                <w:highlight w:val="none"/>
              </w:rPr>
              <w:t>进行粉碎，粉碎后进入</w:t>
            </w:r>
            <w:r>
              <w:rPr>
                <w:rFonts w:hint="eastAsia"/>
                <w:color w:val="auto"/>
                <w:kern w:val="0"/>
                <w:sz w:val="24"/>
                <w:szCs w:val="24"/>
                <w:highlight w:val="none"/>
                <w:lang w:eastAsia="zh-CN"/>
              </w:rPr>
              <w:t>碎料暂存间</w:t>
            </w:r>
            <w:r>
              <w:rPr>
                <w:rFonts w:hint="eastAsia"/>
                <w:color w:val="auto"/>
                <w:kern w:val="0"/>
                <w:sz w:val="24"/>
                <w:szCs w:val="24"/>
                <w:highlight w:val="none"/>
              </w:rPr>
              <w:t>。</w:t>
            </w:r>
            <w:r>
              <w:rPr>
                <w:rFonts w:hint="eastAsia"/>
                <w:color w:val="auto"/>
                <w:highlight w:val="none"/>
                <w:lang w:val="en-US" w:eastAsia="zh-CN"/>
              </w:rPr>
              <w:t>碎木</w:t>
            </w:r>
            <w:r>
              <w:rPr>
                <w:rFonts w:hint="eastAsia"/>
                <w:color w:val="auto"/>
                <w:kern w:val="0"/>
                <w:sz w:val="24"/>
                <w:szCs w:val="24"/>
                <w:highlight w:val="none"/>
              </w:rPr>
              <w:t>大于4mm的进行二次粉碎，小于4mm的进入</w:t>
            </w:r>
            <w:r>
              <w:rPr>
                <w:rFonts w:hint="eastAsia"/>
                <w:color w:val="auto"/>
                <w:kern w:val="0"/>
                <w:sz w:val="24"/>
                <w:szCs w:val="24"/>
                <w:highlight w:val="none"/>
                <w:lang w:eastAsia="zh-CN"/>
              </w:rPr>
              <w:t>碎料暂存间</w:t>
            </w:r>
            <w:r>
              <w:rPr>
                <w:rFonts w:hint="eastAsia"/>
                <w:color w:val="auto"/>
                <w:kern w:val="0"/>
                <w:sz w:val="24"/>
                <w:szCs w:val="24"/>
                <w:highlight w:val="none"/>
              </w:rPr>
              <w:t>，</w:t>
            </w:r>
            <w:r>
              <w:rPr>
                <w:rFonts w:hint="eastAsia"/>
                <w:color w:val="auto"/>
                <w:kern w:val="0"/>
                <w:sz w:val="24"/>
                <w:szCs w:val="24"/>
                <w:highlight w:val="none"/>
                <w:lang w:eastAsia="zh-CN"/>
              </w:rPr>
              <w:t>后</w:t>
            </w:r>
            <w:r>
              <w:rPr>
                <w:rFonts w:hint="eastAsia"/>
                <w:color w:val="auto"/>
                <w:kern w:val="0"/>
                <w:sz w:val="24"/>
                <w:szCs w:val="24"/>
                <w:highlight w:val="none"/>
              </w:rPr>
              <w:t>经上料绞龙投入制粒机进行物理挤压制粒成型，然后进行打包入库。</w:t>
            </w:r>
            <w:r>
              <w:rPr>
                <w:rFonts w:hint="eastAsia"/>
                <w:color w:val="auto"/>
                <w:kern w:val="0"/>
                <w:sz w:val="24"/>
                <w:szCs w:val="24"/>
                <w:highlight w:val="none"/>
              </w:rPr>
              <w:br w:type="textWrapping"/>
            </w:r>
            <w:r>
              <w:rPr>
                <w:rFonts w:hint="eastAsia"/>
                <w:color w:val="auto"/>
                <w:kern w:val="0"/>
                <w:sz w:val="24"/>
                <w:szCs w:val="24"/>
                <w:highlight w:val="none"/>
                <w:lang w:val="en-US" w:eastAsia="zh-CN"/>
              </w:rPr>
              <w:t xml:space="preserve">   此工序会产生破碎粉尘（G1）、除尘器收集粉尘（S1）及噪声（N）。</w:t>
            </w:r>
            <w:r>
              <w:rPr>
                <w:rFonts w:hint="eastAsia"/>
                <w:color w:val="auto"/>
                <w:kern w:val="0"/>
                <w:sz w:val="24"/>
                <w:szCs w:val="24"/>
                <w:highlight w:val="none"/>
              </w:rPr>
              <w:br w:type="textWrapping"/>
            </w:r>
            <w:r>
              <w:rPr>
                <w:rFonts w:hint="eastAsia"/>
                <w:color w:val="auto"/>
                <w:kern w:val="0"/>
                <w:sz w:val="24"/>
                <w:szCs w:val="24"/>
                <w:highlight w:val="none"/>
              </w:rPr>
              <w:t xml:space="preserve">    2、外购的秸秆无需进行破碎，直接投入粉碎机进行粉碎，粉碎</w:t>
            </w:r>
            <w:r>
              <w:rPr>
                <w:rFonts w:hint="eastAsia"/>
                <w:color w:val="auto"/>
                <w:kern w:val="0"/>
                <w:sz w:val="24"/>
                <w:szCs w:val="24"/>
                <w:highlight w:val="none"/>
                <w:lang w:eastAsia="zh-CN"/>
              </w:rPr>
              <w:t>至</w:t>
            </w:r>
            <w:r>
              <w:rPr>
                <w:rFonts w:hint="eastAsia"/>
                <w:color w:val="auto"/>
                <w:kern w:val="0"/>
                <w:sz w:val="24"/>
                <w:szCs w:val="24"/>
                <w:highlight w:val="none"/>
              </w:rPr>
              <w:t>4mm</w:t>
            </w:r>
            <w:r>
              <w:rPr>
                <w:rFonts w:hint="eastAsia"/>
                <w:color w:val="auto"/>
                <w:kern w:val="0"/>
                <w:sz w:val="24"/>
                <w:szCs w:val="24"/>
                <w:highlight w:val="none"/>
                <w:lang w:eastAsia="zh-CN"/>
              </w:rPr>
              <w:t>以下，</w:t>
            </w:r>
            <w:r>
              <w:rPr>
                <w:rFonts w:hint="eastAsia"/>
                <w:color w:val="auto"/>
                <w:kern w:val="0"/>
                <w:sz w:val="24"/>
                <w:szCs w:val="24"/>
                <w:highlight w:val="none"/>
              </w:rPr>
              <w:t>粉碎后进入</w:t>
            </w:r>
            <w:r>
              <w:rPr>
                <w:rFonts w:hint="eastAsia"/>
                <w:color w:val="auto"/>
                <w:kern w:val="0"/>
                <w:sz w:val="24"/>
                <w:szCs w:val="24"/>
                <w:highlight w:val="none"/>
                <w:lang w:eastAsia="zh-CN"/>
              </w:rPr>
              <w:t>碎料暂存间，后</w:t>
            </w:r>
            <w:r>
              <w:rPr>
                <w:rFonts w:hint="eastAsia"/>
                <w:color w:val="auto"/>
                <w:kern w:val="0"/>
                <w:sz w:val="24"/>
                <w:szCs w:val="24"/>
                <w:highlight w:val="none"/>
              </w:rPr>
              <w:t>经上料绞龙投入制粒机进行物理挤压制粒成型，然后进行打包入库。</w:t>
            </w:r>
            <w:r>
              <w:rPr>
                <w:rFonts w:hint="eastAsia"/>
                <w:color w:val="auto"/>
                <w:kern w:val="0"/>
                <w:sz w:val="24"/>
                <w:szCs w:val="24"/>
                <w:highlight w:val="none"/>
              </w:rPr>
              <w:br w:type="textWrapping"/>
            </w:r>
            <w:r>
              <w:rPr>
                <w:rFonts w:hint="eastAsia"/>
                <w:color w:val="auto"/>
                <w:kern w:val="0"/>
                <w:sz w:val="24"/>
                <w:szCs w:val="24"/>
                <w:highlight w:val="none"/>
                <w:lang w:val="en-US" w:eastAsia="zh-CN"/>
              </w:rPr>
              <w:t xml:space="preserve">    此工序会产生粉碎粉尘（G1）、除尘器收集粉尘（S1）及噪声（N）。</w:t>
            </w:r>
          </w:p>
          <w:p w14:paraId="2C502AC9">
            <w:pPr>
              <w:numPr>
                <w:ilvl w:val="0"/>
                <w:numId w:val="0"/>
              </w:numPr>
              <w:spacing w:line="360" w:lineRule="auto"/>
              <w:ind w:firstLine="480" w:firstLineChars="200"/>
              <w:rPr>
                <w:rFonts w:hint="eastAsia"/>
                <w:color w:val="auto"/>
                <w:kern w:val="0"/>
                <w:sz w:val="24"/>
                <w:szCs w:val="24"/>
                <w:highlight w:val="red"/>
              </w:rPr>
            </w:pPr>
            <w:r>
              <w:rPr>
                <w:rFonts w:hint="eastAsia"/>
                <w:color w:val="auto"/>
                <w:kern w:val="0"/>
                <w:sz w:val="24"/>
                <w:szCs w:val="24"/>
                <w:highlight w:val="none"/>
                <w:lang w:val="en-US" w:eastAsia="zh-CN"/>
              </w:rPr>
              <w:t>3、</w:t>
            </w:r>
            <w:r>
              <w:rPr>
                <w:rFonts w:hint="eastAsia"/>
                <w:color w:val="auto"/>
                <w:kern w:val="0"/>
                <w:sz w:val="24"/>
                <w:szCs w:val="24"/>
                <w:highlight w:val="none"/>
              </w:rPr>
              <w:t>外购的锯末大于4mm的进行二次粉碎，粉碎后进入</w:t>
            </w:r>
            <w:r>
              <w:rPr>
                <w:rFonts w:hint="eastAsia"/>
                <w:color w:val="auto"/>
                <w:kern w:val="0"/>
                <w:sz w:val="24"/>
                <w:szCs w:val="24"/>
                <w:highlight w:val="none"/>
                <w:lang w:eastAsia="zh-CN"/>
              </w:rPr>
              <w:t>碎料暂存间，后</w:t>
            </w:r>
            <w:r>
              <w:rPr>
                <w:rFonts w:hint="eastAsia"/>
                <w:color w:val="auto"/>
                <w:kern w:val="0"/>
                <w:sz w:val="24"/>
                <w:szCs w:val="24"/>
                <w:highlight w:val="none"/>
              </w:rPr>
              <w:t>经上料绞龙投入制粒机进行物理挤压制粒成型</w:t>
            </w:r>
            <w:r>
              <w:rPr>
                <w:rFonts w:hint="eastAsia"/>
                <w:color w:val="auto"/>
                <w:kern w:val="0"/>
                <w:sz w:val="24"/>
                <w:szCs w:val="24"/>
                <w:highlight w:val="none"/>
                <w:lang w:eastAsia="zh-CN"/>
              </w:rPr>
              <w:t>，并打包入库。</w:t>
            </w:r>
            <w:r>
              <w:rPr>
                <w:rFonts w:hint="eastAsia"/>
                <w:color w:val="auto"/>
                <w:kern w:val="0"/>
                <w:sz w:val="24"/>
                <w:szCs w:val="24"/>
                <w:highlight w:val="none"/>
              </w:rPr>
              <w:t>小于4mm的经上料绞龙投入制粒机进行物理挤压制粒成型，然后进行打包入库。</w:t>
            </w:r>
          </w:p>
          <w:p w14:paraId="6F58FB92">
            <w:pPr>
              <w:numPr>
                <w:ilvl w:val="0"/>
                <w:numId w:val="0"/>
              </w:numPr>
              <w:spacing w:line="360" w:lineRule="auto"/>
              <w:ind w:firstLine="480" w:firstLineChars="200"/>
              <w:rPr>
                <w:color w:val="auto"/>
                <w:kern w:val="0"/>
                <w:sz w:val="24"/>
                <w:szCs w:val="24"/>
                <w:highlight w:val="none"/>
              </w:rPr>
            </w:pPr>
            <w:r>
              <w:rPr>
                <w:rFonts w:hint="eastAsia"/>
                <w:color w:val="auto"/>
                <w:kern w:val="0"/>
                <w:sz w:val="24"/>
                <w:szCs w:val="24"/>
                <w:highlight w:val="none"/>
              </w:rPr>
              <w:t>生产过程中破碎、粉碎及制粒成型过程中将产生废气及噪声。 破碎、粉碎、筛分</w:t>
            </w:r>
            <w:r>
              <w:rPr>
                <w:rFonts w:hint="eastAsia"/>
                <w:color w:val="auto"/>
                <w:kern w:val="0"/>
                <w:sz w:val="24"/>
                <w:szCs w:val="24"/>
                <w:highlight w:val="none"/>
                <w:lang w:eastAsia="zh-CN"/>
              </w:rPr>
              <w:t>及</w:t>
            </w:r>
            <w:r>
              <w:rPr>
                <w:rFonts w:hint="eastAsia"/>
                <w:color w:val="auto"/>
                <w:kern w:val="0"/>
                <w:sz w:val="24"/>
                <w:szCs w:val="24"/>
                <w:highlight w:val="none"/>
              </w:rPr>
              <w:t>制粒工序的设备均为密闭式生产设备，产尘位置均为出口处。在各设备出口处均设置集气设施进行集尘，集尘后经旋风除尘+布袋除尘进行处理，处理后经1根15米高排气筒（DA001）排放。</w:t>
            </w:r>
            <w:r>
              <w:rPr>
                <w:rFonts w:hint="eastAsia"/>
                <w:color w:val="auto"/>
                <w:kern w:val="0"/>
                <w:sz w:val="24"/>
                <w:szCs w:val="24"/>
                <w:highlight w:val="none"/>
              </w:rPr>
              <w:br w:type="textWrapping"/>
            </w:r>
            <w:r>
              <w:rPr>
                <w:rFonts w:hint="eastAsia"/>
                <w:color w:val="auto"/>
                <w:kern w:val="0"/>
                <w:sz w:val="24"/>
                <w:szCs w:val="24"/>
                <w:highlight w:val="none"/>
              </w:rPr>
              <w:t xml:space="preserve">  </w:t>
            </w:r>
            <w:r>
              <w:rPr>
                <w:rFonts w:hint="eastAsia" w:ascii="宋体" w:hAnsi="宋体" w:eastAsia="宋体" w:cs="宋体"/>
                <w:b w:val="0"/>
                <w:bCs w:val="0"/>
                <w:color w:val="auto"/>
                <w:sz w:val="24"/>
                <w:szCs w:val="24"/>
                <w:highlight w:val="none"/>
                <w:lang w:val="en-US" w:eastAsia="zh-CN"/>
              </w:rPr>
              <w:t xml:space="preserve"> 2.2 项目产排污环节一览表</w:t>
            </w:r>
          </w:p>
          <w:p w14:paraId="123BB5CF">
            <w:pPr>
              <w:adjustRightInd w:val="0"/>
              <w:snapToGrid w:val="0"/>
              <w:spacing w:line="360" w:lineRule="auto"/>
              <w:jc w:val="center"/>
              <w:rPr>
                <w:rFonts w:hint="eastAsia"/>
                <w:color w:val="auto"/>
                <w:highlight w:val="none"/>
              </w:rPr>
            </w:pPr>
            <w:r>
              <w:rPr>
                <w:rFonts w:hint="eastAsia"/>
                <w:color w:val="auto"/>
                <w:highlight w:val="none"/>
              </w:rPr>
              <w:t>表2-</w:t>
            </w:r>
            <w:r>
              <w:rPr>
                <w:rFonts w:hint="eastAsia"/>
                <w:color w:val="auto"/>
                <w:highlight w:val="none"/>
                <w:lang w:val="en-US" w:eastAsia="zh-CN"/>
              </w:rPr>
              <w:t>5</w:t>
            </w:r>
            <w:r>
              <w:rPr>
                <w:rFonts w:hint="eastAsia"/>
                <w:color w:val="auto"/>
                <w:highlight w:val="none"/>
              </w:rPr>
              <w:t xml:space="preserve"> 产排污一览表</w:t>
            </w:r>
          </w:p>
          <w:tbl>
            <w:tblPr>
              <w:tblStyle w:val="38"/>
              <w:tblW w:w="82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1"/>
              <w:gridCol w:w="1230"/>
              <w:gridCol w:w="2247"/>
              <w:gridCol w:w="1785"/>
              <w:gridCol w:w="2224"/>
            </w:tblGrid>
            <w:tr w14:paraId="0CDEF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731" w:type="dxa"/>
                  <w:vAlign w:val="center"/>
                </w:tcPr>
                <w:p w14:paraId="6C79A8F6">
                  <w:pPr>
                    <w:autoSpaceDE w:val="0"/>
                    <w:autoSpaceDN w:val="0"/>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类别</w:t>
                  </w:r>
                </w:p>
              </w:tc>
              <w:tc>
                <w:tcPr>
                  <w:tcW w:w="1230" w:type="dxa"/>
                  <w:vAlign w:val="center"/>
                </w:tcPr>
                <w:p w14:paraId="1253D5C3">
                  <w:pPr>
                    <w:autoSpaceDE w:val="0"/>
                    <w:autoSpaceDN w:val="0"/>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编号</w:t>
                  </w:r>
                </w:p>
              </w:tc>
              <w:tc>
                <w:tcPr>
                  <w:tcW w:w="2247" w:type="dxa"/>
                  <w:vAlign w:val="center"/>
                </w:tcPr>
                <w:p w14:paraId="353C5F00">
                  <w:pPr>
                    <w:autoSpaceDE w:val="0"/>
                    <w:autoSpaceDN w:val="0"/>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污染物名称</w:t>
                  </w:r>
                </w:p>
              </w:tc>
              <w:tc>
                <w:tcPr>
                  <w:tcW w:w="1785" w:type="dxa"/>
                  <w:vAlign w:val="center"/>
                </w:tcPr>
                <w:p w14:paraId="68154F93">
                  <w:pPr>
                    <w:autoSpaceDE w:val="0"/>
                    <w:autoSpaceDN w:val="0"/>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产生工序</w:t>
                  </w:r>
                </w:p>
              </w:tc>
              <w:tc>
                <w:tcPr>
                  <w:tcW w:w="2224" w:type="dxa"/>
                  <w:vAlign w:val="center"/>
                </w:tcPr>
                <w:p w14:paraId="149AACAC">
                  <w:pPr>
                    <w:autoSpaceDE w:val="0"/>
                    <w:autoSpaceDN w:val="0"/>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污染因子</w:t>
                  </w:r>
                </w:p>
              </w:tc>
            </w:tr>
            <w:tr w14:paraId="6153A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3" w:hRule="atLeast"/>
                <w:jc w:val="center"/>
              </w:trPr>
              <w:tc>
                <w:tcPr>
                  <w:tcW w:w="731" w:type="dxa"/>
                  <w:vAlign w:val="center"/>
                </w:tcPr>
                <w:p w14:paraId="60918FE8">
                  <w:pPr>
                    <w:autoSpaceDE w:val="0"/>
                    <w:autoSpaceDN w:val="0"/>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废气</w:t>
                  </w:r>
                </w:p>
              </w:tc>
              <w:tc>
                <w:tcPr>
                  <w:tcW w:w="1230" w:type="dxa"/>
                  <w:vAlign w:val="center"/>
                </w:tcPr>
                <w:p w14:paraId="4B4AB2EA">
                  <w:pPr>
                    <w:autoSpaceDE w:val="0"/>
                    <w:autoSpaceDN w:val="0"/>
                    <w:jc w:val="center"/>
                    <w:rPr>
                      <w:rFonts w:ascii="Times New Roman" w:hAnsi="Times New Roman" w:cs="Times New Roman"/>
                      <w:color w:val="auto"/>
                      <w:szCs w:val="21"/>
                      <w:highlight w:val="none"/>
                      <w:vertAlign w:val="subscript"/>
                    </w:rPr>
                  </w:pPr>
                  <w:r>
                    <w:rPr>
                      <w:rFonts w:hint="eastAsia" w:ascii="Times New Roman" w:hAnsi="Times New Roman" w:cs="Times New Roman"/>
                      <w:color w:val="auto"/>
                      <w:szCs w:val="21"/>
                      <w:highlight w:val="none"/>
                    </w:rPr>
                    <w:t>G1</w:t>
                  </w:r>
                </w:p>
              </w:tc>
              <w:tc>
                <w:tcPr>
                  <w:tcW w:w="2247" w:type="dxa"/>
                  <w:vAlign w:val="center"/>
                </w:tcPr>
                <w:p w14:paraId="0BBE899C">
                  <w:pPr>
                    <w:autoSpaceDE w:val="0"/>
                    <w:autoSpaceDN w:val="0"/>
                    <w:jc w:val="center"/>
                    <w:rPr>
                      <w:rFonts w:hint="eastAsia" w:ascii="Times New Roman" w:hAnsi="Times New Roman" w:cs="Times New Roman"/>
                      <w:color w:val="auto"/>
                      <w:szCs w:val="21"/>
                      <w:highlight w:val="none"/>
                    </w:rPr>
                  </w:pPr>
                  <w:r>
                    <w:rPr>
                      <w:rFonts w:hint="eastAsia" w:ascii="Times New Roman" w:hAnsi="Times New Roman" w:cs="Times New Roman"/>
                      <w:color w:val="auto"/>
                      <w:szCs w:val="21"/>
                      <w:highlight w:val="none"/>
                    </w:rPr>
                    <w:t>生物质颗粒生产中的破碎、粉碎制粒成型等工序产生的废气</w:t>
                  </w:r>
                </w:p>
              </w:tc>
              <w:tc>
                <w:tcPr>
                  <w:tcW w:w="1785" w:type="dxa"/>
                  <w:vAlign w:val="center"/>
                </w:tcPr>
                <w:p w14:paraId="27B1EDE8">
                  <w:pPr>
                    <w:autoSpaceDE w:val="0"/>
                    <w:autoSpaceDN w:val="0"/>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破碎、粉碎及制粒成型</w:t>
                  </w:r>
                </w:p>
              </w:tc>
              <w:tc>
                <w:tcPr>
                  <w:tcW w:w="2224" w:type="dxa"/>
                  <w:vAlign w:val="center"/>
                </w:tcPr>
                <w:p w14:paraId="700094A7">
                  <w:pPr>
                    <w:autoSpaceDE w:val="0"/>
                    <w:autoSpaceDN w:val="0"/>
                    <w:jc w:val="center"/>
                    <w:rPr>
                      <w:rFonts w:hint="eastAsia" w:ascii="Times New Roman" w:hAnsi="Times New Roman" w:eastAsia="宋体" w:cs="Times New Roman"/>
                      <w:color w:val="auto"/>
                      <w:szCs w:val="21"/>
                      <w:highlight w:val="none"/>
                      <w:lang w:eastAsia="zh-CN"/>
                    </w:rPr>
                  </w:pPr>
                  <w:r>
                    <w:rPr>
                      <w:rFonts w:hint="eastAsia" w:ascii="Times New Roman" w:hAnsi="Times New Roman" w:cs="Times New Roman"/>
                      <w:color w:val="auto"/>
                      <w:szCs w:val="21"/>
                      <w:highlight w:val="none"/>
                      <w:lang w:eastAsia="zh-CN"/>
                    </w:rPr>
                    <w:t>颗粒物</w:t>
                  </w:r>
                </w:p>
              </w:tc>
            </w:tr>
            <w:tr w14:paraId="5EAAE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731" w:type="dxa"/>
                  <w:vMerge w:val="restart"/>
                  <w:vAlign w:val="center"/>
                </w:tcPr>
                <w:p w14:paraId="0CB493E3">
                  <w:pPr>
                    <w:autoSpaceDE w:val="0"/>
                    <w:autoSpaceDN w:val="0"/>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废水</w:t>
                  </w:r>
                </w:p>
              </w:tc>
              <w:tc>
                <w:tcPr>
                  <w:tcW w:w="1230" w:type="dxa"/>
                  <w:vAlign w:val="center"/>
                </w:tcPr>
                <w:p w14:paraId="5B05919F">
                  <w:pPr>
                    <w:autoSpaceDE w:val="0"/>
                    <w:autoSpaceDN w:val="0"/>
                    <w:jc w:val="center"/>
                    <w:rPr>
                      <w:rFonts w:hint="eastAsia" w:ascii="Times New Roman" w:hAnsi="Times New Roman" w:cs="Times New Roman"/>
                      <w:color w:val="auto"/>
                      <w:szCs w:val="21"/>
                      <w:highlight w:val="none"/>
                    </w:rPr>
                  </w:pPr>
                  <w:r>
                    <w:rPr>
                      <w:rFonts w:hint="eastAsia" w:ascii="Times New Roman" w:hAnsi="Times New Roman" w:cs="Times New Roman"/>
                      <w:color w:val="auto"/>
                      <w:szCs w:val="21"/>
                      <w:highlight w:val="none"/>
                    </w:rPr>
                    <w:t>W</w:t>
                  </w:r>
                  <w:r>
                    <w:rPr>
                      <w:rFonts w:hint="eastAsia" w:cs="Times New Roman"/>
                      <w:color w:val="auto"/>
                      <w:szCs w:val="21"/>
                      <w:highlight w:val="none"/>
                      <w:lang w:val="en-US" w:eastAsia="zh-CN"/>
                    </w:rPr>
                    <w:t>1</w:t>
                  </w:r>
                </w:p>
              </w:tc>
              <w:tc>
                <w:tcPr>
                  <w:tcW w:w="2247" w:type="dxa"/>
                  <w:vAlign w:val="center"/>
                </w:tcPr>
                <w:p w14:paraId="6B15D91A">
                  <w:pPr>
                    <w:autoSpaceDE w:val="0"/>
                    <w:autoSpaceDN w:val="0"/>
                    <w:jc w:val="center"/>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eastAsia="zh-CN"/>
                    </w:rPr>
                    <w:t>车辆冲洗废水</w:t>
                  </w:r>
                </w:p>
              </w:tc>
              <w:tc>
                <w:tcPr>
                  <w:tcW w:w="1785" w:type="dxa"/>
                  <w:vAlign w:val="center"/>
                </w:tcPr>
                <w:p w14:paraId="1BCD0C31">
                  <w:pPr>
                    <w:autoSpaceDE w:val="0"/>
                    <w:autoSpaceDN w:val="0"/>
                    <w:jc w:val="center"/>
                    <w:rPr>
                      <w:rFonts w:hint="eastAsia" w:ascii="Times New Roman" w:hAnsi="Times New Roman" w:cs="Times New Roman"/>
                      <w:color w:val="auto"/>
                      <w:szCs w:val="21"/>
                      <w:highlight w:val="none"/>
                    </w:rPr>
                  </w:pPr>
                  <w:r>
                    <w:rPr>
                      <w:rFonts w:hint="eastAsia" w:cs="Times New Roman"/>
                      <w:color w:val="auto"/>
                      <w:szCs w:val="21"/>
                      <w:highlight w:val="none"/>
                      <w:lang w:eastAsia="zh-CN"/>
                    </w:rPr>
                    <w:t>车辆冲洗</w:t>
                  </w:r>
                </w:p>
              </w:tc>
              <w:tc>
                <w:tcPr>
                  <w:tcW w:w="2224" w:type="dxa"/>
                  <w:vAlign w:val="center"/>
                </w:tcPr>
                <w:p w14:paraId="59F3000A">
                  <w:pPr>
                    <w:autoSpaceDE w:val="0"/>
                    <w:autoSpaceDN w:val="0"/>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rPr>
                    <w:t>SS</w:t>
                  </w:r>
                </w:p>
              </w:tc>
            </w:tr>
            <w:tr w14:paraId="202CC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731" w:type="dxa"/>
                  <w:vMerge w:val="continue"/>
                  <w:vAlign w:val="center"/>
                </w:tcPr>
                <w:p w14:paraId="4502CFB3">
                  <w:pPr>
                    <w:autoSpaceDE w:val="0"/>
                    <w:autoSpaceDN w:val="0"/>
                    <w:jc w:val="center"/>
                    <w:rPr>
                      <w:rFonts w:ascii="Times New Roman" w:hAnsi="Times New Roman" w:cs="Times New Roman"/>
                      <w:color w:val="auto"/>
                      <w:szCs w:val="21"/>
                      <w:highlight w:val="none"/>
                    </w:rPr>
                  </w:pPr>
                </w:p>
              </w:tc>
              <w:tc>
                <w:tcPr>
                  <w:tcW w:w="1230" w:type="dxa"/>
                  <w:vAlign w:val="center"/>
                </w:tcPr>
                <w:p w14:paraId="17E6D275">
                  <w:pPr>
                    <w:autoSpaceDE w:val="0"/>
                    <w:autoSpaceDN w:val="0"/>
                    <w:jc w:val="center"/>
                    <w:rPr>
                      <w:rFonts w:hint="eastAsia" w:ascii="Times New Roman" w:hAnsi="Times New Roman" w:eastAsia="宋体" w:cs="Times New Roman"/>
                      <w:color w:val="auto"/>
                      <w:szCs w:val="21"/>
                      <w:highlight w:val="none"/>
                      <w:lang w:eastAsia="zh-CN"/>
                    </w:rPr>
                  </w:pPr>
                  <w:r>
                    <w:rPr>
                      <w:rFonts w:hint="eastAsia" w:ascii="Times New Roman" w:hAnsi="Times New Roman" w:cs="Times New Roman"/>
                      <w:color w:val="auto"/>
                      <w:szCs w:val="21"/>
                      <w:highlight w:val="none"/>
                    </w:rPr>
                    <w:t>W</w:t>
                  </w:r>
                  <w:r>
                    <w:rPr>
                      <w:rFonts w:hint="eastAsia" w:cs="Times New Roman"/>
                      <w:color w:val="auto"/>
                      <w:szCs w:val="21"/>
                      <w:highlight w:val="none"/>
                      <w:lang w:val="en-US" w:eastAsia="zh-CN"/>
                    </w:rPr>
                    <w:t>2</w:t>
                  </w:r>
                </w:p>
              </w:tc>
              <w:tc>
                <w:tcPr>
                  <w:tcW w:w="2247" w:type="dxa"/>
                  <w:vAlign w:val="center"/>
                </w:tcPr>
                <w:p w14:paraId="0D249079">
                  <w:pPr>
                    <w:autoSpaceDE w:val="0"/>
                    <w:autoSpaceDN w:val="0"/>
                    <w:jc w:val="center"/>
                    <w:rPr>
                      <w:rFonts w:hint="eastAsia" w:ascii="Times New Roman" w:hAnsi="Times New Roman" w:cs="Times New Roman"/>
                      <w:color w:val="auto"/>
                      <w:szCs w:val="21"/>
                      <w:highlight w:val="none"/>
                      <w:lang w:eastAsia="zh-CN"/>
                    </w:rPr>
                  </w:pPr>
                  <w:r>
                    <w:rPr>
                      <w:rFonts w:hint="eastAsia" w:ascii="Times New Roman" w:hAnsi="Times New Roman" w:cs="Times New Roman"/>
                      <w:color w:val="auto"/>
                      <w:szCs w:val="21"/>
                      <w:highlight w:val="none"/>
                    </w:rPr>
                    <w:t>生活污水</w:t>
                  </w:r>
                </w:p>
              </w:tc>
              <w:tc>
                <w:tcPr>
                  <w:tcW w:w="1785" w:type="dxa"/>
                  <w:vAlign w:val="center"/>
                </w:tcPr>
                <w:p w14:paraId="4EC72DC0">
                  <w:pPr>
                    <w:autoSpaceDE w:val="0"/>
                    <w:autoSpaceDN w:val="0"/>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职工生活</w:t>
                  </w:r>
                </w:p>
              </w:tc>
              <w:tc>
                <w:tcPr>
                  <w:tcW w:w="2224" w:type="dxa"/>
                  <w:vAlign w:val="center"/>
                </w:tcPr>
                <w:p w14:paraId="4A32F6A4">
                  <w:pPr>
                    <w:autoSpaceDE w:val="0"/>
                    <w:autoSpaceDN w:val="0"/>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P</w:t>
                  </w:r>
                  <w:r>
                    <w:rPr>
                      <w:rFonts w:hint="eastAsia" w:ascii="Times New Roman" w:hAnsi="Times New Roman" w:cs="Times New Roman"/>
                      <w:color w:val="auto"/>
                      <w:szCs w:val="21"/>
                      <w:highlight w:val="none"/>
                    </w:rPr>
                    <w:t>H、COD、NH</w:t>
                  </w:r>
                  <w:r>
                    <w:rPr>
                      <w:rFonts w:hint="eastAsia" w:ascii="Times New Roman" w:hAnsi="Times New Roman" w:cs="Times New Roman"/>
                      <w:color w:val="auto"/>
                      <w:szCs w:val="21"/>
                      <w:highlight w:val="none"/>
                      <w:vertAlign w:val="subscript"/>
                    </w:rPr>
                    <w:t>3</w:t>
                  </w:r>
                  <w:r>
                    <w:rPr>
                      <w:rFonts w:hint="eastAsia" w:ascii="Times New Roman" w:hAnsi="Times New Roman" w:cs="Times New Roman"/>
                      <w:color w:val="auto"/>
                      <w:szCs w:val="21"/>
                      <w:highlight w:val="none"/>
                    </w:rPr>
                    <w:t>-N、SS、BOD</w:t>
                  </w:r>
                  <w:r>
                    <w:rPr>
                      <w:rFonts w:hint="eastAsia" w:ascii="Times New Roman" w:hAnsi="Times New Roman" w:cs="Times New Roman"/>
                      <w:color w:val="auto"/>
                      <w:szCs w:val="21"/>
                      <w:highlight w:val="none"/>
                      <w:vertAlign w:val="subscript"/>
                    </w:rPr>
                    <w:t>5</w:t>
                  </w:r>
                </w:p>
              </w:tc>
            </w:tr>
            <w:tr w14:paraId="19378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731" w:type="dxa"/>
                  <w:vAlign w:val="center"/>
                </w:tcPr>
                <w:p w14:paraId="0AB91FD2">
                  <w:pPr>
                    <w:autoSpaceDE w:val="0"/>
                    <w:autoSpaceDN w:val="0"/>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噪声</w:t>
                  </w:r>
                </w:p>
              </w:tc>
              <w:tc>
                <w:tcPr>
                  <w:tcW w:w="5262" w:type="dxa"/>
                  <w:gridSpan w:val="3"/>
                  <w:vAlign w:val="center"/>
                </w:tcPr>
                <w:p w14:paraId="053059FD">
                  <w:pPr>
                    <w:autoSpaceDE w:val="0"/>
                    <w:autoSpaceDN w:val="0"/>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设备运行噪声</w:t>
                  </w:r>
                </w:p>
              </w:tc>
              <w:tc>
                <w:tcPr>
                  <w:tcW w:w="2224" w:type="dxa"/>
                  <w:vAlign w:val="center"/>
                </w:tcPr>
                <w:p w14:paraId="52783A8B">
                  <w:pPr>
                    <w:autoSpaceDE w:val="0"/>
                    <w:autoSpaceDN w:val="0"/>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等效连续A声级</w:t>
                  </w:r>
                </w:p>
              </w:tc>
            </w:tr>
            <w:tr w14:paraId="02FFF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731" w:type="dxa"/>
                  <w:vAlign w:val="center"/>
                </w:tcPr>
                <w:p w14:paraId="2BAC4EC2">
                  <w:pPr>
                    <w:autoSpaceDE w:val="0"/>
                    <w:autoSpaceDN w:val="0"/>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固废</w:t>
                  </w:r>
                </w:p>
              </w:tc>
              <w:tc>
                <w:tcPr>
                  <w:tcW w:w="1230" w:type="dxa"/>
                  <w:vAlign w:val="center"/>
                </w:tcPr>
                <w:p w14:paraId="0C563B47">
                  <w:pPr>
                    <w:autoSpaceDE w:val="0"/>
                    <w:autoSpaceDN w:val="0"/>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S1</w:t>
                  </w:r>
                </w:p>
              </w:tc>
              <w:tc>
                <w:tcPr>
                  <w:tcW w:w="2247" w:type="dxa"/>
                  <w:vAlign w:val="center"/>
                </w:tcPr>
                <w:p w14:paraId="632CBB41">
                  <w:pPr>
                    <w:autoSpaceDE w:val="0"/>
                    <w:autoSpaceDN w:val="0"/>
                    <w:jc w:val="center"/>
                    <w:rPr>
                      <w:rFonts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除尘器收集的粉尘</w:t>
                  </w:r>
                </w:p>
              </w:tc>
              <w:tc>
                <w:tcPr>
                  <w:tcW w:w="1785" w:type="dxa"/>
                  <w:vAlign w:val="center"/>
                </w:tcPr>
                <w:p w14:paraId="461889C0">
                  <w:pPr>
                    <w:autoSpaceDE w:val="0"/>
                    <w:autoSpaceDN w:val="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废气处理</w:t>
                  </w:r>
                </w:p>
              </w:tc>
              <w:tc>
                <w:tcPr>
                  <w:tcW w:w="2224" w:type="dxa"/>
                  <w:vAlign w:val="center"/>
                </w:tcPr>
                <w:p w14:paraId="36695C1F">
                  <w:pPr>
                    <w:autoSpaceDE w:val="0"/>
                    <w:autoSpaceDN w:val="0"/>
                    <w:jc w:val="center"/>
                    <w:rPr>
                      <w:rFonts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除尘器收集的粉尘</w:t>
                  </w:r>
                </w:p>
              </w:tc>
            </w:tr>
          </w:tbl>
          <w:p w14:paraId="272F1D22">
            <w:pPr>
              <w:adjustRightInd w:val="0"/>
              <w:snapToGrid w:val="0"/>
              <w:spacing w:before="120" w:beforeLines="50"/>
              <w:jc w:val="both"/>
              <w:rPr>
                <w:color w:val="auto"/>
                <w:highlight w:val="none"/>
              </w:rPr>
            </w:pPr>
          </w:p>
        </w:tc>
      </w:tr>
      <w:tr w14:paraId="34DF07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30" w:hRule="atLeast"/>
          <w:jc w:val="center"/>
        </w:trPr>
        <w:tc>
          <w:tcPr>
            <w:tcW w:w="600" w:type="dxa"/>
            <w:tcBorders>
              <w:bottom w:val="single" w:color="auto" w:sz="8" w:space="0"/>
            </w:tcBorders>
            <w:vAlign w:val="center"/>
          </w:tcPr>
          <w:p w14:paraId="79FC5600">
            <w:pPr>
              <w:pStyle w:val="34"/>
              <w:adjustRightInd w:val="0"/>
              <w:snapToGrid w:val="0"/>
              <w:spacing w:before="0" w:beforeAutospacing="0" w:after="0" w:afterAutospacing="0"/>
              <w:jc w:val="center"/>
              <w:rPr>
                <w:rFonts w:cs="Times New Roman"/>
                <w:color w:val="auto"/>
                <w:sz w:val="21"/>
                <w:szCs w:val="21"/>
                <w:highlight w:val="none"/>
              </w:rPr>
            </w:pPr>
            <w:r>
              <w:rPr>
                <w:rFonts w:hint="eastAsia"/>
                <w:color w:val="auto"/>
                <w:kern w:val="2"/>
                <w:highlight w:val="none"/>
              </w:rPr>
              <w:t>与项目有关的原有环境污染问题</w:t>
            </w:r>
          </w:p>
        </w:tc>
        <w:tc>
          <w:tcPr>
            <w:tcW w:w="8552" w:type="dxa"/>
            <w:tcBorders>
              <w:bottom w:val="single" w:color="auto" w:sz="8" w:space="0"/>
            </w:tcBorders>
          </w:tcPr>
          <w:p w14:paraId="43274683">
            <w:pPr>
              <w:adjustRightInd w:val="0"/>
              <w:snapToGrid w:val="0"/>
              <w:spacing w:before="240" w:beforeLines="100" w:line="360" w:lineRule="auto"/>
              <w:ind w:firstLine="480" w:firstLineChars="200"/>
              <w:jc w:val="left"/>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rPr>
              <w:t>本项目位于</w:t>
            </w:r>
            <w:r>
              <w:rPr>
                <w:rFonts w:hint="eastAsia" w:ascii="宋体" w:hAnsi="宋体" w:cs="宋体"/>
                <w:color w:val="auto"/>
                <w:sz w:val="24"/>
                <w:szCs w:val="24"/>
                <w:highlight w:val="none"/>
                <w:lang w:eastAsia="zh-CN"/>
              </w:rPr>
              <w:t>淮北市烈山区古饶镇烈山经济开发区南塘路与邱家沟交叉口东北角1号</w:t>
            </w:r>
            <w:r>
              <w:rPr>
                <w:rFonts w:hint="eastAsia" w:ascii="宋体" w:hAnsi="宋体" w:cs="宋体"/>
                <w:color w:val="auto"/>
                <w:sz w:val="24"/>
                <w:szCs w:val="24"/>
                <w:highlight w:val="none"/>
              </w:rPr>
              <w:t>，租赁安徽麦丞新型材料科技有限公司建成厂房作为生产经营场所</w:t>
            </w:r>
            <w:r>
              <w:rPr>
                <w:rFonts w:hint="eastAsia" w:ascii="宋体" w:hAnsi="宋体" w:cs="宋体"/>
                <w:color w:val="auto"/>
                <w:sz w:val="24"/>
                <w:szCs w:val="24"/>
                <w:highlight w:val="none"/>
                <w:lang w:eastAsia="zh-CN"/>
              </w:rPr>
              <w:t>厂房为空厂房，</w:t>
            </w:r>
            <w:r>
              <w:rPr>
                <w:rFonts w:hint="eastAsia" w:ascii="宋体" w:hAnsi="宋体" w:cs="宋体"/>
                <w:color w:val="auto"/>
                <w:sz w:val="24"/>
                <w:szCs w:val="24"/>
                <w:highlight w:val="none"/>
              </w:rPr>
              <w:t>无环境污染问题。安徽麦丞新型材料科技有限公司年产10万立方建筑装配式板材建设项目</w:t>
            </w:r>
            <w:r>
              <w:rPr>
                <w:rFonts w:hint="eastAsia" w:ascii="宋体" w:hAnsi="宋体" w:cs="宋体"/>
                <w:color w:val="auto"/>
                <w:sz w:val="24"/>
                <w:szCs w:val="24"/>
                <w:highlight w:val="none"/>
                <w:lang w:eastAsia="zh-CN"/>
              </w:rPr>
              <w:t>于</w:t>
            </w:r>
            <w:r>
              <w:rPr>
                <w:rFonts w:hint="eastAsia" w:ascii="宋体" w:hAnsi="宋体" w:cs="宋体"/>
                <w:color w:val="auto"/>
                <w:sz w:val="24"/>
                <w:szCs w:val="24"/>
                <w:highlight w:val="none"/>
                <w:lang w:val="en-US" w:eastAsia="zh-CN"/>
              </w:rPr>
              <w:t>2021年1月28日获得淮北市烈山区生态环境局关于该项目的审批意见，文号：淮烈环行【2021】4号。该项目暂未建设完成。</w:t>
            </w:r>
          </w:p>
          <w:p w14:paraId="6FFD9ED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原有污染问题：2024年4月</w:t>
            </w:r>
            <w:r>
              <w:rPr>
                <w:rFonts w:hint="eastAsia" w:ascii="宋体" w:hAnsi="宋体" w:eastAsia="宋体" w:cs="宋体"/>
                <w:color w:val="auto"/>
                <w:sz w:val="24"/>
                <w:szCs w:val="24"/>
                <w:highlight w:val="none"/>
              </w:rPr>
              <w:t>安徽麦丞新型材料科技有限公司</w:t>
            </w:r>
            <w:r>
              <w:rPr>
                <w:rFonts w:hint="eastAsia" w:ascii="宋体" w:hAnsi="宋体" w:eastAsia="宋体" w:cs="宋体"/>
                <w:color w:val="auto"/>
                <w:sz w:val="24"/>
                <w:szCs w:val="24"/>
                <w:highlight w:val="none"/>
                <w:lang w:val="en-US" w:eastAsia="zh-CN"/>
              </w:rPr>
              <w:t>将粉煤灰露天堆放且未进行覆盖，运输车辆上路积尘拖带现象发生，造成大气环境污染。</w:t>
            </w:r>
          </w:p>
          <w:p w14:paraId="0C50422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eastAsia="宋体"/>
                <w:color w:val="auto"/>
                <w:highlight w:val="none"/>
                <w:lang w:val="en-US" w:eastAsia="zh-CN"/>
              </w:rPr>
            </w:pPr>
            <w:r>
              <w:rPr>
                <w:rFonts w:hint="eastAsia" w:ascii="宋体" w:hAnsi="宋体" w:eastAsia="宋体" w:cs="宋体"/>
                <w:color w:val="auto"/>
                <w:sz w:val="24"/>
                <w:szCs w:val="24"/>
                <w:highlight w:val="none"/>
                <w:lang w:val="en-US" w:eastAsia="zh-CN"/>
              </w:rPr>
              <w:t>整改方案：将粉煤灰进行移除，现场已无粉煤灰堆放现象；运输车辆已暂停运输。</w:t>
            </w:r>
          </w:p>
        </w:tc>
      </w:tr>
    </w:tbl>
    <w:p w14:paraId="0C61F66D">
      <w:pPr>
        <w:pStyle w:val="34"/>
        <w:jc w:val="center"/>
        <w:rPr>
          <w:rFonts w:ascii="黑体" w:hAnsi="黑体" w:eastAsia="黑体" w:cs="Times New Roman"/>
          <w:snapToGrid w:val="0"/>
          <w:color w:val="auto"/>
          <w:sz w:val="36"/>
          <w:szCs w:val="36"/>
          <w:highlight w:val="none"/>
        </w:rPr>
        <w:sectPr>
          <w:pgSz w:w="11906" w:h="16838"/>
          <w:pgMar w:top="1701" w:right="1474" w:bottom="1134" w:left="1531" w:header="851" w:footer="851" w:gutter="0"/>
          <w:cols w:space="720" w:num="1"/>
          <w:docGrid w:linePitch="312" w:charSpace="0"/>
        </w:sectPr>
      </w:pPr>
    </w:p>
    <w:p w14:paraId="7D0E5798">
      <w:pPr>
        <w:pStyle w:val="34"/>
        <w:jc w:val="center"/>
        <w:outlineLvl w:val="0"/>
        <w:rPr>
          <w:rFonts w:ascii="黑体" w:hAnsi="黑体" w:eastAsia="黑体" w:cs="Times New Roman"/>
          <w:snapToGrid w:val="0"/>
          <w:color w:val="auto"/>
          <w:sz w:val="30"/>
          <w:szCs w:val="30"/>
          <w:highlight w:val="none"/>
        </w:rPr>
      </w:pPr>
      <w:r>
        <w:rPr>
          <w:rFonts w:hint="eastAsia" w:ascii="黑体" w:hAnsi="黑体" w:eastAsia="黑体" w:cs="黑体"/>
          <w:snapToGrid w:val="0"/>
          <w:color w:val="auto"/>
          <w:sz w:val="30"/>
          <w:szCs w:val="30"/>
          <w:highlight w:val="none"/>
        </w:rPr>
        <w:t>三、区域环境质量现状、环境保护目标及评价标准</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14:paraId="41B9A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vAlign w:val="center"/>
          </w:tcPr>
          <w:p w14:paraId="7FBC7C4A">
            <w:pPr>
              <w:adjustRightInd w:val="0"/>
              <w:snapToGrid w:val="0"/>
              <w:jc w:val="center"/>
              <w:rPr>
                <w:rFonts w:ascii="宋体"/>
                <w:color w:val="auto"/>
                <w:sz w:val="24"/>
                <w:szCs w:val="24"/>
                <w:highlight w:val="none"/>
              </w:rPr>
            </w:pPr>
            <w:r>
              <w:rPr>
                <w:rFonts w:hint="eastAsia" w:ascii="宋体" w:hAnsi="宋体" w:cs="宋体"/>
                <w:color w:val="auto"/>
                <w:sz w:val="24"/>
                <w:szCs w:val="24"/>
                <w:highlight w:val="none"/>
              </w:rPr>
              <w:t>区域</w:t>
            </w:r>
          </w:p>
          <w:p w14:paraId="2CCE1902">
            <w:pPr>
              <w:adjustRightInd w:val="0"/>
              <w:snapToGrid w:val="0"/>
              <w:jc w:val="center"/>
              <w:rPr>
                <w:rFonts w:ascii="宋体"/>
                <w:color w:val="auto"/>
                <w:sz w:val="24"/>
                <w:szCs w:val="24"/>
                <w:highlight w:val="none"/>
              </w:rPr>
            </w:pPr>
            <w:r>
              <w:rPr>
                <w:rFonts w:hint="eastAsia" w:ascii="宋体" w:hAnsi="宋体" w:cs="宋体"/>
                <w:color w:val="auto"/>
                <w:sz w:val="24"/>
                <w:szCs w:val="24"/>
                <w:highlight w:val="none"/>
              </w:rPr>
              <w:t>环境</w:t>
            </w:r>
          </w:p>
          <w:p w14:paraId="18DDD34A">
            <w:pPr>
              <w:adjustRightInd w:val="0"/>
              <w:snapToGrid w:val="0"/>
              <w:jc w:val="center"/>
              <w:rPr>
                <w:rFonts w:ascii="宋体"/>
                <w:color w:val="auto"/>
                <w:sz w:val="24"/>
                <w:szCs w:val="24"/>
                <w:highlight w:val="none"/>
              </w:rPr>
            </w:pPr>
            <w:r>
              <w:rPr>
                <w:rFonts w:hint="eastAsia" w:ascii="宋体" w:hAnsi="宋体" w:cs="宋体"/>
                <w:color w:val="auto"/>
                <w:sz w:val="24"/>
                <w:szCs w:val="24"/>
                <w:highlight w:val="none"/>
              </w:rPr>
              <w:t>质量</w:t>
            </w:r>
          </w:p>
          <w:p w14:paraId="41C37B9C">
            <w:pPr>
              <w:adjustRightInd w:val="0"/>
              <w:snapToGrid w:val="0"/>
              <w:jc w:val="center"/>
              <w:rPr>
                <w:rFonts w:ascii="宋体"/>
                <w:color w:val="auto"/>
                <w:kern w:val="0"/>
                <w:highlight w:val="none"/>
              </w:rPr>
            </w:pPr>
            <w:r>
              <w:rPr>
                <w:rFonts w:hint="eastAsia" w:ascii="宋体" w:hAnsi="宋体" w:cs="宋体"/>
                <w:color w:val="auto"/>
                <w:sz w:val="24"/>
                <w:szCs w:val="24"/>
                <w:highlight w:val="none"/>
              </w:rPr>
              <w:t>现状</w:t>
            </w:r>
          </w:p>
        </w:tc>
        <w:tc>
          <w:tcPr>
            <w:tcW w:w="8190" w:type="dxa"/>
            <w:vAlign w:val="center"/>
          </w:tcPr>
          <w:p w14:paraId="68CC4BA4">
            <w:pPr>
              <w:keepNext w:val="0"/>
              <w:keepLines w:val="0"/>
              <w:pageBreakBefore w:val="0"/>
              <w:widowControl w:val="0"/>
              <w:kinsoku/>
              <w:wordWrap/>
              <w:overflowPunct/>
              <w:topLinePunct w:val="0"/>
              <w:autoSpaceDE/>
              <w:autoSpaceDN/>
              <w:bidi w:val="0"/>
              <w:adjustRightInd/>
              <w:snapToGrid/>
              <w:spacing w:before="157" w:beforeLines="50" w:line="360" w:lineRule="auto"/>
              <w:ind w:left="488" w:leftChars="228" w:hanging="9" w:hangingChars="4"/>
              <w:textAlignment w:val="auto"/>
              <w:rPr>
                <w:rFonts w:ascii="Times New Roman" w:hAnsi="Times New Roman" w:eastAsia="宋体" w:cs="Times New Roman"/>
                <w:color w:val="auto"/>
                <w:kern w:val="0"/>
                <w:sz w:val="24"/>
                <w:highlight w:val="none"/>
              </w:rPr>
            </w:pPr>
            <w:r>
              <w:rPr>
                <w:rFonts w:ascii="宋体" w:hAnsi="宋体" w:cs="宋体"/>
                <w:color w:val="auto"/>
                <w:sz w:val="24"/>
                <w:szCs w:val="24"/>
                <w:highlight w:val="none"/>
              </w:rPr>
              <w:t>1</w:t>
            </w:r>
            <w:r>
              <w:rPr>
                <w:rFonts w:hint="eastAsia" w:ascii="宋体" w:hAnsi="宋体" w:cs="宋体"/>
                <w:color w:val="auto"/>
                <w:sz w:val="24"/>
                <w:szCs w:val="24"/>
                <w:highlight w:val="none"/>
              </w:rPr>
              <w:t>、大气环境</w:t>
            </w:r>
            <w:r>
              <w:rPr>
                <w:rFonts w:hint="eastAsia" w:ascii="宋体" w:hAnsi="宋体" w:cs="宋体"/>
                <w:color w:val="auto"/>
                <w:sz w:val="24"/>
                <w:szCs w:val="24"/>
                <w:highlight w:val="none"/>
              </w:rPr>
              <w:br w:type="textWrapping"/>
            </w:r>
            <w:r>
              <w:rPr>
                <w:rFonts w:hint="eastAsia" w:ascii="Times New Roman" w:hAnsi="Times New Roman" w:eastAsia="宋体" w:cs="Times New Roman"/>
                <w:color w:val="auto"/>
                <w:kern w:val="0"/>
                <w:sz w:val="24"/>
                <w:highlight w:val="none"/>
              </w:rPr>
              <w:t>（1）基本污染物环境质量现状</w:t>
            </w:r>
          </w:p>
          <w:p w14:paraId="007EC97E">
            <w:pPr>
              <w:spacing w:line="360" w:lineRule="auto"/>
              <w:ind w:firstLine="470" w:firstLineChars="196"/>
              <w:rPr>
                <w:rFonts w:ascii="Times New Roman" w:hAnsi="Times New Roman" w:eastAsia="宋体" w:cs="Times New Roman"/>
                <w:color w:val="auto"/>
                <w:kern w:val="0"/>
                <w:sz w:val="24"/>
                <w:highlight w:val="none"/>
              </w:rPr>
            </w:pPr>
            <w:r>
              <w:rPr>
                <w:rFonts w:ascii="Times New Roman" w:hAnsi="Times New Roman" w:eastAsia="宋体" w:cs="Times New Roman"/>
                <w:color w:val="auto"/>
                <w:kern w:val="0"/>
                <w:sz w:val="24"/>
                <w:highlight w:val="none"/>
              </w:rPr>
              <w:t>根据《建设项目环境影响报告表编制技术指南（污染影响类）（试行）》要求</w:t>
            </w:r>
            <w:r>
              <w:rPr>
                <w:rFonts w:hint="eastAsia" w:cs="Times New Roman"/>
                <w:color w:val="auto"/>
                <w:kern w:val="0"/>
                <w:sz w:val="24"/>
                <w:highlight w:val="none"/>
                <w:lang w:eastAsia="zh-CN"/>
              </w:rPr>
              <w:t>，</w:t>
            </w:r>
            <w:r>
              <w:rPr>
                <w:rFonts w:hint="eastAsia" w:ascii="Times New Roman" w:hAnsi="Times New Roman" w:eastAsia="宋体" w:cs="Times New Roman"/>
                <w:color w:val="auto"/>
                <w:kern w:val="0"/>
                <w:sz w:val="24"/>
                <w:highlight w:val="none"/>
              </w:rPr>
              <w:t>常规污染物引用与建设项目距离近的有效数据</w:t>
            </w:r>
            <w:r>
              <w:rPr>
                <w:rFonts w:hint="eastAsia" w:cs="Times New Roman"/>
                <w:color w:val="auto"/>
                <w:kern w:val="0"/>
                <w:sz w:val="24"/>
                <w:highlight w:val="none"/>
                <w:lang w:eastAsia="zh-CN"/>
              </w:rPr>
              <w:t>，</w:t>
            </w:r>
            <w:r>
              <w:rPr>
                <w:rFonts w:hint="eastAsia" w:ascii="Times New Roman" w:hAnsi="Times New Roman" w:eastAsia="宋体" w:cs="Times New Roman"/>
                <w:color w:val="auto"/>
                <w:kern w:val="0"/>
                <w:sz w:val="24"/>
                <w:highlight w:val="none"/>
              </w:rPr>
              <w:t>包括近 3 年的规划环境影响评价的监测数据</w:t>
            </w:r>
            <w:r>
              <w:rPr>
                <w:rFonts w:hint="eastAsia" w:cs="Times New Roman"/>
                <w:color w:val="auto"/>
                <w:kern w:val="0"/>
                <w:sz w:val="24"/>
                <w:highlight w:val="none"/>
                <w:lang w:eastAsia="zh-CN"/>
              </w:rPr>
              <w:t>，</w:t>
            </w:r>
            <w:r>
              <w:rPr>
                <w:rFonts w:hint="eastAsia" w:ascii="Times New Roman" w:hAnsi="Times New Roman" w:eastAsia="宋体" w:cs="Times New Roman"/>
                <w:color w:val="auto"/>
                <w:kern w:val="0"/>
                <w:sz w:val="24"/>
                <w:highlight w:val="none"/>
              </w:rPr>
              <w:t>国家、地方环境空气质量监测网数据或生态环境主管部门公开发布的质量数据等。</w:t>
            </w:r>
          </w:p>
          <w:p w14:paraId="1B04A45E">
            <w:pPr>
              <w:spacing w:line="360" w:lineRule="auto"/>
              <w:ind w:firstLine="470" w:firstLineChars="196"/>
              <w:rPr>
                <w:rFonts w:ascii="Times New Roman" w:hAnsi="Times New Roman" w:eastAsia="宋体" w:cs="Times New Roman"/>
                <w:color w:val="auto"/>
                <w:kern w:val="0"/>
                <w:sz w:val="24"/>
                <w:highlight w:val="none"/>
              </w:rPr>
            </w:pPr>
            <w:r>
              <w:rPr>
                <w:rFonts w:ascii="Times New Roman" w:hAnsi="Times New Roman" w:eastAsia="宋体" w:cs="Times New Roman"/>
                <w:color w:val="auto"/>
                <w:kern w:val="0"/>
                <w:sz w:val="24"/>
                <w:highlight w:val="none"/>
              </w:rPr>
              <w:t>本项目根据</w:t>
            </w:r>
            <w:r>
              <w:rPr>
                <w:rFonts w:hint="eastAsia" w:ascii="Times New Roman" w:hAnsi="Times New Roman" w:eastAsia="宋体" w:cs="Times New Roman"/>
                <w:color w:val="auto"/>
                <w:kern w:val="0"/>
                <w:sz w:val="24"/>
                <w:highlight w:val="none"/>
              </w:rPr>
              <w:t>《2023年度淮北市生态环境状况公报》</w:t>
            </w:r>
            <w:r>
              <w:rPr>
                <w:rFonts w:ascii="Times New Roman" w:hAnsi="Times New Roman" w:eastAsia="宋体" w:cs="Times New Roman"/>
                <w:color w:val="auto"/>
                <w:kern w:val="0"/>
                <w:sz w:val="24"/>
                <w:highlight w:val="none"/>
              </w:rPr>
              <w:t>中淮北市环境保护监测站20</w:t>
            </w:r>
            <w:r>
              <w:rPr>
                <w:rFonts w:hint="eastAsia" w:ascii="Times New Roman" w:hAnsi="Times New Roman" w:eastAsia="宋体" w:cs="Times New Roman"/>
                <w:color w:val="auto"/>
                <w:kern w:val="0"/>
                <w:sz w:val="24"/>
                <w:highlight w:val="none"/>
              </w:rPr>
              <w:t>23</w:t>
            </w:r>
            <w:r>
              <w:rPr>
                <w:rFonts w:ascii="Times New Roman" w:hAnsi="Times New Roman" w:eastAsia="宋体" w:cs="Times New Roman"/>
                <w:color w:val="auto"/>
                <w:kern w:val="0"/>
                <w:sz w:val="24"/>
                <w:highlight w:val="none"/>
              </w:rPr>
              <w:t>年1月1日~20</w:t>
            </w:r>
            <w:r>
              <w:rPr>
                <w:rFonts w:hint="eastAsia" w:ascii="Times New Roman" w:hAnsi="Times New Roman" w:eastAsia="宋体" w:cs="Times New Roman"/>
                <w:color w:val="auto"/>
                <w:kern w:val="0"/>
                <w:sz w:val="24"/>
                <w:highlight w:val="none"/>
              </w:rPr>
              <w:t>23</w:t>
            </w:r>
            <w:r>
              <w:rPr>
                <w:rFonts w:ascii="Times New Roman" w:hAnsi="Times New Roman" w:eastAsia="宋体" w:cs="Times New Roman"/>
                <w:color w:val="auto"/>
                <w:kern w:val="0"/>
                <w:sz w:val="24"/>
                <w:highlight w:val="none"/>
              </w:rPr>
              <w:t>年12月31日的监测数据进行评价</w:t>
            </w:r>
            <w:r>
              <w:rPr>
                <w:rFonts w:hint="eastAsia" w:cs="Times New Roman"/>
                <w:color w:val="auto"/>
                <w:kern w:val="0"/>
                <w:sz w:val="24"/>
                <w:highlight w:val="none"/>
                <w:lang w:eastAsia="zh-CN"/>
              </w:rPr>
              <w:t>，</w:t>
            </w:r>
            <w:r>
              <w:rPr>
                <w:rFonts w:ascii="Times New Roman" w:hAnsi="Times New Roman" w:eastAsia="宋体" w:cs="Times New Roman"/>
                <w:color w:val="auto"/>
                <w:kern w:val="0"/>
                <w:sz w:val="24"/>
                <w:highlight w:val="none"/>
              </w:rPr>
              <w:t>基本污染物环境质量现状评价见表3-1。</w:t>
            </w:r>
          </w:p>
          <w:p w14:paraId="1C226977">
            <w:pPr>
              <w:spacing w:line="360" w:lineRule="auto"/>
              <w:jc w:val="center"/>
              <w:rPr>
                <w:rFonts w:ascii="Times New Roman" w:hAnsi="Times New Roman" w:cs="Times New Roman"/>
                <w:b w:val="0"/>
                <w:bCs w:val="0"/>
                <w:color w:val="auto"/>
                <w:sz w:val="21"/>
                <w:szCs w:val="18"/>
                <w:highlight w:val="none"/>
              </w:rPr>
            </w:pPr>
            <w:r>
              <w:rPr>
                <w:rFonts w:ascii="Times New Roman" w:hAnsi="Times New Roman" w:cs="Times New Roman"/>
                <w:b w:val="0"/>
                <w:bCs w:val="0"/>
                <w:color w:val="auto"/>
                <w:sz w:val="21"/>
                <w:szCs w:val="18"/>
                <w:highlight w:val="none"/>
              </w:rPr>
              <w:t xml:space="preserve">表3-1  </w:t>
            </w:r>
            <w:r>
              <w:rPr>
                <w:rFonts w:ascii="Times New Roman" w:hAnsi="Times New Roman" w:eastAsia="宋体" w:cs="Times New Roman"/>
                <w:b w:val="0"/>
                <w:bCs w:val="0"/>
                <w:color w:val="auto"/>
                <w:sz w:val="21"/>
                <w:szCs w:val="18"/>
                <w:highlight w:val="none"/>
                <w:shd w:val="clear" w:color="auto" w:fill="FFFFFF"/>
              </w:rPr>
              <w:t>基本污染物环境质量现状</w:t>
            </w:r>
          </w:p>
          <w:tbl>
            <w:tblPr>
              <w:tblStyle w:val="38"/>
              <w:tblW w:w="80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4"/>
              <w:gridCol w:w="2741"/>
              <w:gridCol w:w="1151"/>
              <w:gridCol w:w="1188"/>
              <w:gridCol w:w="886"/>
              <w:gridCol w:w="692"/>
              <w:gridCol w:w="645"/>
            </w:tblGrid>
            <w:tr w14:paraId="5E357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734" w:type="dxa"/>
                  <w:vMerge w:val="restart"/>
                  <w:tcBorders>
                    <w:tl2br w:val="nil"/>
                    <w:tr2bl w:val="nil"/>
                  </w:tcBorders>
                  <w:vAlign w:val="center"/>
                </w:tcPr>
                <w:p w14:paraId="6F34CBDD">
                  <w:pPr>
                    <w:widowControl/>
                    <w:jc w:val="center"/>
                    <w:rPr>
                      <w:rFonts w:ascii="Times New Roman" w:hAnsi="Times New Roman" w:eastAsia="宋体" w:cs="Times New Roman"/>
                      <w:b w:val="0"/>
                      <w:bCs w:val="0"/>
                      <w:color w:val="auto"/>
                      <w:kern w:val="0"/>
                      <w:szCs w:val="21"/>
                      <w:highlight w:val="none"/>
                    </w:rPr>
                  </w:pPr>
                  <w:r>
                    <w:rPr>
                      <w:rFonts w:ascii="Times New Roman" w:hAnsi="Times New Roman" w:eastAsia="宋体" w:cs="Times New Roman"/>
                      <w:b w:val="0"/>
                      <w:bCs w:val="0"/>
                      <w:color w:val="auto"/>
                      <w:kern w:val="0"/>
                      <w:szCs w:val="21"/>
                      <w:highlight w:val="none"/>
                    </w:rPr>
                    <w:t>污染物</w:t>
                  </w:r>
                </w:p>
              </w:tc>
              <w:tc>
                <w:tcPr>
                  <w:tcW w:w="2741" w:type="dxa"/>
                  <w:vMerge w:val="restart"/>
                  <w:tcBorders>
                    <w:tl2br w:val="nil"/>
                    <w:tr2bl w:val="nil"/>
                  </w:tcBorders>
                  <w:vAlign w:val="center"/>
                </w:tcPr>
                <w:p w14:paraId="577DC65F">
                  <w:pPr>
                    <w:widowControl/>
                    <w:jc w:val="center"/>
                    <w:rPr>
                      <w:rFonts w:ascii="Times New Roman" w:hAnsi="Times New Roman" w:eastAsia="宋体" w:cs="Times New Roman"/>
                      <w:b w:val="0"/>
                      <w:bCs w:val="0"/>
                      <w:color w:val="auto"/>
                      <w:kern w:val="0"/>
                      <w:szCs w:val="21"/>
                      <w:highlight w:val="none"/>
                    </w:rPr>
                  </w:pPr>
                  <w:r>
                    <w:rPr>
                      <w:rFonts w:ascii="Times New Roman" w:hAnsi="Times New Roman" w:eastAsia="宋体" w:cs="Times New Roman"/>
                      <w:b w:val="0"/>
                      <w:bCs w:val="0"/>
                      <w:color w:val="auto"/>
                      <w:kern w:val="0"/>
                      <w:szCs w:val="21"/>
                      <w:highlight w:val="none"/>
                    </w:rPr>
                    <w:t>年评价指标</w:t>
                  </w:r>
                </w:p>
              </w:tc>
              <w:tc>
                <w:tcPr>
                  <w:tcW w:w="1151" w:type="dxa"/>
                  <w:vMerge w:val="restart"/>
                  <w:tcBorders>
                    <w:tl2br w:val="nil"/>
                    <w:tr2bl w:val="nil"/>
                  </w:tcBorders>
                  <w:vAlign w:val="center"/>
                </w:tcPr>
                <w:p w14:paraId="0F300E18">
                  <w:pPr>
                    <w:widowControl/>
                    <w:jc w:val="center"/>
                    <w:rPr>
                      <w:rFonts w:ascii="Times New Roman" w:hAnsi="Times New Roman" w:eastAsia="宋体" w:cs="Times New Roman"/>
                      <w:b w:val="0"/>
                      <w:bCs w:val="0"/>
                      <w:color w:val="auto"/>
                      <w:kern w:val="0"/>
                      <w:szCs w:val="21"/>
                      <w:highlight w:val="none"/>
                    </w:rPr>
                  </w:pPr>
                  <w:r>
                    <w:rPr>
                      <w:rFonts w:ascii="Times New Roman" w:hAnsi="Times New Roman" w:eastAsia="宋体" w:cs="Times New Roman"/>
                      <w:b w:val="0"/>
                      <w:bCs w:val="0"/>
                      <w:color w:val="auto"/>
                      <w:kern w:val="0"/>
                      <w:szCs w:val="21"/>
                      <w:highlight w:val="none"/>
                    </w:rPr>
                    <w:t>现状浓度</w:t>
                  </w:r>
                </w:p>
              </w:tc>
              <w:tc>
                <w:tcPr>
                  <w:tcW w:w="1188" w:type="dxa"/>
                  <w:vMerge w:val="restart"/>
                  <w:tcBorders>
                    <w:tl2br w:val="nil"/>
                    <w:tr2bl w:val="nil"/>
                  </w:tcBorders>
                  <w:vAlign w:val="center"/>
                </w:tcPr>
                <w:p w14:paraId="4199718E">
                  <w:pPr>
                    <w:widowControl/>
                    <w:jc w:val="center"/>
                    <w:rPr>
                      <w:rFonts w:ascii="Times New Roman" w:hAnsi="Times New Roman" w:eastAsia="宋体" w:cs="Times New Roman"/>
                      <w:b w:val="0"/>
                      <w:bCs w:val="0"/>
                      <w:color w:val="auto"/>
                      <w:kern w:val="0"/>
                      <w:szCs w:val="21"/>
                      <w:highlight w:val="none"/>
                    </w:rPr>
                  </w:pPr>
                  <w:r>
                    <w:rPr>
                      <w:rFonts w:ascii="Times New Roman" w:hAnsi="Times New Roman" w:eastAsia="宋体" w:cs="Times New Roman"/>
                      <w:b w:val="0"/>
                      <w:bCs w:val="0"/>
                      <w:color w:val="auto"/>
                      <w:kern w:val="0"/>
                      <w:szCs w:val="21"/>
                      <w:highlight w:val="none"/>
                    </w:rPr>
                    <w:t>标准值</w:t>
                  </w:r>
                </w:p>
              </w:tc>
              <w:tc>
                <w:tcPr>
                  <w:tcW w:w="886" w:type="dxa"/>
                  <w:vMerge w:val="restart"/>
                  <w:tcBorders>
                    <w:tl2br w:val="nil"/>
                    <w:tr2bl w:val="nil"/>
                  </w:tcBorders>
                  <w:vAlign w:val="center"/>
                </w:tcPr>
                <w:p w14:paraId="36A62F53">
                  <w:pPr>
                    <w:widowControl/>
                    <w:jc w:val="center"/>
                    <w:rPr>
                      <w:rFonts w:ascii="Times New Roman" w:hAnsi="Times New Roman" w:eastAsia="宋体" w:cs="Times New Roman"/>
                      <w:b w:val="0"/>
                      <w:bCs w:val="0"/>
                      <w:color w:val="auto"/>
                      <w:kern w:val="0"/>
                      <w:szCs w:val="21"/>
                      <w:highlight w:val="none"/>
                    </w:rPr>
                  </w:pPr>
                  <w:r>
                    <w:rPr>
                      <w:rFonts w:ascii="Times New Roman" w:hAnsi="Times New Roman" w:eastAsia="宋体" w:cs="Times New Roman"/>
                      <w:b w:val="0"/>
                      <w:bCs w:val="0"/>
                      <w:color w:val="auto"/>
                      <w:kern w:val="0"/>
                      <w:szCs w:val="21"/>
                      <w:highlight w:val="none"/>
                    </w:rPr>
                    <w:t>占标率（%）</w:t>
                  </w:r>
                </w:p>
              </w:tc>
              <w:tc>
                <w:tcPr>
                  <w:tcW w:w="1337" w:type="dxa"/>
                  <w:gridSpan w:val="2"/>
                  <w:tcBorders>
                    <w:tl2br w:val="nil"/>
                    <w:tr2bl w:val="nil"/>
                  </w:tcBorders>
                  <w:vAlign w:val="center"/>
                </w:tcPr>
                <w:p w14:paraId="20725BB8">
                  <w:pPr>
                    <w:widowControl/>
                    <w:jc w:val="center"/>
                    <w:rPr>
                      <w:rFonts w:ascii="Times New Roman" w:hAnsi="Times New Roman" w:eastAsia="宋体" w:cs="Times New Roman"/>
                      <w:b w:val="0"/>
                      <w:bCs w:val="0"/>
                      <w:color w:val="auto"/>
                      <w:kern w:val="0"/>
                      <w:szCs w:val="21"/>
                      <w:highlight w:val="none"/>
                    </w:rPr>
                  </w:pPr>
                  <w:r>
                    <w:rPr>
                      <w:rFonts w:ascii="Times New Roman" w:hAnsi="Times New Roman" w:eastAsia="宋体" w:cs="Times New Roman"/>
                      <w:b w:val="0"/>
                      <w:bCs w:val="0"/>
                      <w:color w:val="auto"/>
                      <w:kern w:val="0"/>
                      <w:szCs w:val="21"/>
                      <w:highlight w:val="none"/>
                    </w:rPr>
                    <w:t>达标情况</w:t>
                  </w:r>
                </w:p>
              </w:tc>
            </w:tr>
            <w:tr w14:paraId="56FDF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734" w:type="dxa"/>
                  <w:vMerge w:val="continue"/>
                  <w:tcBorders>
                    <w:tl2br w:val="nil"/>
                    <w:tr2bl w:val="nil"/>
                  </w:tcBorders>
                  <w:vAlign w:val="center"/>
                </w:tcPr>
                <w:p w14:paraId="431C0E2A">
                  <w:pPr>
                    <w:widowControl/>
                    <w:jc w:val="center"/>
                    <w:rPr>
                      <w:rFonts w:ascii="Times New Roman" w:hAnsi="Times New Roman" w:eastAsia="宋体" w:cs="Times New Roman"/>
                      <w:b w:val="0"/>
                      <w:bCs w:val="0"/>
                      <w:color w:val="auto"/>
                      <w:szCs w:val="21"/>
                      <w:highlight w:val="none"/>
                    </w:rPr>
                  </w:pPr>
                </w:p>
              </w:tc>
              <w:tc>
                <w:tcPr>
                  <w:tcW w:w="2741" w:type="dxa"/>
                  <w:vMerge w:val="continue"/>
                  <w:tcBorders>
                    <w:tl2br w:val="nil"/>
                    <w:tr2bl w:val="nil"/>
                  </w:tcBorders>
                  <w:vAlign w:val="center"/>
                </w:tcPr>
                <w:p w14:paraId="2658291E">
                  <w:pPr>
                    <w:widowControl/>
                    <w:jc w:val="center"/>
                    <w:rPr>
                      <w:rFonts w:ascii="Times New Roman" w:hAnsi="Times New Roman" w:eastAsia="宋体" w:cs="Times New Roman"/>
                      <w:b w:val="0"/>
                      <w:bCs w:val="0"/>
                      <w:color w:val="auto"/>
                      <w:szCs w:val="21"/>
                      <w:highlight w:val="none"/>
                    </w:rPr>
                  </w:pPr>
                </w:p>
              </w:tc>
              <w:tc>
                <w:tcPr>
                  <w:tcW w:w="1151" w:type="dxa"/>
                  <w:vMerge w:val="continue"/>
                  <w:tcBorders>
                    <w:tl2br w:val="nil"/>
                    <w:tr2bl w:val="nil"/>
                  </w:tcBorders>
                  <w:vAlign w:val="center"/>
                </w:tcPr>
                <w:p w14:paraId="1F2E1ECB">
                  <w:pPr>
                    <w:widowControl/>
                    <w:jc w:val="center"/>
                    <w:rPr>
                      <w:rFonts w:ascii="Times New Roman" w:hAnsi="Times New Roman" w:eastAsia="宋体" w:cs="Times New Roman"/>
                      <w:b w:val="0"/>
                      <w:bCs w:val="0"/>
                      <w:color w:val="auto"/>
                      <w:szCs w:val="21"/>
                      <w:highlight w:val="none"/>
                    </w:rPr>
                  </w:pPr>
                </w:p>
              </w:tc>
              <w:tc>
                <w:tcPr>
                  <w:tcW w:w="1188" w:type="dxa"/>
                  <w:vMerge w:val="continue"/>
                  <w:tcBorders>
                    <w:tl2br w:val="nil"/>
                    <w:tr2bl w:val="nil"/>
                  </w:tcBorders>
                  <w:vAlign w:val="center"/>
                </w:tcPr>
                <w:p w14:paraId="476022BE">
                  <w:pPr>
                    <w:widowControl/>
                    <w:jc w:val="center"/>
                    <w:rPr>
                      <w:rFonts w:ascii="Times New Roman" w:hAnsi="Times New Roman" w:eastAsia="宋体" w:cs="Times New Roman"/>
                      <w:b w:val="0"/>
                      <w:bCs w:val="0"/>
                      <w:color w:val="auto"/>
                      <w:szCs w:val="21"/>
                      <w:highlight w:val="none"/>
                    </w:rPr>
                  </w:pPr>
                </w:p>
              </w:tc>
              <w:tc>
                <w:tcPr>
                  <w:tcW w:w="886" w:type="dxa"/>
                  <w:vMerge w:val="continue"/>
                  <w:tcBorders>
                    <w:tl2br w:val="nil"/>
                    <w:tr2bl w:val="nil"/>
                  </w:tcBorders>
                  <w:vAlign w:val="center"/>
                </w:tcPr>
                <w:p w14:paraId="4E21BA6D">
                  <w:pPr>
                    <w:widowControl/>
                    <w:jc w:val="center"/>
                    <w:rPr>
                      <w:rFonts w:ascii="Times New Roman" w:hAnsi="Times New Roman" w:eastAsia="宋体" w:cs="Times New Roman"/>
                      <w:b w:val="0"/>
                      <w:bCs w:val="0"/>
                      <w:color w:val="auto"/>
                      <w:szCs w:val="21"/>
                      <w:highlight w:val="none"/>
                    </w:rPr>
                  </w:pPr>
                </w:p>
              </w:tc>
              <w:tc>
                <w:tcPr>
                  <w:tcW w:w="692" w:type="dxa"/>
                  <w:tcBorders>
                    <w:tl2br w:val="nil"/>
                    <w:tr2bl w:val="nil"/>
                  </w:tcBorders>
                  <w:vAlign w:val="center"/>
                </w:tcPr>
                <w:p w14:paraId="7EF9B48C">
                  <w:pPr>
                    <w:widowControl/>
                    <w:jc w:val="center"/>
                    <w:rPr>
                      <w:rFonts w:ascii="Times New Roman" w:hAnsi="Times New Roman" w:eastAsia="宋体" w:cs="Times New Roman"/>
                      <w:b w:val="0"/>
                      <w:bCs w:val="0"/>
                      <w:color w:val="auto"/>
                      <w:kern w:val="0"/>
                      <w:szCs w:val="21"/>
                      <w:highlight w:val="none"/>
                    </w:rPr>
                  </w:pPr>
                  <w:r>
                    <w:rPr>
                      <w:rFonts w:ascii="Times New Roman" w:hAnsi="Times New Roman" w:eastAsia="宋体" w:cs="Times New Roman"/>
                      <w:b w:val="0"/>
                      <w:bCs w:val="0"/>
                      <w:color w:val="auto"/>
                      <w:kern w:val="0"/>
                      <w:szCs w:val="21"/>
                      <w:highlight w:val="none"/>
                    </w:rPr>
                    <w:t>分项</w:t>
                  </w:r>
                </w:p>
              </w:tc>
              <w:tc>
                <w:tcPr>
                  <w:tcW w:w="645" w:type="dxa"/>
                  <w:tcBorders>
                    <w:tl2br w:val="nil"/>
                    <w:tr2bl w:val="nil"/>
                  </w:tcBorders>
                  <w:vAlign w:val="center"/>
                </w:tcPr>
                <w:p w14:paraId="4C904D9A">
                  <w:pPr>
                    <w:widowControl/>
                    <w:jc w:val="center"/>
                    <w:rPr>
                      <w:rFonts w:ascii="Times New Roman" w:hAnsi="Times New Roman" w:eastAsia="宋体" w:cs="Times New Roman"/>
                      <w:b w:val="0"/>
                      <w:bCs w:val="0"/>
                      <w:color w:val="auto"/>
                      <w:kern w:val="0"/>
                      <w:szCs w:val="21"/>
                      <w:highlight w:val="none"/>
                    </w:rPr>
                  </w:pPr>
                  <w:r>
                    <w:rPr>
                      <w:rFonts w:ascii="Times New Roman" w:hAnsi="Times New Roman" w:eastAsia="宋体" w:cs="Times New Roman"/>
                      <w:b w:val="0"/>
                      <w:bCs w:val="0"/>
                      <w:color w:val="auto"/>
                      <w:kern w:val="0"/>
                      <w:szCs w:val="21"/>
                      <w:highlight w:val="none"/>
                    </w:rPr>
                    <w:t>总体</w:t>
                  </w:r>
                </w:p>
              </w:tc>
            </w:tr>
            <w:tr w14:paraId="03532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734" w:type="dxa"/>
                  <w:tcBorders>
                    <w:tl2br w:val="nil"/>
                    <w:tr2bl w:val="nil"/>
                  </w:tcBorders>
                  <w:vAlign w:val="center"/>
                </w:tcPr>
                <w:p w14:paraId="683D5FA7">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PM</w:t>
                  </w:r>
                  <w:r>
                    <w:rPr>
                      <w:rFonts w:ascii="Times New Roman" w:hAnsi="Times New Roman" w:eastAsia="宋体" w:cs="Times New Roman"/>
                      <w:color w:val="auto"/>
                      <w:kern w:val="0"/>
                      <w:szCs w:val="21"/>
                      <w:highlight w:val="none"/>
                      <w:vertAlign w:val="subscript"/>
                    </w:rPr>
                    <w:t>2.5</w:t>
                  </w:r>
                </w:p>
              </w:tc>
              <w:tc>
                <w:tcPr>
                  <w:tcW w:w="2741" w:type="dxa"/>
                  <w:vMerge w:val="restart"/>
                  <w:tcBorders>
                    <w:tl2br w:val="nil"/>
                    <w:tr2bl w:val="nil"/>
                  </w:tcBorders>
                  <w:vAlign w:val="center"/>
                </w:tcPr>
                <w:p w14:paraId="158B6B74">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年平均质量浓度</w:t>
                  </w:r>
                </w:p>
              </w:tc>
              <w:tc>
                <w:tcPr>
                  <w:tcW w:w="1151" w:type="dxa"/>
                  <w:tcBorders>
                    <w:tl2br w:val="nil"/>
                    <w:tr2bl w:val="nil"/>
                  </w:tcBorders>
                  <w:vAlign w:val="center"/>
                </w:tcPr>
                <w:p w14:paraId="20A5F631">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42μg/m</w:t>
                  </w:r>
                  <w:r>
                    <w:rPr>
                      <w:rFonts w:ascii="Times New Roman" w:hAnsi="Times New Roman" w:eastAsia="宋体" w:cs="Times New Roman"/>
                      <w:color w:val="auto"/>
                      <w:kern w:val="0"/>
                      <w:szCs w:val="21"/>
                      <w:highlight w:val="none"/>
                      <w:vertAlign w:val="superscript"/>
                    </w:rPr>
                    <w:t>3</w:t>
                  </w:r>
                </w:p>
              </w:tc>
              <w:tc>
                <w:tcPr>
                  <w:tcW w:w="1188" w:type="dxa"/>
                  <w:tcBorders>
                    <w:tl2br w:val="nil"/>
                    <w:tr2bl w:val="nil"/>
                  </w:tcBorders>
                  <w:vAlign w:val="center"/>
                </w:tcPr>
                <w:p w14:paraId="19E2805B">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35 μg/m</w:t>
                  </w:r>
                  <w:r>
                    <w:rPr>
                      <w:rFonts w:ascii="Times New Roman" w:hAnsi="Times New Roman" w:eastAsia="宋体" w:cs="Times New Roman"/>
                      <w:color w:val="auto"/>
                      <w:kern w:val="0"/>
                      <w:szCs w:val="21"/>
                      <w:highlight w:val="none"/>
                      <w:vertAlign w:val="superscript"/>
                    </w:rPr>
                    <w:t>3</w:t>
                  </w:r>
                </w:p>
              </w:tc>
              <w:tc>
                <w:tcPr>
                  <w:tcW w:w="886" w:type="dxa"/>
                  <w:tcBorders>
                    <w:tl2br w:val="nil"/>
                    <w:tr2bl w:val="nil"/>
                  </w:tcBorders>
                  <w:vAlign w:val="center"/>
                </w:tcPr>
                <w:p w14:paraId="2162F2A2">
                  <w:pPr>
                    <w:widowControl/>
                    <w:jc w:val="center"/>
                    <w:rPr>
                      <w:rFonts w:ascii="Times New Roman" w:hAnsi="Times New Roman" w:eastAsia="宋体" w:cs="Times New Roman"/>
                      <w:color w:val="auto"/>
                      <w:kern w:val="0"/>
                      <w:szCs w:val="21"/>
                      <w:highlight w:val="none"/>
                    </w:rPr>
                  </w:pPr>
                  <w:r>
                    <w:rPr>
                      <w:rFonts w:hint="eastAsia" w:cs="Times New Roman"/>
                      <w:color w:val="auto"/>
                      <w:kern w:val="0"/>
                      <w:szCs w:val="21"/>
                      <w:highlight w:val="none"/>
                    </w:rPr>
                    <w:t>120</w:t>
                  </w:r>
                </w:p>
              </w:tc>
              <w:tc>
                <w:tcPr>
                  <w:tcW w:w="692" w:type="dxa"/>
                  <w:tcBorders>
                    <w:tl2br w:val="nil"/>
                    <w:tr2bl w:val="nil"/>
                  </w:tcBorders>
                  <w:vAlign w:val="center"/>
                </w:tcPr>
                <w:p w14:paraId="6C0306F1">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超标</w:t>
                  </w:r>
                </w:p>
              </w:tc>
              <w:tc>
                <w:tcPr>
                  <w:tcW w:w="645" w:type="dxa"/>
                  <w:vMerge w:val="restart"/>
                  <w:tcBorders>
                    <w:tl2br w:val="nil"/>
                    <w:tr2bl w:val="nil"/>
                  </w:tcBorders>
                  <w:vAlign w:val="center"/>
                </w:tcPr>
                <w:p w14:paraId="4B2E4070">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不</w:t>
                  </w:r>
                </w:p>
                <w:p w14:paraId="486AF050">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达</w:t>
                  </w:r>
                </w:p>
                <w:p w14:paraId="49920EEB">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标</w:t>
                  </w:r>
                </w:p>
              </w:tc>
            </w:tr>
            <w:tr w14:paraId="06328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734" w:type="dxa"/>
                  <w:tcBorders>
                    <w:tl2br w:val="nil"/>
                    <w:tr2bl w:val="nil"/>
                  </w:tcBorders>
                  <w:vAlign w:val="center"/>
                </w:tcPr>
                <w:p w14:paraId="295BC58C">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PM</w:t>
                  </w:r>
                  <w:r>
                    <w:rPr>
                      <w:rFonts w:ascii="Times New Roman" w:hAnsi="Times New Roman" w:eastAsia="宋体" w:cs="Times New Roman"/>
                      <w:color w:val="auto"/>
                      <w:kern w:val="0"/>
                      <w:szCs w:val="21"/>
                      <w:highlight w:val="none"/>
                      <w:vertAlign w:val="subscript"/>
                    </w:rPr>
                    <w:t>10</w:t>
                  </w:r>
                </w:p>
              </w:tc>
              <w:tc>
                <w:tcPr>
                  <w:tcW w:w="2741" w:type="dxa"/>
                  <w:vMerge w:val="continue"/>
                  <w:tcBorders>
                    <w:tl2br w:val="nil"/>
                    <w:tr2bl w:val="nil"/>
                  </w:tcBorders>
                  <w:vAlign w:val="center"/>
                </w:tcPr>
                <w:p w14:paraId="40B65BCF">
                  <w:pPr>
                    <w:widowControl/>
                    <w:jc w:val="center"/>
                    <w:rPr>
                      <w:rFonts w:ascii="Times New Roman" w:hAnsi="Times New Roman" w:eastAsia="宋体" w:cs="Times New Roman"/>
                      <w:color w:val="auto"/>
                      <w:kern w:val="0"/>
                      <w:szCs w:val="21"/>
                      <w:highlight w:val="none"/>
                    </w:rPr>
                  </w:pPr>
                </w:p>
              </w:tc>
              <w:tc>
                <w:tcPr>
                  <w:tcW w:w="1151" w:type="dxa"/>
                  <w:tcBorders>
                    <w:tl2br w:val="nil"/>
                    <w:tr2bl w:val="nil"/>
                  </w:tcBorders>
                  <w:vAlign w:val="center"/>
                </w:tcPr>
                <w:p w14:paraId="2EECFDC6">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xml:space="preserve"> 70μg/m</w:t>
                  </w:r>
                  <w:r>
                    <w:rPr>
                      <w:rFonts w:ascii="Times New Roman" w:hAnsi="Times New Roman" w:eastAsia="宋体" w:cs="Times New Roman"/>
                      <w:color w:val="auto"/>
                      <w:kern w:val="0"/>
                      <w:szCs w:val="21"/>
                      <w:highlight w:val="none"/>
                      <w:vertAlign w:val="superscript"/>
                    </w:rPr>
                    <w:t>3</w:t>
                  </w:r>
                </w:p>
              </w:tc>
              <w:tc>
                <w:tcPr>
                  <w:tcW w:w="1188" w:type="dxa"/>
                  <w:tcBorders>
                    <w:tl2br w:val="nil"/>
                    <w:tr2bl w:val="nil"/>
                  </w:tcBorders>
                  <w:vAlign w:val="center"/>
                </w:tcPr>
                <w:p w14:paraId="54D06C25">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70 μg/m</w:t>
                  </w:r>
                  <w:r>
                    <w:rPr>
                      <w:rFonts w:ascii="Times New Roman" w:hAnsi="Times New Roman" w:eastAsia="宋体" w:cs="Times New Roman"/>
                      <w:color w:val="auto"/>
                      <w:kern w:val="0"/>
                      <w:szCs w:val="21"/>
                      <w:highlight w:val="none"/>
                      <w:vertAlign w:val="superscript"/>
                    </w:rPr>
                    <w:t>3</w:t>
                  </w:r>
                </w:p>
              </w:tc>
              <w:tc>
                <w:tcPr>
                  <w:tcW w:w="886" w:type="dxa"/>
                  <w:tcBorders>
                    <w:tl2br w:val="nil"/>
                    <w:tr2bl w:val="nil"/>
                  </w:tcBorders>
                  <w:vAlign w:val="center"/>
                </w:tcPr>
                <w:p w14:paraId="5AD1B1C3">
                  <w:pPr>
                    <w:widowControl/>
                    <w:jc w:val="center"/>
                    <w:rPr>
                      <w:rFonts w:ascii="Times New Roman" w:hAnsi="Times New Roman" w:eastAsia="宋体" w:cs="Times New Roman"/>
                      <w:color w:val="auto"/>
                      <w:kern w:val="0"/>
                      <w:szCs w:val="21"/>
                      <w:highlight w:val="none"/>
                    </w:rPr>
                  </w:pPr>
                  <w:r>
                    <w:rPr>
                      <w:rFonts w:hint="eastAsia" w:cs="Times New Roman"/>
                      <w:color w:val="auto"/>
                      <w:kern w:val="0"/>
                      <w:szCs w:val="21"/>
                      <w:highlight w:val="none"/>
                    </w:rPr>
                    <w:t>100</w:t>
                  </w:r>
                </w:p>
              </w:tc>
              <w:tc>
                <w:tcPr>
                  <w:tcW w:w="692" w:type="dxa"/>
                  <w:tcBorders>
                    <w:tl2br w:val="nil"/>
                    <w:tr2bl w:val="nil"/>
                  </w:tcBorders>
                  <w:vAlign w:val="center"/>
                </w:tcPr>
                <w:p w14:paraId="399D7C61">
                  <w:pPr>
                    <w:widowControl/>
                    <w:jc w:val="center"/>
                    <w:rPr>
                      <w:rFonts w:ascii="Times New Roman" w:hAnsi="Times New Roman" w:eastAsia="宋体" w:cs="Times New Roman"/>
                      <w:color w:val="auto"/>
                      <w:kern w:val="0"/>
                      <w:szCs w:val="21"/>
                      <w:highlight w:val="none"/>
                    </w:rPr>
                  </w:pPr>
                  <w:r>
                    <w:rPr>
                      <w:rFonts w:hint="eastAsia" w:cs="Times New Roman"/>
                      <w:color w:val="auto"/>
                      <w:kern w:val="0"/>
                      <w:szCs w:val="21"/>
                      <w:highlight w:val="none"/>
                    </w:rPr>
                    <w:t>达标</w:t>
                  </w:r>
                </w:p>
              </w:tc>
              <w:tc>
                <w:tcPr>
                  <w:tcW w:w="645" w:type="dxa"/>
                  <w:vMerge w:val="continue"/>
                  <w:tcBorders>
                    <w:tl2br w:val="nil"/>
                    <w:tr2bl w:val="nil"/>
                  </w:tcBorders>
                  <w:vAlign w:val="center"/>
                </w:tcPr>
                <w:p w14:paraId="69B95659">
                  <w:pPr>
                    <w:widowControl/>
                    <w:jc w:val="center"/>
                    <w:rPr>
                      <w:rFonts w:ascii="Times New Roman" w:hAnsi="Times New Roman" w:eastAsia="宋体" w:cs="Times New Roman"/>
                      <w:color w:val="auto"/>
                      <w:kern w:val="0"/>
                      <w:szCs w:val="21"/>
                      <w:highlight w:val="none"/>
                    </w:rPr>
                  </w:pPr>
                </w:p>
              </w:tc>
            </w:tr>
            <w:tr w14:paraId="2BA80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734" w:type="dxa"/>
                  <w:tcBorders>
                    <w:tl2br w:val="nil"/>
                    <w:tr2bl w:val="nil"/>
                  </w:tcBorders>
                  <w:vAlign w:val="center"/>
                </w:tcPr>
                <w:p w14:paraId="5C9607A8">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SO</w:t>
                  </w:r>
                  <w:r>
                    <w:rPr>
                      <w:rFonts w:ascii="Times New Roman" w:hAnsi="Times New Roman" w:eastAsia="宋体" w:cs="Times New Roman"/>
                      <w:color w:val="auto"/>
                      <w:kern w:val="0"/>
                      <w:szCs w:val="21"/>
                      <w:highlight w:val="none"/>
                      <w:vertAlign w:val="subscript"/>
                    </w:rPr>
                    <w:t>2</w:t>
                  </w:r>
                </w:p>
              </w:tc>
              <w:tc>
                <w:tcPr>
                  <w:tcW w:w="2741" w:type="dxa"/>
                  <w:vMerge w:val="continue"/>
                  <w:tcBorders>
                    <w:tl2br w:val="nil"/>
                    <w:tr2bl w:val="nil"/>
                  </w:tcBorders>
                  <w:vAlign w:val="center"/>
                </w:tcPr>
                <w:p w14:paraId="02B0A415">
                  <w:pPr>
                    <w:widowControl/>
                    <w:jc w:val="center"/>
                    <w:rPr>
                      <w:rFonts w:ascii="Times New Roman" w:hAnsi="Times New Roman" w:eastAsia="宋体" w:cs="Times New Roman"/>
                      <w:color w:val="auto"/>
                      <w:kern w:val="0"/>
                      <w:szCs w:val="21"/>
                      <w:highlight w:val="none"/>
                    </w:rPr>
                  </w:pPr>
                </w:p>
              </w:tc>
              <w:tc>
                <w:tcPr>
                  <w:tcW w:w="1151" w:type="dxa"/>
                  <w:tcBorders>
                    <w:tl2br w:val="nil"/>
                    <w:tr2bl w:val="nil"/>
                  </w:tcBorders>
                  <w:vAlign w:val="center"/>
                </w:tcPr>
                <w:p w14:paraId="4D936A42">
                  <w:pPr>
                    <w:widowControl/>
                    <w:jc w:val="center"/>
                    <w:rPr>
                      <w:rFonts w:ascii="Times New Roman" w:hAnsi="Times New Roman" w:eastAsia="宋体" w:cs="Times New Roman"/>
                      <w:color w:val="auto"/>
                      <w:kern w:val="0"/>
                      <w:szCs w:val="21"/>
                      <w:highlight w:val="none"/>
                    </w:rPr>
                  </w:pPr>
                  <w:r>
                    <w:rPr>
                      <w:rFonts w:hint="eastAsia" w:cs="Times New Roman"/>
                      <w:color w:val="auto"/>
                      <w:kern w:val="0"/>
                      <w:szCs w:val="21"/>
                      <w:highlight w:val="none"/>
                    </w:rPr>
                    <w:t>7</w:t>
                  </w:r>
                  <w:r>
                    <w:rPr>
                      <w:rFonts w:ascii="Times New Roman" w:hAnsi="Times New Roman" w:eastAsia="宋体" w:cs="Times New Roman"/>
                      <w:color w:val="auto"/>
                      <w:kern w:val="0"/>
                      <w:szCs w:val="21"/>
                      <w:highlight w:val="none"/>
                    </w:rPr>
                    <w:t>μg/m</w:t>
                  </w:r>
                  <w:r>
                    <w:rPr>
                      <w:rFonts w:ascii="Times New Roman" w:hAnsi="Times New Roman" w:eastAsia="宋体" w:cs="Times New Roman"/>
                      <w:color w:val="auto"/>
                      <w:kern w:val="0"/>
                      <w:szCs w:val="21"/>
                      <w:highlight w:val="none"/>
                      <w:vertAlign w:val="superscript"/>
                    </w:rPr>
                    <w:t>3</w:t>
                  </w:r>
                </w:p>
              </w:tc>
              <w:tc>
                <w:tcPr>
                  <w:tcW w:w="1188" w:type="dxa"/>
                  <w:tcBorders>
                    <w:tl2br w:val="nil"/>
                    <w:tr2bl w:val="nil"/>
                  </w:tcBorders>
                  <w:vAlign w:val="center"/>
                </w:tcPr>
                <w:p w14:paraId="2B603B66">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60 μg/m</w:t>
                  </w:r>
                  <w:r>
                    <w:rPr>
                      <w:rFonts w:ascii="Times New Roman" w:hAnsi="Times New Roman" w:eastAsia="宋体" w:cs="Times New Roman"/>
                      <w:color w:val="auto"/>
                      <w:kern w:val="0"/>
                      <w:szCs w:val="21"/>
                      <w:highlight w:val="none"/>
                      <w:vertAlign w:val="superscript"/>
                    </w:rPr>
                    <w:t>3</w:t>
                  </w:r>
                </w:p>
              </w:tc>
              <w:tc>
                <w:tcPr>
                  <w:tcW w:w="886" w:type="dxa"/>
                  <w:tcBorders>
                    <w:tl2br w:val="nil"/>
                    <w:tr2bl w:val="nil"/>
                  </w:tcBorders>
                  <w:vAlign w:val="center"/>
                </w:tcPr>
                <w:p w14:paraId="25D3853C">
                  <w:pPr>
                    <w:widowControl/>
                    <w:jc w:val="center"/>
                    <w:rPr>
                      <w:rFonts w:ascii="Times New Roman" w:hAnsi="Times New Roman" w:eastAsia="宋体" w:cs="Times New Roman"/>
                      <w:color w:val="auto"/>
                      <w:kern w:val="0"/>
                      <w:szCs w:val="21"/>
                      <w:highlight w:val="none"/>
                    </w:rPr>
                  </w:pPr>
                  <w:r>
                    <w:rPr>
                      <w:rFonts w:hint="eastAsia" w:cs="Times New Roman"/>
                      <w:color w:val="auto"/>
                      <w:kern w:val="0"/>
                      <w:szCs w:val="21"/>
                      <w:highlight w:val="none"/>
                    </w:rPr>
                    <w:t>11.67</w:t>
                  </w:r>
                </w:p>
              </w:tc>
              <w:tc>
                <w:tcPr>
                  <w:tcW w:w="692" w:type="dxa"/>
                  <w:tcBorders>
                    <w:tl2br w:val="nil"/>
                    <w:tr2bl w:val="nil"/>
                  </w:tcBorders>
                  <w:vAlign w:val="center"/>
                </w:tcPr>
                <w:p w14:paraId="3EAB05B8">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达标</w:t>
                  </w:r>
                </w:p>
              </w:tc>
              <w:tc>
                <w:tcPr>
                  <w:tcW w:w="645" w:type="dxa"/>
                  <w:vMerge w:val="continue"/>
                  <w:tcBorders>
                    <w:tl2br w:val="nil"/>
                    <w:tr2bl w:val="nil"/>
                  </w:tcBorders>
                  <w:vAlign w:val="center"/>
                </w:tcPr>
                <w:p w14:paraId="42074327">
                  <w:pPr>
                    <w:widowControl/>
                    <w:jc w:val="center"/>
                    <w:rPr>
                      <w:rFonts w:ascii="Times New Roman" w:hAnsi="Times New Roman" w:eastAsia="宋体" w:cs="Times New Roman"/>
                      <w:color w:val="auto"/>
                      <w:kern w:val="0"/>
                      <w:szCs w:val="21"/>
                      <w:highlight w:val="none"/>
                    </w:rPr>
                  </w:pPr>
                </w:p>
              </w:tc>
            </w:tr>
            <w:tr w14:paraId="52B9A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734" w:type="dxa"/>
                  <w:tcBorders>
                    <w:tl2br w:val="nil"/>
                    <w:tr2bl w:val="nil"/>
                  </w:tcBorders>
                  <w:vAlign w:val="center"/>
                </w:tcPr>
                <w:p w14:paraId="68B3604B">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NO</w:t>
                  </w:r>
                  <w:r>
                    <w:rPr>
                      <w:rFonts w:ascii="Times New Roman" w:hAnsi="Times New Roman" w:eastAsia="宋体" w:cs="Times New Roman"/>
                      <w:color w:val="auto"/>
                      <w:kern w:val="0"/>
                      <w:szCs w:val="21"/>
                      <w:highlight w:val="none"/>
                      <w:vertAlign w:val="subscript"/>
                    </w:rPr>
                    <w:t>2</w:t>
                  </w:r>
                </w:p>
              </w:tc>
              <w:tc>
                <w:tcPr>
                  <w:tcW w:w="2741" w:type="dxa"/>
                  <w:vMerge w:val="continue"/>
                  <w:tcBorders>
                    <w:tl2br w:val="nil"/>
                    <w:tr2bl w:val="nil"/>
                  </w:tcBorders>
                  <w:vAlign w:val="center"/>
                </w:tcPr>
                <w:p w14:paraId="448206D2">
                  <w:pPr>
                    <w:widowControl/>
                    <w:jc w:val="center"/>
                    <w:rPr>
                      <w:rFonts w:ascii="Times New Roman" w:hAnsi="Times New Roman" w:eastAsia="宋体" w:cs="Times New Roman"/>
                      <w:color w:val="auto"/>
                      <w:kern w:val="0"/>
                      <w:szCs w:val="21"/>
                      <w:highlight w:val="none"/>
                    </w:rPr>
                  </w:pPr>
                </w:p>
              </w:tc>
              <w:tc>
                <w:tcPr>
                  <w:tcW w:w="1151" w:type="dxa"/>
                  <w:tcBorders>
                    <w:tl2br w:val="nil"/>
                    <w:tr2bl w:val="nil"/>
                  </w:tcBorders>
                  <w:vAlign w:val="center"/>
                </w:tcPr>
                <w:p w14:paraId="4B4C7D81">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2</w:t>
                  </w:r>
                  <w:r>
                    <w:rPr>
                      <w:rFonts w:hint="eastAsia" w:ascii="Times New Roman" w:hAnsi="Times New Roman" w:eastAsia="宋体" w:cs="Times New Roman"/>
                      <w:color w:val="auto"/>
                      <w:kern w:val="0"/>
                      <w:szCs w:val="21"/>
                      <w:highlight w:val="none"/>
                    </w:rPr>
                    <w:t>3</w:t>
                  </w:r>
                  <w:r>
                    <w:rPr>
                      <w:rFonts w:ascii="Times New Roman" w:hAnsi="Times New Roman" w:eastAsia="宋体" w:cs="Times New Roman"/>
                      <w:color w:val="auto"/>
                      <w:kern w:val="0"/>
                      <w:szCs w:val="21"/>
                      <w:highlight w:val="none"/>
                    </w:rPr>
                    <w:t>μg/m</w:t>
                  </w:r>
                  <w:r>
                    <w:rPr>
                      <w:rFonts w:ascii="Times New Roman" w:hAnsi="Times New Roman" w:eastAsia="宋体" w:cs="Times New Roman"/>
                      <w:color w:val="auto"/>
                      <w:kern w:val="0"/>
                      <w:szCs w:val="21"/>
                      <w:highlight w:val="none"/>
                      <w:vertAlign w:val="superscript"/>
                    </w:rPr>
                    <w:t>3</w:t>
                  </w:r>
                </w:p>
              </w:tc>
              <w:tc>
                <w:tcPr>
                  <w:tcW w:w="1188" w:type="dxa"/>
                  <w:tcBorders>
                    <w:tl2br w:val="nil"/>
                    <w:tr2bl w:val="nil"/>
                  </w:tcBorders>
                  <w:vAlign w:val="center"/>
                </w:tcPr>
                <w:p w14:paraId="5077A830">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40 μg/m</w:t>
                  </w:r>
                  <w:r>
                    <w:rPr>
                      <w:rFonts w:ascii="Times New Roman" w:hAnsi="Times New Roman" w:eastAsia="宋体" w:cs="Times New Roman"/>
                      <w:color w:val="auto"/>
                      <w:kern w:val="0"/>
                      <w:szCs w:val="21"/>
                      <w:highlight w:val="none"/>
                      <w:vertAlign w:val="superscript"/>
                    </w:rPr>
                    <w:t>3</w:t>
                  </w:r>
                </w:p>
              </w:tc>
              <w:tc>
                <w:tcPr>
                  <w:tcW w:w="886" w:type="dxa"/>
                  <w:tcBorders>
                    <w:tl2br w:val="nil"/>
                    <w:tr2bl w:val="nil"/>
                  </w:tcBorders>
                  <w:vAlign w:val="center"/>
                </w:tcPr>
                <w:p w14:paraId="197C099D">
                  <w:pPr>
                    <w:widowControl/>
                    <w:jc w:val="center"/>
                    <w:rPr>
                      <w:rFonts w:ascii="Times New Roman" w:hAnsi="Times New Roman" w:eastAsia="宋体" w:cs="Times New Roman"/>
                      <w:color w:val="auto"/>
                      <w:kern w:val="0"/>
                      <w:szCs w:val="21"/>
                      <w:highlight w:val="none"/>
                    </w:rPr>
                  </w:pPr>
                  <w:r>
                    <w:rPr>
                      <w:rFonts w:hint="eastAsia" w:cs="Times New Roman"/>
                      <w:color w:val="auto"/>
                      <w:kern w:val="0"/>
                      <w:szCs w:val="21"/>
                      <w:highlight w:val="none"/>
                    </w:rPr>
                    <w:t>57.5</w:t>
                  </w:r>
                </w:p>
              </w:tc>
              <w:tc>
                <w:tcPr>
                  <w:tcW w:w="692" w:type="dxa"/>
                  <w:tcBorders>
                    <w:tl2br w:val="nil"/>
                    <w:tr2bl w:val="nil"/>
                  </w:tcBorders>
                  <w:vAlign w:val="center"/>
                </w:tcPr>
                <w:p w14:paraId="46898D26">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达标</w:t>
                  </w:r>
                </w:p>
              </w:tc>
              <w:tc>
                <w:tcPr>
                  <w:tcW w:w="645" w:type="dxa"/>
                  <w:vMerge w:val="continue"/>
                  <w:tcBorders>
                    <w:tl2br w:val="nil"/>
                    <w:tr2bl w:val="nil"/>
                  </w:tcBorders>
                  <w:vAlign w:val="center"/>
                </w:tcPr>
                <w:p w14:paraId="25F8BEBA">
                  <w:pPr>
                    <w:widowControl/>
                    <w:jc w:val="center"/>
                    <w:rPr>
                      <w:rFonts w:ascii="Times New Roman" w:hAnsi="Times New Roman" w:eastAsia="宋体" w:cs="Times New Roman"/>
                      <w:color w:val="auto"/>
                      <w:kern w:val="0"/>
                      <w:szCs w:val="21"/>
                      <w:highlight w:val="none"/>
                    </w:rPr>
                  </w:pPr>
                </w:p>
              </w:tc>
            </w:tr>
            <w:tr w14:paraId="085B3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734" w:type="dxa"/>
                  <w:tcBorders>
                    <w:tl2br w:val="nil"/>
                    <w:tr2bl w:val="nil"/>
                  </w:tcBorders>
                  <w:vAlign w:val="center"/>
                </w:tcPr>
                <w:p w14:paraId="37B51610">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CO</w:t>
                  </w:r>
                </w:p>
              </w:tc>
              <w:tc>
                <w:tcPr>
                  <w:tcW w:w="2741" w:type="dxa"/>
                  <w:tcBorders>
                    <w:tl2br w:val="nil"/>
                    <w:tr2bl w:val="nil"/>
                  </w:tcBorders>
                  <w:vAlign w:val="center"/>
                </w:tcPr>
                <w:p w14:paraId="391C3ACE">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日平均第95百分位数质量浓度</w:t>
                  </w:r>
                </w:p>
              </w:tc>
              <w:tc>
                <w:tcPr>
                  <w:tcW w:w="1151" w:type="dxa"/>
                  <w:tcBorders>
                    <w:tl2br w:val="nil"/>
                    <w:tr2bl w:val="nil"/>
                  </w:tcBorders>
                  <w:vAlign w:val="center"/>
                </w:tcPr>
                <w:p w14:paraId="0B08C642">
                  <w:pPr>
                    <w:widowControl/>
                    <w:jc w:val="center"/>
                    <w:rPr>
                      <w:rFonts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0.9</w:t>
                  </w:r>
                  <w:r>
                    <w:rPr>
                      <w:rFonts w:ascii="Times New Roman" w:hAnsi="Times New Roman" w:eastAsia="宋体" w:cs="Times New Roman"/>
                      <w:color w:val="auto"/>
                      <w:kern w:val="0"/>
                      <w:szCs w:val="21"/>
                      <w:highlight w:val="none"/>
                    </w:rPr>
                    <w:t>mg/m</w:t>
                  </w:r>
                  <w:r>
                    <w:rPr>
                      <w:rFonts w:ascii="Times New Roman" w:hAnsi="Times New Roman" w:eastAsia="宋体" w:cs="Times New Roman"/>
                      <w:color w:val="auto"/>
                      <w:kern w:val="0"/>
                      <w:szCs w:val="21"/>
                      <w:highlight w:val="none"/>
                      <w:vertAlign w:val="superscript"/>
                    </w:rPr>
                    <w:t>3</w:t>
                  </w:r>
                </w:p>
              </w:tc>
              <w:tc>
                <w:tcPr>
                  <w:tcW w:w="1188" w:type="dxa"/>
                  <w:tcBorders>
                    <w:tl2br w:val="nil"/>
                    <w:tr2bl w:val="nil"/>
                  </w:tcBorders>
                  <w:vAlign w:val="center"/>
                </w:tcPr>
                <w:p w14:paraId="6AAA8826">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4.0mg/m</w:t>
                  </w:r>
                  <w:r>
                    <w:rPr>
                      <w:rFonts w:ascii="Times New Roman" w:hAnsi="Times New Roman" w:eastAsia="宋体" w:cs="Times New Roman"/>
                      <w:color w:val="auto"/>
                      <w:kern w:val="0"/>
                      <w:szCs w:val="21"/>
                      <w:highlight w:val="none"/>
                      <w:vertAlign w:val="superscript"/>
                    </w:rPr>
                    <w:t>3</w:t>
                  </w:r>
                </w:p>
              </w:tc>
              <w:tc>
                <w:tcPr>
                  <w:tcW w:w="886" w:type="dxa"/>
                  <w:tcBorders>
                    <w:tl2br w:val="nil"/>
                    <w:tr2bl w:val="nil"/>
                  </w:tcBorders>
                  <w:vAlign w:val="center"/>
                </w:tcPr>
                <w:p w14:paraId="2B360029">
                  <w:pPr>
                    <w:widowControl/>
                    <w:jc w:val="center"/>
                    <w:rPr>
                      <w:rFonts w:ascii="Times New Roman" w:hAnsi="Times New Roman" w:eastAsia="宋体" w:cs="Times New Roman"/>
                      <w:color w:val="auto"/>
                      <w:kern w:val="0"/>
                      <w:szCs w:val="21"/>
                      <w:highlight w:val="none"/>
                    </w:rPr>
                  </w:pPr>
                  <w:r>
                    <w:rPr>
                      <w:rFonts w:hint="eastAsia" w:cs="Times New Roman"/>
                      <w:color w:val="auto"/>
                      <w:kern w:val="0"/>
                      <w:szCs w:val="21"/>
                      <w:highlight w:val="none"/>
                    </w:rPr>
                    <w:t>22.5</w:t>
                  </w:r>
                </w:p>
              </w:tc>
              <w:tc>
                <w:tcPr>
                  <w:tcW w:w="692" w:type="dxa"/>
                  <w:tcBorders>
                    <w:tl2br w:val="nil"/>
                    <w:tr2bl w:val="nil"/>
                  </w:tcBorders>
                  <w:vAlign w:val="center"/>
                </w:tcPr>
                <w:p w14:paraId="51B0DD04">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达标</w:t>
                  </w:r>
                </w:p>
              </w:tc>
              <w:tc>
                <w:tcPr>
                  <w:tcW w:w="645" w:type="dxa"/>
                  <w:vMerge w:val="continue"/>
                  <w:tcBorders>
                    <w:tl2br w:val="nil"/>
                    <w:tr2bl w:val="nil"/>
                  </w:tcBorders>
                  <w:vAlign w:val="center"/>
                </w:tcPr>
                <w:p w14:paraId="091BBE2B">
                  <w:pPr>
                    <w:widowControl/>
                    <w:jc w:val="center"/>
                    <w:rPr>
                      <w:rFonts w:ascii="Times New Roman" w:hAnsi="Times New Roman" w:eastAsia="宋体" w:cs="Times New Roman"/>
                      <w:color w:val="auto"/>
                      <w:kern w:val="0"/>
                      <w:szCs w:val="21"/>
                      <w:highlight w:val="none"/>
                    </w:rPr>
                  </w:pPr>
                </w:p>
              </w:tc>
            </w:tr>
            <w:tr w14:paraId="1B65C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734" w:type="dxa"/>
                  <w:tcBorders>
                    <w:tl2br w:val="nil"/>
                    <w:tr2bl w:val="nil"/>
                  </w:tcBorders>
                  <w:vAlign w:val="center"/>
                </w:tcPr>
                <w:p w14:paraId="2E741A07">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O</w:t>
                  </w:r>
                  <w:r>
                    <w:rPr>
                      <w:rFonts w:ascii="Times New Roman" w:hAnsi="Times New Roman" w:eastAsia="宋体" w:cs="Times New Roman"/>
                      <w:color w:val="auto"/>
                      <w:kern w:val="0"/>
                      <w:szCs w:val="21"/>
                      <w:highlight w:val="none"/>
                      <w:vertAlign w:val="subscript"/>
                    </w:rPr>
                    <w:t>3</w:t>
                  </w:r>
                </w:p>
              </w:tc>
              <w:tc>
                <w:tcPr>
                  <w:tcW w:w="2741" w:type="dxa"/>
                  <w:tcBorders>
                    <w:tl2br w:val="nil"/>
                    <w:tr2bl w:val="nil"/>
                  </w:tcBorders>
                  <w:vAlign w:val="center"/>
                </w:tcPr>
                <w:p w14:paraId="37175623">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最大8h滑动平均第90百分位数质量浓度</w:t>
                  </w:r>
                </w:p>
              </w:tc>
              <w:tc>
                <w:tcPr>
                  <w:tcW w:w="1151" w:type="dxa"/>
                  <w:tcBorders>
                    <w:tl2br w:val="nil"/>
                    <w:tr2bl w:val="nil"/>
                  </w:tcBorders>
                  <w:vAlign w:val="center"/>
                </w:tcPr>
                <w:p w14:paraId="15503D28">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16</w:t>
                  </w:r>
                  <w:r>
                    <w:rPr>
                      <w:rFonts w:hint="eastAsia" w:ascii="Times New Roman" w:hAnsi="Times New Roman" w:eastAsia="宋体" w:cs="Times New Roman"/>
                      <w:color w:val="auto"/>
                      <w:kern w:val="0"/>
                      <w:szCs w:val="21"/>
                      <w:highlight w:val="none"/>
                    </w:rPr>
                    <w:t>6</w:t>
                  </w:r>
                  <w:r>
                    <w:rPr>
                      <w:rFonts w:ascii="Times New Roman" w:hAnsi="Times New Roman" w:eastAsia="宋体" w:cs="Times New Roman"/>
                      <w:color w:val="auto"/>
                      <w:kern w:val="0"/>
                      <w:szCs w:val="21"/>
                      <w:highlight w:val="none"/>
                    </w:rPr>
                    <w:t>μg/m</w:t>
                  </w:r>
                  <w:r>
                    <w:rPr>
                      <w:rFonts w:ascii="Times New Roman" w:hAnsi="Times New Roman" w:eastAsia="宋体" w:cs="Times New Roman"/>
                      <w:color w:val="auto"/>
                      <w:kern w:val="0"/>
                      <w:szCs w:val="21"/>
                      <w:highlight w:val="none"/>
                      <w:vertAlign w:val="superscript"/>
                    </w:rPr>
                    <w:t>3</w:t>
                  </w:r>
                </w:p>
              </w:tc>
              <w:tc>
                <w:tcPr>
                  <w:tcW w:w="1188" w:type="dxa"/>
                  <w:tcBorders>
                    <w:tl2br w:val="nil"/>
                    <w:tr2bl w:val="nil"/>
                  </w:tcBorders>
                  <w:vAlign w:val="center"/>
                </w:tcPr>
                <w:p w14:paraId="4246E319">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160μg/m</w:t>
                  </w:r>
                  <w:r>
                    <w:rPr>
                      <w:rFonts w:ascii="Times New Roman" w:hAnsi="Times New Roman" w:eastAsia="宋体" w:cs="Times New Roman"/>
                      <w:color w:val="auto"/>
                      <w:kern w:val="0"/>
                      <w:szCs w:val="21"/>
                      <w:highlight w:val="none"/>
                      <w:vertAlign w:val="superscript"/>
                    </w:rPr>
                    <w:t>3</w:t>
                  </w:r>
                </w:p>
              </w:tc>
              <w:tc>
                <w:tcPr>
                  <w:tcW w:w="886" w:type="dxa"/>
                  <w:tcBorders>
                    <w:tl2br w:val="nil"/>
                    <w:tr2bl w:val="nil"/>
                  </w:tcBorders>
                  <w:vAlign w:val="center"/>
                </w:tcPr>
                <w:p w14:paraId="34831F6F">
                  <w:pPr>
                    <w:widowControl/>
                    <w:jc w:val="center"/>
                    <w:rPr>
                      <w:rFonts w:ascii="Times New Roman" w:hAnsi="Times New Roman" w:eastAsia="宋体" w:cs="Times New Roman"/>
                      <w:color w:val="auto"/>
                      <w:kern w:val="0"/>
                      <w:szCs w:val="21"/>
                      <w:highlight w:val="none"/>
                    </w:rPr>
                  </w:pPr>
                  <w:r>
                    <w:rPr>
                      <w:rFonts w:hint="eastAsia" w:cs="Times New Roman"/>
                      <w:color w:val="auto"/>
                      <w:kern w:val="0"/>
                      <w:szCs w:val="21"/>
                      <w:highlight w:val="none"/>
                    </w:rPr>
                    <w:t>103.75</w:t>
                  </w:r>
                </w:p>
              </w:tc>
              <w:tc>
                <w:tcPr>
                  <w:tcW w:w="692" w:type="dxa"/>
                  <w:tcBorders>
                    <w:tl2br w:val="nil"/>
                    <w:tr2bl w:val="nil"/>
                  </w:tcBorders>
                  <w:vAlign w:val="center"/>
                </w:tcPr>
                <w:p w14:paraId="2559A7A3">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超标</w:t>
                  </w:r>
                </w:p>
              </w:tc>
              <w:tc>
                <w:tcPr>
                  <w:tcW w:w="645" w:type="dxa"/>
                  <w:vMerge w:val="continue"/>
                  <w:tcBorders>
                    <w:tl2br w:val="nil"/>
                    <w:tr2bl w:val="nil"/>
                  </w:tcBorders>
                  <w:vAlign w:val="center"/>
                </w:tcPr>
                <w:p w14:paraId="7B80E889">
                  <w:pPr>
                    <w:widowControl/>
                    <w:jc w:val="center"/>
                    <w:rPr>
                      <w:rFonts w:ascii="Times New Roman" w:hAnsi="Times New Roman" w:eastAsia="宋体" w:cs="Times New Roman"/>
                      <w:color w:val="auto"/>
                      <w:kern w:val="0"/>
                      <w:szCs w:val="21"/>
                      <w:highlight w:val="none"/>
                    </w:rPr>
                  </w:pPr>
                </w:p>
              </w:tc>
            </w:tr>
          </w:tbl>
          <w:p w14:paraId="27E411B5">
            <w:pPr>
              <w:keepNext w:val="0"/>
              <w:keepLines w:val="0"/>
              <w:pageBreakBefore w:val="0"/>
              <w:widowControl w:val="0"/>
              <w:kinsoku/>
              <w:wordWrap/>
              <w:overflowPunct/>
              <w:topLinePunct w:val="0"/>
              <w:autoSpaceDE w:val="0"/>
              <w:autoSpaceDN w:val="0"/>
              <w:bidi w:val="0"/>
              <w:adjustRightInd w:val="0"/>
              <w:snapToGrid w:val="0"/>
              <w:spacing w:before="313" w:beforeLines="100"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eastAsia" w:cs="Times New Roman"/>
                <w:color w:val="auto"/>
                <w:kern w:val="0"/>
                <w:sz w:val="24"/>
                <w:highlight w:val="none"/>
              </w:rPr>
              <w:t>由上表可知</w:t>
            </w:r>
            <w:r>
              <w:rPr>
                <w:rFonts w:hint="eastAsia" w:cs="Times New Roman"/>
                <w:color w:val="auto"/>
                <w:kern w:val="0"/>
                <w:sz w:val="24"/>
                <w:highlight w:val="none"/>
                <w:lang w:eastAsia="zh-CN"/>
              </w:rPr>
              <w:t>，</w:t>
            </w:r>
            <w:r>
              <w:rPr>
                <w:rFonts w:hint="eastAsia" w:ascii="Times New Roman" w:hAnsi="Times New Roman" w:eastAsia="宋体" w:cs="Times New Roman"/>
                <w:color w:val="auto"/>
                <w:kern w:val="0"/>
                <w:sz w:val="24"/>
                <w:highlight w:val="none"/>
              </w:rPr>
              <w:t>2023</w:t>
            </w:r>
            <w:r>
              <w:rPr>
                <w:rFonts w:hint="eastAsia" w:cs="Times New Roman"/>
                <w:color w:val="auto"/>
                <w:kern w:val="0"/>
                <w:sz w:val="24"/>
                <w:highlight w:val="none"/>
              </w:rPr>
              <w:t>年</w:t>
            </w:r>
            <w:r>
              <w:rPr>
                <w:rFonts w:hint="eastAsia" w:cs="Times New Roman"/>
                <w:color w:val="auto"/>
                <w:kern w:val="0"/>
                <w:sz w:val="24"/>
                <w:highlight w:val="none"/>
                <w:lang w:val="en-US" w:eastAsia="zh-CN"/>
              </w:rPr>
              <w:t>淮</w:t>
            </w:r>
            <w:r>
              <w:rPr>
                <w:rFonts w:hint="eastAsia" w:cs="Times New Roman"/>
                <w:color w:val="auto"/>
                <w:kern w:val="0"/>
                <w:sz w:val="24"/>
                <w:highlight w:val="none"/>
              </w:rPr>
              <w:t>北市O</w:t>
            </w:r>
            <w:r>
              <w:rPr>
                <w:rFonts w:hint="eastAsia" w:cs="Times New Roman"/>
                <w:color w:val="auto"/>
                <w:kern w:val="0"/>
                <w:sz w:val="24"/>
                <w:highlight w:val="none"/>
                <w:vertAlign w:val="subscript"/>
              </w:rPr>
              <w:t>3</w:t>
            </w:r>
            <w:r>
              <w:rPr>
                <w:rFonts w:hint="eastAsia" w:cs="Times New Roman"/>
                <w:color w:val="auto"/>
                <w:kern w:val="0"/>
                <w:sz w:val="24"/>
                <w:highlight w:val="none"/>
              </w:rPr>
              <w:t>、PM</w:t>
            </w:r>
            <w:r>
              <w:rPr>
                <w:rFonts w:hint="eastAsia" w:cs="Times New Roman"/>
                <w:color w:val="auto"/>
                <w:kern w:val="0"/>
                <w:sz w:val="24"/>
                <w:highlight w:val="none"/>
                <w:vertAlign w:val="subscript"/>
              </w:rPr>
              <w:t>2.5</w:t>
            </w:r>
            <w:r>
              <w:rPr>
                <w:rFonts w:hint="eastAsia" w:cs="Times New Roman"/>
                <w:color w:val="auto"/>
                <w:kern w:val="0"/>
                <w:sz w:val="24"/>
                <w:highlight w:val="none"/>
              </w:rPr>
              <w:t>的评价指标不能满足《环境空气质量标</w:t>
            </w:r>
            <w:r>
              <w:rPr>
                <w:rFonts w:hint="eastAsia" w:ascii="Times New Roman" w:hAnsi="Times New Roman" w:eastAsia="宋体" w:cs="Times New Roman"/>
                <w:color w:val="auto"/>
                <w:kern w:val="0"/>
                <w:sz w:val="24"/>
                <w:highlight w:val="none"/>
              </w:rPr>
              <w:t>（GB3095-2012）</w:t>
            </w:r>
            <w:r>
              <w:rPr>
                <w:rFonts w:hint="eastAsia" w:cs="Times New Roman"/>
                <w:color w:val="auto"/>
                <w:kern w:val="0"/>
                <w:sz w:val="24"/>
                <w:highlight w:val="none"/>
              </w:rPr>
              <w:t>及其修改单二级标准限值要求</w:t>
            </w:r>
            <w:r>
              <w:rPr>
                <w:rFonts w:hint="eastAsia" w:cs="Times New Roman"/>
                <w:color w:val="auto"/>
                <w:kern w:val="0"/>
                <w:sz w:val="24"/>
                <w:highlight w:val="none"/>
                <w:lang w:eastAsia="zh-CN"/>
              </w:rPr>
              <w:t>，</w:t>
            </w:r>
            <w:r>
              <w:rPr>
                <w:rFonts w:hint="eastAsia" w:cs="Times New Roman"/>
                <w:color w:val="auto"/>
                <w:kern w:val="0"/>
                <w:sz w:val="24"/>
                <w:highlight w:val="none"/>
              </w:rPr>
              <w:t>项目所在区域为不达标区。目前</w:t>
            </w:r>
            <w:r>
              <w:rPr>
                <w:rFonts w:hint="eastAsia" w:cs="Times New Roman"/>
                <w:color w:val="auto"/>
                <w:kern w:val="0"/>
                <w:sz w:val="24"/>
                <w:highlight w:val="none"/>
                <w:lang w:eastAsia="zh-CN"/>
              </w:rPr>
              <w:t>，</w:t>
            </w:r>
            <w:r>
              <w:rPr>
                <w:rFonts w:hint="eastAsia" w:cs="Times New Roman"/>
                <w:color w:val="auto"/>
                <w:kern w:val="0"/>
                <w:sz w:val="24"/>
                <w:highlight w:val="none"/>
              </w:rPr>
              <w:t xml:space="preserve">淮北市生态环境局组织编制了《淮北市大气环境质量达标规划》 （2020-2030年）（征求意见稿） </w:t>
            </w:r>
            <w:r>
              <w:rPr>
                <w:rFonts w:hint="eastAsia" w:cs="Times New Roman"/>
                <w:color w:val="auto"/>
                <w:kern w:val="0"/>
                <w:sz w:val="24"/>
                <w:highlight w:val="none"/>
                <w:lang w:eastAsia="zh-CN"/>
              </w:rPr>
              <w:t>，</w:t>
            </w:r>
            <w:r>
              <w:rPr>
                <w:rFonts w:hint="eastAsia" w:cs="Times New Roman"/>
                <w:color w:val="auto"/>
                <w:kern w:val="0"/>
                <w:sz w:val="24"/>
                <w:highlight w:val="none"/>
              </w:rPr>
              <w:t>将以重点行业为管控对象</w:t>
            </w:r>
            <w:r>
              <w:rPr>
                <w:rFonts w:hint="eastAsia" w:cs="Times New Roman"/>
                <w:color w:val="auto"/>
                <w:kern w:val="0"/>
                <w:sz w:val="24"/>
                <w:highlight w:val="none"/>
                <w:lang w:eastAsia="zh-CN"/>
              </w:rPr>
              <w:t>，</w:t>
            </w:r>
            <w:r>
              <w:rPr>
                <w:rFonts w:hint="eastAsia" w:cs="Times New Roman"/>
                <w:color w:val="auto"/>
                <w:kern w:val="0"/>
                <w:sz w:val="24"/>
                <w:highlight w:val="none"/>
              </w:rPr>
              <w:t>秋冬季为重点管控时段</w:t>
            </w:r>
            <w:r>
              <w:rPr>
                <w:rFonts w:hint="eastAsia" w:cs="Times New Roman"/>
                <w:color w:val="auto"/>
                <w:kern w:val="0"/>
                <w:sz w:val="24"/>
                <w:highlight w:val="none"/>
                <w:lang w:eastAsia="zh-CN"/>
              </w:rPr>
              <w:t>，</w:t>
            </w:r>
            <w:r>
              <w:rPr>
                <w:rFonts w:hint="eastAsia" w:cs="Times New Roman"/>
                <w:color w:val="auto"/>
                <w:kern w:val="0"/>
                <w:sz w:val="24"/>
                <w:highlight w:val="none"/>
              </w:rPr>
              <w:t xml:space="preserve"> PM</w:t>
            </w:r>
            <w:r>
              <w:rPr>
                <w:rFonts w:hint="eastAsia" w:cs="Times New Roman"/>
                <w:color w:val="auto"/>
                <w:kern w:val="0"/>
                <w:sz w:val="24"/>
                <w:highlight w:val="none"/>
                <w:vertAlign w:val="subscript"/>
              </w:rPr>
              <w:t>2.5</w:t>
            </w:r>
            <w:r>
              <w:rPr>
                <w:rFonts w:hint="eastAsia" w:cs="Times New Roman"/>
                <w:color w:val="auto"/>
                <w:kern w:val="0"/>
                <w:sz w:val="24"/>
                <w:highlight w:val="none"/>
              </w:rPr>
              <w:t>、 VOCs和NOx为主要管控因子</w:t>
            </w:r>
            <w:r>
              <w:rPr>
                <w:rFonts w:hint="eastAsia" w:cs="Times New Roman"/>
                <w:color w:val="auto"/>
                <w:kern w:val="0"/>
                <w:sz w:val="24"/>
                <w:highlight w:val="none"/>
                <w:lang w:eastAsia="zh-CN"/>
              </w:rPr>
              <w:t>，</w:t>
            </w:r>
            <w:r>
              <w:rPr>
                <w:rFonts w:hint="eastAsia" w:cs="Times New Roman"/>
                <w:color w:val="auto"/>
                <w:kern w:val="0"/>
                <w:sz w:val="24"/>
                <w:highlight w:val="none"/>
              </w:rPr>
              <w:t>持续推进产业结构、能源结构、运输结构、用地结构等四大结构调整</w:t>
            </w:r>
            <w:r>
              <w:rPr>
                <w:rFonts w:hint="eastAsia" w:cs="Times New Roman"/>
                <w:color w:val="auto"/>
                <w:kern w:val="0"/>
                <w:sz w:val="24"/>
                <w:highlight w:val="none"/>
                <w:lang w:eastAsia="zh-CN"/>
              </w:rPr>
              <w:t>，</w:t>
            </w:r>
            <w:r>
              <w:rPr>
                <w:rFonts w:hint="eastAsia" w:cs="Times New Roman"/>
                <w:color w:val="auto"/>
                <w:kern w:val="0"/>
                <w:sz w:val="24"/>
                <w:highlight w:val="none"/>
              </w:rPr>
              <w:t>推进臭氧污染治理、面源污染治理、重点行业深度减排、VOCs污染治理和重污染天气应急管控</w:t>
            </w:r>
            <w:r>
              <w:rPr>
                <w:rFonts w:hint="eastAsia" w:cs="Times New Roman"/>
                <w:color w:val="auto"/>
                <w:kern w:val="0"/>
                <w:sz w:val="24"/>
                <w:highlight w:val="none"/>
                <w:lang w:eastAsia="zh-CN"/>
              </w:rPr>
              <w:t>，</w:t>
            </w:r>
            <w:r>
              <w:rPr>
                <w:rFonts w:hint="eastAsia" w:cs="Times New Roman"/>
                <w:color w:val="auto"/>
                <w:kern w:val="0"/>
                <w:sz w:val="24"/>
                <w:highlight w:val="none"/>
              </w:rPr>
              <w:t>不断提升大气污染治理能力建设</w:t>
            </w:r>
            <w:r>
              <w:rPr>
                <w:rFonts w:hint="eastAsia" w:cs="Times New Roman"/>
                <w:color w:val="auto"/>
                <w:kern w:val="0"/>
                <w:sz w:val="24"/>
                <w:highlight w:val="none"/>
                <w:lang w:eastAsia="zh-CN"/>
              </w:rPr>
              <w:t>，</w:t>
            </w:r>
            <w:r>
              <w:rPr>
                <w:rFonts w:hint="eastAsia" w:cs="Times New Roman"/>
                <w:color w:val="auto"/>
                <w:kern w:val="0"/>
                <w:sz w:val="24"/>
                <w:highlight w:val="none"/>
              </w:rPr>
              <w:t>确保全面实现空气质量约束性目标。采取上述措施后</w:t>
            </w:r>
            <w:r>
              <w:rPr>
                <w:rFonts w:hint="eastAsia" w:cs="Times New Roman"/>
                <w:color w:val="auto"/>
                <w:kern w:val="0"/>
                <w:sz w:val="24"/>
                <w:highlight w:val="none"/>
                <w:lang w:eastAsia="zh-CN"/>
              </w:rPr>
              <w:t>，</w:t>
            </w:r>
            <w:r>
              <w:rPr>
                <w:rFonts w:hint="eastAsia" w:cs="Times New Roman"/>
                <w:color w:val="auto"/>
                <w:kern w:val="0"/>
                <w:sz w:val="24"/>
                <w:highlight w:val="none"/>
              </w:rPr>
              <w:t>淮北市大气环境质量状况将进一步得到改善。</w:t>
            </w:r>
            <w:r>
              <w:rPr>
                <w:rFonts w:hint="eastAsia" w:cs="Times New Roman"/>
                <w:color w:val="auto"/>
                <w:kern w:val="0"/>
                <w:sz w:val="24"/>
                <w:highlight w:val="none"/>
              </w:rPr>
              <w:br w:type="textWrapping"/>
            </w:r>
            <w:r>
              <w:rPr>
                <w:rFonts w:hint="eastAsia" w:cs="Times New Roman"/>
                <w:color w:val="auto"/>
                <w:kern w:val="0"/>
                <w:sz w:val="24"/>
                <w:highlight w:val="none"/>
                <w:lang w:val="en-US" w:eastAsia="zh-CN"/>
              </w:rPr>
              <w:t xml:space="preserve">    （2）特征污染物</w:t>
            </w:r>
          </w:p>
          <w:p w14:paraId="514040C3">
            <w:pPr>
              <w:adjustRightInd w:val="0"/>
              <w:snapToGrid w:val="0"/>
              <w:spacing w:line="360" w:lineRule="auto"/>
              <w:ind w:firstLine="480" w:firstLineChars="200"/>
              <w:jc w:val="left"/>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根据《建设项目环境影响报告表编制技术指南（污染影响类）（试行）》的数据引用要求：排放国家、地方环境空气质量标准中有标准限值要求的特征污染物时，引用建设项目周边 5 千米范围内近 3 年的现有监测数据，无相关数据的选择当季主导风向下风向 1 个点位补充不少于 3 天的监测数据。</w:t>
            </w:r>
            <w:r>
              <w:rPr>
                <w:rFonts w:hint="eastAsia" w:ascii="宋体" w:hAnsi="宋体" w:cs="宋体"/>
                <w:color w:val="auto"/>
                <w:sz w:val="24"/>
                <w:szCs w:val="24"/>
                <w:highlight w:val="none"/>
                <w:lang w:val="en-US" w:eastAsia="zh-CN"/>
              </w:rPr>
              <w:br w:type="textWrapping"/>
            </w:r>
            <w:r>
              <w:rPr>
                <w:rFonts w:hint="eastAsia" w:ascii="宋体" w:hAnsi="宋体" w:cs="宋体"/>
                <w:color w:val="auto"/>
                <w:sz w:val="24"/>
                <w:szCs w:val="24"/>
                <w:highlight w:val="none"/>
                <w:lang w:val="en-US" w:eastAsia="zh-CN"/>
              </w:rPr>
              <w:t xml:space="preserve">    本</w:t>
            </w:r>
            <w:r>
              <w:rPr>
                <w:rFonts w:hint="eastAsia" w:ascii="宋体" w:hAnsi="宋体" w:cs="宋体"/>
                <w:color w:val="auto"/>
                <w:sz w:val="24"/>
                <w:szCs w:val="24"/>
                <w:highlight w:val="none"/>
                <w:lang w:eastAsia="zh-CN"/>
              </w:rPr>
              <w:t>项目</w:t>
            </w:r>
            <w:r>
              <w:rPr>
                <w:rFonts w:hint="eastAsia" w:ascii="宋体" w:hAnsi="宋体" w:cs="宋体"/>
                <w:color w:val="auto"/>
                <w:sz w:val="24"/>
                <w:szCs w:val="24"/>
                <w:highlight w:val="none"/>
                <w:lang w:val="en-US" w:eastAsia="zh-CN"/>
              </w:rPr>
              <w:t>位于淮北市烈山区古饶镇烈山经济开发区南塘路与邱家沟交叉口东北角1号，项目特性因子TSP引用《安徽恒驰新型建材有限公司年产40万吨绿色环保路面材料生产基地项目环境影响报告表》中监测数据。该项目于2023年3月20日</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 xml:space="preserve">3月26日进行监测，引用监测点G1 </w:t>
            </w:r>
            <w:r>
              <w:rPr>
                <w:rFonts w:hint="eastAsia" w:ascii="宋体" w:hAnsi="宋体" w:cs="宋体"/>
                <w:color w:val="auto"/>
                <w:sz w:val="24"/>
                <w:szCs w:val="24"/>
                <w:highlight w:val="none"/>
                <w:lang w:eastAsia="zh-CN"/>
              </w:rPr>
              <w:t>安徽恒驰新型建材有限公司</w:t>
            </w:r>
            <w:r>
              <w:rPr>
                <w:rFonts w:hint="eastAsia" w:ascii="宋体" w:hAnsi="宋体" w:cs="宋体"/>
                <w:color w:val="auto"/>
                <w:sz w:val="24"/>
                <w:szCs w:val="24"/>
                <w:highlight w:val="none"/>
                <w:lang w:val="en-US" w:eastAsia="zh-CN"/>
              </w:rPr>
              <w:t>在本次项目区东南侧，距本项目区1000m，引用数据有效。监测点位图见图3-1。监测结果详见下表3-2。</w:t>
            </w:r>
          </w:p>
          <w:p w14:paraId="1D8C181D">
            <w:pPr>
              <w:adjustRightInd w:val="0"/>
              <w:snapToGrid w:val="0"/>
              <w:spacing w:line="360" w:lineRule="auto"/>
              <w:ind w:firstLine="480" w:firstLineChars="200"/>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表3-2  环境空气中TSP检测结果一览表（浓度单位：ug/m</w:t>
            </w:r>
            <w:r>
              <w:rPr>
                <w:rFonts w:hint="eastAsia" w:ascii="宋体" w:hAnsi="宋体" w:cs="宋体"/>
                <w:color w:val="auto"/>
                <w:sz w:val="24"/>
                <w:szCs w:val="24"/>
                <w:highlight w:val="none"/>
                <w:vertAlign w:val="superscript"/>
                <w:lang w:val="en-US" w:eastAsia="zh-CN"/>
              </w:rPr>
              <w:t>3</w:t>
            </w:r>
            <w:r>
              <w:rPr>
                <w:rFonts w:hint="eastAsia" w:ascii="宋体" w:hAnsi="宋体" w:cs="宋体"/>
                <w:color w:val="auto"/>
                <w:sz w:val="24"/>
                <w:szCs w:val="24"/>
                <w:highlight w:val="none"/>
                <w:lang w:val="en-US" w:eastAsia="zh-CN"/>
              </w:rPr>
              <w:t>）</w:t>
            </w:r>
          </w:p>
          <w:tbl>
            <w:tblPr>
              <w:tblStyle w:val="37"/>
              <w:tblW w:w="79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764"/>
              <w:gridCol w:w="765"/>
              <w:gridCol w:w="765"/>
              <w:gridCol w:w="765"/>
              <w:gridCol w:w="765"/>
              <w:gridCol w:w="765"/>
              <w:gridCol w:w="765"/>
              <w:gridCol w:w="765"/>
              <w:gridCol w:w="770"/>
            </w:tblGrid>
            <w:tr w14:paraId="4D0D4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1649" w:type="pct"/>
                  <w:gridSpan w:val="3"/>
                  <w:vMerge w:val="restart"/>
                  <w:tcBorders>
                    <w:top w:val="single" w:color="auto" w:sz="4" w:space="0"/>
                    <w:left w:val="single" w:color="auto" w:sz="4" w:space="0"/>
                    <w:right w:val="single" w:color="auto" w:sz="4" w:space="0"/>
                  </w:tcBorders>
                  <w:vAlign w:val="center"/>
                </w:tcPr>
                <w:p w14:paraId="31278D6E">
                  <w:pPr>
                    <w:kinsoku w:val="0"/>
                    <w:overflowPunct w:val="0"/>
                    <w:autoSpaceDE w:val="0"/>
                    <w:autoSpaceDN w:val="0"/>
                    <w:adjustRightInd w:val="0"/>
                    <w:snapToGrid w:val="0"/>
                    <w:jc w:val="center"/>
                    <w:rPr>
                      <w:rFonts w:hint="eastAsia"/>
                      <w:color w:val="auto"/>
                      <w:kern w:val="0"/>
                      <w:szCs w:val="21"/>
                      <w:highlight w:val="none"/>
                      <w:lang w:eastAsia="zh-CN" w:bidi="ar"/>
                    </w:rPr>
                  </w:pPr>
                  <w:r>
                    <w:rPr>
                      <w:rFonts w:hint="eastAsia"/>
                      <w:color w:val="auto"/>
                      <w:kern w:val="0"/>
                      <w:szCs w:val="21"/>
                      <w:highlight w:val="none"/>
                      <w:lang w:val="en-US" w:eastAsia="zh-CN" w:bidi="ar"/>
                    </w:rPr>
                    <w:t>监测点位</w:t>
                  </w:r>
                </w:p>
              </w:tc>
              <w:tc>
                <w:tcPr>
                  <w:tcW w:w="3350" w:type="pct"/>
                  <w:gridSpan w:val="7"/>
                  <w:tcBorders>
                    <w:top w:val="single" w:color="auto" w:sz="4" w:space="0"/>
                    <w:left w:val="single" w:color="auto" w:sz="4" w:space="0"/>
                    <w:right w:val="single" w:color="auto" w:sz="4" w:space="0"/>
                  </w:tcBorders>
                  <w:vAlign w:val="center"/>
                </w:tcPr>
                <w:p w14:paraId="243906D2">
                  <w:pPr>
                    <w:kinsoku w:val="0"/>
                    <w:overflowPunct w:val="0"/>
                    <w:autoSpaceDE w:val="0"/>
                    <w:autoSpaceDN w:val="0"/>
                    <w:adjustRightInd w:val="0"/>
                    <w:snapToGrid w:val="0"/>
                    <w:jc w:val="center"/>
                    <w:rPr>
                      <w:rFonts w:hint="eastAsia"/>
                      <w:color w:val="auto"/>
                      <w:kern w:val="0"/>
                      <w:szCs w:val="21"/>
                      <w:highlight w:val="none"/>
                      <w:lang w:eastAsia="zh-CN" w:bidi="ar"/>
                    </w:rPr>
                  </w:pPr>
                  <w:r>
                    <w:rPr>
                      <w:rFonts w:hint="eastAsia"/>
                      <w:color w:val="auto"/>
                      <w:kern w:val="0"/>
                      <w:szCs w:val="21"/>
                      <w:highlight w:val="none"/>
                      <w:lang w:eastAsia="zh-CN" w:bidi="ar"/>
                    </w:rPr>
                    <w:t>监测结果</w:t>
                  </w:r>
                </w:p>
              </w:tc>
            </w:tr>
            <w:tr w14:paraId="72DA8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1649" w:type="pct"/>
                  <w:gridSpan w:val="3"/>
                  <w:vMerge w:val="continue"/>
                  <w:tcBorders>
                    <w:left w:val="single" w:color="auto" w:sz="4" w:space="0"/>
                    <w:right w:val="single" w:color="auto" w:sz="4" w:space="0"/>
                  </w:tcBorders>
                  <w:vAlign w:val="center"/>
                </w:tcPr>
                <w:p w14:paraId="64D18C3E">
                  <w:pPr>
                    <w:kinsoku w:val="0"/>
                    <w:overflowPunct w:val="0"/>
                    <w:autoSpaceDE w:val="0"/>
                    <w:autoSpaceDN w:val="0"/>
                    <w:adjustRightInd w:val="0"/>
                    <w:snapToGrid w:val="0"/>
                    <w:jc w:val="center"/>
                    <w:rPr>
                      <w:rFonts w:hint="eastAsia"/>
                      <w:color w:val="auto"/>
                      <w:kern w:val="0"/>
                      <w:szCs w:val="21"/>
                      <w:highlight w:val="none"/>
                      <w:lang w:eastAsia="zh-CN" w:bidi="ar"/>
                    </w:rPr>
                  </w:pPr>
                </w:p>
              </w:tc>
              <w:tc>
                <w:tcPr>
                  <w:tcW w:w="478" w:type="pct"/>
                  <w:tcBorders>
                    <w:top w:val="single" w:color="auto" w:sz="4" w:space="0"/>
                    <w:left w:val="single" w:color="auto" w:sz="4" w:space="0"/>
                    <w:bottom w:val="single" w:color="auto" w:sz="4" w:space="0"/>
                    <w:right w:val="single" w:color="auto" w:sz="4" w:space="0"/>
                  </w:tcBorders>
                  <w:vAlign w:val="center"/>
                </w:tcPr>
                <w:p w14:paraId="6747176D">
                  <w:pPr>
                    <w:kinsoku w:val="0"/>
                    <w:overflowPunct w:val="0"/>
                    <w:autoSpaceDE w:val="0"/>
                    <w:autoSpaceDN w:val="0"/>
                    <w:adjustRightInd w:val="0"/>
                    <w:snapToGrid w:val="0"/>
                    <w:jc w:val="center"/>
                    <w:rPr>
                      <w:rFonts w:hint="default"/>
                      <w:color w:val="auto"/>
                      <w:kern w:val="0"/>
                      <w:szCs w:val="21"/>
                      <w:highlight w:val="none"/>
                      <w:lang w:val="en-US" w:eastAsia="zh-CN" w:bidi="ar"/>
                    </w:rPr>
                  </w:pPr>
                  <w:r>
                    <w:rPr>
                      <w:rFonts w:hint="default"/>
                      <w:color w:val="auto"/>
                      <w:kern w:val="0"/>
                      <w:szCs w:val="21"/>
                      <w:highlight w:val="none"/>
                      <w:lang w:val="en-US" w:eastAsia="zh-CN" w:bidi="ar"/>
                    </w:rPr>
                    <w:t>3.20</w:t>
                  </w:r>
                </w:p>
              </w:tc>
              <w:tc>
                <w:tcPr>
                  <w:tcW w:w="478" w:type="pct"/>
                  <w:tcBorders>
                    <w:top w:val="single" w:color="auto" w:sz="4" w:space="0"/>
                    <w:left w:val="single" w:color="auto" w:sz="4" w:space="0"/>
                    <w:bottom w:val="single" w:color="auto" w:sz="4" w:space="0"/>
                    <w:right w:val="single" w:color="auto" w:sz="4" w:space="0"/>
                  </w:tcBorders>
                  <w:vAlign w:val="center"/>
                </w:tcPr>
                <w:p w14:paraId="01FA674E">
                  <w:pPr>
                    <w:kinsoku w:val="0"/>
                    <w:overflowPunct w:val="0"/>
                    <w:autoSpaceDE w:val="0"/>
                    <w:autoSpaceDN w:val="0"/>
                    <w:adjustRightInd w:val="0"/>
                    <w:snapToGrid w:val="0"/>
                    <w:jc w:val="center"/>
                    <w:rPr>
                      <w:rFonts w:hint="default"/>
                      <w:color w:val="auto"/>
                      <w:kern w:val="0"/>
                      <w:szCs w:val="21"/>
                      <w:highlight w:val="none"/>
                      <w:lang w:val="en-US" w:eastAsia="zh-CN" w:bidi="ar"/>
                    </w:rPr>
                  </w:pPr>
                  <w:r>
                    <w:rPr>
                      <w:rFonts w:hint="default"/>
                      <w:color w:val="auto"/>
                      <w:kern w:val="0"/>
                      <w:szCs w:val="21"/>
                      <w:highlight w:val="none"/>
                      <w:lang w:val="en-US" w:eastAsia="zh-CN" w:bidi="ar"/>
                    </w:rPr>
                    <w:t>3.2</w:t>
                  </w:r>
                  <w:r>
                    <w:rPr>
                      <w:rFonts w:hint="eastAsia"/>
                      <w:color w:val="auto"/>
                      <w:kern w:val="0"/>
                      <w:szCs w:val="21"/>
                      <w:highlight w:val="none"/>
                      <w:lang w:val="en-US" w:eastAsia="zh-CN" w:bidi="ar"/>
                    </w:rPr>
                    <w:t>1</w:t>
                  </w:r>
                </w:p>
              </w:tc>
              <w:tc>
                <w:tcPr>
                  <w:tcW w:w="478" w:type="pct"/>
                  <w:tcBorders>
                    <w:top w:val="single" w:color="auto" w:sz="4" w:space="0"/>
                    <w:left w:val="single" w:color="auto" w:sz="4" w:space="0"/>
                    <w:bottom w:val="single" w:color="auto" w:sz="4" w:space="0"/>
                    <w:right w:val="single" w:color="auto" w:sz="4" w:space="0"/>
                  </w:tcBorders>
                  <w:vAlign w:val="center"/>
                </w:tcPr>
                <w:p w14:paraId="7B2CA74D">
                  <w:pPr>
                    <w:kinsoku w:val="0"/>
                    <w:overflowPunct w:val="0"/>
                    <w:autoSpaceDE w:val="0"/>
                    <w:autoSpaceDN w:val="0"/>
                    <w:adjustRightInd w:val="0"/>
                    <w:snapToGrid w:val="0"/>
                    <w:jc w:val="center"/>
                    <w:rPr>
                      <w:rFonts w:hint="default"/>
                      <w:color w:val="auto"/>
                      <w:kern w:val="0"/>
                      <w:szCs w:val="21"/>
                      <w:highlight w:val="none"/>
                      <w:lang w:val="en-US" w:eastAsia="zh-CN" w:bidi="ar"/>
                    </w:rPr>
                  </w:pPr>
                  <w:r>
                    <w:rPr>
                      <w:rFonts w:hint="default"/>
                      <w:color w:val="auto"/>
                      <w:kern w:val="0"/>
                      <w:szCs w:val="21"/>
                      <w:highlight w:val="none"/>
                      <w:lang w:val="en-US" w:eastAsia="zh-CN" w:bidi="ar"/>
                    </w:rPr>
                    <w:t>3.2</w:t>
                  </w:r>
                  <w:r>
                    <w:rPr>
                      <w:rFonts w:hint="eastAsia"/>
                      <w:color w:val="auto"/>
                      <w:kern w:val="0"/>
                      <w:szCs w:val="21"/>
                      <w:highlight w:val="none"/>
                      <w:lang w:val="en-US" w:eastAsia="zh-CN" w:bidi="ar"/>
                    </w:rPr>
                    <w:t>2</w:t>
                  </w:r>
                </w:p>
              </w:tc>
              <w:tc>
                <w:tcPr>
                  <w:tcW w:w="478" w:type="pct"/>
                  <w:tcBorders>
                    <w:top w:val="single" w:color="auto" w:sz="4" w:space="0"/>
                    <w:left w:val="single" w:color="auto" w:sz="4" w:space="0"/>
                    <w:bottom w:val="single" w:color="auto" w:sz="4" w:space="0"/>
                    <w:right w:val="single" w:color="auto" w:sz="4" w:space="0"/>
                  </w:tcBorders>
                  <w:vAlign w:val="center"/>
                </w:tcPr>
                <w:p w14:paraId="1DDBB515">
                  <w:pPr>
                    <w:kinsoku w:val="0"/>
                    <w:overflowPunct w:val="0"/>
                    <w:autoSpaceDE w:val="0"/>
                    <w:autoSpaceDN w:val="0"/>
                    <w:adjustRightInd w:val="0"/>
                    <w:snapToGrid w:val="0"/>
                    <w:jc w:val="center"/>
                    <w:rPr>
                      <w:rFonts w:hint="default"/>
                      <w:color w:val="auto"/>
                      <w:kern w:val="0"/>
                      <w:szCs w:val="21"/>
                      <w:highlight w:val="none"/>
                      <w:lang w:val="en-US" w:eastAsia="zh-CN" w:bidi="ar"/>
                    </w:rPr>
                  </w:pPr>
                  <w:r>
                    <w:rPr>
                      <w:rFonts w:hint="default"/>
                      <w:color w:val="auto"/>
                      <w:kern w:val="0"/>
                      <w:szCs w:val="21"/>
                      <w:highlight w:val="none"/>
                      <w:lang w:val="en-US" w:eastAsia="zh-CN" w:bidi="ar"/>
                    </w:rPr>
                    <w:t>3.2</w:t>
                  </w:r>
                  <w:r>
                    <w:rPr>
                      <w:rFonts w:hint="eastAsia"/>
                      <w:color w:val="auto"/>
                      <w:kern w:val="0"/>
                      <w:szCs w:val="21"/>
                      <w:highlight w:val="none"/>
                      <w:lang w:val="en-US" w:eastAsia="zh-CN" w:bidi="ar"/>
                    </w:rPr>
                    <w:t>3</w:t>
                  </w:r>
                </w:p>
              </w:tc>
              <w:tc>
                <w:tcPr>
                  <w:tcW w:w="478" w:type="pct"/>
                  <w:tcBorders>
                    <w:top w:val="single" w:color="auto" w:sz="4" w:space="0"/>
                    <w:left w:val="single" w:color="auto" w:sz="4" w:space="0"/>
                    <w:bottom w:val="single" w:color="auto" w:sz="4" w:space="0"/>
                    <w:right w:val="single" w:color="auto" w:sz="4" w:space="0"/>
                  </w:tcBorders>
                  <w:vAlign w:val="center"/>
                </w:tcPr>
                <w:p w14:paraId="6FD24778">
                  <w:pPr>
                    <w:kinsoku w:val="0"/>
                    <w:overflowPunct w:val="0"/>
                    <w:autoSpaceDE w:val="0"/>
                    <w:autoSpaceDN w:val="0"/>
                    <w:adjustRightInd w:val="0"/>
                    <w:snapToGrid w:val="0"/>
                    <w:jc w:val="center"/>
                    <w:rPr>
                      <w:rFonts w:hint="default"/>
                      <w:color w:val="auto"/>
                      <w:kern w:val="0"/>
                      <w:szCs w:val="21"/>
                      <w:highlight w:val="none"/>
                      <w:lang w:val="en-US" w:eastAsia="zh-CN" w:bidi="ar"/>
                    </w:rPr>
                  </w:pPr>
                  <w:r>
                    <w:rPr>
                      <w:rFonts w:hint="default"/>
                      <w:color w:val="auto"/>
                      <w:kern w:val="0"/>
                      <w:szCs w:val="21"/>
                      <w:highlight w:val="none"/>
                      <w:lang w:val="en-US" w:eastAsia="zh-CN" w:bidi="ar"/>
                    </w:rPr>
                    <w:t>3.2</w:t>
                  </w:r>
                  <w:r>
                    <w:rPr>
                      <w:rFonts w:hint="eastAsia"/>
                      <w:color w:val="auto"/>
                      <w:kern w:val="0"/>
                      <w:szCs w:val="21"/>
                      <w:highlight w:val="none"/>
                      <w:lang w:val="en-US" w:eastAsia="zh-CN" w:bidi="ar"/>
                    </w:rPr>
                    <w:t>4</w:t>
                  </w:r>
                </w:p>
              </w:tc>
              <w:tc>
                <w:tcPr>
                  <w:tcW w:w="478" w:type="pct"/>
                  <w:tcBorders>
                    <w:top w:val="single" w:color="auto" w:sz="4" w:space="0"/>
                    <w:left w:val="single" w:color="auto" w:sz="4" w:space="0"/>
                    <w:bottom w:val="single" w:color="auto" w:sz="4" w:space="0"/>
                    <w:right w:val="single" w:color="auto" w:sz="4" w:space="0"/>
                  </w:tcBorders>
                  <w:vAlign w:val="center"/>
                </w:tcPr>
                <w:p w14:paraId="0BDB8CF9">
                  <w:pPr>
                    <w:kinsoku w:val="0"/>
                    <w:overflowPunct w:val="0"/>
                    <w:autoSpaceDE w:val="0"/>
                    <w:autoSpaceDN w:val="0"/>
                    <w:adjustRightInd w:val="0"/>
                    <w:snapToGrid w:val="0"/>
                    <w:jc w:val="center"/>
                    <w:rPr>
                      <w:rFonts w:hint="default"/>
                      <w:color w:val="auto"/>
                      <w:kern w:val="0"/>
                      <w:szCs w:val="21"/>
                      <w:highlight w:val="none"/>
                      <w:lang w:val="en-US" w:eastAsia="zh-CN" w:bidi="ar"/>
                    </w:rPr>
                  </w:pPr>
                  <w:r>
                    <w:rPr>
                      <w:rFonts w:hint="default"/>
                      <w:color w:val="auto"/>
                      <w:kern w:val="0"/>
                      <w:szCs w:val="21"/>
                      <w:highlight w:val="none"/>
                      <w:lang w:val="en-US" w:eastAsia="zh-CN" w:bidi="ar"/>
                    </w:rPr>
                    <w:t>3.2</w:t>
                  </w:r>
                  <w:r>
                    <w:rPr>
                      <w:rFonts w:hint="eastAsia"/>
                      <w:color w:val="auto"/>
                      <w:kern w:val="0"/>
                      <w:szCs w:val="21"/>
                      <w:highlight w:val="none"/>
                      <w:lang w:val="en-US" w:eastAsia="zh-CN" w:bidi="ar"/>
                    </w:rPr>
                    <w:t>5</w:t>
                  </w:r>
                </w:p>
              </w:tc>
              <w:tc>
                <w:tcPr>
                  <w:tcW w:w="481" w:type="pct"/>
                  <w:tcBorders>
                    <w:top w:val="single" w:color="auto" w:sz="4" w:space="0"/>
                    <w:left w:val="single" w:color="auto" w:sz="4" w:space="0"/>
                    <w:bottom w:val="single" w:color="auto" w:sz="4" w:space="0"/>
                    <w:right w:val="single" w:color="auto" w:sz="4" w:space="0"/>
                  </w:tcBorders>
                  <w:vAlign w:val="center"/>
                </w:tcPr>
                <w:p w14:paraId="5DAF06AF">
                  <w:pPr>
                    <w:kinsoku w:val="0"/>
                    <w:overflowPunct w:val="0"/>
                    <w:autoSpaceDE w:val="0"/>
                    <w:autoSpaceDN w:val="0"/>
                    <w:adjustRightInd w:val="0"/>
                    <w:snapToGrid w:val="0"/>
                    <w:jc w:val="center"/>
                    <w:rPr>
                      <w:rFonts w:hint="default"/>
                      <w:color w:val="auto"/>
                      <w:kern w:val="0"/>
                      <w:szCs w:val="21"/>
                      <w:highlight w:val="none"/>
                      <w:lang w:val="en-US" w:eastAsia="zh-CN" w:bidi="ar"/>
                    </w:rPr>
                  </w:pPr>
                  <w:r>
                    <w:rPr>
                      <w:rFonts w:hint="default"/>
                      <w:color w:val="auto"/>
                      <w:kern w:val="0"/>
                      <w:szCs w:val="21"/>
                      <w:highlight w:val="none"/>
                      <w:lang w:val="en-US" w:eastAsia="zh-CN" w:bidi="ar"/>
                    </w:rPr>
                    <w:t>3.2</w:t>
                  </w:r>
                  <w:r>
                    <w:rPr>
                      <w:rFonts w:hint="eastAsia"/>
                      <w:color w:val="auto"/>
                      <w:kern w:val="0"/>
                      <w:szCs w:val="21"/>
                      <w:highlight w:val="none"/>
                      <w:lang w:val="en-US" w:eastAsia="zh-CN" w:bidi="ar"/>
                    </w:rPr>
                    <w:t>6</w:t>
                  </w:r>
                </w:p>
              </w:tc>
            </w:tr>
            <w:tr w14:paraId="02012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jc w:val="center"/>
              </w:trPr>
              <w:tc>
                <w:tcPr>
                  <w:tcW w:w="693" w:type="pct"/>
                  <w:tcBorders>
                    <w:top w:val="single" w:color="auto" w:sz="4" w:space="0"/>
                    <w:left w:val="single" w:color="auto" w:sz="4" w:space="0"/>
                    <w:right w:val="single" w:color="auto" w:sz="4" w:space="0"/>
                  </w:tcBorders>
                  <w:vAlign w:val="center"/>
                </w:tcPr>
                <w:p w14:paraId="429DDB61">
                  <w:pPr>
                    <w:kinsoku w:val="0"/>
                    <w:overflowPunct w:val="0"/>
                    <w:autoSpaceDE w:val="0"/>
                    <w:autoSpaceDN w:val="0"/>
                    <w:adjustRightInd w:val="0"/>
                    <w:snapToGrid w:val="0"/>
                    <w:jc w:val="center"/>
                    <w:rPr>
                      <w:color w:val="auto"/>
                      <w:sz w:val="22"/>
                      <w:szCs w:val="22"/>
                      <w:highlight w:val="none"/>
                    </w:rPr>
                  </w:pPr>
                  <w:r>
                    <w:rPr>
                      <w:rFonts w:hint="eastAsia"/>
                      <w:color w:val="auto"/>
                      <w:sz w:val="22"/>
                      <w:szCs w:val="22"/>
                      <w:highlight w:val="none"/>
                      <w:lang w:val="en-US" w:eastAsia="zh-CN"/>
                    </w:rPr>
                    <w:t xml:space="preserve">G1 </w:t>
                  </w:r>
                  <w:r>
                    <w:rPr>
                      <w:rFonts w:hint="eastAsia" w:ascii="宋体" w:hAnsi="宋体" w:cs="宋体"/>
                      <w:color w:val="auto"/>
                      <w:sz w:val="24"/>
                      <w:szCs w:val="24"/>
                      <w:highlight w:val="none"/>
                      <w:lang w:eastAsia="zh-CN"/>
                    </w:rPr>
                    <w:t>安徽恒驰新型建材有限公司</w:t>
                  </w:r>
                </w:p>
              </w:tc>
              <w:tc>
                <w:tcPr>
                  <w:tcW w:w="477" w:type="pct"/>
                  <w:tcBorders>
                    <w:top w:val="single" w:color="auto" w:sz="4" w:space="0"/>
                    <w:left w:val="single" w:color="auto" w:sz="4" w:space="0"/>
                    <w:right w:val="single" w:color="auto" w:sz="4" w:space="0"/>
                  </w:tcBorders>
                  <w:vAlign w:val="center"/>
                </w:tcPr>
                <w:p w14:paraId="6DFD3629">
                  <w:pPr>
                    <w:kinsoku w:val="0"/>
                    <w:overflowPunct w:val="0"/>
                    <w:autoSpaceDE w:val="0"/>
                    <w:autoSpaceDN w:val="0"/>
                    <w:adjustRightInd w:val="0"/>
                    <w:snapToGrid w:val="0"/>
                    <w:jc w:val="center"/>
                    <w:rPr>
                      <w:rFonts w:hint="default" w:eastAsia="宋体"/>
                      <w:color w:val="auto"/>
                      <w:sz w:val="22"/>
                      <w:szCs w:val="22"/>
                      <w:highlight w:val="none"/>
                      <w:lang w:val="en-US" w:eastAsia="zh-CN"/>
                    </w:rPr>
                  </w:pPr>
                  <w:r>
                    <w:rPr>
                      <w:rFonts w:hint="eastAsia" w:cs="宋体"/>
                      <w:color w:val="auto"/>
                      <w:sz w:val="22"/>
                      <w:szCs w:val="22"/>
                      <w:highlight w:val="none"/>
                      <w:lang w:val="en-US" w:eastAsia="zh-CN"/>
                    </w:rPr>
                    <w:t>TSP</w:t>
                  </w:r>
                </w:p>
              </w:tc>
              <w:tc>
                <w:tcPr>
                  <w:tcW w:w="478" w:type="pct"/>
                  <w:tcBorders>
                    <w:top w:val="single" w:color="auto" w:sz="4" w:space="0"/>
                    <w:left w:val="single" w:color="auto" w:sz="4" w:space="0"/>
                    <w:right w:val="single" w:color="auto" w:sz="4" w:space="0"/>
                  </w:tcBorders>
                  <w:vAlign w:val="center"/>
                </w:tcPr>
                <w:p w14:paraId="558B929B">
                  <w:pPr>
                    <w:keepNext w:val="0"/>
                    <w:keepLines w:val="0"/>
                    <w:widowControl/>
                    <w:suppressLineNumbers w:val="0"/>
                    <w:jc w:val="center"/>
                    <w:rPr>
                      <w:rFonts w:hint="eastAsia" w:cs="宋体"/>
                      <w:color w:val="auto"/>
                      <w:sz w:val="22"/>
                      <w:szCs w:val="22"/>
                      <w:highlight w:val="none"/>
                    </w:rPr>
                  </w:pPr>
                  <w:r>
                    <w:rPr>
                      <w:rFonts w:hint="eastAsia" w:ascii="宋体" w:hAnsi="宋体" w:cs="宋体"/>
                      <w:color w:val="auto"/>
                      <w:kern w:val="0"/>
                      <w:sz w:val="20"/>
                      <w:szCs w:val="20"/>
                      <w:highlight w:val="none"/>
                      <w:lang w:val="en-US" w:eastAsia="zh-CN" w:bidi="ar"/>
                    </w:rPr>
                    <w:t>日均</w:t>
                  </w:r>
                  <w:r>
                    <w:rPr>
                      <w:rFonts w:hint="eastAsia" w:ascii="宋体" w:hAnsi="宋体" w:eastAsia="宋体" w:cs="宋体"/>
                      <w:color w:val="auto"/>
                      <w:kern w:val="0"/>
                      <w:sz w:val="20"/>
                      <w:szCs w:val="20"/>
                      <w:highlight w:val="none"/>
                      <w:lang w:val="en-US" w:eastAsia="zh-CN" w:bidi="ar"/>
                    </w:rPr>
                    <w:t>值</w:t>
                  </w:r>
                </w:p>
              </w:tc>
              <w:tc>
                <w:tcPr>
                  <w:tcW w:w="478" w:type="pct"/>
                  <w:tcBorders>
                    <w:top w:val="single" w:color="auto" w:sz="4" w:space="0"/>
                    <w:left w:val="single" w:color="auto" w:sz="4" w:space="0"/>
                    <w:bottom w:val="single" w:color="auto" w:sz="4" w:space="0"/>
                    <w:right w:val="single" w:color="auto" w:sz="4" w:space="0"/>
                  </w:tcBorders>
                  <w:vAlign w:val="center"/>
                </w:tcPr>
                <w:p w14:paraId="21746403">
                  <w:pPr>
                    <w:keepNext w:val="0"/>
                    <w:keepLines w:val="0"/>
                    <w:widowControl/>
                    <w:suppressLineNumbers w:val="0"/>
                    <w:kinsoku w:val="0"/>
                    <w:overflowPunct w:val="0"/>
                    <w:autoSpaceDE w:val="0"/>
                    <w:autoSpaceDN w:val="0"/>
                    <w:adjustRightInd w:val="0"/>
                    <w:snapToGrid w:val="0"/>
                    <w:jc w:val="center"/>
                    <w:rPr>
                      <w:rFonts w:hint="default" w:eastAsia="宋体"/>
                      <w:color w:val="auto"/>
                      <w:sz w:val="22"/>
                      <w:szCs w:val="22"/>
                      <w:highlight w:val="none"/>
                      <w:lang w:val="en-US" w:eastAsia="zh-CN"/>
                    </w:rPr>
                  </w:pPr>
                  <w:r>
                    <w:rPr>
                      <w:rFonts w:hint="eastAsia"/>
                      <w:color w:val="auto"/>
                      <w:sz w:val="22"/>
                      <w:szCs w:val="22"/>
                      <w:highlight w:val="none"/>
                      <w:lang w:val="en-US" w:eastAsia="zh-CN"/>
                    </w:rPr>
                    <w:t>150</w:t>
                  </w:r>
                </w:p>
              </w:tc>
              <w:tc>
                <w:tcPr>
                  <w:tcW w:w="478" w:type="pct"/>
                  <w:tcBorders>
                    <w:top w:val="single" w:color="auto" w:sz="4" w:space="0"/>
                    <w:left w:val="single" w:color="auto" w:sz="4" w:space="0"/>
                    <w:bottom w:val="single" w:color="auto" w:sz="4" w:space="0"/>
                    <w:right w:val="single" w:color="auto" w:sz="4" w:space="0"/>
                  </w:tcBorders>
                  <w:vAlign w:val="center"/>
                </w:tcPr>
                <w:p w14:paraId="238B8CE4">
                  <w:pPr>
                    <w:keepNext w:val="0"/>
                    <w:keepLines w:val="0"/>
                    <w:widowControl/>
                    <w:suppressLineNumbers w:val="0"/>
                    <w:kinsoku w:val="0"/>
                    <w:overflowPunct w:val="0"/>
                    <w:autoSpaceDE w:val="0"/>
                    <w:autoSpaceDN w:val="0"/>
                    <w:adjustRightInd w:val="0"/>
                    <w:snapToGrid w:val="0"/>
                    <w:jc w:val="center"/>
                    <w:rPr>
                      <w:rFonts w:hint="default" w:eastAsia="宋体"/>
                      <w:color w:val="auto"/>
                      <w:sz w:val="22"/>
                      <w:szCs w:val="22"/>
                      <w:highlight w:val="none"/>
                      <w:lang w:val="en-US" w:eastAsia="zh-CN"/>
                    </w:rPr>
                  </w:pPr>
                  <w:r>
                    <w:rPr>
                      <w:rFonts w:hint="eastAsia"/>
                      <w:color w:val="auto"/>
                      <w:sz w:val="22"/>
                      <w:szCs w:val="22"/>
                      <w:highlight w:val="none"/>
                      <w:lang w:val="en-US" w:eastAsia="zh-CN"/>
                    </w:rPr>
                    <w:t>134</w:t>
                  </w:r>
                </w:p>
              </w:tc>
              <w:tc>
                <w:tcPr>
                  <w:tcW w:w="478" w:type="pct"/>
                  <w:tcBorders>
                    <w:top w:val="single" w:color="auto" w:sz="4" w:space="0"/>
                    <w:left w:val="single" w:color="auto" w:sz="4" w:space="0"/>
                    <w:bottom w:val="single" w:color="auto" w:sz="4" w:space="0"/>
                    <w:right w:val="single" w:color="auto" w:sz="4" w:space="0"/>
                  </w:tcBorders>
                  <w:vAlign w:val="center"/>
                </w:tcPr>
                <w:p w14:paraId="323075DD">
                  <w:pPr>
                    <w:keepNext w:val="0"/>
                    <w:keepLines w:val="0"/>
                    <w:widowControl/>
                    <w:suppressLineNumbers w:val="0"/>
                    <w:kinsoku w:val="0"/>
                    <w:overflowPunct w:val="0"/>
                    <w:autoSpaceDE w:val="0"/>
                    <w:autoSpaceDN w:val="0"/>
                    <w:adjustRightInd w:val="0"/>
                    <w:snapToGrid w:val="0"/>
                    <w:jc w:val="center"/>
                    <w:rPr>
                      <w:rFonts w:hint="default" w:eastAsia="宋体"/>
                      <w:color w:val="auto"/>
                      <w:sz w:val="22"/>
                      <w:szCs w:val="22"/>
                      <w:highlight w:val="none"/>
                      <w:lang w:val="en-US" w:eastAsia="zh-CN"/>
                    </w:rPr>
                  </w:pPr>
                  <w:r>
                    <w:rPr>
                      <w:rFonts w:hint="eastAsia"/>
                      <w:color w:val="auto"/>
                      <w:sz w:val="22"/>
                      <w:szCs w:val="22"/>
                      <w:highlight w:val="none"/>
                      <w:lang w:val="en-US" w:eastAsia="zh-CN"/>
                    </w:rPr>
                    <w:t>136</w:t>
                  </w:r>
                </w:p>
              </w:tc>
              <w:tc>
                <w:tcPr>
                  <w:tcW w:w="478" w:type="pct"/>
                  <w:tcBorders>
                    <w:top w:val="single" w:color="auto" w:sz="4" w:space="0"/>
                    <w:left w:val="single" w:color="auto" w:sz="4" w:space="0"/>
                    <w:bottom w:val="single" w:color="auto" w:sz="4" w:space="0"/>
                    <w:right w:val="single" w:color="auto" w:sz="4" w:space="0"/>
                  </w:tcBorders>
                  <w:vAlign w:val="center"/>
                </w:tcPr>
                <w:p w14:paraId="09D2826E">
                  <w:pPr>
                    <w:keepNext w:val="0"/>
                    <w:keepLines w:val="0"/>
                    <w:widowControl/>
                    <w:suppressLineNumbers w:val="0"/>
                    <w:kinsoku w:val="0"/>
                    <w:overflowPunct w:val="0"/>
                    <w:autoSpaceDE w:val="0"/>
                    <w:autoSpaceDN w:val="0"/>
                    <w:adjustRightInd w:val="0"/>
                    <w:snapToGrid w:val="0"/>
                    <w:jc w:val="center"/>
                    <w:rPr>
                      <w:rFonts w:hint="default" w:eastAsia="宋体"/>
                      <w:color w:val="auto"/>
                      <w:sz w:val="22"/>
                      <w:szCs w:val="22"/>
                      <w:highlight w:val="none"/>
                      <w:lang w:val="en-US" w:eastAsia="zh-CN"/>
                    </w:rPr>
                  </w:pPr>
                  <w:r>
                    <w:rPr>
                      <w:rFonts w:hint="eastAsia"/>
                      <w:color w:val="auto"/>
                      <w:sz w:val="22"/>
                      <w:szCs w:val="22"/>
                      <w:highlight w:val="none"/>
                      <w:lang w:val="en-US" w:eastAsia="zh-CN"/>
                    </w:rPr>
                    <w:t>139</w:t>
                  </w:r>
                </w:p>
              </w:tc>
              <w:tc>
                <w:tcPr>
                  <w:tcW w:w="478" w:type="pct"/>
                  <w:tcBorders>
                    <w:top w:val="single" w:color="auto" w:sz="4" w:space="0"/>
                    <w:left w:val="single" w:color="auto" w:sz="4" w:space="0"/>
                    <w:bottom w:val="single" w:color="auto" w:sz="4" w:space="0"/>
                    <w:right w:val="single" w:color="auto" w:sz="4" w:space="0"/>
                  </w:tcBorders>
                  <w:vAlign w:val="center"/>
                </w:tcPr>
                <w:p w14:paraId="6737A29E">
                  <w:pPr>
                    <w:keepNext w:val="0"/>
                    <w:keepLines w:val="0"/>
                    <w:widowControl/>
                    <w:suppressLineNumbers w:val="0"/>
                    <w:kinsoku w:val="0"/>
                    <w:overflowPunct w:val="0"/>
                    <w:autoSpaceDE w:val="0"/>
                    <w:autoSpaceDN w:val="0"/>
                    <w:adjustRightInd w:val="0"/>
                    <w:snapToGrid w:val="0"/>
                    <w:jc w:val="center"/>
                    <w:rPr>
                      <w:rFonts w:hint="default" w:eastAsia="宋体"/>
                      <w:color w:val="auto"/>
                      <w:sz w:val="22"/>
                      <w:szCs w:val="22"/>
                      <w:highlight w:val="none"/>
                      <w:lang w:val="en-US" w:eastAsia="zh-CN"/>
                    </w:rPr>
                  </w:pPr>
                  <w:r>
                    <w:rPr>
                      <w:rFonts w:hint="eastAsia"/>
                      <w:color w:val="auto"/>
                      <w:sz w:val="22"/>
                      <w:szCs w:val="22"/>
                      <w:highlight w:val="none"/>
                      <w:lang w:val="en-US" w:eastAsia="zh-CN"/>
                    </w:rPr>
                    <w:t>147</w:t>
                  </w:r>
                </w:p>
              </w:tc>
              <w:tc>
                <w:tcPr>
                  <w:tcW w:w="478" w:type="pct"/>
                  <w:tcBorders>
                    <w:top w:val="single" w:color="auto" w:sz="4" w:space="0"/>
                    <w:left w:val="single" w:color="auto" w:sz="4" w:space="0"/>
                    <w:bottom w:val="single" w:color="auto" w:sz="4" w:space="0"/>
                    <w:right w:val="single" w:color="auto" w:sz="4" w:space="0"/>
                  </w:tcBorders>
                  <w:vAlign w:val="center"/>
                </w:tcPr>
                <w:p w14:paraId="6B5F6B5E">
                  <w:pPr>
                    <w:keepNext w:val="0"/>
                    <w:keepLines w:val="0"/>
                    <w:widowControl/>
                    <w:suppressLineNumbers w:val="0"/>
                    <w:kinsoku w:val="0"/>
                    <w:overflowPunct w:val="0"/>
                    <w:autoSpaceDE w:val="0"/>
                    <w:autoSpaceDN w:val="0"/>
                    <w:adjustRightInd w:val="0"/>
                    <w:snapToGrid w:val="0"/>
                    <w:jc w:val="center"/>
                    <w:rPr>
                      <w:rFonts w:hint="default" w:eastAsia="宋体"/>
                      <w:color w:val="auto"/>
                      <w:sz w:val="22"/>
                      <w:szCs w:val="22"/>
                      <w:highlight w:val="none"/>
                      <w:lang w:val="en-US" w:eastAsia="zh-CN"/>
                    </w:rPr>
                  </w:pPr>
                  <w:r>
                    <w:rPr>
                      <w:rFonts w:hint="eastAsia"/>
                      <w:color w:val="auto"/>
                      <w:sz w:val="22"/>
                      <w:szCs w:val="22"/>
                      <w:highlight w:val="none"/>
                      <w:lang w:val="en-US" w:eastAsia="zh-CN"/>
                    </w:rPr>
                    <w:t>154</w:t>
                  </w:r>
                </w:p>
              </w:tc>
              <w:tc>
                <w:tcPr>
                  <w:tcW w:w="481" w:type="pct"/>
                  <w:tcBorders>
                    <w:top w:val="single" w:color="auto" w:sz="4" w:space="0"/>
                    <w:left w:val="single" w:color="auto" w:sz="4" w:space="0"/>
                    <w:bottom w:val="single" w:color="auto" w:sz="4" w:space="0"/>
                    <w:right w:val="single" w:color="auto" w:sz="4" w:space="0"/>
                  </w:tcBorders>
                  <w:vAlign w:val="center"/>
                </w:tcPr>
                <w:p w14:paraId="29B03823">
                  <w:pPr>
                    <w:keepNext w:val="0"/>
                    <w:keepLines w:val="0"/>
                    <w:widowControl/>
                    <w:suppressLineNumbers w:val="0"/>
                    <w:kinsoku w:val="0"/>
                    <w:overflowPunct w:val="0"/>
                    <w:autoSpaceDE w:val="0"/>
                    <w:autoSpaceDN w:val="0"/>
                    <w:adjustRightInd w:val="0"/>
                    <w:snapToGrid w:val="0"/>
                    <w:jc w:val="center"/>
                    <w:rPr>
                      <w:rFonts w:hint="default" w:eastAsia="宋体" w:cs="宋体"/>
                      <w:color w:val="auto"/>
                      <w:sz w:val="22"/>
                      <w:szCs w:val="22"/>
                      <w:highlight w:val="none"/>
                      <w:lang w:val="en-US" w:eastAsia="zh-CN"/>
                    </w:rPr>
                  </w:pPr>
                  <w:r>
                    <w:rPr>
                      <w:rFonts w:hint="eastAsia" w:cs="宋体"/>
                      <w:color w:val="auto"/>
                      <w:sz w:val="22"/>
                      <w:szCs w:val="22"/>
                      <w:highlight w:val="none"/>
                      <w:lang w:val="en-US" w:eastAsia="zh-CN"/>
                    </w:rPr>
                    <w:t>157</w:t>
                  </w:r>
                </w:p>
              </w:tc>
            </w:tr>
            <w:tr w14:paraId="7BF81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jc w:val="center"/>
              </w:trPr>
              <w:tc>
                <w:tcPr>
                  <w:tcW w:w="693" w:type="pct"/>
                  <w:tcBorders>
                    <w:left w:val="single" w:color="auto" w:sz="4" w:space="0"/>
                    <w:right w:val="single" w:color="auto" w:sz="4" w:space="0"/>
                  </w:tcBorders>
                  <w:vAlign w:val="center"/>
                </w:tcPr>
                <w:p w14:paraId="7B7EA835">
                  <w:pPr>
                    <w:kinsoku w:val="0"/>
                    <w:overflowPunct w:val="0"/>
                    <w:autoSpaceDE w:val="0"/>
                    <w:autoSpaceDN w:val="0"/>
                    <w:adjustRightInd w:val="0"/>
                    <w:snapToGrid w:val="0"/>
                    <w:jc w:val="center"/>
                    <w:rPr>
                      <w:color w:val="auto"/>
                      <w:sz w:val="22"/>
                      <w:szCs w:val="22"/>
                      <w:highlight w:val="none"/>
                    </w:rPr>
                  </w:pPr>
                  <w:r>
                    <w:rPr>
                      <w:rFonts w:hint="eastAsia"/>
                      <w:color w:val="auto"/>
                      <w:sz w:val="22"/>
                      <w:szCs w:val="22"/>
                      <w:highlight w:val="none"/>
                      <w:lang w:val="en-US" w:eastAsia="zh-CN"/>
                    </w:rPr>
                    <w:t xml:space="preserve">G2 </w:t>
                  </w:r>
                  <w:r>
                    <w:rPr>
                      <w:rFonts w:hint="eastAsia" w:ascii="宋体" w:hAnsi="宋体" w:cs="宋体"/>
                      <w:color w:val="auto"/>
                      <w:sz w:val="24"/>
                      <w:szCs w:val="24"/>
                      <w:highlight w:val="none"/>
                      <w:lang w:val="en-US" w:eastAsia="zh-CN"/>
                    </w:rPr>
                    <w:t>代庄子</w:t>
                  </w:r>
                </w:p>
              </w:tc>
              <w:tc>
                <w:tcPr>
                  <w:tcW w:w="477" w:type="pct"/>
                  <w:tcBorders>
                    <w:top w:val="single" w:color="auto" w:sz="4" w:space="0"/>
                    <w:left w:val="single" w:color="auto" w:sz="4" w:space="0"/>
                    <w:right w:val="single" w:color="auto" w:sz="4" w:space="0"/>
                  </w:tcBorders>
                  <w:vAlign w:val="center"/>
                </w:tcPr>
                <w:p w14:paraId="30D54CAC">
                  <w:pPr>
                    <w:kinsoku w:val="0"/>
                    <w:overflowPunct w:val="0"/>
                    <w:autoSpaceDE w:val="0"/>
                    <w:autoSpaceDN w:val="0"/>
                    <w:adjustRightInd w:val="0"/>
                    <w:snapToGrid w:val="0"/>
                    <w:jc w:val="center"/>
                    <w:rPr>
                      <w:rFonts w:hint="default" w:eastAsia="宋体"/>
                      <w:color w:val="auto"/>
                      <w:sz w:val="22"/>
                      <w:szCs w:val="22"/>
                      <w:highlight w:val="none"/>
                      <w:lang w:val="en-US" w:eastAsia="zh-CN"/>
                    </w:rPr>
                  </w:pPr>
                  <w:r>
                    <w:rPr>
                      <w:rFonts w:hint="eastAsia" w:cs="宋体"/>
                      <w:color w:val="auto"/>
                      <w:sz w:val="22"/>
                      <w:szCs w:val="22"/>
                      <w:highlight w:val="none"/>
                      <w:lang w:val="en-US" w:eastAsia="zh-CN"/>
                    </w:rPr>
                    <w:t>TSP</w:t>
                  </w:r>
                </w:p>
              </w:tc>
              <w:tc>
                <w:tcPr>
                  <w:tcW w:w="478" w:type="pct"/>
                  <w:tcBorders>
                    <w:top w:val="single" w:color="auto" w:sz="4" w:space="0"/>
                    <w:left w:val="single" w:color="auto" w:sz="4" w:space="0"/>
                    <w:right w:val="single" w:color="auto" w:sz="4" w:space="0"/>
                  </w:tcBorders>
                  <w:vAlign w:val="center"/>
                </w:tcPr>
                <w:p w14:paraId="54E0AE2B">
                  <w:pPr>
                    <w:keepNext w:val="0"/>
                    <w:keepLines w:val="0"/>
                    <w:widowControl/>
                    <w:suppressLineNumbers w:val="0"/>
                    <w:jc w:val="center"/>
                    <w:rPr>
                      <w:color w:val="auto"/>
                      <w:highlight w:val="none"/>
                    </w:rPr>
                  </w:pPr>
                  <w:r>
                    <w:rPr>
                      <w:rFonts w:hint="eastAsia" w:ascii="宋体" w:hAnsi="宋体" w:cs="宋体"/>
                      <w:color w:val="auto"/>
                      <w:kern w:val="0"/>
                      <w:sz w:val="20"/>
                      <w:szCs w:val="20"/>
                      <w:highlight w:val="none"/>
                      <w:lang w:val="en-US" w:eastAsia="zh-CN" w:bidi="ar"/>
                    </w:rPr>
                    <w:t>日均</w:t>
                  </w:r>
                </w:p>
                <w:p w14:paraId="57E90FAB">
                  <w:pPr>
                    <w:keepNext w:val="0"/>
                    <w:keepLines w:val="0"/>
                    <w:widowControl/>
                    <w:suppressLineNumbers w:val="0"/>
                    <w:jc w:val="center"/>
                    <w:rPr>
                      <w:rFonts w:hint="eastAsia" w:cs="宋体"/>
                      <w:color w:val="auto"/>
                      <w:sz w:val="22"/>
                      <w:szCs w:val="22"/>
                      <w:highlight w:val="none"/>
                    </w:rPr>
                  </w:pPr>
                  <w:r>
                    <w:rPr>
                      <w:rFonts w:hint="eastAsia" w:ascii="宋体" w:hAnsi="宋体" w:eastAsia="宋体" w:cs="宋体"/>
                      <w:color w:val="auto"/>
                      <w:kern w:val="0"/>
                      <w:sz w:val="20"/>
                      <w:szCs w:val="20"/>
                      <w:highlight w:val="none"/>
                      <w:lang w:val="en-US" w:eastAsia="zh-CN" w:bidi="ar"/>
                    </w:rPr>
                    <w:t>值</w:t>
                  </w:r>
                </w:p>
              </w:tc>
              <w:tc>
                <w:tcPr>
                  <w:tcW w:w="478" w:type="pct"/>
                  <w:tcBorders>
                    <w:top w:val="single" w:color="auto" w:sz="4" w:space="0"/>
                    <w:left w:val="single" w:color="auto" w:sz="4" w:space="0"/>
                    <w:bottom w:val="single" w:color="auto" w:sz="4" w:space="0"/>
                    <w:right w:val="single" w:color="auto" w:sz="4" w:space="0"/>
                  </w:tcBorders>
                  <w:vAlign w:val="center"/>
                </w:tcPr>
                <w:p w14:paraId="51CB598E">
                  <w:pPr>
                    <w:kinsoku w:val="0"/>
                    <w:overflowPunct w:val="0"/>
                    <w:autoSpaceDE w:val="0"/>
                    <w:autoSpaceDN w:val="0"/>
                    <w:adjustRightInd w:val="0"/>
                    <w:snapToGrid w:val="0"/>
                    <w:jc w:val="center"/>
                    <w:rPr>
                      <w:rFonts w:hint="default" w:eastAsia="宋体"/>
                      <w:color w:val="auto"/>
                      <w:sz w:val="22"/>
                      <w:szCs w:val="22"/>
                      <w:highlight w:val="none"/>
                      <w:lang w:val="en-US" w:eastAsia="zh-CN"/>
                    </w:rPr>
                  </w:pPr>
                  <w:r>
                    <w:rPr>
                      <w:rFonts w:hint="eastAsia"/>
                      <w:color w:val="auto"/>
                      <w:sz w:val="22"/>
                      <w:szCs w:val="22"/>
                      <w:highlight w:val="none"/>
                      <w:lang w:val="en-US" w:eastAsia="zh-CN"/>
                    </w:rPr>
                    <w:t>138</w:t>
                  </w:r>
                </w:p>
              </w:tc>
              <w:tc>
                <w:tcPr>
                  <w:tcW w:w="478" w:type="pct"/>
                  <w:tcBorders>
                    <w:top w:val="single" w:color="auto" w:sz="4" w:space="0"/>
                    <w:left w:val="single" w:color="auto" w:sz="4" w:space="0"/>
                    <w:bottom w:val="single" w:color="auto" w:sz="4" w:space="0"/>
                    <w:right w:val="single" w:color="auto" w:sz="4" w:space="0"/>
                  </w:tcBorders>
                  <w:vAlign w:val="center"/>
                </w:tcPr>
                <w:p w14:paraId="69ED143F">
                  <w:pPr>
                    <w:kinsoku w:val="0"/>
                    <w:overflowPunct w:val="0"/>
                    <w:autoSpaceDE w:val="0"/>
                    <w:autoSpaceDN w:val="0"/>
                    <w:adjustRightInd w:val="0"/>
                    <w:snapToGrid w:val="0"/>
                    <w:jc w:val="center"/>
                    <w:rPr>
                      <w:rFonts w:hint="default" w:eastAsia="宋体"/>
                      <w:color w:val="auto"/>
                      <w:sz w:val="22"/>
                      <w:szCs w:val="22"/>
                      <w:highlight w:val="none"/>
                      <w:lang w:val="en-US" w:eastAsia="zh-CN"/>
                    </w:rPr>
                  </w:pPr>
                  <w:r>
                    <w:rPr>
                      <w:rFonts w:hint="eastAsia"/>
                      <w:color w:val="auto"/>
                      <w:sz w:val="22"/>
                      <w:szCs w:val="22"/>
                      <w:highlight w:val="none"/>
                      <w:lang w:val="en-US" w:eastAsia="zh-CN"/>
                    </w:rPr>
                    <w:t>132</w:t>
                  </w:r>
                </w:p>
              </w:tc>
              <w:tc>
                <w:tcPr>
                  <w:tcW w:w="478" w:type="pct"/>
                  <w:tcBorders>
                    <w:top w:val="single" w:color="auto" w:sz="4" w:space="0"/>
                    <w:left w:val="single" w:color="auto" w:sz="4" w:space="0"/>
                    <w:bottom w:val="single" w:color="auto" w:sz="4" w:space="0"/>
                    <w:right w:val="single" w:color="auto" w:sz="4" w:space="0"/>
                  </w:tcBorders>
                  <w:vAlign w:val="center"/>
                </w:tcPr>
                <w:p w14:paraId="4CD58A0B">
                  <w:pPr>
                    <w:kinsoku w:val="0"/>
                    <w:overflowPunct w:val="0"/>
                    <w:autoSpaceDE w:val="0"/>
                    <w:autoSpaceDN w:val="0"/>
                    <w:adjustRightInd w:val="0"/>
                    <w:snapToGrid w:val="0"/>
                    <w:jc w:val="center"/>
                    <w:rPr>
                      <w:rFonts w:hint="default" w:eastAsia="宋体"/>
                      <w:color w:val="auto"/>
                      <w:sz w:val="22"/>
                      <w:szCs w:val="22"/>
                      <w:highlight w:val="none"/>
                      <w:lang w:val="en-US" w:eastAsia="zh-CN"/>
                    </w:rPr>
                  </w:pPr>
                  <w:r>
                    <w:rPr>
                      <w:rFonts w:hint="eastAsia"/>
                      <w:color w:val="auto"/>
                      <w:sz w:val="22"/>
                      <w:szCs w:val="22"/>
                      <w:highlight w:val="none"/>
                      <w:lang w:val="en-US" w:eastAsia="zh-CN"/>
                    </w:rPr>
                    <w:t>134</w:t>
                  </w:r>
                </w:p>
              </w:tc>
              <w:tc>
                <w:tcPr>
                  <w:tcW w:w="478" w:type="pct"/>
                  <w:tcBorders>
                    <w:top w:val="single" w:color="auto" w:sz="4" w:space="0"/>
                    <w:left w:val="single" w:color="auto" w:sz="4" w:space="0"/>
                    <w:bottom w:val="single" w:color="auto" w:sz="4" w:space="0"/>
                    <w:right w:val="single" w:color="auto" w:sz="4" w:space="0"/>
                  </w:tcBorders>
                  <w:vAlign w:val="center"/>
                </w:tcPr>
                <w:p w14:paraId="142C098D">
                  <w:pPr>
                    <w:kinsoku w:val="0"/>
                    <w:overflowPunct w:val="0"/>
                    <w:autoSpaceDE w:val="0"/>
                    <w:autoSpaceDN w:val="0"/>
                    <w:adjustRightInd w:val="0"/>
                    <w:snapToGrid w:val="0"/>
                    <w:jc w:val="center"/>
                    <w:rPr>
                      <w:rFonts w:hint="default" w:eastAsia="宋体"/>
                      <w:color w:val="auto"/>
                      <w:sz w:val="22"/>
                      <w:szCs w:val="22"/>
                      <w:highlight w:val="none"/>
                      <w:lang w:val="en-US" w:eastAsia="zh-CN"/>
                    </w:rPr>
                  </w:pPr>
                  <w:r>
                    <w:rPr>
                      <w:rFonts w:hint="eastAsia"/>
                      <w:color w:val="auto"/>
                      <w:sz w:val="22"/>
                      <w:szCs w:val="22"/>
                      <w:highlight w:val="none"/>
                      <w:lang w:val="en-US" w:eastAsia="zh-CN"/>
                    </w:rPr>
                    <w:t>135</w:t>
                  </w:r>
                </w:p>
              </w:tc>
              <w:tc>
                <w:tcPr>
                  <w:tcW w:w="478" w:type="pct"/>
                  <w:tcBorders>
                    <w:top w:val="single" w:color="auto" w:sz="4" w:space="0"/>
                    <w:left w:val="single" w:color="auto" w:sz="4" w:space="0"/>
                    <w:bottom w:val="single" w:color="auto" w:sz="4" w:space="0"/>
                    <w:right w:val="single" w:color="auto" w:sz="4" w:space="0"/>
                  </w:tcBorders>
                  <w:vAlign w:val="center"/>
                </w:tcPr>
                <w:p w14:paraId="445D24EF">
                  <w:pPr>
                    <w:kinsoku w:val="0"/>
                    <w:overflowPunct w:val="0"/>
                    <w:autoSpaceDE w:val="0"/>
                    <w:autoSpaceDN w:val="0"/>
                    <w:adjustRightInd w:val="0"/>
                    <w:snapToGrid w:val="0"/>
                    <w:jc w:val="center"/>
                    <w:rPr>
                      <w:rFonts w:hint="default" w:eastAsia="宋体"/>
                      <w:color w:val="auto"/>
                      <w:sz w:val="22"/>
                      <w:szCs w:val="22"/>
                      <w:highlight w:val="none"/>
                      <w:lang w:val="en-US" w:eastAsia="zh-CN"/>
                    </w:rPr>
                  </w:pPr>
                  <w:r>
                    <w:rPr>
                      <w:rFonts w:hint="eastAsia"/>
                      <w:color w:val="auto"/>
                      <w:sz w:val="22"/>
                      <w:szCs w:val="22"/>
                      <w:highlight w:val="none"/>
                      <w:lang w:val="en-US" w:eastAsia="zh-CN"/>
                    </w:rPr>
                    <w:t>143</w:t>
                  </w:r>
                </w:p>
              </w:tc>
              <w:tc>
                <w:tcPr>
                  <w:tcW w:w="478" w:type="pct"/>
                  <w:tcBorders>
                    <w:top w:val="single" w:color="auto" w:sz="4" w:space="0"/>
                    <w:left w:val="single" w:color="auto" w:sz="4" w:space="0"/>
                    <w:bottom w:val="single" w:color="auto" w:sz="4" w:space="0"/>
                    <w:right w:val="single" w:color="auto" w:sz="4" w:space="0"/>
                  </w:tcBorders>
                  <w:vAlign w:val="center"/>
                </w:tcPr>
                <w:p w14:paraId="63E3E4E6">
                  <w:pPr>
                    <w:adjustRightInd w:val="0"/>
                    <w:snapToGrid w:val="0"/>
                    <w:jc w:val="center"/>
                    <w:rPr>
                      <w:rFonts w:hint="default" w:eastAsia="宋体"/>
                      <w:color w:val="auto"/>
                      <w:kern w:val="0"/>
                      <w:highlight w:val="none"/>
                      <w:lang w:val="en-US" w:eastAsia="zh-CN"/>
                    </w:rPr>
                  </w:pPr>
                  <w:r>
                    <w:rPr>
                      <w:rFonts w:hint="eastAsia"/>
                      <w:color w:val="auto"/>
                      <w:kern w:val="0"/>
                      <w:highlight w:val="none"/>
                      <w:lang w:val="en-US" w:eastAsia="zh-CN"/>
                    </w:rPr>
                    <w:t>142</w:t>
                  </w:r>
                </w:p>
              </w:tc>
              <w:tc>
                <w:tcPr>
                  <w:tcW w:w="481" w:type="pct"/>
                  <w:tcBorders>
                    <w:top w:val="single" w:color="auto" w:sz="4" w:space="0"/>
                    <w:left w:val="single" w:color="auto" w:sz="4" w:space="0"/>
                    <w:bottom w:val="single" w:color="auto" w:sz="4" w:space="0"/>
                    <w:right w:val="single" w:color="auto" w:sz="4" w:space="0"/>
                  </w:tcBorders>
                  <w:vAlign w:val="center"/>
                </w:tcPr>
                <w:p w14:paraId="12271A68">
                  <w:pPr>
                    <w:adjustRightInd w:val="0"/>
                    <w:snapToGrid w:val="0"/>
                    <w:jc w:val="center"/>
                    <w:rPr>
                      <w:rFonts w:hint="default" w:eastAsia="宋体"/>
                      <w:color w:val="auto"/>
                      <w:kern w:val="0"/>
                      <w:highlight w:val="none"/>
                      <w:lang w:val="en-US" w:eastAsia="zh-CN"/>
                    </w:rPr>
                  </w:pPr>
                  <w:r>
                    <w:rPr>
                      <w:rFonts w:hint="eastAsia"/>
                      <w:color w:val="auto"/>
                      <w:kern w:val="0"/>
                      <w:highlight w:val="none"/>
                      <w:lang w:val="en-US" w:eastAsia="zh-CN"/>
                    </w:rPr>
                    <w:t>153</w:t>
                  </w:r>
                </w:p>
              </w:tc>
            </w:tr>
          </w:tbl>
          <w:p w14:paraId="338B0049">
            <w:pPr>
              <w:keepNext w:val="0"/>
              <w:keepLines w:val="0"/>
              <w:pageBreakBefore w:val="0"/>
              <w:widowControl w:val="0"/>
              <w:kinsoku/>
              <w:wordWrap/>
              <w:overflowPunct/>
              <w:topLinePunct w:val="0"/>
              <w:autoSpaceDE/>
              <w:autoSpaceDN/>
              <w:bidi w:val="0"/>
              <w:adjustRightInd w:val="0"/>
              <w:snapToGrid/>
              <w:spacing w:before="313" w:beforeLines="100" w:line="360" w:lineRule="auto"/>
              <w:ind w:firstLine="480" w:firstLineChars="200"/>
              <w:jc w:val="left"/>
              <w:textAlignment w:val="auto"/>
              <w:rPr>
                <w:rFonts w:hint="eastAsia" w:ascii="宋体" w:hAnsi="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引用监测点位位置与本项目的地理位置图：</w:t>
            </w:r>
            <w:r>
              <w:rPr>
                <w:sz w:val="21"/>
              </w:rPr>
              <mc:AlternateContent>
                <mc:Choice Requires="wps">
                  <w:drawing>
                    <wp:anchor distT="0" distB="0" distL="114300" distR="114300" simplePos="0" relativeHeight="251663360" behindDoc="0" locked="0" layoutInCell="1" allowOverlap="1">
                      <wp:simplePos x="0" y="0"/>
                      <wp:positionH relativeFrom="column">
                        <wp:posOffset>-35560</wp:posOffset>
                      </wp:positionH>
                      <wp:positionV relativeFrom="paragraph">
                        <wp:posOffset>-16510</wp:posOffset>
                      </wp:positionV>
                      <wp:extent cx="5162550" cy="4610100"/>
                      <wp:effectExtent l="12700" t="12700" r="21590" b="25400"/>
                      <wp:wrapNone/>
                      <wp:docPr id="30" name="矩形 30"/>
                      <wp:cNvGraphicFramePr/>
                      <a:graphic xmlns:a="http://schemas.openxmlformats.org/drawingml/2006/main">
                        <a:graphicData uri="http://schemas.microsoft.com/office/word/2010/wordprocessingShape">
                          <wps:wsp>
                            <wps:cNvSpPr/>
                            <wps:spPr>
                              <a:xfrm>
                                <a:off x="1466850" y="1069975"/>
                                <a:ext cx="5162550" cy="4610100"/>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pt;margin-top:-1.3pt;height:363pt;width:406.5pt;z-index:251663360;v-text-anchor:middle;mso-width-relative:page;mso-height-relative:page;" filled="f" stroked="t" coordsize="21600,21600" o:gfxdata="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WYFH42QAAAAkBAAAPAAAAAAAAAAEAIAAAACIAAABkcnMvZG93bnJldi54bWxQ&#10;SwECFAAUAAAACACHTuJAupmt2WgCAADDBAAADgAAAAAAAAABACAAAAAoAQAAZHJzL2Uyb0RvYy54&#10;bWxQSwUGAAAAAAYABgBZAQAAAgYAAAAA&#10;">
                      <v:fill on="f" focussize="0,0"/>
                      <v:stroke weight="2pt" color="#000000 [3213]" joinstyle="round"/>
                      <v:imagedata o:title=""/>
                      <o:lock v:ext="edit" aspectratio="f"/>
                    </v:rect>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4390390</wp:posOffset>
                      </wp:positionH>
                      <wp:positionV relativeFrom="paragraph">
                        <wp:posOffset>4306570</wp:posOffset>
                      </wp:positionV>
                      <wp:extent cx="99695" cy="76200"/>
                      <wp:effectExtent l="12700" t="12700" r="24765" b="17780"/>
                      <wp:wrapNone/>
                      <wp:docPr id="29" name="矩形 29"/>
                      <wp:cNvGraphicFramePr/>
                      <a:graphic xmlns:a="http://schemas.openxmlformats.org/drawingml/2006/main">
                        <a:graphicData uri="http://schemas.microsoft.com/office/word/2010/wordprocessingShape">
                          <wps:wsp>
                            <wps:cNvSpPr/>
                            <wps:spPr>
                              <a:xfrm>
                                <a:off x="5915660" y="5393055"/>
                                <a:ext cx="99695" cy="76200"/>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5.7pt;margin-top:339.1pt;height:6pt;width:7.85pt;z-index:251662336;v-text-anchor:middle;mso-width-relative:page;mso-height-relative:page;" filled="f" stroked="t" coordsize="21600,21600" o:gfxdata="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bHT3udkAAAALAQAADwAAAAAAAAABACAAAAAiAAAAZHJzL2Rvd25yZXYueG1s&#10;UEsBAhQAFAAAAAgAh07iQJAsfPBpAgAAvwQAAA4AAAAAAAAAAQAgAAAAKAEAAGRycy9lMm9Eb2Mu&#10;eG1sUEsFBgAAAAAGAAYAWQEAAAMGAAAAAA==&#10;">
                      <v:fill on="f" focussize="0,0"/>
                      <v:stroke weight="2pt" color="#FF0000 [2404]" joinstyle="round"/>
                      <v:imagedata o:title=""/>
                      <o:lock v:ext="edit" aspectratio="f"/>
                    </v:rect>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4368800</wp:posOffset>
                      </wp:positionH>
                      <wp:positionV relativeFrom="paragraph">
                        <wp:posOffset>4258945</wp:posOffset>
                      </wp:positionV>
                      <wp:extent cx="154305" cy="0"/>
                      <wp:effectExtent l="0" t="12700" r="13335" b="17780"/>
                      <wp:wrapNone/>
                      <wp:docPr id="28" name="直接连接符 28"/>
                      <wp:cNvGraphicFramePr/>
                      <a:graphic xmlns:a="http://schemas.openxmlformats.org/drawingml/2006/main">
                        <a:graphicData uri="http://schemas.microsoft.com/office/word/2010/wordprocessingShape">
                          <wps:wsp>
                            <wps:cNvCnPr/>
                            <wps:spPr>
                              <a:xfrm>
                                <a:off x="5814060" y="5351145"/>
                                <a:ext cx="154305" cy="0"/>
                              </a:xfrm>
                              <a:prstGeom prst="line">
                                <a:avLst/>
                              </a:prstGeom>
                              <a:ln>
                                <a:solidFill>
                                  <a:srgbClr val="0AEE07"/>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344pt;margin-top:335.35pt;height:0pt;width:12.15pt;z-index:251661312;mso-width-relative:page;mso-height-relative:page;" filled="f" stroked="t" coordsize="21600,21600" o:gfxdata="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CVd&#10;fgTXAAAACwEAAA8AAAAAAAAAAQAgAAAAIgAAAGRycy9kb3ducmV2LnhtbFBLAQIUABQAAAAIAIdO&#10;4kAbFO256wEAAKgDAAAOAAAAAAAAAAEAIAAAACYBAABkcnMvZTJvRG9jLnhtbFBLBQYAAAAABgAG&#10;AFkBAACDBQAAAAA=&#10;">
                      <v:fill on="f" focussize="0,0"/>
                      <v:stroke weight="2pt" color="#0AEE07 [3204]" joinstyle="round"/>
                      <v:imagedata o:title=""/>
                      <o:lock v:ext="edit" aspectratio="f"/>
                    </v:lin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4311650</wp:posOffset>
                      </wp:positionH>
                      <wp:positionV relativeFrom="paragraph">
                        <wp:posOffset>4080510</wp:posOffset>
                      </wp:positionV>
                      <wp:extent cx="773430" cy="368300"/>
                      <wp:effectExtent l="4445" t="4445" r="14605" b="8255"/>
                      <wp:wrapNone/>
                      <wp:docPr id="27" name="文本框 27"/>
                      <wp:cNvGraphicFramePr/>
                      <a:graphic xmlns:a="http://schemas.openxmlformats.org/drawingml/2006/main">
                        <a:graphicData uri="http://schemas.microsoft.com/office/word/2010/wordprocessingShape">
                          <wps:wsp>
                            <wps:cNvSpPr txBox="1"/>
                            <wps:spPr>
                              <a:xfrm>
                                <a:off x="0" y="0"/>
                                <a:ext cx="773430" cy="368300"/>
                              </a:xfrm>
                              <a:prstGeom prst="rect">
                                <a:avLst/>
                              </a:prstGeom>
                              <a:noFill/>
                              <a:ln>
                                <a:solidFill>
                                  <a:schemeClr val="tx1"/>
                                </a:solidFill>
                              </a:ln>
                            </wps:spPr>
                            <wps:txbx>
                              <w:txbxContent>
                                <w:p w14:paraId="5FB62215">
                                  <w:pPr>
                                    <w:keepNext w:val="0"/>
                                    <w:keepLines w:val="0"/>
                                    <w:pageBreakBefore w:val="0"/>
                                    <w:widowControl w:val="0"/>
                                    <w:kinsoku/>
                                    <w:wordWrap/>
                                    <w:overflowPunct/>
                                    <w:topLinePunct w:val="0"/>
                                    <w:bidi w:val="0"/>
                                    <w:adjustRightInd/>
                                    <w:snapToGrid w:val="0"/>
                                    <w:ind w:left="220" w:hanging="220" w:hangingChars="200"/>
                                    <w:textAlignment w:val="auto"/>
                                    <w:rPr>
                                      <w:rFonts w:hint="eastAsia"/>
                                      <w:sz w:val="11"/>
                                      <w:szCs w:val="11"/>
                                      <w:lang w:val="en-US" w:eastAsia="zh-CN"/>
                                    </w:rPr>
                                  </w:pPr>
                                  <w:r>
                                    <w:rPr>
                                      <w:rFonts w:hint="eastAsia"/>
                                      <w:sz w:val="11"/>
                                      <w:szCs w:val="11"/>
                                      <w:lang w:val="en-US" w:eastAsia="zh-CN"/>
                                    </w:rPr>
                                    <w:t>图例：</w:t>
                                  </w:r>
                                  <w:r>
                                    <w:rPr>
                                      <w:rFonts w:hint="eastAsia"/>
                                      <w:sz w:val="11"/>
                                      <w:szCs w:val="11"/>
                                      <w:lang w:val="en-US" w:eastAsia="zh-CN"/>
                                    </w:rPr>
                                    <w:br w:type="textWrapping"/>
                                  </w:r>
                                  <w:r>
                                    <w:rPr>
                                      <w:rFonts w:hint="eastAsia"/>
                                      <w:sz w:val="11"/>
                                      <w:szCs w:val="11"/>
                                      <w:lang w:val="en-US" w:eastAsia="zh-CN"/>
                                    </w:rPr>
                                    <w:t>距项目地距离</w:t>
                                  </w:r>
                                  <w:r>
                                    <w:rPr>
                                      <w:rFonts w:hint="eastAsia"/>
                                      <w:sz w:val="11"/>
                                      <w:szCs w:val="11"/>
                                      <w:lang w:val="en-US" w:eastAsia="zh-CN"/>
                                    </w:rPr>
                                    <w:br w:type="textWrapping"/>
                                  </w:r>
                                  <w:r>
                                    <w:rPr>
                                      <w:rFonts w:hint="eastAsia"/>
                                      <w:sz w:val="11"/>
                                      <w:szCs w:val="11"/>
                                      <w:lang w:val="en-US" w:eastAsia="zh-CN"/>
                                    </w:rPr>
                                    <w:t>项目地</w:t>
                                  </w:r>
                                </w:p>
                                <w:p w14:paraId="27FFF4C1">
                                  <w:pPr>
                                    <w:pStyle w:val="2"/>
                                    <w:rPr>
                                      <w:rFonts w:hint="eastAsia"/>
                                      <w:lang w:val="en-US" w:eastAsia="zh-CN"/>
                                    </w:rPr>
                                  </w:pPr>
                                </w:p>
                                <w:p w14:paraId="51B8A3F7">
                                  <w:pPr>
                                    <w:pStyle w:val="2"/>
                                    <w:rPr>
                                      <w:rFonts w:hint="default"/>
                                      <w:lang w:val="en-US" w:eastAsia="zh-CN"/>
                                    </w:rPr>
                                  </w:pPr>
                                </w:p>
                              </w:txbxContent>
                            </wps:txbx>
                            <wps:bodyPr upright="1"/>
                          </wps:wsp>
                        </a:graphicData>
                      </a:graphic>
                    </wp:anchor>
                  </w:drawing>
                </mc:Choice>
                <mc:Fallback>
                  <w:pict>
                    <v:shape id="_x0000_s1026" o:spid="_x0000_s1026" o:spt="202" type="#_x0000_t202" style="position:absolute;left:0pt;margin-left:339.5pt;margin-top:321.3pt;height:29pt;width:60.9pt;z-index:251664384;mso-width-relative:page;mso-height-relative:page;" filled="f" stroked="t" coordsize="21600,21600" o:gfxdata="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BayigLYAAAACwEAAA8AAAAAAAAAAQAgAAAAIgAAAGRycy9kb3ducmV2&#10;LnhtbFBLAQIUABQAAAAIAIdO4kCYv5AhwwEAAHgDAAAOAAAAAAAAAAEAIAAAACcBAABkcnMvZTJv&#10;RG9jLnhtbFBLBQYAAAAABgAGAFkBAABcBQAAAAA=&#10;">
                      <v:fill on="f" focussize="0,0"/>
                      <v:stroke color="#000000 [3213]" joinstyle="round"/>
                      <v:imagedata o:title=""/>
                      <o:lock v:ext="edit" aspectratio="f"/>
                      <v:textbox>
                        <w:txbxContent>
                          <w:p w14:paraId="5FB62215">
                            <w:pPr>
                              <w:keepNext w:val="0"/>
                              <w:keepLines w:val="0"/>
                              <w:pageBreakBefore w:val="0"/>
                              <w:widowControl w:val="0"/>
                              <w:kinsoku/>
                              <w:wordWrap/>
                              <w:overflowPunct/>
                              <w:topLinePunct w:val="0"/>
                              <w:bidi w:val="0"/>
                              <w:adjustRightInd/>
                              <w:snapToGrid w:val="0"/>
                              <w:ind w:left="220" w:hanging="220" w:hangingChars="200"/>
                              <w:textAlignment w:val="auto"/>
                              <w:rPr>
                                <w:rFonts w:hint="eastAsia"/>
                                <w:sz w:val="11"/>
                                <w:szCs w:val="11"/>
                                <w:lang w:val="en-US" w:eastAsia="zh-CN"/>
                              </w:rPr>
                            </w:pPr>
                            <w:r>
                              <w:rPr>
                                <w:rFonts w:hint="eastAsia"/>
                                <w:sz w:val="11"/>
                                <w:szCs w:val="11"/>
                                <w:lang w:val="en-US" w:eastAsia="zh-CN"/>
                              </w:rPr>
                              <w:t>图例：</w:t>
                            </w:r>
                            <w:r>
                              <w:rPr>
                                <w:rFonts w:hint="eastAsia"/>
                                <w:sz w:val="11"/>
                                <w:szCs w:val="11"/>
                                <w:lang w:val="en-US" w:eastAsia="zh-CN"/>
                              </w:rPr>
                              <w:br w:type="textWrapping"/>
                            </w:r>
                            <w:r>
                              <w:rPr>
                                <w:rFonts w:hint="eastAsia"/>
                                <w:sz w:val="11"/>
                                <w:szCs w:val="11"/>
                                <w:lang w:val="en-US" w:eastAsia="zh-CN"/>
                              </w:rPr>
                              <w:t>距项目地距离</w:t>
                            </w:r>
                            <w:r>
                              <w:rPr>
                                <w:rFonts w:hint="eastAsia"/>
                                <w:sz w:val="11"/>
                                <w:szCs w:val="11"/>
                                <w:lang w:val="en-US" w:eastAsia="zh-CN"/>
                              </w:rPr>
                              <w:br w:type="textWrapping"/>
                            </w:r>
                            <w:r>
                              <w:rPr>
                                <w:rFonts w:hint="eastAsia"/>
                                <w:sz w:val="11"/>
                                <w:szCs w:val="11"/>
                                <w:lang w:val="en-US" w:eastAsia="zh-CN"/>
                              </w:rPr>
                              <w:t>项目地</w:t>
                            </w:r>
                          </w:p>
                          <w:p w14:paraId="27FFF4C1">
                            <w:pPr>
                              <w:pStyle w:val="2"/>
                              <w:rPr>
                                <w:rFonts w:hint="eastAsia"/>
                                <w:lang w:val="en-US" w:eastAsia="zh-CN"/>
                              </w:rPr>
                            </w:pPr>
                          </w:p>
                          <w:p w14:paraId="51B8A3F7">
                            <w:pPr>
                              <w:pStyle w:val="2"/>
                              <w:rPr>
                                <w:rFonts w:hint="default"/>
                                <w:lang w:val="en-US" w:eastAsia="zh-CN"/>
                              </w:rPr>
                            </w:pPr>
                          </w:p>
                        </w:txbxContent>
                      </v:textbox>
                    </v:shape>
                  </w:pict>
                </mc:Fallback>
              </mc:AlternateContent>
            </w:r>
            <w:r>
              <w:rPr>
                <w:sz w:val="24"/>
              </w:rPr>
              <w:drawing>
                <wp:anchor distT="0" distB="0" distL="114300" distR="114300" simplePos="0" relativeHeight="251660288" behindDoc="0" locked="0" layoutInCell="1" allowOverlap="1">
                  <wp:simplePos x="0" y="0"/>
                  <wp:positionH relativeFrom="column">
                    <wp:posOffset>4453890</wp:posOffset>
                  </wp:positionH>
                  <wp:positionV relativeFrom="paragraph">
                    <wp:posOffset>-27940</wp:posOffset>
                  </wp:positionV>
                  <wp:extent cx="615950" cy="836295"/>
                  <wp:effectExtent l="0" t="0" r="8890" b="1905"/>
                  <wp:wrapNone/>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pic:cNvPicPr>
                            <a:picLocks noChangeAspect="1"/>
                          </pic:cNvPicPr>
                        </pic:nvPicPr>
                        <pic:blipFill>
                          <a:blip r:embed="rId9"/>
                          <a:srcRect t="1868"/>
                          <a:stretch>
                            <a:fillRect/>
                          </a:stretch>
                        </pic:blipFill>
                        <pic:spPr>
                          <a:xfrm>
                            <a:off x="4508500" y="1424305"/>
                            <a:ext cx="615950" cy="836295"/>
                          </a:xfrm>
                          <a:prstGeom prst="rect">
                            <a:avLst/>
                          </a:prstGeom>
                          <a:noFill/>
                          <a:ln>
                            <a:noFill/>
                          </a:ln>
                        </pic:spPr>
                      </pic:pic>
                    </a:graphicData>
                  </a:graphic>
                </wp:anchor>
              </w:drawing>
            </w:r>
            <w:r>
              <w:rPr>
                <w:color w:val="auto"/>
                <w:highlight w:val="none"/>
              </w:rPr>
              <w:drawing>
                <wp:inline distT="0" distB="0" distL="114300" distR="114300">
                  <wp:extent cx="5056505" cy="4063365"/>
                  <wp:effectExtent l="0" t="0" r="3175" b="5715"/>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10"/>
                          <a:stretch>
                            <a:fillRect/>
                          </a:stretch>
                        </pic:blipFill>
                        <pic:spPr>
                          <a:xfrm>
                            <a:off x="0" y="0"/>
                            <a:ext cx="5056505" cy="4063365"/>
                          </a:xfrm>
                          <a:prstGeom prst="rect">
                            <a:avLst/>
                          </a:prstGeom>
                          <a:noFill/>
                          <a:ln>
                            <a:noFill/>
                          </a:ln>
                        </pic:spPr>
                      </pic:pic>
                    </a:graphicData>
                  </a:graphic>
                </wp:inline>
              </w:drawing>
            </w:r>
            <w:r>
              <w:rPr>
                <w:rFonts w:hint="eastAsia" w:ascii="宋体" w:hAnsi="宋体" w:cs="宋体"/>
                <w:color w:val="auto"/>
                <w:sz w:val="24"/>
                <w:szCs w:val="24"/>
                <w:highlight w:val="none"/>
              </w:rPr>
              <w:br w:type="textWrapping"/>
            </w:r>
            <w:r>
              <w:rPr>
                <w:rFonts w:hint="eastAsia" w:ascii="宋体" w:hAnsi="宋体" w:cs="宋体"/>
                <w:color w:val="auto"/>
                <w:sz w:val="24"/>
                <w:szCs w:val="24"/>
                <w:highlight w:val="none"/>
                <w:lang w:val="en-US" w:eastAsia="zh-CN"/>
              </w:rPr>
              <w:t xml:space="preserve">        </w:t>
            </w:r>
          </w:p>
          <w:p w14:paraId="386D30FA">
            <w:pPr>
              <w:keepNext w:val="0"/>
              <w:keepLines w:val="0"/>
              <w:pageBreakBefore w:val="0"/>
              <w:widowControl w:val="0"/>
              <w:kinsoku/>
              <w:wordWrap/>
              <w:overflowPunct/>
              <w:topLinePunct w:val="0"/>
              <w:autoSpaceDE/>
              <w:autoSpaceDN/>
              <w:bidi w:val="0"/>
              <w:adjustRightInd w:val="0"/>
              <w:snapToGrid/>
              <w:spacing w:before="313" w:beforeLines="100" w:line="360" w:lineRule="auto"/>
              <w:ind w:firstLine="420" w:firstLineChars="200"/>
              <w:jc w:val="center"/>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 xml:space="preserve"> </w:t>
            </w:r>
            <w:r>
              <w:rPr>
                <w:rFonts w:hint="eastAsia" w:ascii="宋体" w:hAnsi="宋体" w:cs="宋体"/>
                <w:color w:val="auto"/>
                <w:sz w:val="21"/>
                <w:szCs w:val="21"/>
                <w:highlight w:val="none"/>
                <w:lang w:val="en-US" w:eastAsia="zh-CN"/>
              </w:rPr>
              <w:br w:type="textWrapping"/>
            </w:r>
            <w:r>
              <w:rPr>
                <w:rFonts w:hint="eastAsia" w:ascii="宋体" w:hAnsi="宋体" w:cs="宋体"/>
                <w:color w:val="auto"/>
                <w:sz w:val="21"/>
                <w:szCs w:val="21"/>
                <w:highlight w:val="none"/>
                <w:lang w:val="en-US" w:eastAsia="zh-CN"/>
              </w:rPr>
              <w:t>图3-1 大气环境现状质量监测点位与本项目位置对比图</w:t>
            </w:r>
          </w:p>
          <w:p w14:paraId="43F1198C">
            <w:pPr>
              <w:keepNext w:val="0"/>
              <w:keepLines w:val="0"/>
              <w:pageBreakBefore w:val="0"/>
              <w:widowControl w:val="0"/>
              <w:kinsoku/>
              <w:wordWrap/>
              <w:overflowPunct/>
              <w:topLinePunct w:val="0"/>
              <w:autoSpaceDE/>
              <w:autoSpaceDN/>
              <w:bidi w:val="0"/>
              <w:adjustRightInd w:val="0"/>
              <w:snapToGrid/>
              <w:spacing w:before="313" w:beforeLines="100" w:line="360" w:lineRule="auto"/>
              <w:ind w:firstLine="480" w:firstLineChars="200"/>
              <w:jc w:val="both"/>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据上表监测数据表明项目所在区域特征污染物</w:t>
            </w:r>
            <w:r>
              <w:rPr>
                <w:rFonts w:hint="eastAsia" w:ascii="宋体" w:hAnsi="宋体" w:cs="宋体"/>
                <w:color w:val="auto"/>
                <w:sz w:val="24"/>
                <w:szCs w:val="24"/>
                <w:highlight w:val="none"/>
                <w:lang w:val="en-US" w:eastAsia="zh-CN"/>
              </w:rPr>
              <w:t>TSP</w:t>
            </w:r>
            <w:r>
              <w:rPr>
                <w:rFonts w:hint="eastAsia" w:ascii="宋体" w:hAnsi="宋体" w:cs="宋体"/>
                <w:color w:val="auto"/>
                <w:sz w:val="24"/>
                <w:szCs w:val="24"/>
                <w:highlight w:val="none"/>
              </w:rPr>
              <w:t>满足均满足《环境空气质量标准》（GB3095-2012）二级标准。</w:t>
            </w:r>
          </w:p>
          <w:p w14:paraId="4AA1EBB0">
            <w:pPr>
              <w:keepNext w:val="0"/>
              <w:keepLines w:val="0"/>
              <w:pageBreakBefore w:val="0"/>
              <w:widowControl w:val="0"/>
              <w:kinsoku/>
              <w:wordWrap/>
              <w:overflowPunct/>
              <w:topLinePunct w:val="0"/>
              <w:autoSpaceDE/>
              <w:autoSpaceDN/>
              <w:bidi w:val="0"/>
              <w:adjustRightInd w:val="0"/>
              <w:snapToGrid/>
              <w:spacing w:before="157" w:beforeLines="50" w:line="360" w:lineRule="auto"/>
              <w:ind w:firstLine="480" w:firstLineChars="200"/>
              <w:jc w:val="left"/>
              <w:textAlignment w:val="auto"/>
              <w:rPr>
                <w:rFonts w:ascii="宋体"/>
                <w:color w:val="auto"/>
                <w:sz w:val="24"/>
                <w:szCs w:val="24"/>
                <w:highlight w:val="none"/>
              </w:rPr>
            </w:pPr>
            <w:r>
              <w:rPr>
                <w:rFonts w:ascii="宋体" w:hAnsi="宋体" w:cs="宋体"/>
                <w:color w:val="auto"/>
                <w:sz w:val="24"/>
                <w:szCs w:val="24"/>
                <w:highlight w:val="none"/>
              </w:rPr>
              <w:t>2</w:t>
            </w:r>
            <w:r>
              <w:rPr>
                <w:rFonts w:hint="eastAsia" w:ascii="宋体" w:hAnsi="宋体" w:cs="宋体"/>
                <w:color w:val="auto"/>
                <w:sz w:val="24"/>
                <w:szCs w:val="24"/>
                <w:highlight w:val="none"/>
              </w:rPr>
              <w:t>、水环境质量</w:t>
            </w:r>
          </w:p>
          <w:p w14:paraId="2AD762BD">
            <w:pPr>
              <w:pStyle w:val="3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firstLine="480" w:firstLineChars="200"/>
              <w:jc w:val="both"/>
              <w:rPr>
                <w:rFonts w:hint="eastAsia" w:ascii="Times New Roman" w:hAnsi="Times New Roman" w:cs="Times New Roman"/>
                <w:i w:val="0"/>
                <w:iCs w:val="0"/>
                <w:caps w:val="0"/>
                <w:color w:val="auto"/>
                <w:spacing w:val="0"/>
                <w:kern w:val="0"/>
                <w:sz w:val="24"/>
                <w:szCs w:val="24"/>
                <w:highlight w:val="none"/>
                <w:shd w:val="clear" w:color="auto" w:fill="FFFFFF"/>
                <w:lang w:val="en-US" w:eastAsia="zh-CN" w:bidi="ar"/>
              </w:rPr>
            </w:pPr>
            <w:r>
              <w:rPr>
                <w:rFonts w:hint="eastAsia" w:ascii="宋体" w:hAnsi="宋体" w:cs="宋体"/>
                <w:color w:val="auto"/>
                <w:sz w:val="24"/>
                <w:szCs w:val="24"/>
                <w:highlight w:val="none"/>
              </w:rPr>
              <w:t>本项目</w:t>
            </w:r>
            <w:r>
              <w:rPr>
                <w:rFonts w:hint="eastAsia" w:cs="宋体"/>
                <w:color w:val="auto"/>
                <w:sz w:val="24"/>
                <w:szCs w:val="24"/>
                <w:highlight w:val="none"/>
                <w:lang w:eastAsia="zh-CN"/>
              </w:rPr>
              <w:t>车辆冲洗废水经沉淀池沉淀后回用于车辆冲洗，不外排；</w:t>
            </w:r>
            <w:r>
              <w:rPr>
                <w:rFonts w:hint="eastAsia" w:ascii="宋体" w:hAnsi="宋体" w:cs="宋体"/>
                <w:color w:val="auto"/>
                <w:sz w:val="24"/>
                <w:szCs w:val="24"/>
                <w:highlight w:val="none"/>
              </w:rPr>
              <w:t>生活污水</w:t>
            </w:r>
            <w:r>
              <w:rPr>
                <w:rFonts w:hint="eastAsia" w:ascii="宋体" w:hAnsi="宋体" w:cs="宋体"/>
                <w:color w:val="auto"/>
                <w:sz w:val="24"/>
                <w:szCs w:val="24"/>
                <w:highlight w:val="none"/>
                <w:lang w:eastAsia="zh-CN"/>
              </w:rPr>
              <w:t>经化粪池处理后</w:t>
            </w:r>
            <w:r>
              <w:rPr>
                <w:rFonts w:hint="eastAsia" w:ascii="宋体" w:hAnsi="宋体" w:cs="宋体"/>
                <w:color w:val="auto"/>
                <w:sz w:val="24"/>
                <w:szCs w:val="24"/>
                <w:highlight w:val="none"/>
              </w:rPr>
              <w:t>排入</w:t>
            </w:r>
            <w:r>
              <w:rPr>
                <w:rFonts w:hint="eastAsia" w:ascii="宋体" w:hAnsi="宋体" w:cs="宋体"/>
                <w:color w:val="auto"/>
                <w:sz w:val="24"/>
                <w:szCs w:val="24"/>
                <w:highlight w:val="none"/>
                <w:lang w:eastAsia="zh-CN"/>
              </w:rPr>
              <w:t>园区</w:t>
            </w:r>
            <w:r>
              <w:rPr>
                <w:rFonts w:hint="eastAsia" w:ascii="宋体" w:hAnsi="宋体" w:cs="宋体"/>
                <w:color w:val="auto"/>
                <w:sz w:val="24"/>
                <w:szCs w:val="24"/>
                <w:highlight w:val="none"/>
              </w:rPr>
              <w:t>污水管网最终进入</w:t>
            </w:r>
            <w:r>
              <w:rPr>
                <w:rFonts w:hint="eastAsia" w:cs="宋体"/>
                <w:color w:val="auto"/>
                <w:sz w:val="24"/>
                <w:szCs w:val="24"/>
                <w:highlight w:val="none"/>
                <w:lang w:eastAsia="zh-CN"/>
              </w:rPr>
              <w:t>淮北蓝海水处理有限公司</w:t>
            </w:r>
            <w:r>
              <w:rPr>
                <w:rFonts w:hint="eastAsia" w:ascii="宋体" w:hAnsi="宋体" w:cs="宋体"/>
                <w:color w:val="auto"/>
                <w:sz w:val="24"/>
                <w:szCs w:val="24"/>
                <w:highlight w:val="none"/>
              </w:rPr>
              <w:t>进一步处理，处理达标后部分作为平山电厂冷却循环水，剩余部分排入濉河。</w:t>
            </w:r>
            <w:r>
              <w:rPr>
                <w:rFonts w:hint="eastAsia" w:ascii="Times New Roman" w:hAnsi="Times New Roman" w:cs="Times New Roman"/>
                <w:i w:val="0"/>
                <w:iCs w:val="0"/>
                <w:caps w:val="0"/>
                <w:color w:val="auto"/>
                <w:spacing w:val="0"/>
                <w:kern w:val="0"/>
                <w:sz w:val="24"/>
                <w:szCs w:val="24"/>
                <w:highlight w:val="none"/>
                <w:shd w:val="clear" w:color="auto" w:fill="FFFFFF"/>
                <w:lang w:val="en-US" w:eastAsia="zh-CN" w:bidi="ar"/>
              </w:rPr>
              <w:t>地表水环境现状引用《2023年度淮北市生态环境状况公报》：2023年淮北市地表水四条主要河流10个国控（省控）断面中，水质为Ⅲ类的断面2个，占20%，分别为濉河符离闸（出境）、澥河李大桥闸（出境）；水质为Ⅳ类的断面7个，占70%，分别为濉河后黄里（入境）、濉河淮纺闸、濉河黄桥闸、沱河肖家、沱河后常桥（出境）、王引河三姓楼（入境）、王引河东坪集（出境）；水质为Ⅴ类的断面1个，占10%，为沱河小王桥（入境）。   </w:t>
            </w:r>
          </w:p>
          <w:p w14:paraId="1531FB46">
            <w:pPr>
              <w:pStyle w:val="3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firstLine="480" w:firstLineChars="200"/>
              <w:jc w:val="both"/>
              <w:rPr>
                <w:rFonts w:hint="eastAsia" w:ascii="Times New Roman" w:hAnsi="Times New Roman" w:cs="Times New Roman"/>
                <w:i w:val="0"/>
                <w:iCs w:val="0"/>
                <w:caps w:val="0"/>
                <w:color w:val="auto"/>
                <w:spacing w:val="0"/>
                <w:kern w:val="0"/>
                <w:sz w:val="24"/>
                <w:szCs w:val="24"/>
                <w:highlight w:val="none"/>
                <w:shd w:val="clear" w:color="auto" w:fill="FFFFFF"/>
                <w:lang w:val="en-US" w:eastAsia="zh-CN" w:bidi="ar"/>
              </w:rPr>
            </w:pPr>
            <w:r>
              <w:rPr>
                <w:rFonts w:hint="eastAsia" w:ascii="Times New Roman" w:hAnsi="Times New Roman" w:cs="Times New Roman"/>
                <w:i w:val="0"/>
                <w:iCs w:val="0"/>
                <w:caps w:val="0"/>
                <w:color w:val="auto"/>
                <w:spacing w:val="0"/>
                <w:kern w:val="0"/>
                <w:sz w:val="24"/>
                <w:szCs w:val="24"/>
                <w:highlight w:val="none"/>
                <w:shd w:val="clear" w:color="auto" w:fill="FFFFFF"/>
                <w:lang w:val="en-US" w:eastAsia="zh-CN" w:bidi="ar"/>
              </w:rPr>
              <w:t>2023年水污染防治考核目标责任书确定的淮北市4个国控地表水考核断面中，扣除氟化物本底值影响后，水质达标率为75%，沱河后常桥（出境）断面水质未达标。出境断面中，水质断面优良率达75%。</w:t>
            </w:r>
          </w:p>
          <w:p w14:paraId="2EEC41F5">
            <w:pPr>
              <w:pStyle w:val="3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right="0" w:firstLine="480" w:firstLineChars="200"/>
              <w:jc w:val="both"/>
              <w:rPr>
                <w:rFonts w:hint="eastAsia" w:ascii="Times New Roman" w:hAnsi="Times New Roman" w:eastAsia="宋体" w:cs="Times New Roman"/>
                <w:i w:val="0"/>
                <w:iCs w:val="0"/>
                <w:caps w:val="0"/>
                <w:color w:val="auto"/>
                <w:spacing w:val="0"/>
                <w:kern w:val="0"/>
                <w:sz w:val="24"/>
                <w:szCs w:val="24"/>
                <w:highlight w:val="none"/>
                <w:shd w:val="clear" w:color="auto" w:fill="FFFFFF"/>
                <w:lang w:val="en-US" w:eastAsia="zh-CN" w:bidi="ar"/>
              </w:rPr>
            </w:pPr>
            <w:r>
              <w:rPr>
                <w:rFonts w:hint="eastAsia" w:ascii="Times New Roman" w:hAnsi="Times New Roman" w:cs="Times New Roman"/>
                <w:i w:val="0"/>
                <w:iCs w:val="0"/>
                <w:caps w:val="0"/>
                <w:color w:val="auto"/>
                <w:spacing w:val="0"/>
                <w:kern w:val="0"/>
                <w:sz w:val="24"/>
                <w:szCs w:val="24"/>
                <w:highlight w:val="none"/>
                <w:shd w:val="clear" w:color="auto" w:fill="FFFFFF"/>
                <w:lang w:val="en-US" w:eastAsia="zh-CN" w:bidi="ar"/>
              </w:rPr>
              <w:t>由上述可知，项目涉及的</w:t>
            </w:r>
            <w:r>
              <w:rPr>
                <w:rFonts w:hint="eastAsia" w:cs="宋体"/>
                <w:color w:val="auto"/>
                <w:sz w:val="24"/>
                <w:szCs w:val="24"/>
                <w:highlight w:val="none"/>
                <w:lang w:val="en-US" w:eastAsia="zh-CN"/>
              </w:rPr>
              <w:t>濉河</w:t>
            </w:r>
            <w:r>
              <w:rPr>
                <w:rFonts w:hint="eastAsia" w:ascii="Times New Roman" w:hAnsi="Times New Roman" w:cs="Times New Roman"/>
                <w:i w:val="0"/>
                <w:iCs w:val="0"/>
                <w:caps w:val="0"/>
                <w:color w:val="auto"/>
                <w:spacing w:val="0"/>
                <w:kern w:val="0"/>
                <w:sz w:val="24"/>
                <w:szCs w:val="24"/>
                <w:highlight w:val="none"/>
                <w:shd w:val="clear" w:color="auto" w:fill="FFFFFF"/>
                <w:lang w:val="en-US" w:eastAsia="zh-CN" w:bidi="ar"/>
              </w:rPr>
              <w:t>可满足《地表水环境质量标准》（GB3838-2002）中Ⅳ类水质标准的要求，符合其水体功能区划。</w:t>
            </w:r>
          </w:p>
          <w:p w14:paraId="3B989293">
            <w:pPr>
              <w:adjustRightInd w:val="0"/>
              <w:snapToGrid w:val="0"/>
              <w:spacing w:beforeLines="50" w:line="360" w:lineRule="auto"/>
              <w:ind w:firstLine="480" w:firstLineChars="200"/>
              <w:jc w:val="left"/>
              <w:rPr>
                <w:rFonts w:ascii="宋体"/>
                <w:color w:val="auto"/>
                <w:sz w:val="24"/>
                <w:szCs w:val="24"/>
                <w:highlight w:val="none"/>
              </w:rPr>
            </w:pPr>
            <w:r>
              <w:rPr>
                <w:rFonts w:ascii="宋体" w:hAnsi="宋体" w:cs="宋体"/>
                <w:color w:val="auto"/>
                <w:sz w:val="24"/>
                <w:szCs w:val="24"/>
                <w:highlight w:val="none"/>
              </w:rPr>
              <w:t>3</w:t>
            </w:r>
            <w:r>
              <w:rPr>
                <w:rFonts w:hint="eastAsia" w:ascii="宋体" w:hAnsi="宋体" w:cs="宋体"/>
                <w:color w:val="auto"/>
                <w:sz w:val="24"/>
                <w:szCs w:val="24"/>
                <w:highlight w:val="none"/>
              </w:rPr>
              <w:t>、声环境</w:t>
            </w:r>
          </w:p>
          <w:p w14:paraId="61D3F29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本项目厂界外周边</w:t>
            </w:r>
            <w:r>
              <w:rPr>
                <w:rFonts w:ascii="宋体" w:hAnsi="宋体" w:cs="宋体"/>
                <w:color w:val="auto"/>
                <w:sz w:val="24"/>
                <w:szCs w:val="24"/>
                <w:highlight w:val="none"/>
              </w:rPr>
              <w:t>50</w:t>
            </w:r>
            <w:r>
              <w:rPr>
                <w:rFonts w:hint="eastAsia" w:ascii="宋体" w:hAnsi="宋体" w:cs="宋体"/>
                <w:color w:val="auto"/>
                <w:sz w:val="24"/>
                <w:szCs w:val="24"/>
                <w:highlight w:val="none"/>
              </w:rPr>
              <w:t>米范围内无声环境保护目标。依据《建设项目环境影响报告表编制技术指南》（污染影响类）（试行），无需进行声环境现状检测。</w:t>
            </w:r>
          </w:p>
          <w:p w14:paraId="49ACCD3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28"/>
              <w:jc w:val="left"/>
              <w:textAlignment w:val="auto"/>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val="en-US" w:eastAsia="zh-CN"/>
              </w:rPr>
              <w:t>4、</w:t>
            </w:r>
            <w:r>
              <w:rPr>
                <w:rFonts w:hint="eastAsia" w:ascii="宋体" w:hAnsi="宋体" w:cs="宋体"/>
                <w:color w:val="auto"/>
                <w:sz w:val="24"/>
                <w:szCs w:val="24"/>
                <w:highlight w:val="none"/>
                <w:lang w:eastAsia="zh-CN"/>
              </w:rPr>
              <w:t>地下水</w:t>
            </w:r>
          </w:p>
          <w:p w14:paraId="2C05B62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val="en-US" w:eastAsia="zh-CN"/>
              </w:rPr>
              <w:t>本项目区域地下水现状数据引用《2022年度淮北市生态环境状况公报》，具体数据如下：2</w:t>
            </w:r>
            <w:r>
              <w:rPr>
                <w:rFonts w:hint="eastAsia" w:ascii="宋体" w:hAnsi="宋体" w:cs="宋体"/>
                <w:color w:val="auto"/>
                <w:sz w:val="24"/>
                <w:szCs w:val="24"/>
                <w:highlight w:val="none"/>
              </w:rPr>
              <w:t>023年淮北市城市集中饮用水源地（地下水）监测指标均达到《地下水质量标准》GB/T14848-2017中Ⅲ类标准，2023年淮北市饮用水源地（地下水）取水总量为1369万吨，饮用水源地（地下水）水质达标率为100%。</w:t>
            </w:r>
          </w:p>
          <w:p w14:paraId="136643E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128" w:firstLine="240" w:firstLineChars="100"/>
              <w:jc w:val="left"/>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生态环境</w:t>
            </w:r>
          </w:p>
          <w:p w14:paraId="55035B4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本项目位于</w:t>
            </w:r>
            <w:r>
              <w:rPr>
                <w:rFonts w:hint="eastAsia" w:ascii="宋体" w:hAnsi="宋体" w:cs="宋体"/>
                <w:color w:val="auto"/>
                <w:sz w:val="24"/>
                <w:szCs w:val="24"/>
                <w:highlight w:val="none"/>
                <w:lang w:eastAsia="zh-CN"/>
              </w:rPr>
              <w:t>淮北市烈山区古饶镇烈山经济开发区南塘路与邱家沟交叉口东北角1号</w:t>
            </w:r>
            <w:r>
              <w:rPr>
                <w:rFonts w:hint="eastAsia" w:ascii="宋体" w:hAnsi="宋体" w:eastAsia="宋体" w:cs="宋体"/>
                <w:color w:val="auto"/>
                <w:sz w:val="24"/>
                <w:szCs w:val="24"/>
                <w:highlight w:val="none"/>
              </w:rPr>
              <w:t>，不属于产业园区外建设项目新增用地，且用地范围内不含生态环境保护目标。</w:t>
            </w:r>
          </w:p>
          <w:p w14:paraId="13CADA44">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6</w:t>
            </w:r>
            <w:r>
              <w:rPr>
                <w:rFonts w:hint="eastAsia" w:ascii="Times New Roman" w:hAnsi="Times New Roman" w:eastAsia="宋体" w:cs="Times New Roman"/>
                <w:b w:val="0"/>
                <w:bCs w:val="0"/>
                <w:color w:val="auto"/>
                <w:sz w:val="24"/>
                <w:szCs w:val="24"/>
                <w:highlight w:val="none"/>
                <w:lang w:val="en-US" w:eastAsia="zh-CN"/>
              </w:rPr>
              <w:t>、电磁环境质量</w:t>
            </w:r>
          </w:p>
          <w:p w14:paraId="4FE63C9B">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eastAsia="宋体"/>
                <w:color w:val="auto"/>
                <w:highlight w:val="none"/>
                <w:lang w:val="en-US" w:eastAsia="zh-CN"/>
              </w:rPr>
            </w:pPr>
            <w:r>
              <w:rPr>
                <w:rFonts w:hint="eastAsia" w:ascii="Times New Roman" w:hAnsi="Times New Roman" w:eastAsia="宋体" w:cs="Times New Roman"/>
                <w:color w:val="auto"/>
                <w:sz w:val="24"/>
                <w:szCs w:val="24"/>
                <w:highlight w:val="none"/>
                <w:lang w:val="en-US" w:eastAsia="zh-CN"/>
              </w:rPr>
              <w:t>本项目不涉及电磁环境</w:t>
            </w:r>
            <w:r>
              <w:rPr>
                <w:color w:val="auto"/>
                <w:sz w:val="24"/>
                <w:highlight w:val="none"/>
              </w:rPr>
              <w:t>。</w:t>
            </w:r>
          </w:p>
          <w:p w14:paraId="29B2A60B">
            <w:pPr>
              <w:adjustRightInd w:val="0"/>
              <w:snapToGrid w:val="0"/>
              <w:spacing w:line="360" w:lineRule="auto"/>
              <w:ind w:firstLine="420" w:firstLineChars="200"/>
              <w:jc w:val="left"/>
              <w:rPr>
                <w:color w:val="auto"/>
                <w:highlight w:val="none"/>
              </w:rPr>
            </w:pPr>
            <w:r>
              <w:rPr>
                <w:rFonts w:hint="eastAsia"/>
                <w:color w:val="auto"/>
                <w:highlight w:val="none"/>
              </w:rPr>
              <w:t xml:space="preserve"> </w:t>
            </w:r>
          </w:p>
        </w:tc>
      </w:tr>
      <w:tr w14:paraId="1C1CE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2" w:hRule="atLeast"/>
          <w:jc w:val="center"/>
        </w:trPr>
        <w:tc>
          <w:tcPr>
            <w:tcW w:w="800" w:type="dxa"/>
            <w:vAlign w:val="center"/>
          </w:tcPr>
          <w:p w14:paraId="5934102A">
            <w:pPr>
              <w:adjustRightInd w:val="0"/>
              <w:snapToGrid w:val="0"/>
              <w:jc w:val="center"/>
              <w:rPr>
                <w:rFonts w:ascii="宋体"/>
                <w:color w:val="auto"/>
                <w:sz w:val="24"/>
                <w:szCs w:val="24"/>
                <w:highlight w:val="none"/>
              </w:rPr>
            </w:pPr>
            <w:r>
              <w:rPr>
                <w:rFonts w:hint="eastAsia" w:ascii="宋体" w:hAnsi="宋体" w:cs="宋体"/>
                <w:color w:val="auto"/>
                <w:sz w:val="24"/>
                <w:szCs w:val="24"/>
                <w:highlight w:val="none"/>
              </w:rPr>
              <w:t>环境</w:t>
            </w:r>
          </w:p>
          <w:p w14:paraId="08AB8F0C">
            <w:pPr>
              <w:adjustRightInd w:val="0"/>
              <w:snapToGrid w:val="0"/>
              <w:jc w:val="center"/>
              <w:rPr>
                <w:rFonts w:ascii="宋体"/>
                <w:color w:val="auto"/>
                <w:sz w:val="24"/>
                <w:szCs w:val="24"/>
                <w:highlight w:val="none"/>
              </w:rPr>
            </w:pPr>
            <w:r>
              <w:rPr>
                <w:rFonts w:hint="eastAsia" w:ascii="宋体" w:hAnsi="宋体" w:cs="宋体"/>
                <w:color w:val="auto"/>
                <w:sz w:val="24"/>
                <w:szCs w:val="24"/>
                <w:highlight w:val="none"/>
              </w:rPr>
              <w:t>保护</w:t>
            </w:r>
          </w:p>
          <w:p w14:paraId="7BFDE091">
            <w:pPr>
              <w:adjustRightInd w:val="0"/>
              <w:snapToGrid w:val="0"/>
              <w:jc w:val="center"/>
              <w:rPr>
                <w:rFonts w:ascii="宋体"/>
                <w:color w:val="auto"/>
                <w:sz w:val="24"/>
                <w:szCs w:val="24"/>
                <w:highlight w:val="none"/>
              </w:rPr>
            </w:pPr>
            <w:r>
              <w:rPr>
                <w:rFonts w:hint="eastAsia" w:ascii="宋体" w:hAnsi="宋体" w:cs="宋体"/>
                <w:color w:val="auto"/>
                <w:sz w:val="24"/>
                <w:szCs w:val="24"/>
                <w:highlight w:val="none"/>
              </w:rPr>
              <w:t>目标</w:t>
            </w:r>
          </w:p>
        </w:tc>
        <w:tc>
          <w:tcPr>
            <w:tcW w:w="8190" w:type="dxa"/>
          </w:tcPr>
          <w:p w14:paraId="64EC575C">
            <w:pPr>
              <w:spacing w:before="240" w:beforeLines="100" w:line="360" w:lineRule="auto"/>
              <w:ind w:firstLine="480" w:firstLineChars="200"/>
              <w:rPr>
                <w:color w:val="auto"/>
                <w:highlight w:val="none"/>
                <w:lang w:bidi="ar"/>
              </w:rPr>
            </w:pPr>
            <w:r>
              <w:rPr>
                <w:rFonts w:hint="eastAsia" w:ascii="宋体" w:hAnsi="宋体" w:cs="宋体"/>
                <w:color w:val="auto"/>
                <w:sz w:val="24"/>
                <w:szCs w:val="24"/>
                <w:highlight w:val="none"/>
              </w:rPr>
              <w:t>本项目位于</w:t>
            </w:r>
            <w:r>
              <w:rPr>
                <w:rFonts w:hint="eastAsia" w:ascii="宋体" w:hAnsi="宋体" w:cs="宋体"/>
                <w:color w:val="auto"/>
                <w:sz w:val="24"/>
                <w:szCs w:val="24"/>
                <w:highlight w:val="none"/>
                <w:lang w:eastAsia="zh-CN"/>
              </w:rPr>
              <w:t>淮北市烈山区古饶镇烈山经济开发区南塘路与邱家沟交叉口东北角1号</w:t>
            </w:r>
            <w:r>
              <w:rPr>
                <w:rFonts w:hint="eastAsia" w:ascii="宋体" w:hAnsi="宋体" w:cs="宋体"/>
                <w:color w:val="auto"/>
                <w:sz w:val="24"/>
                <w:szCs w:val="24"/>
                <w:highlight w:val="none"/>
              </w:rPr>
              <w:t>，项目地周边无自然保护区、风景名胜区和文物古迹等特殊保护对象，根据该项目特点及周围环境调查，环境保护对象为项目地周边的水、气、声环境，为保证建设项目所在地不因本项目建设而降低现状环境质量，</w:t>
            </w:r>
          </w:p>
          <w:p w14:paraId="7428D032">
            <w:pPr>
              <w:pStyle w:val="83"/>
              <w:spacing w:line="360" w:lineRule="auto"/>
              <w:ind w:firstLine="480"/>
              <w:rPr>
                <w:rFonts w:ascii="宋体"/>
                <w:color w:val="auto"/>
                <w:highlight w:val="none"/>
              </w:rPr>
            </w:pPr>
            <w:r>
              <w:rPr>
                <w:rFonts w:ascii="宋体" w:hAnsi="宋体" w:cs="宋体"/>
                <w:color w:val="auto"/>
                <w:highlight w:val="none"/>
              </w:rPr>
              <w:t>1</w:t>
            </w:r>
            <w:r>
              <w:rPr>
                <w:rFonts w:hint="eastAsia" w:ascii="宋体" w:hAnsi="宋体" w:cs="宋体"/>
                <w:color w:val="auto"/>
                <w:highlight w:val="none"/>
              </w:rPr>
              <w:t>、大气环境</w:t>
            </w:r>
          </w:p>
          <w:p w14:paraId="19535D98">
            <w:pPr>
              <w:pStyle w:val="83"/>
              <w:spacing w:line="360" w:lineRule="auto"/>
              <w:ind w:firstLine="480"/>
              <w:rPr>
                <w:rFonts w:ascii="宋体" w:hAnsi="宋体" w:cs="宋体"/>
                <w:color w:val="auto"/>
                <w:highlight w:val="none"/>
              </w:rPr>
            </w:pPr>
            <w:r>
              <w:rPr>
                <w:rFonts w:hint="eastAsia" w:ascii="宋体" w:hAnsi="宋体" w:cs="宋体"/>
                <w:color w:val="auto"/>
                <w:highlight w:val="none"/>
              </w:rPr>
              <w:t>根据现场勘查，厂界外</w:t>
            </w:r>
            <w:r>
              <w:rPr>
                <w:rFonts w:ascii="宋体" w:hAnsi="宋体" w:cs="宋体"/>
                <w:color w:val="auto"/>
                <w:highlight w:val="none"/>
              </w:rPr>
              <w:t>500</w:t>
            </w:r>
            <w:r>
              <w:rPr>
                <w:rFonts w:hint="eastAsia" w:ascii="宋体" w:hAnsi="宋体" w:cs="宋体"/>
                <w:color w:val="auto"/>
                <w:highlight w:val="none"/>
              </w:rPr>
              <w:t>米范围内</w:t>
            </w:r>
            <w:r>
              <w:rPr>
                <w:rFonts w:hint="eastAsia" w:ascii="宋体" w:hAnsi="宋体" w:cs="宋体"/>
                <w:color w:val="auto"/>
                <w:highlight w:val="none"/>
                <w:lang w:eastAsia="zh-CN"/>
              </w:rPr>
              <w:t>无</w:t>
            </w:r>
            <w:r>
              <w:rPr>
                <w:rFonts w:hint="eastAsia" w:ascii="宋体" w:hAnsi="宋体" w:cs="宋体"/>
                <w:color w:val="auto"/>
                <w:highlight w:val="none"/>
              </w:rPr>
              <w:t>大气环境保护目标。</w:t>
            </w:r>
          </w:p>
          <w:p w14:paraId="7443DC1E">
            <w:pPr>
              <w:pStyle w:val="83"/>
              <w:spacing w:line="360" w:lineRule="auto"/>
              <w:ind w:left="479" w:leftChars="228" w:firstLine="0" w:firstLineChars="0"/>
              <w:rPr>
                <w:rFonts w:ascii="宋体"/>
                <w:color w:val="auto"/>
                <w:highlight w:val="none"/>
              </w:rPr>
            </w:pPr>
            <w:r>
              <w:rPr>
                <w:rFonts w:ascii="宋体" w:hAnsi="宋体" w:cs="宋体"/>
                <w:color w:val="auto"/>
                <w:highlight w:val="none"/>
              </w:rPr>
              <w:t>2</w:t>
            </w:r>
            <w:r>
              <w:rPr>
                <w:rFonts w:hint="eastAsia" w:ascii="宋体" w:hAnsi="宋体" w:cs="宋体"/>
                <w:color w:val="auto"/>
                <w:highlight w:val="none"/>
              </w:rPr>
              <w:t>、声环境</w:t>
            </w:r>
          </w:p>
          <w:p w14:paraId="5C2DFABE">
            <w:pPr>
              <w:pStyle w:val="83"/>
              <w:spacing w:line="360" w:lineRule="auto"/>
              <w:ind w:firstLine="480"/>
              <w:rPr>
                <w:rFonts w:ascii="宋体"/>
                <w:color w:val="auto"/>
                <w:highlight w:val="none"/>
              </w:rPr>
            </w:pPr>
            <w:r>
              <w:rPr>
                <w:rFonts w:hint="eastAsia" w:ascii="宋体" w:hAnsi="宋体" w:cs="宋体"/>
                <w:color w:val="auto"/>
                <w:highlight w:val="none"/>
              </w:rPr>
              <w:t>根据现场勘查，厂界外</w:t>
            </w:r>
            <w:r>
              <w:rPr>
                <w:rFonts w:ascii="宋体" w:hAnsi="宋体" w:cs="宋体"/>
                <w:color w:val="auto"/>
                <w:highlight w:val="none"/>
              </w:rPr>
              <w:t>50</w:t>
            </w:r>
            <w:r>
              <w:rPr>
                <w:rFonts w:hint="eastAsia" w:ascii="宋体" w:hAnsi="宋体" w:cs="宋体"/>
                <w:color w:val="auto"/>
                <w:highlight w:val="none"/>
              </w:rPr>
              <w:t>米范围内没有声环境保护目标。</w:t>
            </w:r>
          </w:p>
          <w:p w14:paraId="358C0B28">
            <w:pPr>
              <w:pStyle w:val="83"/>
              <w:spacing w:line="360" w:lineRule="auto"/>
              <w:ind w:firstLine="480"/>
              <w:rPr>
                <w:rFonts w:ascii="宋体"/>
                <w:color w:val="auto"/>
                <w:highlight w:val="none"/>
              </w:rPr>
            </w:pPr>
            <w:r>
              <w:rPr>
                <w:rFonts w:ascii="宋体" w:hAnsi="宋体" w:cs="宋体"/>
                <w:color w:val="auto"/>
                <w:highlight w:val="none"/>
              </w:rPr>
              <w:t>3</w:t>
            </w:r>
            <w:r>
              <w:rPr>
                <w:rFonts w:hint="eastAsia" w:ascii="宋体" w:hAnsi="宋体" w:cs="宋体"/>
                <w:color w:val="auto"/>
                <w:highlight w:val="none"/>
              </w:rPr>
              <w:t>、地表水环境</w:t>
            </w:r>
          </w:p>
          <w:p w14:paraId="0425C494">
            <w:pPr>
              <w:spacing w:line="360" w:lineRule="auto"/>
              <w:ind w:firstLine="440" w:firstLineChars="200"/>
              <w:jc w:val="center"/>
              <w:rPr>
                <w:rFonts w:hAnsi="宋体"/>
                <w:color w:val="auto"/>
                <w:sz w:val="22"/>
                <w:szCs w:val="22"/>
                <w:highlight w:val="none"/>
              </w:rPr>
            </w:pPr>
            <w:r>
              <w:rPr>
                <w:rFonts w:hint="eastAsia" w:hAnsi="宋体" w:cs="宋体"/>
                <w:color w:val="auto"/>
                <w:sz w:val="22"/>
                <w:szCs w:val="22"/>
                <w:highlight w:val="none"/>
              </w:rPr>
              <w:t>表</w:t>
            </w:r>
            <w:r>
              <w:rPr>
                <w:rFonts w:hAnsi="宋体"/>
                <w:color w:val="auto"/>
                <w:sz w:val="22"/>
                <w:szCs w:val="22"/>
                <w:highlight w:val="none"/>
              </w:rPr>
              <w:t xml:space="preserve">3-3  </w:t>
            </w:r>
            <w:r>
              <w:rPr>
                <w:rFonts w:hint="eastAsia" w:hAnsi="宋体" w:cs="宋体"/>
                <w:color w:val="auto"/>
                <w:sz w:val="22"/>
                <w:szCs w:val="22"/>
                <w:highlight w:val="none"/>
              </w:rPr>
              <w:t>水环境保护目标一览表</w:t>
            </w:r>
          </w:p>
          <w:tbl>
            <w:tblPr>
              <w:tblStyle w:val="37"/>
              <w:tblW w:w="80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30"/>
              <w:gridCol w:w="1476"/>
              <w:gridCol w:w="1477"/>
              <w:gridCol w:w="1394"/>
              <w:gridCol w:w="2542"/>
            </w:tblGrid>
            <w:tr w14:paraId="267AF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71" w:hRule="atLeast"/>
                <w:jc w:val="center"/>
              </w:trPr>
              <w:tc>
                <w:tcPr>
                  <w:tcW w:w="1130" w:type="dxa"/>
                  <w:tcBorders>
                    <w:top w:val="single" w:color="auto" w:sz="4" w:space="0"/>
                    <w:left w:val="single" w:color="auto" w:sz="4" w:space="0"/>
                    <w:bottom w:val="single" w:color="auto" w:sz="4" w:space="0"/>
                    <w:right w:val="single" w:color="auto" w:sz="4" w:space="0"/>
                  </w:tcBorders>
                  <w:vAlign w:val="center"/>
                </w:tcPr>
                <w:p w14:paraId="1F74BECB">
                  <w:pPr>
                    <w:kinsoku w:val="0"/>
                    <w:overflowPunct w:val="0"/>
                    <w:autoSpaceDE w:val="0"/>
                    <w:autoSpaceDN w:val="0"/>
                    <w:adjustRightInd w:val="0"/>
                    <w:snapToGrid w:val="0"/>
                    <w:jc w:val="center"/>
                    <w:rPr>
                      <w:color w:val="auto"/>
                      <w:sz w:val="22"/>
                      <w:szCs w:val="22"/>
                      <w:highlight w:val="none"/>
                    </w:rPr>
                  </w:pPr>
                  <w:r>
                    <w:rPr>
                      <w:rFonts w:hint="eastAsia" w:cs="宋体"/>
                      <w:color w:val="auto"/>
                      <w:sz w:val="22"/>
                      <w:szCs w:val="22"/>
                      <w:highlight w:val="none"/>
                    </w:rPr>
                    <w:t>环境要素</w:t>
                  </w:r>
                </w:p>
              </w:tc>
              <w:tc>
                <w:tcPr>
                  <w:tcW w:w="1476" w:type="dxa"/>
                  <w:tcBorders>
                    <w:top w:val="single" w:color="auto" w:sz="4" w:space="0"/>
                    <w:left w:val="single" w:color="auto" w:sz="4" w:space="0"/>
                    <w:bottom w:val="single" w:color="auto" w:sz="4" w:space="0"/>
                    <w:right w:val="single" w:color="auto" w:sz="4" w:space="0"/>
                  </w:tcBorders>
                  <w:vAlign w:val="center"/>
                </w:tcPr>
                <w:p w14:paraId="45661A04">
                  <w:pPr>
                    <w:kinsoku w:val="0"/>
                    <w:overflowPunct w:val="0"/>
                    <w:autoSpaceDE w:val="0"/>
                    <w:autoSpaceDN w:val="0"/>
                    <w:adjustRightInd w:val="0"/>
                    <w:snapToGrid w:val="0"/>
                    <w:jc w:val="center"/>
                    <w:rPr>
                      <w:color w:val="auto"/>
                      <w:sz w:val="22"/>
                      <w:szCs w:val="22"/>
                      <w:highlight w:val="none"/>
                    </w:rPr>
                  </w:pPr>
                  <w:r>
                    <w:rPr>
                      <w:rFonts w:hint="eastAsia" w:cs="宋体"/>
                      <w:color w:val="auto"/>
                      <w:sz w:val="22"/>
                      <w:szCs w:val="22"/>
                      <w:highlight w:val="none"/>
                    </w:rPr>
                    <w:t>环境保护对象</w:t>
                  </w:r>
                </w:p>
                <w:p w14:paraId="793A34FD">
                  <w:pPr>
                    <w:kinsoku w:val="0"/>
                    <w:overflowPunct w:val="0"/>
                    <w:autoSpaceDE w:val="0"/>
                    <w:autoSpaceDN w:val="0"/>
                    <w:adjustRightInd w:val="0"/>
                    <w:snapToGrid w:val="0"/>
                    <w:jc w:val="center"/>
                    <w:rPr>
                      <w:color w:val="auto"/>
                      <w:sz w:val="22"/>
                      <w:szCs w:val="22"/>
                      <w:highlight w:val="none"/>
                    </w:rPr>
                  </w:pPr>
                  <w:r>
                    <w:rPr>
                      <w:rFonts w:hint="eastAsia" w:cs="宋体"/>
                      <w:color w:val="auto"/>
                      <w:sz w:val="22"/>
                      <w:szCs w:val="22"/>
                      <w:highlight w:val="none"/>
                    </w:rPr>
                    <w:t>名称</w:t>
                  </w:r>
                </w:p>
              </w:tc>
              <w:tc>
                <w:tcPr>
                  <w:tcW w:w="1477" w:type="dxa"/>
                  <w:tcBorders>
                    <w:top w:val="single" w:color="auto" w:sz="4" w:space="0"/>
                    <w:left w:val="single" w:color="auto" w:sz="4" w:space="0"/>
                    <w:bottom w:val="single" w:color="auto" w:sz="4" w:space="0"/>
                    <w:right w:val="single" w:color="auto" w:sz="4" w:space="0"/>
                  </w:tcBorders>
                  <w:vAlign w:val="center"/>
                </w:tcPr>
                <w:p w14:paraId="66EB935B">
                  <w:pPr>
                    <w:kinsoku w:val="0"/>
                    <w:overflowPunct w:val="0"/>
                    <w:autoSpaceDE w:val="0"/>
                    <w:autoSpaceDN w:val="0"/>
                    <w:adjustRightInd w:val="0"/>
                    <w:snapToGrid w:val="0"/>
                    <w:jc w:val="center"/>
                    <w:rPr>
                      <w:color w:val="auto"/>
                      <w:sz w:val="22"/>
                      <w:szCs w:val="22"/>
                      <w:highlight w:val="none"/>
                    </w:rPr>
                  </w:pPr>
                  <w:r>
                    <w:rPr>
                      <w:rFonts w:hint="eastAsia" w:cs="宋体"/>
                      <w:color w:val="auto"/>
                      <w:sz w:val="22"/>
                      <w:szCs w:val="22"/>
                      <w:highlight w:val="none"/>
                    </w:rPr>
                    <w:t>方位</w:t>
                  </w:r>
                  <w:r>
                    <w:rPr>
                      <w:color w:val="auto"/>
                      <w:sz w:val="22"/>
                      <w:szCs w:val="22"/>
                      <w:highlight w:val="none"/>
                    </w:rPr>
                    <w:t>/</w:t>
                  </w:r>
                  <w:r>
                    <w:rPr>
                      <w:rFonts w:hint="eastAsia" w:cs="宋体"/>
                      <w:color w:val="auto"/>
                      <w:sz w:val="22"/>
                      <w:szCs w:val="22"/>
                      <w:highlight w:val="none"/>
                    </w:rPr>
                    <w:t>距离</w:t>
                  </w:r>
                  <w:r>
                    <w:rPr>
                      <w:color w:val="auto"/>
                      <w:sz w:val="22"/>
                      <w:szCs w:val="22"/>
                      <w:highlight w:val="none"/>
                    </w:rPr>
                    <w:t>(m)</w:t>
                  </w:r>
                </w:p>
              </w:tc>
              <w:tc>
                <w:tcPr>
                  <w:tcW w:w="1394" w:type="dxa"/>
                  <w:tcBorders>
                    <w:top w:val="single" w:color="auto" w:sz="4" w:space="0"/>
                    <w:left w:val="single" w:color="auto" w:sz="4" w:space="0"/>
                    <w:bottom w:val="single" w:color="auto" w:sz="4" w:space="0"/>
                    <w:right w:val="single" w:color="auto" w:sz="4" w:space="0"/>
                  </w:tcBorders>
                  <w:vAlign w:val="center"/>
                </w:tcPr>
                <w:p w14:paraId="1EBA6159">
                  <w:pPr>
                    <w:kinsoku w:val="0"/>
                    <w:overflowPunct w:val="0"/>
                    <w:autoSpaceDE w:val="0"/>
                    <w:autoSpaceDN w:val="0"/>
                    <w:adjustRightInd w:val="0"/>
                    <w:snapToGrid w:val="0"/>
                    <w:jc w:val="center"/>
                    <w:rPr>
                      <w:color w:val="auto"/>
                      <w:sz w:val="22"/>
                      <w:szCs w:val="22"/>
                      <w:highlight w:val="none"/>
                    </w:rPr>
                  </w:pPr>
                  <w:r>
                    <w:rPr>
                      <w:rFonts w:hint="eastAsia" w:cs="宋体"/>
                      <w:color w:val="auto"/>
                      <w:sz w:val="22"/>
                      <w:szCs w:val="22"/>
                      <w:highlight w:val="none"/>
                    </w:rPr>
                    <w:t>规模</w:t>
                  </w:r>
                </w:p>
              </w:tc>
              <w:tc>
                <w:tcPr>
                  <w:tcW w:w="2542" w:type="dxa"/>
                  <w:tcBorders>
                    <w:top w:val="single" w:color="auto" w:sz="4" w:space="0"/>
                    <w:left w:val="single" w:color="auto" w:sz="4" w:space="0"/>
                    <w:bottom w:val="single" w:color="auto" w:sz="4" w:space="0"/>
                    <w:right w:val="single" w:color="auto" w:sz="4" w:space="0"/>
                  </w:tcBorders>
                  <w:vAlign w:val="center"/>
                </w:tcPr>
                <w:p w14:paraId="2D1F1010">
                  <w:pPr>
                    <w:kinsoku w:val="0"/>
                    <w:overflowPunct w:val="0"/>
                    <w:autoSpaceDE w:val="0"/>
                    <w:autoSpaceDN w:val="0"/>
                    <w:adjustRightInd w:val="0"/>
                    <w:snapToGrid w:val="0"/>
                    <w:jc w:val="center"/>
                    <w:rPr>
                      <w:color w:val="auto"/>
                      <w:sz w:val="22"/>
                      <w:szCs w:val="22"/>
                      <w:highlight w:val="none"/>
                    </w:rPr>
                  </w:pPr>
                  <w:r>
                    <w:rPr>
                      <w:rFonts w:hint="eastAsia" w:cs="宋体"/>
                      <w:color w:val="auto"/>
                      <w:sz w:val="22"/>
                      <w:szCs w:val="22"/>
                      <w:highlight w:val="none"/>
                    </w:rPr>
                    <w:t>执行标准</w:t>
                  </w:r>
                </w:p>
              </w:tc>
            </w:tr>
            <w:tr w14:paraId="72305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2" w:hRule="atLeast"/>
                <w:jc w:val="center"/>
              </w:trPr>
              <w:tc>
                <w:tcPr>
                  <w:tcW w:w="1130" w:type="dxa"/>
                  <w:tcBorders>
                    <w:top w:val="single" w:color="auto" w:sz="4" w:space="0"/>
                    <w:left w:val="single" w:color="auto" w:sz="4" w:space="0"/>
                    <w:bottom w:val="single" w:color="auto" w:sz="4" w:space="0"/>
                    <w:right w:val="single" w:color="auto" w:sz="4" w:space="0"/>
                  </w:tcBorders>
                  <w:vAlign w:val="center"/>
                </w:tcPr>
                <w:p w14:paraId="4B7494AB">
                  <w:pPr>
                    <w:kinsoku w:val="0"/>
                    <w:overflowPunct w:val="0"/>
                    <w:autoSpaceDE w:val="0"/>
                    <w:autoSpaceDN w:val="0"/>
                    <w:adjustRightInd w:val="0"/>
                    <w:snapToGrid w:val="0"/>
                    <w:jc w:val="center"/>
                    <w:rPr>
                      <w:color w:val="auto"/>
                      <w:sz w:val="22"/>
                      <w:szCs w:val="22"/>
                      <w:highlight w:val="none"/>
                    </w:rPr>
                  </w:pPr>
                  <w:r>
                    <w:rPr>
                      <w:rFonts w:hint="eastAsia" w:cs="宋体"/>
                      <w:color w:val="auto"/>
                      <w:sz w:val="22"/>
                      <w:szCs w:val="22"/>
                      <w:highlight w:val="none"/>
                    </w:rPr>
                    <w:t>地表水</w:t>
                  </w:r>
                </w:p>
              </w:tc>
              <w:tc>
                <w:tcPr>
                  <w:tcW w:w="1476" w:type="dxa"/>
                  <w:tcBorders>
                    <w:top w:val="single" w:color="auto" w:sz="4" w:space="0"/>
                    <w:left w:val="single" w:color="auto" w:sz="4" w:space="0"/>
                    <w:bottom w:val="single" w:color="auto" w:sz="4" w:space="0"/>
                    <w:right w:val="single" w:color="auto" w:sz="4" w:space="0"/>
                  </w:tcBorders>
                  <w:vAlign w:val="center"/>
                </w:tcPr>
                <w:p w14:paraId="33C64BD7">
                  <w:pPr>
                    <w:kinsoku w:val="0"/>
                    <w:overflowPunct w:val="0"/>
                    <w:autoSpaceDE w:val="0"/>
                    <w:autoSpaceDN w:val="0"/>
                    <w:adjustRightInd w:val="0"/>
                    <w:snapToGrid w:val="0"/>
                    <w:jc w:val="center"/>
                    <w:rPr>
                      <w:color w:val="auto"/>
                      <w:sz w:val="22"/>
                      <w:szCs w:val="22"/>
                      <w:highlight w:val="none"/>
                    </w:rPr>
                  </w:pPr>
                  <w:r>
                    <w:rPr>
                      <w:rFonts w:hint="eastAsia" w:cs="宋体"/>
                      <w:color w:val="auto"/>
                      <w:sz w:val="22"/>
                      <w:szCs w:val="22"/>
                      <w:highlight w:val="none"/>
                      <w:lang w:eastAsia="zh-CN"/>
                    </w:rPr>
                    <w:t>濉</w:t>
                  </w:r>
                  <w:r>
                    <w:rPr>
                      <w:rFonts w:hint="eastAsia" w:cs="宋体"/>
                      <w:color w:val="auto"/>
                      <w:sz w:val="22"/>
                      <w:szCs w:val="22"/>
                      <w:highlight w:val="none"/>
                    </w:rPr>
                    <w:t>河</w:t>
                  </w:r>
                </w:p>
              </w:tc>
              <w:tc>
                <w:tcPr>
                  <w:tcW w:w="1477" w:type="dxa"/>
                  <w:tcBorders>
                    <w:top w:val="single" w:color="auto" w:sz="4" w:space="0"/>
                    <w:left w:val="single" w:color="auto" w:sz="4" w:space="0"/>
                    <w:bottom w:val="single" w:color="auto" w:sz="4" w:space="0"/>
                    <w:right w:val="single" w:color="auto" w:sz="4" w:space="0"/>
                  </w:tcBorders>
                  <w:vAlign w:val="center"/>
                </w:tcPr>
                <w:p w14:paraId="320F3419">
                  <w:pPr>
                    <w:kinsoku w:val="0"/>
                    <w:overflowPunct w:val="0"/>
                    <w:autoSpaceDE w:val="0"/>
                    <w:autoSpaceDN w:val="0"/>
                    <w:adjustRightInd w:val="0"/>
                    <w:snapToGrid w:val="0"/>
                    <w:jc w:val="center"/>
                    <w:rPr>
                      <w:color w:val="auto"/>
                      <w:sz w:val="22"/>
                      <w:szCs w:val="22"/>
                      <w:highlight w:val="none"/>
                    </w:rPr>
                  </w:pPr>
                  <w:r>
                    <w:rPr>
                      <w:rFonts w:hint="eastAsia" w:cs="宋体"/>
                      <w:color w:val="auto"/>
                      <w:sz w:val="22"/>
                      <w:szCs w:val="22"/>
                      <w:highlight w:val="none"/>
                    </w:rPr>
                    <w:t>E/</w:t>
                  </w:r>
                  <w:r>
                    <w:rPr>
                      <w:rFonts w:hint="eastAsia" w:cs="宋体"/>
                      <w:color w:val="auto"/>
                      <w:sz w:val="22"/>
                      <w:szCs w:val="22"/>
                      <w:highlight w:val="none"/>
                      <w:lang w:val="en-US" w:eastAsia="zh-CN"/>
                    </w:rPr>
                    <w:t>2020</w:t>
                  </w:r>
                  <w:r>
                    <w:rPr>
                      <w:color w:val="auto"/>
                      <w:sz w:val="22"/>
                      <w:szCs w:val="22"/>
                      <w:highlight w:val="none"/>
                    </w:rPr>
                    <w:t>m</w:t>
                  </w:r>
                </w:p>
              </w:tc>
              <w:tc>
                <w:tcPr>
                  <w:tcW w:w="1394" w:type="dxa"/>
                  <w:tcBorders>
                    <w:top w:val="single" w:color="auto" w:sz="4" w:space="0"/>
                    <w:left w:val="single" w:color="auto" w:sz="4" w:space="0"/>
                    <w:bottom w:val="single" w:color="auto" w:sz="4" w:space="0"/>
                    <w:right w:val="single" w:color="auto" w:sz="4" w:space="0"/>
                  </w:tcBorders>
                  <w:vAlign w:val="center"/>
                </w:tcPr>
                <w:p w14:paraId="4A812104">
                  <w:pPr>
                    <w:kinsoku w:val="0"/>
                    <w:overflowPunct w:val="0"/>
                    <w:autoSpaceDE w:val="0"/>
                    <w:autoSpaceDN w:val="0"/>
                    <w:adjustRightInd w:val="0"/>
                    <w:snapToGrid w:val="0"/>
                    <w:jc w:val="center"/>
                    <w:rPr>
                      <w:color w:val="auto"/>
                      <w:sz w:val="22"/>
                      <w:szCs w:val="22"/>
                      <w:highlight w:val="none"/>
                    </w:rPr>
                  </w:pPr>
                  <w:r>
                    <w:rPr>
                      <w:rFonts w:hint="eastAsia" w:cs="宋体"/>
                      <w:color w:val="auto"/>
                      <w:sz w:val="22"/>
                      <w:szCs w:val="22"/>
                      <w:highlight w:val="none"/>
                    </w:rPr>
                    <w:t>小型河流</w:t>
                  </w:r>
                </w:p>
              </w:tc>
              <w:tc>
                <w:tcPr>
                  <w:tcW w:w="2542" w:type="dxa"/>
                  <w:tcBorders>
                    <w:top w:val="single" w:color="auto" w:sz="4" w:space="0"/>
                    <w:left w:val="single" w:color="auto" w:sz="4" w:space="0"/>
                    <w:bottom w:val="single" w:color="auto" w:sz="4" w:space="0"/>
                    <w:right w:val="single" w:color="auto" w:sz="4" w:space="0"/>
                  </w:tcBorders>
                  <w:vAlign w:val="center"/>
                </w:tcPr>
                <w:p w14:paraId="2B5E85C2">
                  <w:pPr>
                    <w:kinsoku w:val="0"/>
                    <w:overflowPunct w:val="0"/>
                    <w:autoSpaceDE w:val="0"/>
                    <w:autoSpaceDN w:val="0"/>
                    <w:adjustRightInd w:val="0"/>
                    <w:snapToGrid w:val="0"/>
                    <w:jc w:val="center"/>
                    <w:rPr>
                      <w:rFonts w:cs="宋体"/>
                      <w:color w:val="auto"/>
                      <w:sz w:val="22"/>
                      <w:szCs w:val="22"/>
                      <w:highlight w:val="none"/>
                    </w:rPr>
                  </w:pPr>
                  <w:r>
                    <w:rPr>
                      <w:rFonts w:hint="eastAsia" w:cs="宋体"/>
                      <w:color w:val="auto"/>
                      <w:sz w:val="22"/>
                      <w:szCs w:val="22"/>
                      <w:highlight w:val="none"/>
                    </w:rPr>
                    <w:t>《地表水环境质量标准》</w:t>
                  </w:r>
                </w:p>
                <w:p w14:paraId="614A0FCB">
                  <w:pPr>
                    <w:kinsoku w:val="0"/>
                    <w:overflowPunct w:val="0"/>
                    <w:autoSpaceDE w:val="0"/>
                    <w:autoSpaceDN w:val="0"/>
                    <w:adjustRightInd w:val="0"/>
                    <w:snapToGrid w:val="0"/>
                    <w:jc w:val="center"/>
                    <w:rPr>
                      <w:color w:val="auto"/>
                      <w:sz w:val="22"/>
                      <w:szCs w:val="22"/>
                      <w:highlight w:val="none"/>
                    </w:rPr>
                  </w:pPr>
                  <w:r>
                    <w:rPr>
                      <w:rFonts w:hint="eastAsia" w:cs="宋体"/>
                      <w:color w:val="auto"/>
                      <w:sz w:val="22"/>
                      <w:szCs w:val="22"/>
                      <w:highlight w:val="none"/>
                    </w:rPr>
                    <w:t>（</w:t>
                  </w:r>
                  <w:r>
                    <w:rPr>
                      <w:color w:val="auto"/>
                      <w:sz w:val="22"/>
                      <w:szCs w:val="22"/>
                      <w:highlight w:val="none"/>
                    </w:rPr>
                    <w:t>GB3838-2002</w:t>
                  </w:r>
                  <w:r>
                    <w:rPr>
                      <w:rFonts w:hint="eastAsia" w:cs="宋体"/>
                      <w:color w:val="auto"/>
                      <w:sz w:val="22"/>
                      <w:szCs w:val="22"/>
                      <w:highlight w:val="none"/>
                    </w:rPr>
                    <w:t>）</w:t>
                  </w:r>
                  <w:r>
                    <w:rPr>
                      <w:rFonts w:hint="eastAsia" w:ascii="宋体" w:hAnsi="宋体" w:cs="宋体"/>
                      <w:color w:val="auto"/>
                      <w:sz w:val="24"/>
                      <w:szCs w:val="24"/>
                      <w:highlight w:val="none"/>
                    </w:rPr>
                    <w:t>Ⅲ</w:t>
                  </w:r>
                  <w:r>
                    <w:rPr>
                      <w:rFonts w:hint="eastAsia" w:cs="宋体"/>
                      <w:color w:val="auto"/>
                      <w:sz w:val="22"/>
                      <w:szCs w:val="22"/>
                      <w:highlight w:val="none"/>
                    </w:rPr>
                    <w:t>类</w:t>
                  </w:r>
                </w:p>
              </w:tc>
            </w:tr>
          </w:tbl>
          <w:p w14:paraId="403AB7C4">
            <w:pPr>
              <w:pStyle w:val="83"/>
              <w:spacing w:before="120" w:beforeLines="50" w:line="360" w:lineRule="auto"/>
              <w:ind w:firstLine="480"/>
              <w:rPr>
                <w:rFonts w:ascii="宋体"/>
                <w:color w:val="auto"/>
                <w:highlight w:val="none"/>
              </w:rPr>
            </w:pPr>
            <w:r>
              <w:rPr>
                <w:rFonts w:ascii="宋体" w:hAnsi="宋体" w:cs="宋体"/>
                <w:color w:val="auto"/>
                <w:highlight w:val="none"/>
              </w:rPr>
              <w:t>4</w:t>
            </w:r>
            <w:r>
              <w:rPr>
                <w:rFonts w:hint="eastAsia" w:ascii="宋体" w:hAnsi="宋体" w:cs="宋体"/>
                <w:color w:val="auto"/>
                <w:highlight w:val="none"/>
              </w:rPr>
              <w:t>、地下水环境</w:t>
            </w:r>
          </w:p>
          <w:p w14:paraId="67D9B59A">
            <w:pPr>
              <w:pStyle w:val="83"/>
              <w:spacing w:line="360" w:lineRule="auto"/>
              <w:ind w:firstLine="480"/>
              <w:rPr>
                <w:rFonts w:ascii="宋体" w:hAnsi="宋体" w:cs="宋体"/>
                <w:color w:val="auto"/>
                <w:highlight w:val="none"/>
              </w:rPr>
            </w:pPr>
            <w:r>
              <w:rPr>
                <w:rFonts w:hint="eastAsia" w:ascii="宋体" w:hAnsi="宋体" w:cs="宋体"/>
                <w:color w:val="auto"/>
                <w:highlight w:val="none"/>
              </w:rPr>
              <w:t>根据现场勘查，厂界外</w:t>
            </w:r>
            <w:r>
              <w:rPr>
                <w:rFonts w:ascii="宋体" w:hAnsi="宋体" w:cs="宋体"/>
                <w:color w:val="auto"/>
                <w:highlight w:val="none"/>
              </w:rPr>
              <w:t>500</w:t>
            </w:r>
            <w:r>
              <w:rPr>
                <w:rFonts w:hint="eastAsia" w:ascii="宋体" w:hAnsi="宋体" w:cs="宋体"/>
                <w:color w:val="auto"/>
                <w:highlight w:val="none"/>
              </w:rPr>
              <w:t>米范围内没有地下水集中式饮用水水源和热水、矿泉水、温泉等特殊地下水资源。</w:t>
            </w:r>
          </w:p>
          <w:p w14:paraId="6C18132B">
            <w:pPr>
              <w:pStyle w:val="83"/>
              <w:spacing w:line="360" w:lineRule="auto"/>
              <w:ind w:firstLine="480"/>
              <w:rPr>
                <w:rFonts w:ascii="宋体" w:hAnsi="宋体" w:cs="宋体"/>
                <w:color w:val="auto"/>
                <w:highlight w:val="none"/>
              </w:rPr>
            </w:pPr>
            <w:r>
              <w:rPr>
                <w:rFonts w:hint="eastAsia" w:ascii="宋体" w:hAnsi="宋体" w:cs="宋体"/>
                <w:color w:val="auto"/>
                <w:highlight w:val="none"/>
              </w:rPr>
              <w:t xml:space="preserve">5、生态环境                                                                                                                                                                                                                                                                                                                                                                                                                                                                                                                                                                                                                  </w:t>
            </w:r>
          </w:p>
          <w:p w14:paraId="29C9D1DA">
            <w:pPr>
              <w:pStyle w:val="83"/>
              <w:spacing w:line="360" w:lineRule="auto"/>
              <w:ind w:firstLine="480"/>
              <w:rPr>
                <w:rFonts w:ascii="宋体" w:hAnsi="宋体" w:cs="宋体"/>
                <w:color w:val="auto"/>
                <w:highlight w:val="none"/>
              </w:rPr>
            </w:pPr>
            <w:r>
              <w:rPr>
                <w:color w:val="auto"/>
                <w:szCs w:val="21"/>
                <w:highlight w:val="none"/>
                <w:lang w:bidi="ar"/>
              </w:rPr>
              <w:t>本项目位于</w:t>
            </w:r>
            <w:r>
              <w:rPr>
                <w:rFonts w:hint="eastAsia"/>
                <w:color w:val="auto"/>
                <w:szCs w:val="21"/>
                <w:highlight w:val="none"/>
                <w:lang w:eastAsia="zh-CN"/>
              </w:rPr>
              <w:t>淮北市烈山区古饶镇烈山经济开发区南塘路与邱家沟交叉口东北角1号</w:t>
            </w:r>
            <w:r>
              <w:rPr>
                <w:color w:val="auto"/>
                <w:szCs w:val="21"/>
                <w:highlight w:val="none"/>
                <w:lang w:bidi="ar"/>
              </w:rPr>
              <w:t>，</w:t>
            </w:r>
            <w:r>
              <w:rPr>
                <w:rFonts w:ascii="宋体" w:hAnsi="宋体" w:cs="宋体"/>
                <w:color w:val="auto"/>
                <w:highlight w:val="none"/>
              </w:rPr>
              <w:t>用地范围内不涉及野生保护动植物等生态环境保护目标。</w:t>
            </w:r>
          </w:p>
        </w:tc>
      </w:tr>
      <w:tr w14:paraId="66E0D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38" w:hRule="atLeast"/>
          <w:jc w:val="center"/>
        </w:trPr>
        <w:tc>
          <w:tcPr>
            <w:tcW w:w="800" w:type="dxa"/>
            <w:tcMar>
              <w:left w:w="28" w:type="dxa"/>
              <w:right w:w="28" w:type="dxa"/>
            </w:tcMar>
            <w:vAlign w:val="center"/>
          </w:tcPr>
          <w:p w14:paraId="643C127A">
            <w:pPr>
              <w:adjustRightInd w:val="0"/>
              <w:snapToGrid w:val="0"/>
              <w:jc w:val="center"/>
              <w:rPr>
                <w:rFonts w:ascii="宋体"/>
                <w:color w:val="auto"/>
                <w:sz w:val="24"/>
                <w:szCs w:val="24"/>
                <w:highlight w:val="none"/>
              </w:rPr>
            </w:pPr>
            <w:r>
              <w:rPr>
                <w:rFonts w:hint="eastAsia" w:ascii="宋体" w:hAnsi="宋体" w:cs="宋体"/>
                <w:color w:val="auto"/>
                <w:sz w:val="24"/>
                <w:szCs w:val="24"/>
                <w:highlight w:val="none"/>
              </w:rPr>
              <w:t>污染</w:t>
            </w:r>
          </w:p>
          <w:p w14:paraId="3C925301">
            <w:pPr>
              <w:adjustRightInd w:val="0"/>
              <w:snapToGrid w:val="0"/>
              <w:jc w:val="center"/>
              <w:rPr>
                <w:rFonts w:ascii="宋体"/>
                <w:color w:val="auto"/>
                <w:sz w:val="24"/>
                <w:szCs w:val="24"/>
                <w:highlight w:val="none"/>
              </w:rPr>
            </w:pPr>
            <w:r>
              <w:rPr>
                <w:rFonts w:hint="eastAsia" w:ascii="宋体" w:hAnsi="宋体" w:cs="宋体"/>
                <w:color w:val="auto"/>
                <w:sz w:val="24"/>
                <w:szCs w:val="24"/>
                <w:highlight w:val="none"/>
              </w:rPr>
              <w:t>物排</w:t>
            </w:r>
          </w:p>
          <w:p w14:paraId="2099EE50">
            <w:pPr>
              <w:adjustRightInd w:val="0"/>
              <w:snapToGrid w:val="0"/>
              <w:jc w:val="center"/>
              <w:rPr>
                <w:rFonts w:ascii="宋体"/>
                <w:color w:val="auto"/>
                <w:sz w:val="24"/>
                <w:szCs w:val="24"/>
                <w:highlight w:val="none"/>
              </w:rPr>
            </w:pPr>
            <w:r>
              <w:rPr>
                <w:rFonts w:hint="eastAsia" w:ascii="宋体" w:hAnsi="宋体" w:cs="宋体"/>
                <w:color w:val="auto"/>
                <w:sz w:val="24"/>
                <w:szCs w:val="24"/>
                <w:highlight w:val="none"/>
              </w:rPr>
              <w:t>放控</w:t>
            </w:r>
          </w:p>
          <w:p w14:paraId="07CD4710">
            <w:pPr>
              <w:adjustRightInd w:val="0"/>
              <w:snapToGrid w:val="0"/>
              <w:jc w:val="center"/>
              <w:rPr>
                <w:rFonts w:ascii="宋体"/>
                <w:color w:val="auto"/>
                <w:sz w:val="24"/>
                <w:szCs w:val="24"/>
                <w:highlight w:val="none"/>
              </w:rPr>
            </w:pPr>
            <w:r>
              <w:rPr>
                <w:rFonts w:hint="eastAsia" w:ascii="宋体" w:hAnsi="宋体" w:cs="宋体"/>
                <w:color w:val="auto"/>
                <w:sz w:val="24"/>
                <w:szCs w:val="24"/>
                <w:highlight w:val="none"/>
              </w:rPr>
              <w:t>制标</w:t>
            </w:r>
          </w:p>
          <w:p w14:paraId="360D1419">
            <w:pPr>
              <w:adjustRightInd w:val="0"/>
              <w:snapToGrid w:val="0"/>
              <w:jc w:val="center"/>
              <w:rPr>
                <w:rFonts w:ascii="宋体"/>
                <w:color w:val="auto"/>
                <w:sz w:val="24"/>
                <w:szCs w:val="24"/>
                <w:highlight w:val="none"/>
              </w:rPr>
            </w:pPr>
            <w:r>
              <w:rPr>
                <w:rFonts w:hint="eastAsia" w:ascii="宋体" w:hAnsi="宋体" w:cs="宋体"/>
                <w:color w:val="auto"/>
                <w:sz w:val="24"/>
                <w:szCs w:val="24"/>
                <w:highlight w:val="none"/>
              </w:rPr>
              <w:t>准</w:t>
            </w:r>
          </w:p>
        </w:tc>
        <w:tc>
          <w:tcPr>
            <w:tcW w:w="8190" w:type="dxa"/>
          </w:tcPr>
          <w:p w14:paraId="192A237A">
            <w:pPr>
              <w:pStyle w:val="29"/>
              <w:spacing w:line="360" w:lineRule="auto"/>
              <w:rPr>
                <w:rFonts w:hint="eastAsia" w:ascii="宋体" w:hAnsi="宋体" w:eastAsia="宋体" w:cs="宋体"/>
                <w:b w:val="0"/>
                <w:color w:val="auto"/>
                <w:kern w:val="2"/>
                <w:sz w:val="24"/>
                <w:szCs w:val="24"/>
                <w:highlight w:val="none"/>
                <w:lang w:val="en-US" w:eastAsia="zh-CN" w:bidi="ar-SA"/>
              </w:rPr>
            </w:pPr>
            <w:r>
              <w:rPr>
                <w:rFonts w:hint="eastAsia" w:ascii="宋体" w:hAnsi="宋体" w:eastAsia="宋体" w:cs="宋体"/>
                <w:b w:val="0"/>
                <w:color w:val="auto"/>
                <w:kern w:val="2"/>
                <w:sz w:val="24"/>
                <w:szCs w:val="24"/>
                <w:highlight w:val="none"/>
                <w:lang w:val="en-US" w:eastAsia="zh-CN" w:bidi="ar-SA"/>
              </w:rPr>
              <w:t>1、废水排放标准</w:t>
            </w:r>
          </w:p>
          <w:p w14:paraId="2C751F9B">
            <w:pPr>
              <w:widowControl/>
              <w:spacing w:line="360" w:lineRule="auto"/>
              <w:ind w:firstLine="460" w:firstLineChars="200"/>
              <w:jc w:val="left"/>
              <w:rPr>
                <w:rFonts w:hint="eastAsia" w:asciiTheme="minorEastAsia" w:hAnsiTheme="minorEastAsia" w:eastAsiaTheme="minorEastAsia" w:cstheme="minorEastAsia"/>
                <w:color w:val="auto"/>
                <w:spacing w:val="-5"/>
                <w:sz w:val="24"/>
                <w:szCs w:val="24"/>
                <w:highlight w:val="none"/>
                <w:lang w:val="en-US" w:eastAsia="zh-CN" w:bidi="zh-CN"/>
              </w:rPr>
            </w:pPr>
            <w:r>
              <w:rPr>
                <w:rFonts w:hint="eastAsia" w:asciiTheme="minorEastAsia" w:hAnsiTheme="minorEastAsia" w:eastAsiaTheme="minorEastAsia" w:cstheme="minorEastAsia"/>
                <w:color w:val="auto"/>
                <w:spacing w:val="-5"/>
                <w:sz w:val="24"/>
                <w:szCs w:val="24"/>
                <w:highlight w:val="none"/>
                <w:lang w:val="en-US" w:eastAsia="zh-CN" w:bidi="zh-CN"/>
              </w:rPr>
              <w:t>生活污水排放执行《污水综合排放标准》（GB8978-96）表4中三级标准及淮北蓝海水处理有限公司接管标准要求，</w:t>
            </w:r>
            <w:r>
              <w:rPr>
                <w:rFonts w:hint="eastAsia" w:asciiTheme="minorEastAsia" w:hAnsiTheme="minorEastAsia" w:eastAsiaTheme="minorEastAsia" w:cstheme="minorEastAsia"/>
                <w:color w:val="auto"/>
                <w:sz w:val="24"/>
                <w:szCs w:val="24"/>
                <w:highlight w:val="none"/>
              </w:rPr>
              <w:t>具体标准值见下表：</w:t>
            </w:r>
          </w:p>
          <w:p w14:paraId="680424E2">
            <w:pPr>
              <w:widowControl/>
              <w:numPr>
                <w:ilvl w:val="0"/>
                <w:numId w:val="0"/>
              </w:numPr>
              <w:spacing w:line="360" w:lineRule="auto"/>
              <w:ind w:left="420" w:leftChars="0" w:hanging="420" w:firstLineChars="0"/>
              <w:jc w:val="center"/>
              <w:rPr>
                <w:rFonts w:hint="eastAsia" w:asciiTheme="minorEastAsia" w:hAnsiTheme="minorEastAsia" w:eastAsiaTheme="minorEastAsia" w:cstheme="minorEastAsia"/>
                <w:b w:val="0"/>
                <w:bCs/>
                <w:color w:val="auto"/>
                <w:kern w:val="0"/>
                <w:sz w:val="21"/>
                <w:szCs w:val="21"/>
                <w:highlight w:val="none"/>
              </w:rPr>
            </w:pPr>
            <w:r>
              <w:rPr>
                <w:rFonts w:hint="eastAsia" w:asciiTheme="minorEastAsia" w:hAnsiTheme="minorEastAsia" w:eastAsiaTheme="minorEastAsia" w:cstheme="minorEastAsia"/>
                <w:b w:val="0"/>
                <w:bCs/>
                <w:color w:val="auto"/>
                <w:kern w:val="0"/>
                <w:sz w:val="21"/>
                <w:szCs w:val="21"/>
                <w:highlight w:val="none"/>
                <w:lang w:val="en-US" w:eastAsia="zh-CN" w:bidi="ar-SA"/>
              </w:rPr>
              <w:t>表3-4</w:t>
            </w:r>
            <w:r>
              <w:rPr>
                <w:rFonts w:hint="eastAsia" w:asciiTheme="minorEastAsia" w:hAnsiTheme="minorEastAsia" w:eastAsiaTheme="minorEastAsia" w:cstheme="minorEastAsia"/>
                <w:b w:val="0"/>
                <w:bCs/>
                <w:color w:val="auto"/>
                <w:kern w:val="0"/>
                <w:sz w:val="21"/>
                <w:szCs w:val="21"/>
                <w:highlight w:val="none"/>
              </w:rPr>
              <w:t xml:space="preserve">  废水污染物排放标准  单位：mg/L，pH无量纲</w:t>
            </w:r>
          </w:p>
          <w:tbl>
            <w:tblPr>
              <w:tblStyle w:val="37"/>
              <w:tblW w:w="78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88"/>
              <w:gridCol w:w="644"/>
              <w:gridCol w:w="799"/>
              <w:gridCol w:w="1077"/>
              <w:gridCol w:w="1007"/>
              <w:gridCol w:w="1202"/>
            </w:tblGrid>
            <w:tr w14:paraId="4AF83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975" w:type="pct"/>
                  <w:noWrap w:val="0"/>
                  <w:vAlign w:val="center"/>
                </w:tcPr>
                <w:p w14:paraId="4AA4A27E">
                  <w:pPr>
                    <w:jc w:val="center"/>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rPr>
                    <w:t>污染物</w:t>
                  </w:r>
                </w:p>
              </w:tc>
              <w:tc>
                <w:tcPr>
                  <w:tcW w:w="411" w:type="pct"/>
                  <w:noWrap w:val="0"/>
                  <w:vAlign w:val="center"/>
                </w:tcPr>
                <w:p w14:paraId="246D0B3D">
                  <w:pPr>
                    <w:tabs>
                      <w:tab w:val="right" w:leader="middleDot" w:pos="8505"/>
                    </w:tabs>
                    <w:jc w:val="center"/>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rPr>
                    <w:t>pH</w:t>
                  </w:r>
                </w:p>
              </w:tc>
              <w:tc>
                <w:tcPr>
                  <w:tcW w:w="511" w:type="pct"/>
                  <w:noWrap w:val="0"/>
                  <w:vAlign w:val="center"/>
                </w:tcPr>
                <w:p w14:paraId="57AAEBC9">
                  <w:pPr>
                    <w:tabs>
                      <w:tab w:val="right" w:leader="middleDot" w:pos="8505"/>
                    </w:tabs>
                    <w:jc w:val="center"/>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rPr>
                    <w:t>COD</w:t>
                  </w:r>
                </w:p>
              </w:tc>
              <w:tc>
                <w:tcPr>
                  <w:tcW w:w="688" w:type="pct"/>
                  <w:noWrap w:val="0"/>
                  <w:vAlign w:val="center"/>
                </w:tcPr>
                <w:p w14:paraId="1EC7C6D6">
                  <w:pPr>
                    <w:jc w:val="center"/>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rPr>
                    <w:t>BOD</w:t>
                  </w:r>
                  <w:r>
                    <w:rPr>
                      <w:rFonts w:hint="eastAsia" w:asciiTheme="minorEastAsia" w:hAnsiTheme="minorEastAsia" w:eastAsiaTheme="minorEastAsia" w:cstheme="minorEastAsia"/>
                      <w:b w:val="0"/>
                      <w:bCs/>
                      <w:color w:val="auto"/>
                      <w:sz w:val="21"/>
                      <w:szCs w:val="21"/>
                      <w:highlight w:val="none"/>
                      <w:vertAlign w:val="subscript"/>
                    </w:rPr>
                    <w:t>5</w:t>
                  </w:r>
                </w:p>
              </w:tc>
              <w:tc>
                <w:tcPr>
                  <w:tcW w:w="644" w:type="pct"/>
                  <w:noWrap w:val="0"/>
                  <w:vAlign w:val="center"/>
                </w:tcPr>
                <w:p w14:paraId="2A46274F">
                  <w:pPr>
                    <w:jc w:val="center"/>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rPr>
                    <w:t>SS</w:t>
                  </w:r>
                </w:p>
              </w:tc>
              <w:tc>
                <w:tcPr>
                  <w:tcW w:w="768" w:type="pct"/>
                  <w:noWrap w:val="0"/>
                  <w:vAlign w:val="center"/>
                </w:tcPr>
                <w:p w14:paraId="0227C8E0">
                  <w:pPr>
                    <w:jc w:val="center"/>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rPr>
                    <w:t>NH</w:t>
                  </w:r>
                  <w:r>
                    <w:rPr>
                      <w:rFonts w:hint="eastAsia" w:asciiTheme="minorEastAsia" w:hAnsiTheme="minorEastAsia" w:eastAsiaTheme="minorEastAsia" w:cstheme="minorEastAsia"/>
                      <w:b w:val="0"/>
                      <w:bCs/>
                      <w:color w:val="auto"/>
                      <w:sz w:val="21"/>
                      <w:szCs w:val="21"/>
                      <w:highlight w:val="none"/>
                      <w:vertAlign w:val="subscript"/>
                    </w:rPr>
                    <w:t>3</w:t>
                  </w:r>
                  <w:r>
                    <w:rPr>
                      <w:rFonts w:hint="eastAsia" w:asciiTheme="minorEastAsia" w:hAnsiTheme="minorEastAsia" w:eastAsiaTheme="minorEastAsia" w:cstheme="minorEastAsia"/>
                      <w:b w:val="0"/>
                      <w:bCs/>
                      <w:color w:val="auto"/>
                      <w:sz w:val="21"/>
                      <w:szCs w:val="21"/>
                      <w:highlight w:val="none"/>
                    </w:rPr>
                    <w:t>-N</w:t>
                  </w:r>
                </w:p>
              </w:tc>
            </w:tr>
            <w:tr w14:paraId="29150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1975" w:type="pct"/>
                  <w:noWrap w:val="0"/>
                  <w:vAlign w:val="center"/>
                </w:tcPr>
                <w:p w14:paraId="13CC7DD1">
                  <w:pPr>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5"/>
                      <w:sz w:val="21"/>
                      <w:szCs w:val="21"/>
                      <w:highlight w:val="none"/>
                      <w:lang w:val="en-US" w:eastAsia="zh-CN" w:bidi="zh-CN"/>
                    </w:rPr>
                    <w:t>淮北蓝海水处理有限公司</w:t>
                  </w:r>
                  <w:r>
                    <w:rPr>
                      <w:rFonts w:hint="eastAsia" w:asciiTheme="minorEastAsia" w:hAnsiTheme="minorEastAsia" w:eastAsiaTheme="minorEastAsia" w:cstheme="minorEastAsia"/>
                      <w:bCs/>
                      <w:color w:val="auto"/>
                      <w:sz w:val="21"/>
                      <w:szCs w:val="21"/>
                      <w:highlight w:val="none"/>
                    </w:rPr>
                    <w:t>接管限值</w:t>
                  </w:r>
                </w:p>
              </w:tc>
              <w:tc>
                <w:tcPr>
                  <w:tcW w:w="411" w:type="pct"/>
                  <w:noWrap w:val="0"/>
                  <w:vAlign w:val="center"/>
                </w:tcPr>
                <w:p w14:paraId="30BC0AA8">
                  <w:pPr>
                    <w:pStyle w:val="24"/>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rPr>
                    <w:t>6~9</w:t>
                  </w:r>
                </w:p>
              </w:tc>
              <w:tc>
                <w:tcPr>
                  <w:tcW w:w="511" w:type="pct"/>
                  <w:noWrap w:val="0"/>
                  <w:vAlign w:val="center"/>
                </w:tcPr>
                <w:p w14:paraId="04FD7C72">
                  <w:pPr>
                    <w:pStyle w:val="24"/>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rPr>
                    <w:t>≤480</w:t>
                  </w:r>
                </w:p>
              </w:tc>
              <w:tc>
                <w:tcPr>
                  <w:tcW w:w="688" w:type="pct"/>
                  <w:noWrap w:val="0"/>
                  <w:vAlign w:val="center"/>
                </w:tcPr>
                <w:p w14:paraId="1B27A688">
                  <w:pPr>
                    <w:pStyle w:val="24"/>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rPr>
                    <w:t>≤120</w:t>
                  </w:r>
                </w:p>
              </w:tc>
              <w:tc>
                <w:tcPr>
                  <w:tcW w:w="644" w:type="pct"/>
                  <w:noWrap w:val="0"/>
                  <w:vAlign w:val="center"/>
                </w:tcPr>
                <w:p w14:paraId="6972BB55">
                  <w:pPr>
                    <w:pStyle w:val="24"/>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rPr>
                    <w:t>≤310</w:t>
                  </w:r>
                </w:p>
              </w:tc>
              <w:tc>
                <w:tcPr>
                  <w:tcW w:w="768" w:type="pct"/>
                  <w:noWrap w:val="0"/>
                  <w:vAlign w:val="center"/>
                </w:tcPr>
                <w:p w14:paraId="65760B55">
                  <w:pPr>
                    <w:pStyle w:val="24"/>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rPr>
                    <w:t>≤35</w:t>
                  </w:r>
                </w:p>
              </w:tc>
            </w:tr>
            <w:tr w14:paraId="61881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1975" w:type="pct"/>
                  <w:noWrap w:val="0"/>
                  <w:vAlign w:val="center"/>
                </w:tcPr>
                <w:p w14:paraId="47406A92">
                  <w:pPr>
                    <w:jc w:val="center"/>
                    <w:rPr>
                      <w:rFonts w:hint="eastAsia" w:asciiTheme="minorEastAsia" w:hAnsiTheme="minorEastAsia" w:eastAsiaTheme="minorEastAsia" w:cstheme="minorEastAsia"/>
                      <w:color w:val="auto"/>
                      <w:sz w:val="21"/>
                      <w:szCs w:val="21"/>
                      <w:highlight w:val="none"/>
                      <w:lang w:bidi="ar"/>
                    </w:rPr>
                  </w:pPr>
                  <w:r>
                    <w:rPr>
                      <w:rFonts w:hint="eastAsia" w:asciiTheme="minorEastAsia" w:hAnsiTheme="minorEastAsia" w:eastAsiaTheme="minorEastAsia" w:cstheme="minorEastAsia"/>
                      <w:color w:val="auto"/>
                      <w:sz w:val="21"/>
                      <w:szCs w:val="21"/>
                      <w:highlight w:val="none"/>
                      <w:lang w:bidi="ar"/>
                    </w:rPr>
                    <w:t>（GB8978-1996）表4中三级标准</w:t>
                  </w:r>
                </w:p>
              </w:tc>
              <w:tc>
                <w:tcPr>
                  <w:tcW w:w="411" w:type="pct"/>
                  <w:noWrap w:val="0"/>
                  <w:vAlign w:val="center"/>
                </w:tcPr>
                <w:p w14:paraId="7392A4A7">
                  <w:pPr>
                    <w:pStyle w:val="24"/>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rPr>
                    <w:t>6~9</w:t>
                  </w:r>
                </w:p>
              </w:tc>
              <w:tc>
                <w:tcPr>
                  <w:tcW w:w="511" w:type="pct"/>
                  <w:noWrap w:val="0"/>
                  <w:vAlign w:val="center"/>
                </w:tcPr>
                <w:p w14:paraId="33B4B51C">
                  <w:pPr>
                    <w:pStyle w:val="24"/>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rPr>
                    <w:t>≤500</w:t>
                  </w:r>
                </w:p>
              </w:tc>
              <w:tc>
                <w:tcPr>
                  <w:tcW w:w="688" w:type="pct"/>
                  <w:noWrap w:val="0"/>
                  <w:vAlign w:val="center"/>
                </w:tcPr>
                <w:p w14:paraId="36244A12">
                  <w:pPr>
                    <w:pStyle w:val="24"/>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rPr>
                    <w:t>≤300</w:t>
                  </w:r>
                </w:p>
              </w:tc>
              <w:tc>
                <w:tcPr>
                  <w:tcW w:w="644" w:type="pct"/>
                  <w:noWrap w:val="0"/>
                  <w:vAlign w:val="center"/>
                </w:tcPr>
                <w:p w14:paraId="2AC9D301">
                  <w:pPr>
                    <w:pStyle w:val="24"/>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rPr>
                    <w:t>≤400</w:t>
                  </w:r>
                </w:p>
              </w:tc>
              <w:tc>
                <w:tcPr>
                  <w:tcW w:w="768" w:type="pct"/>
                  <w:noWrap w:val="0"/>
                  <w:vAlign w:val="center"/>
                </w:tcPr>
                <w:p w14:paraId="70B86D00">
                  <w:pPr>
                    <w:pStyle w:val="24"/>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rPr>
                    <w:t>/</w:t>
                  </w:r>
                </w:p>
              </w:tc>
            </w:tr>
            <w:tr w14:paraId="6EF6A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975" w:type="pct"/>
                  <w:noWrap w:val="0"/>
                  <w:vAlign w:val="center"/>
                </w:tcPr>
                <w:p w14:paraId="298D343D">
                  <w:pPr>
                    <w:jc w:val="center"/>
                    <w:rPr>
                      <w:rFonts w:hint="eastAsia" w:asciiTheme="minorEastAsia" w:hAnsiTheme="minorEastAsia" w:eastAsiaTheme="minorEastAsia" w:cstheme="minorEastAsia"/>
                      <w:color w:val="auto"/>
                      <w:sz w:val="21"/>
                      <w:szCs w:val="21"/>
                      <w:highlight w:val="none"/>
                      <w:lang w:bidi="ar"/>
                    </w:rPr>
                  </w:pPr>
                  <w:r>
                    <w:rPr>
                      <w:rFonts w:hint="eastAsia" w:asciiTheme="minorEastAsia" w:hAnsiTheme="minorEastAsia" w:eastAsiaTheme="minorEastAsia" w:cstheme="minorEastAsia"/>
                      <w:color w:val="auto"/>
                      <w:sz w:val="21"/>
                      <w:szCs w:val="21"/>
                      <w:highlight w:val="none"/>
                      <w:lang w:bidi="ar"/>
                    </w:rPr>
                    <w:t>本项目废水排放标准</w:t>
                  </w:r>
                </w:p>
              </w:tc>
              <w:tc>
                <w:tcPr>
                  <w:tcW w:w="411" w:type="pct"/>
                  <w:noWrap w:val="0"/>
                  <w:vAlign w:val="center"/>
                </w:tcPr>
                <w:p w14:paraId="1CD2110B">
                  <w:pPr>
                    <w:pStyle w:val="24"/>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rPr>
                    <w:t>6~9</w:t>
                  </w:r>
                </w:p>
              </w:tc>
              <w:tc>
                <w:tcPr>
                  <w:tcW w:w="511" w:type="pct"/>
                  <w:noWrap w:val="0"/>
                  <w:vAlign w:val="center"/>
                </w:tcPr>
                <w:p w14:paraId="7283AB52">
                  <w:pPr>
                    <w:pStyle w:val="24"/>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rPr>
                    <w:t>≤480</w:t>
                  </w:r>
                </w:p>
              </w:tc>
              <w:tc>
                <w:tcPr>
                  <w:tcW w:w="688" w:type="pct"/>
                  <w:noWrap w:val="0"/>
                  <w:vAlign w:val="center"/>
                </w:tcPr>
                <w:p w14:paraId="51F1A370">
                  <w:pPr>
                    <w:pStyle w:val="24"/>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rPr>
                    <w:t>≤120</w:t>
                  </w:r>
                </w:p>
              </w:tc>
              <w:tc>
                <w:tcPr>
                  <w:tcW w:w="644" w:type="pct"/>
                  <w:noWrap w:val="0"/>
                  <w:vAlign w:val="center"/>
                </w:tcPr>
                <w:p w14:paraId="5BD1B34C">
                  <w:pPr>
                    <w:pStyle w:val="24"/>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rPr>
                    <w:t>≤310</w:t>
                  </w:r>
                </w:p>
              </w:tc>
              <w:tc>
                <w:tcPr>
                  <w:tcW w:w="768" w:type="pct"/>
                  <w:noWrap w:val="0"/>
                  <w:vAlign w:val="center"/>
                </w:tcPr>
                <w:p w14:paraId="47B87D5F">
                  <w:pPr>
                    <w:pStyle w:val="24"/>
                    <w:jc w:val="center"/>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rPr>
                    <w:t>≤35</w:t>
                  </w:r>
                </w:p>
              </w:tc>
            </w:tr>
          </w:tbl>
          <w:p w14:paraId="2E3258C7">
            <w:pPr>
              <w:pStyle w:val="83"/>
              <w:spacing w:before="240" w:beforeLines="100" w:line="360" w:lineRule="auto"/>
              <w:ind w:firstLine="480"/>
              <w:rPr>
                <w:rFonts w:ascii="宋体"/>
                <w:color w:val="auto"/>
                <w:highlight w:val="none"/>
              </w:rPr>
            </w:pPr>
            <w:r>
              <w:rPr>
                <w:rFonts w:hint="eastAsia" w:ascii="宋体" w:hAnsi="宋体" w:cs="宋体"/>
                <w:color w:val="auto"/>
                <w:highlight w:val="none"/>
                <w:lang w:val="en-US" w:eastAsia="zh-CN"/>
              </w:rPr>
              <w:t>2</w:t>
            </w:r>
            <w:r>
              <w:rPr>
                <w:rFonts w:hint="eastAsia" w:ascii="宋体" w:hAnsi="宋体" w:cs="宋体"/>
                <w:color w:val="auto"/>
                <w:highlight w:val="none"/>
              </w:rPr>
              <w:t>、大气污染物排放标准</w:t>
            </w:r>
          </w:p>
          <w:p w14:paraId="1D853D73">
            <w:pPr>
              <w:pStyle w:val="83"/>
              <w:spacing w:line="360" w:lineRule="auto"/>
              <w:ind w:firstLine="480"/>
              <w:jc w:val="both"/>
              <w:rPr>
                <w:rFonts w:ascii="宋体"/>
                <w:color w:val="auto"/>
                <w:highlight w:val="none"/>
              </w:rPr>
            </w:pPr>
            <w:r>
              <w:rPr>
                <w:rFonts w:hint="eastAsia" w:ascii="宋体" w:hAnsi="宋体" w:cs="宋体"/>
                <w:color w:val="auto"/>
                <w:highlight w:val="none"/>
              </w:rPr>
              <w:t>本项目生产产生的废气颗粒物执行《大气污染物综合排放标准》（</w:t>
            </w:r>
            <w:r>
              <w:rPr>
                <w:rFonts w:ascii="宋体" w:hAnsi="宋体" w:cs="宋体"/>
                <w:color w:val="auto"/>
                <w:highlight w:val="none"/>
              </w:rPr>
              <w:t>GB16297-1996</w:t>
            </w:r>
            <w:r>
              <w:rPr>
                <w:rFonts w:hint="eastAsia" w:ascii="宋体" w:hAnsi="宋体" w:cs="宋体"/>
                <w:color w:val="auto"/>
                <w:highlight w:val="none"/>
              </w:rPr>
              <w:t>）表</w:t>
            </w:r>
            <w:r>
              <w:rPr>
                <w:rFonts w:ascii="宋体" w:hAnsi="宋体" w:cs="宋体"/>
                <w:color w:val="auto"/>
                <w:highlight w:val="none"/>
              </w:rPr>
              <w:t>2</w:t>
            </w:r>
            <w:r>
              <w:rPr>
                <w:rFonts w:hint="eastAsia" w:ascii="宋体" w:hAnsi="宋体" w:cs="宋体"/>
                <w:color w:val="auto"/>
                <w:highlight w:val="none"/>
              </w:rPr>
              <w:t>中的限值要求，</w:t>
            </w:r>
            <w:r>
              <w:rPr>
                <w:color w:val="auto"/>
                <w:highlight w:val="none"/>
              </w:rPr>
              <w:t>具体如下：</w:t>
            </w:r>
          </w:p>
          <w:p w14:paraId="7368541A">
            <w:pPr>
              <w:autoSpaceDE w:val="0"/>
              <w:autoSpaceDN w:val="0"/>
              <w:adjustRightInd w:val="0"/>
              <w:spacing w:line="360" w:lineRule="auto"/>
              <w:ind w:firstLine="440" w:firstLineChars="200"/>
              <w:jc w:val="center"/>
              <w:rPr>
                <w:color w:val="auto"/>
                <w:kern w:val="0"/>
                <w:highlight w:val="none"/>
              </w:rPr>
            </w:pPr>
            <w:r>
              <w:rPr>
                <w:rFonts w:hint="eastAsia" w:hAnsi="宋体" w:cs="宋体"/>
                <w:color w:val="auto"/>
                <w:sz w:val="22"/>
                <w:szCs w:val="22"/>
                <w:highlight w:val="none"/>
              </w:rPr>
              <w:t>表</w:t>
            </w:r>
            <w:r>
              <w:rPr>
                <w:rFonts w:hAnsi="宋体"/>
                <w:color w:val="auto"/>
                <w:sz w:val="22"/>
                <w:szCs w:val="22"/>
                <w:highlight w:val="none"/>
              </w:rPr>
              <w:t>3-</w:t>
            </w:r>
            <w:r>
              <w:rPr>
                <w:rFonts w:hint="eastAsia" w:hAnsi="宋体"/>
                <w:color w:val="auto"/>
                <w:sz w:val="22"/>
                <w:szCs w:val="22"/>
                <w:highlight w:val="none"/>
                <w:lang w:val="en-US" w:eastAsia="zh-CN"/>
              </w:rPr>
              <w:t>5</w:t>
            </w:r>
            <w:r>
              <w:rPr>
                <w:rFonts w:hAnsi="宋体"/>
                <w:color w:val="auto"/>
                <w:sz w:val="22"/>
                <w:szCs w:val="22"/>
                <w:highlight w:val="none"/>
              </w:rPr>
              <w:t xml:space="preserve"> </w:t>
            </w:r>
            <w:r>
              <w:rPr>
                <w:rFonts w:hint="eastAsia" w:hAnsi="宋体" w:cs="宋体"/>
                <w:color w:val="auto"/>
                <w:sz w:val="22"/>
                <w:szCs w:val="22"/>
                <w:highlight w:val="none"/>
              </w:rPr>
              <w:t>废气排放标准一览表</w:t>
            </w:r>
            <w:r>
              <w:rPr>
                <w:rFonts w:hAnsi="宋体"/>
                <w:color w:val="auto"/>
                <w:sz w:val="22"/>
                <w:szCs w:val="22"/>
                <w:highlight w:val="none"/>
              </w:rPr>
              <w:t xml:space="preserve">       </w:t>
            </w:r>
            <w:r>
              <w:rPr>
                <w:rFonts w:hint="eastAsia" w:hAnsi="宋体" w:cs="宋体"/>
                <w:color w:val="auto"/>
                <w:sz w:val="22"/>
                <w:szCs w:val="22"/>
                <w:highlight w:val="none"/>
              </w:rPr>
              <w:t>单位：</w:t>
            </w:r>
            <w:r>
              <w:rPr>
                <w:rFonts w:hAnsi="宋体"/>
                <w:color w:val="auto"/>
                <w:sz w:val="22"/>
                <w:szCs w:val="22"/>
                <w:highlight w:val="none"/>
              </w:rPr>
              <w:t xml:space="preserve"> mg/m</w:t>
            </w:r>
            <w:r>
              <w:rPr>
                <w:rFonts w:hAnsi="宋体"/>
                <w:color w:val="auto"/>
                <w:sz w:val="22"/>
                <w:szCs w:val="22"/>
                <w:highlight w:val="none"/>
                <w:vertAlign w:val="superscript"/>
              </w:rPr>
              <w:t>3</w:t>
            </w:r>
          </w:p>
          <w:tbl>
            <w:tblPr>
              <w:tblStyle w:val="37"/>
              <w:tblW w:w="80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81"/>
              <w:gridCol w:w="843"/>
              <w:gridCol w:w="1114"/>
              <w:gridCol w:w="884"/>
              <w:gridCol w:w="1111"/>
              <w:gridCol w:w="1388"/>
              <w:gridCol w:w="1316"/>
            </w:tblGrid>
            <w:tr w14:paraId="2F58F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0" w:hRule="atLeast"/>
                <w:jc w:val="center"/>
              </w:trPr>
              <w:tc>
                <w:tcPr>
                  <w:tcW w:w="859" w:type="pct"/>
                  <w:vMerge w:val="restart"/>
                  <w:tcBorders>
                    <w:top w:val="single" w:color="auto" w:sz="4" w:space="0"/>
                    <w:left w:val="single" w:color="auto" w:sz="4" w:space="0"/>
                    <w:bottom w:val="single" w:color="auto" w:sz="4" w:space="0"/>
                    <w:right w:val="single" w:color="auto" w:sz="4" w:space="0"/>
                  </w:tcBorders>
                  <w:vAlign w:val="center"/>
                </w:tcPr>
                <w:p w14:paraId="7026C438">
                  <w:pPr>
                    <w:pStyle w:val="89"/>
                    <w:rPr>
                      <w:color w:val="auto"/>
                      <w:sz w:val="22"/>
                      <w:szCs w:val="22"/>
                      <w:highlight w:val="none"/>
                    </w:rPr>
                  </w:pPr>
                  <w:r>
                    <w:rPr>
                      <w:rFonts w:hint="eastAsia" w:cs="宋体"/>
                      <w:color w:val="auto"/>
                      <w:sz w:val="22"/>
                      <w:szCs w:val="22"/>
                      <w:highlight w:val="none"/>
                    </w:rPr>
                    <w:t>污染源</w:t>
                  </w:r>
                </w:p>
              </w:tc>
              <w:tc>
                <w:tcPr>
                  <w:tcW w:w="524" w:type="pct"/>
                  <w:vMerge w:val="restart"/>
                  <w:tcBorders>
                    <w:top w:val="single" w:color="auto" w:sz="4" w:space="0"/>
                    <w:left w:val="single" w:color="auto" w:sz="4" w:space="0"/>
                    <w:bottom w:val="single" w:color="auto" w:sz="4" w:space="0"/>
                    <w:right w:val="single" w:color="auto" w:sz="4" w:space="0"/>
                  </w:tcBorders>
                  <w:vAlign w:val="center"/>
                </w:tcPr>
                <w:p w14:paraId="5C718146">
                  <w:pPr>
                    <w:pStyle w:val="89"/>
                    <w:rPr>
                      <w:color w:val="auto"/>
                      <w:sz w:val="22"/>
                      <w:szCs w:val="22"/>
                      <w:highlight w:val="none"/>
                    </w:rPr>
                  </w:pPr>
                  <w:r>
                    <w:rPr>
                      <w:rFonts w:hint="eastAsia" w:cs="宋体"/>
                      <w:color w:val="auto"/>
                      <w:sz w:val="22"/>
                      <w:szCs w:val="22"/>
                      <w:highlight w:val="none"/>
                    </w:rPr>
                    <w:t>污染物</w:t>
                  </w:r>
                </w:p>
              </w:tc>
              <w:tc>
                <w:tcPr>
                  <w:tcW w:w="1934" w:type="pct"/>
                  <w:gridSpan w:val="3"/>
                  <w:tcBorders>
                    <w:top w:val="single" w:color="auto" w:sz="4" w:space="0"/>
                    <w:left w:val="single" w:color="auto" w:sz="4" w:space="0"/>
                    <w:bottom w:val="single" w:color="auto" w:sz="4" w:space="0"/>
                    <w:right w:val="single" w:color="auto" w:sz="4" w:space="0"/>
                  </w:tcBorders>
                  <w:vAlign w:val="center"/>
                </w:tcPr>
                <w:p w14:paraId="7B6F8ACC">
                  <w:pPr>
                    <w:pStyle w:val="89"/>
                    <w:rPr>
                      <w:color w:val="auto"/>
                      <w:sz w:val="22"/>
                      <w:szCs w:val="22"/>
                      <w:highlight w:val="none"/>
                    </w:rPr>
                  </w:pPr>
                  <w:r>
                    <w:rPr>
                      <w:rFonts w:hint="eastAsia" w:cs="宋体"/>
                      <w:color w:val="auto"/>
                      <w:sz w:val="22"/>
                      <w:szCs w:val="22"/>
                      <w:highlight w:val="none"/>
                    </w:rPr>
                    <w:t>有组织排放</w:t>
                  </w:r>
                </w:p>
              </w:tc>
              <w:tc>
                <w:tcPr>
                  <w:tcW w:w="863" w:type="pct"/>
                  <w:vMerge w:val="restart"/>
                  <w:tcBorders>
                    <w:top w:val="single" w:color="auto" w:sz="4" w:space="0"/>
                    <w:left w:val="single" w:color="auto" w:sz="4" w:space="0"/>
                    <w:bottom w:val="single" w:color="auto" w:sz="4" w:space="0"/>
                    <w:right w:val="single" w:color="auto" w:sz="4" w:space="0"/>
                  </w:tcBorders>
                  <w:vAlign w:val="center"/>
                </w:tcPr>
                <w:p w14:paraId="37A7DBE9">
                  <w:pPr>
                    <w:pStyle w:val="89"/>
                    <w:rPr>
                      <w:color w:val="auto"/>
                      <w:sz w:val="22"/>
                      <w:szCs w:val="22"/>
                      <w:highlight w:val="none"/>
                    </w:rPr>
                  </w:pPr>
                  <w:r>
                    <w:rPr>
                      <w:rFonts w:hint="eastAsia" w:cs="宋体"/>
                      <w:color w:val="auto"/>
                      <w:sz w:val="22"/>
                      <w:szCs w:val="22"/>
                      <w:highlight w:val="none"/>
                    </w:rPr>
                    <w:t>无组织排放监控浓度限值</w:t>
                  </w:r>
                </w:p>
                <w:p w14:paraId="34DF8413">
                  <w:pPr>
                    <w:pStyle w:val="89"/>
                    <w:rPr>
                      <w:color w:val="auto"/>
                      <w:sz w:val="22"/>
                      <w:szCs w:val="22"/>
                      <w:highlight w:val="none"/>
                    </w:rPr>
                  </w:pPr>
                  <w:r>
                    <w:rPr>
                      <w:color w:val="auto"/>
                      <w:sz w:val="22"/>
                      <w:szCs w:val="22"/>
                      <w:highlight w:val="none"/>
                    </w:rPr>
                    <w:t>mg/m</w:t>
                  </w:r>
                  <w:r>
                    <w:rPr>
                      <w:color w:val="auto"/>
                      <w:sz w:val="22"/>
                      <w:szCs w:val="22"/>
                      <w:highlight w:val="none"/>
                      <w:vertAlign w:val="superscript"/>
                    </w:rPr>
                    <w:t>3</w:t>
                  </w:r>
                </w:p>
              </w:tc>
              <w:tc>
                <w:tcPr>
                  <w:tcW w:w="818" w:type="pct"/>
                  <w:vMerge w:val="restart"/>
                  <w:tcBorders>
                    <w:top w:val="single" w:color="auto" w:sz="4" w:space="0"/>
                    <w:left w:val="single" w:color="auto" w:sz="4" w:space="0"/>
                    <w:bottom w:val="single" w:color="auto" w:sz="4" w:space="0"/>
                    <w:right w:val="single" w:color="auto" w:sz="4" w:space="0"/>
                  </w:tcBorders>
                  <w:vAlign w:val="center"/>
                </w:tcPr>
                <w:p w14:paraId="0E74FA52">
                  <w:pPr>
                    <w:pStyle w:val="89"/>
                    <w:rPr>
                      <w:color w:val="auto"/>
                      <w:highlight w:val="none"/>
                    </w:rPr>
                  </w:pPr>
                  <w:r>
                    <w:rPr>
                      <w:rFonts w:hint="eastAsia"/>
                      <w:color w:val="auto"/>
                      <w:highlight w:val="none"/>
                    </w:rPr>
                    <w:t>标准来源</w:t>
                  </w:r>
                </w:p>
              </w:tc>
            </w:tr>
            <w:tr w14:paraId="34219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5" w:hRule="atLeast"/>
                <w:jc w:val="center"/>
              </w:trPr>
              <w:tc>
                <w:tcPr>
                  <w:tcW w:w="859" w:type="pct"/>
                  <w:vMerge w:val="continue"/>
                  <w:tcBorders>
                    <w:top w:val="single" w:color="auto" w:sz="4" w:space="0"/>
                    <w:left w:val="single" w:color="auto" w:sz="4" w:space="0"/>
                    <w:bottom w:val="single" w:color="auto" w:sz="4" w:space="0"/>
                    <w:right w:val="single" w:color="auto" w:sz="4" w:space="0"/>
                  </w:tcBorders>
                  <w:vAlign w:val="center"/>
                </w:tcPr>
                <w:p w14:paraId="4AD74B1E">
                  <w:pPr>
                    <w:pStyle w:val="89"/>
                    <w:rPr>
                      <w:color w:val="auto"/>
                      <w:sz w:val="22"/>
                      <w:szCs w:val="22"/>
                      <w:highlight w:val="none"/>
                    </w:rPr>
                  </w:pPr>
                </w:p>
              </w:tc>
              <w:tc>
                <w:tcPr>
                  <w:tcW w:w="524" w:type="pct"/>
                  <w:vMerge w:val="continue"/>
                  <w:tcBorders>
                    <w:top w:val="single" w:color="auto" w:sz="4" w:space="0"/>
                    <w:left w:val="single" w:color="auto" w:sz="4" w:space="0"/>
                    <w:bottom w:val="single" w:color="auto" w:sz="4" w:space="0"/>
                    <w:right w:val="single" w:color="auto" w:sz="4" w:space="0"/>
                  </w:tcBorders>
                  <w:vAlign w:val="center"/>
                </w:tcPr>
                <w:p w14:paraId="1C5D836D">
                  <w:pPr>
                    <w:pStyle w:val="89"/>
                    <w:rPr>
                      <w:color w:val="auto"/>
                      <w:sz w:val="22"/>
                      <w:szCs w:val="22"/>
                      <w:highlight w:val="none"/>
                    </w:rPr>
                  </w:pPr>
                </w:p>
              </w:tc>
              <w:tc>
                <w:tcPr>
                  <w:tcW w:w="693" w:type="pct"/>
                  <w:tcBorders>
                    <w:top w:val="single" w:color="auto" w:sz="4" w:space="0"/>
                    <w:left w:val="single" w:color="auto" w:sz="4" w:space="0"/>
                    <w:bottom w:val="single" w:color="auto" w:sz="4" w:space="0"/>
                    <w:right w:val="single" w:color="auto" w:sz="4" w:space="0"/>
                  </w:tcBorders>
                  <w:vAlign w:val="center"/>
                </w:tcPr>
                <w:p w14:paraId="517A9437">
                  <w:pPr>
                    <w:pStyle w:val="89"/>
                    <w:rPr>
                      <w:color w:val="auto"/>
                      <w:sz w:val="22"/>
                      <w:szCs w:val="22"/>
                      <w:highlight w:val="none"/>
                    </w:rPr>
                  </w:pPr>
                  <w:r>
                    <w:rPr>
                      <w:rFonts w:hint="eastAsia" w:cs="宋体"/>
                      <w:color w:val="auto"/>
                      <w:sz w:val="22"/>
                      <w:szCs w:val="22"/>
                      <w:highlight w:val="none"/>
                    </w:rPr>
                    <w:t>最高允许排放限值</w:t>
                  </w:r>
                  <w:r>
                    <w:rPr>
                      <w:color w:val="auto"/>
                      <w:sz w:val="22"/>
                      <w:szCs w:val="22"/>
                      <w:highlight w:val="none"/>
                    </w:rPr>
                    <w:t>mg/m</w:t>
                  </w:r>
                  <w:r>
                    <w:rPr>
                      <w:color w:val="auto"/>
                      <w:sz w:val="22"/>
                      <w:szCs w:val="22"/>
                      <w:highlight w:val="none"/>
                      <w:vertAlign w:val="superscript"/>
                    </w:rPr>
                    <w:t>3</w:t>
                  </w:r>
                </w:p>
              </w:tc>
              <w:tc>
                <w:tcPr>
                  <w:tcW w:w="549" w:type="pct"/>
                  <w:tcBorders>
                    <w:top w:val="single" w:color="auto" w:sz="4" w:space="0"/>
                    <w:left w:val="single" w:color="auto" w:sz="4" w:space="0"/>
                    <w:bottom w:val="single" w:color="auto" w:sz="4" w:space="0"/>
                    <w:right w:val="single" w:color="auto" w:sz="4" w:space="0"/>
                  </w:tcBorders>
                  <w:vAlign w:val="center"/>
                </w:tcPr>
                <w:p w14:paraId="11BF2833">
                  <w:pPr>
                    <w:pStyle w:val="89"/>
                    <w:rPr>
                      <w:color w:val="auto"/>
                      <w:sz w:val="22"/>
                      <w:szCs w:val="22"/>
                      <w:highlight w:val="none"/>
                    </w:rPr>
                  </w:pPr>
                  <w:r>
                    <w:rPr>
                      <w:rFonts w:hint="eastAsia" w:cs="宋体"/>
                      <w:color w:val="auto"/>
                      <w:sz w:val="22"/>
                      <w:szCs w:val="22"/>
                      <w:highlight w:val="none"/>
                    </w:rPr>
                    <w:t>排放速率</w:t>
                  </w:r>
                </w:p>
                <w:p w14:paraId="2F3CF41F">
                  <w:pPr>
                    <w:pStyle w:val="89"/>
                    <w:rPr>
                      <w:color w:val="auto"/>
                      <w:sz w:val="22"/>
                      <w:szCs w:val="22"/>
                      <w:highlight w:val="none"/>
                    </w:rPr>
                  </w:pPr>
                  <w:r>
                    <w:rPr>
                      <w:color w:val="auto"/>
                      <w:sz w:val="22"/>
                      <w:szCs w:val="22"/>
                      <w:highlight w:val="none"/>
                    </w:rPr>
                    <w:t>kg/h</w:t>
                  </w:r>
                </w:p>
              </w:tc>
              <w:tc>
                <w:tcPr>
                  <w:tcW w:w="691" w:type="pct"/>
                  <w:tcBorders>
                    <w:top w:val="single" w:color="auto" w:sz="4" w:space="0"/>
                    <w:left w:val="single" w:color="auto" w:sz="4" w:space="0"/>
                    <w:bottom w:val="single" w:color="auto" w:sz="4" w:space="0"/>
                    <w:right w:val="single" w:color="auto" w:sz="4" w:space="0"/>
                  </w:tcBorders>
                  <w:vAlign w:val="center"/>
                </w:tcPr>
                <w:p w14:paraId="5ED14BBD">
                  <w:pPr>
                    <w:pStyle w:val="89"/>
                    <w:rPr>
                      <w:color w:val="auto"/>
                      <w:sz w:val="22"/>
                      <w:szCs w:val="22"/>
                      <w:highlight w:val="none"/>
                    </w:rPr>
                  </w:pPr>
                  <w:r>
                    <w:rPr>
                      <w:rFonts w:hint="eastAsia" w:cs="宋体"/>
                      <w:color w:val="auto"/>
                      <w:sz w:val="22"/>
                      <w:szCs w:val="22"/>
                      <w:highlight w:val="none"/>
                    </w:rPr>
                    <w:t>排气筒高度</w:t>
                  </w:r>
                  <w:r>
                    <w:rPr>
                      <w:color w:val="auto"/>
                      <w:sz w:val="22"/>
                      <w:szCs w:val="22"/>
                      <w:highlight w:val="none"/>
                    </w:rPr>
                    <w:t>m</w:t>
                  </w:r>
                </w:p>
              </w:tc>
              <w:tc>
                <w:tcPr>
                  <w:tcW w:w="863" w:type="pct"/>
                  <w:vMerge w:val="continue"/>
                  <w:tcBorders>
                    <w:top w:val="single" w:color="auto" w:sz="4" w:space="0"/>
                    <w:left w:val="single" w:color="auto" w:sz="4" w:space="0"/>
                    <w:bottom w:val="single" w:color="auto" w:sz="4" w:space="0"/>
                    <w:right w:val="single" w:color="auto" w:sz="4" w:space="0"/>
                  </w:tcBorders>
                  <w:vAlign w:val="center"/>
                </w:tcPr>
                <w:p w14:paraId="3FFA5CA3">
                  <w:pPr>
                    <w:pStyle w:val="89"/>
                    <w:rPr>
                      <w:color w:val="auto"/>
                      <w:sz w:val="22"/>
                      <w:szCs w:val="22"/>
                      <w:highlight w:val="none"/>
                    </w:rPr>
                  </w:pPr>
                </w:p>
              </w:tc>
              <w:tc>
                <w:tcPr>
                  <w:tcW w:w="818" w:type="pct"/>
                  <w:vMerge w:val="continue"/>
                  <w:tcBorders>
                    <w:top w:val="single" w:color="auto" w:sz="4" w:space="0"/>
                    <w:left w:val="single" w:color="auto" w:sz="4" w:space="0"/>
                    <w:bottom w:val="single" w:color="auto" w:sz="4" w:space="0"/>
                    <w:right w:val="single" w:color="auto" w:sz="4" w:space="0"/>
                  </w:tcBorders>
                  <w:vAlign w:val="center"/>
                </w:tcPr>
                <w:p w14:paraId="7545ABDD">
                  <w:pPr>
                    <w:pStyle w:val="89"/>
                    <w:rPr>
                      <w:color w:val="auto"/>
                      <w:highlight w:val="none"/>
                    </w:rPr>
                  </w:pPr>
                </w:p>
              </w:tc>
            </w:tr>
            <w:tr w14:paraId="123F3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51" w:hRule="atLeast"/>
                <w:jc w:val="center"/>
              </w:trPr>
              <w:tc>
                <w:tcPr>
                  <w:tcW w:w="859" w:type="pct"/>
                  <w:tcBorders>
                    <w:top w:val="single" w:color="auto" w:sz="4" w:space="0"/>
                    <w:left w:val="single" w:color="auto" w:sz="4" w:space="0"/>
                    <w:bottom w:val="single" w:color="auto" w:sz="4" w:space="0"/>
                    <w:right w:val="single" w:color="auto" w:sz="4" w:space="0"/>
                  </w:tcBorders>
                  <w:vAlign w:val="center"/>
                </w:tcPr>
                <w:p w14:paraId="4A41E720">
                  <w:pPr>
                    <w:pStyle w:val="89"/>
                    <w:rPr>
                      <w:color w:val="auto"/>
                      <w:sz w:val="22"/>
                      <w:szCs w:val="22"/>
                      <w:highlight w:val="none"/>
                    </w:rPr>
                  </w:pPr>
                  <w:r>
                    <w:rPr>
                      <w:rFonts w:hint="eastAsia"/>
                      <w:color w:val="auto"/>
                      <w:highlight w:val="none"/>
                    </w:rPr>
                    <w:t xml:space="preserve"> 破碎、粉碎、及制粒成型等工序</w:t>
                  </w:r>
                </w:p>
              </w:tc>
              <w:tc>
                <w:tcPr>
                  <w:tcW w:w="524" w:type="pct"/>
                  <w:tcBorders>
                    <w:top w:val="single" w:color="auto" w:sz="4" w:space="0"/>
                    <w:left w:val="single" w:color="auto" w:sz="4" w:space="0"/>
                    <w:bottom w:val="single" w:color="auto" w:sz="4" w:space="0"/>
                    <w:right w:val="single" w:color="auto" w:sz="4" w:space="0"/>
                  </w:tcBorders>
                  <w:vAlign w:val="center"/>
                </w:tcPr>
                <w:p w14:paraId="4974437B">
                  <w:pPr>
                    <w:pStyle w:val="89"/>
                    <w:rPr>
                      <w:color w:val="auto"/>
                      <w:sz w:val="22"/>
                      <w:szCs w:val="22"/>
                      <w:highlight w:val="none"/>
                    </w:rPr>
                  </w:pPr>
                  <w:r>
                    <w:rPr>
                      <w:rFonts w:hint="eastAsia"/>
                      <w:color w:val="auto"/>
                      <w:highlight w:val="none"/>
                    </w:rPr>
                    <w:t>颗粒物</w:t>
                  </w:r>
                </w:p>
              </w:tc>
              <w:tc>
                <w:tcPr>
                  <w:tcW w:w="693" w:type="pct"/>
                  <w:tcBorders>
                    <w:top w:val="single" w:color="auto" w:sz="4" w:space="0"/>
                    <w:left w:val="single" w:color="auto" w:sz="4" w:space="0"/>
                    <w:bottom w:val="single" w:color="auto" w:sz="4" w:space="0"/>
                    <w:right w:val="single" w:color="auto" w:sz="4" w:space="0"/>
                  </w:tcBorders>
                  <w:vAlign w:val="center"/>
                </w:tcPr>
                <w:p w14:paraId="32CC7BC1">
                  <w:pPr>
                    <w:pStyle w:val="89"/>
                    <w:rPr>
                      <w:color w:val="auto"/>
                      <w:sz w:val="22"/>
                      <w:szCs w:val="22"/>
                      <w:highlight w:val="none"/>
                    </w:rPr>
                  </w:pPr>
                  <w:r>
                    <w:rPr>
                      <w:rFonts w:hint="eastAsia"/>
                      <w:color w:val="auto"/>
                      <w:highlight w:val="none"/>
                    </w:rPr>
                    <w:t>120</w:t>
                  </w:r>
                </w:p>
              </w:tc>
              <w:tc>
                <w:tcPr>
                  <w:tcW w:w="549" w:type="pct"/>
                  <w:tcBorders>
                    <w:top w:val="single" w:color="auto" w:sz="4" w:space="0"/>
                    <w:left w:val="single" w:color="auto" w:sz="4" w:space="0"/>
                    <w:bottom w:val="single" w:color="auto" w:sz="4" w:space="0"/>
                    <w:right w:val="single" w:color="auto" w:sz="4" w:space="0"/>
                  </w:tcBorders>
                  <w:vAlign w:val="center"/>
                </w:tcPr>
                <w:p w14:paraId="664B1E6E">
                  <w:pPr>
                    <w:pStyle w:val="89"/>
                    <w:rPr>
                      <w:color w:val="auto"/>
                      <w:sz w:val="22"/>
                      <w:szCs w:val="22"/>
                      <w:highlight w:val="none"/>
                    </w:rPr>
                  </w:pPr>
                  <w:r>
                    <w:rPr>
                      <w:rFonts w:hint="eastAsia"/>
                      <w:color w:val="auto"/>
                      <w:highlight w:val="none"/>
                    </w:rPr>
                    <w:t>3.5</w:t>
                  </w:r>
                </w:p>
              </w:tc>
              <w:tc>
                <w:tcPr>
                  <w:tcW w:w="691" w:type="pct"/>
                  <w:tcBorders>
                    <w:top w:val="single" w:color="auto" w:sz="4" w:space="0"/>
                    <w:left w:val="single" w:color="auto" w:sz="4" w:space="0"/>
                    <w:bottom w:val="single" w:color="auto" w:sz="4" w:space="0"/>
                    <w:right w:val="single" w:color="auto" w:sz="4" w:space="0"/>
                  </w:tcBorders>
                  <w:vAlign w:val="center"/>
                </w:tcPr>
                <w:p w14:paraId="4DB3E30F">
                  <w:pPr>
                    <w:pStyle w:val="89"/>
                    <w:rPr>
                      <w:color w:val="auto"/>
                      <w:sz w:val="22"/>
                      <w:szCs w:val="22"/>
                      <w:highlight w:val="none"/>
                    </w:rPr>
                  </w:pPr>
                  <w:r>
                    <w:rPr>
                      <w:rFonts w:hint="eastAsia"/>
                      <w:color w:val="auto"/>
                      <w:highlight w:val="none"/>
                    </w:rPr>
                    <w:t>15</w:t>
                  </w:r>
                </w:p>
              </w:tc>
              <w:tc>
                <w:tcPr>
                  <w:tcW w:w="863" w:type="pct"/>
                  <w:tcBorders>
                    <w:top w:val="single" w:color="auto" w:sz="4" w:space="0"/>
                    <w:left w:val="single" w:color="auto" w:sz="4" w:space="0"/>
                    <w:bottom w:val="single" w:color="auto" w:sz="4" w:space="0"/>
                    <w:right w:val="single" w:color="auto" w:sz="4" w:space="0"/>
                  </w:tcBorders>
                  <w:vAlign w:val="center"/>
                </w:tcPr>
                <w:p w14:paraId="68BD7D89">
                  <w:pPr>
                    <w:pStyle w:val="89"/>
                    <w:rPr>
                      <w:color w:val="auto"/>
                      <w:sz w:val="22"/>
                      <w:szCs w:val="22"/>
                      <w:highlight w:val="none"/>
                    </w:rPr>
                  </w:pPr>
                  <w:r>
                    <w:rPr>
                      <w:rFonts w:hint="eastAsia"/>
                      <w:color w:val="auto"/>
                      <w:highlight w:val="none"/>
                    </w:rPr>
                    <w:t>1.0</w:t>
                  </w:r>
                </w:p>
              </w:tc>
              <w:tc>
                <w:tcPr>
                  <w:tcW w:w="818" w:type="pct"/>
                  <w:tcBorders>
                    <w:top w:val="single" w:color="auto" w:sz="4" w:space="0"/>
                    <w:left w:val="single" w:color="auto" w:sz="4" w:space="0"/>
                    <w:right w:val="single" w:color="auto" w:sz="4" w:space="0"/>
                  </w:tcBorders>
                  <w:vAlign w:val="center"/>
                </w:tcPr>
                <w:p w14:paraId="761635E8">
                  <w:pPr>
                    <w:pStyle w:val="89"/>
                    <w:rPr>
                      <w:color w:val="auto"/>
                      <w:highlight w:val="none"/>
                    </w:rPr>
                  </w:pPr>
                  <w:r>
                    <w:rPr>
                      <w:rFonts w:hint="eastAsia"/>
                      <w:color w:val="auto"/>
                      <w:highlight w:val="none"/>
                    </w:rPr>
                    <w:t>《大气污染物综合排放标准》（GB16297-1996）</w:t>
                  </w:r>
                </w:p>
              </w:tc>
            </w:tr>
          </w:tbl>
          <w:p w14:paraId="06295A51">
            <w:pPr>
              <w:adjustRightInd w:val="0"/>
              <w:snapToGrid w:val="0"/>
              <w:spacing w:before="240" w:beforeLines="100" w:line="360" w:lineRule="auto"/>
              <w:ind w:firstLine="420" w:firstLineChars="200"/>
              <w:jc w:val="left"/>
              <w:rPr>
                <w:rFonts w:ascii="宋体"/>
                <w:color w:val="auto"/>
                <w:sz w:val="24"/>
                <w:szCs w:val="24"/>
                <w:highlight w:val="none"/>
              </w:rPr>
            </w:pPr>
            <w:r>
              <w:rPr>
                <w:rFonts w:hint="eastAsia" w:ascii="宋体" w:hAnsi="宋体" w:cs="宋体"/>
                <w:color w:val="auto"/>
                <w:highlight w:val="none"/>
                <w:lang w:val="en-US" w:eastAsia="zh-CN"/>
              </w:rPr>
              <w:t>3</w:t>
            </w:r>
            <w:r>
              <w:rPr>
                <w:rFonts w:hint="eastAsia" w:ascii="宋体" w:hAnsi="宋体" w:cs="宋体"/>
                <w:color w:val="auto"/>
                <w:sz w:val="24"/>
                <w:szCs w:val="24"/>
                <w:highlight w:val="none"/>
              </w:rPr>
              <w:t>、噪声排放标准</w:t>
            </w:r>
          </w:p>
          <w:p w14:paraId="60EABA0F">
            <w:pPr>
              <w:adjustRightInd w:val="0"/>
              <w:snapToGrid w:val="0"/>
              <w:spacing w:line="360" w:lineRule="auto"/>
              <w:ind w:firstLine="480" w:firstLineChars="200"/>
              <w:jc w:val="left"/>
              <w:rPr>
                <w:rFonts w:ascii="宋体"/>
                <w:color w:val="auto"/>
                <w:sz w:val="24"/>
                <w:szCs w:val="24"/>
                <w:highlight w:val="none"/>
              </w:rPr>
            </w:pPr>
            <w:r>
              <w:rPr>
                <w:rFonts w:hint="eastAsia" w:ascii="宋体" w:hAnsi="宋体" w:cs="宋体"/>
                <w:color w:val="auto"/>
                <w:sz w:val="24"/>
                <w:szCs w:val="24"/>
                <w:highlight w:val="none"/>
              </w:rPr>
              <w:t>项目运营期噪声执行《工业企业厂界环境噪声排放标准》（</w:t>
            </w:r>
            <w:r>
              <w:rPr>
                <w:rFonts w:ascii="宋体" w:hAnsi="宋体" w:cs="宋体"/>
                <w:color w:val="auto"/>
                <w:sz w:val="24"/>
                <w:szCs w:val="24"/>
                <w:highlight w:val="none"/>
              </w:rPr>
              <w:t>GB12348-2008</w:t>
            </w:r>
            <w:r>
              <w:rPr>
                <w:rFonts w:hint="eastAsia" w:ascii="宋体" w:hAnsi="宋体" w:cs="宋体"/>
                <w:color w:val="auto"/>
                <w:sz w:val="24"/>
                <w:szCs w:val="24"/>
                <w:highlight w:val="none"/>
              </w:rPr>
              <w:t>）中</w:t>
            </w:r>
            <w:r>
              <w:rPr>
                <w:rFonts w:hint="eastAsia" w:ascii="宋体" w:hAnsi="宋体" w:cs="宋体"/>
                <w:color w:val="auto"/>
                <w:sz w:val="24"/>
                <w:szCs w:val="24"/>
                <w:highlight w:val="none"/>
                <w:lang w:val="en-US" w:eastAsia="zh-CN"/>
              </w:rPr>
              <w:t>3</w:t>
            </w:r>
            <w:r>
              <w:rPr>
                <w:rFonts w:hint="eastAsia" w:ascii="宋体" w:hAnsi="宋体" w:cs="宋体"/>
                <w:color w:val="auto"/>
                <w:sz w:val="24"/>
                <w:szCs w:val="24"/>
                <w:highlight w:val="none"/>
              </w:rPr>
              <w:t>类标准。其标准限值见表</w:t>
            </w:r>
            <w:r>
              <w:rPr>
                <w:rFonts w:ascii="宋体" w:hAnsi="宋体" w:cs="宋体"/>
                <w:color w:val="auto"/>
                <w:sz w:val="24"/>
                <w:szCs w:val="24"/>
                <w:highlight w:val="none"/>
              </w:rPr>
              <w:t>3-</w:t>
            </w:r>
            <w:r>
              <w:rPr>
                <w:rFonts w:hint="eastAsia" w:ascii="宋体" w:hAnsi="宋体" w:cs="宋体"/>
                <w:color w:val="auto"/>
                <w:sz w:val="24"/>
                <w:szCs w:val="24"/>
                <w:highlight w:val="none"/>
                <w:lang w:val="en-US" w:eastAsia="zh-CN"/>
              </w:rPr>
              <w:t>6</w:t>
            </w:r>
            <w:r>
              <w:rPr>
                <w:rFonts w:hint="eastAsia" w:ascii="宋体" w:hAnsi="宋体" w:cs="宋体"/>
                <w:color w:val="auto"/>
                <w:sz w:val="24"/>
                <w:szCs w:val="24"/>
                <w:highlight w:val="none"/>
              </w:rPr>
              <w:t>。</w:t>
            </w:r>
          </w:p>
          <w:p w14:paraId="44EA8B44">
            <w:pPr>
              <w:spacing w:line="360" w:lineRule="auto"/>
              <w:ind w:firstLine="440" w:firstLineChars="200"/>
              <w:jc w:val="center"/>
              <w:rPr>
                <w:color w:val="auto"/>
                <w:sz w:val="24"/>
                <w:szCs w:val="24"/>
                <w:highlight w:val="none"/>
              </w:rPr>
            </w:pPr>
            <w:r>
              <w:rPr>
                <w:rFonts w:hint="eastAsia" w:cs="宋体"/>
                <w:color w:val="auto"/>
                <w:sz w:val="22"/>
                <w:szCs w:val="22"/>
                <w:highlight w:val="none"/>
              </w:rPr>
              <w:t>表</w:t>
            </w:r>
            <w:r>
              <w:rPr>
                <w:color w:val="auto"/>
                <w:sz w:val="22"/>
                <w:szCs w:val="22"/>
                <w:highlight w:val="none"/>
              </w:rPr>
              <w:t>3-</w:t>
            </w:r>
            <w:r>
              <w:rPr>
                <w:rFonts w:hint="eastAsia"/>
                <w:color w:val="auto"/>
                <w:sz w:val="22"/>
                <w:szCs w:val="22"/>
                <w:highlight w:val="none"/>
                <w:lang w:val="en-US" w:eastAsia="zh-CN"/>
              </w:rPr>
              <w:t>6</w:t>
            </w:r>
            <w:r>
              <w:rPr>
                <w:color w:val="auto"/>
                <w:sz w:val="22"/>
                <w:szCs w:val="22"/>
                <w:highlight w:val="none"/>
              </w:rPr>
              <w:t xml:space="preserve">  </w:t>
            </w:r>
            <w:r>
              <w:rPr>
                <w:rFonts w:hint="eastAsia" w:cs="宋体"/>
                <w:color w:val="auto"/>
                <w:sz w:val="22"/>
                <w:szCs w:val="22"/>
                <w:highlight w:val="none"/>
              </w:rPr>
              <w:t>厂界噪声排放限值</w:t>
            </w:r>
            <w:r>
              <w:rPr>
                <w:color w:val="auto"/>
                <w:sz w:val="22"/>
                <w:szCs w:val="22"/>
                <w:highlight w:val="none"/>
              </w:rPr>
              <w:t xml:space="preserve"> </w:t>
            </w:r>
            <w:r>
              <w:rPr>
                <w:rFonts w:hint="eastAsia" w:cs="宋体"/>
                <w:color w:val="auto"/>
                <w:sz w:val="22"/>
                <w:szCs w:val="22"/>
                <w:highlight w:val="none"/>
              </w:rPr>
              <w:t>单位：</w:t>
            </w:r>
            <w:r>
              <w:rPr>
                <w:color w:val="auto"/>
                <w:sz w:val="22"/>
                <w:szCs w:val="22"/>
                <w:highlight w:val="none"/>
              </w:rPr>
              <w:t>GB</w:t>
            </w:r>
            <w:r>
              <w:rPr>
                <w:rFonts w:hint="eastAsia" w:cs="宋体"/>
                <w:color w:val="auto"/>
                <w:sz w:val="22"/>
                <w:szCs w:val="22"/>
                <w:highlight w:val="none"/>
              </w:rPr>
              <w:t>（</w:t>
            </w:r>
            <w:r>
              <w:rPr>
                <w:color w:val="auto"/>
                <w:sz w:val="22"/>
                <w:szCs w:val="22"/>
                <w:highlight w:val="none"/>
              </w:rPr>
              <w:t>A</w:t>
            </w:r>
            <w:r>
              <w:rPr>
                <w:rFonts w:hint="eastAsia" w:cs="宋体"/>
                <w:color w:val="auto"/>
                <w:sz w:val="22"/>
                <w:szCs w:val="22"/>
                <w:highlight w:val="none"/>
              </w:rPr>
              <w:t>）</w:t>
            </w:r>
          </w:p>
          <w:tbl>
            <w:tblPr>
              <w:tblStyle w:val="37"/>
              <w:tblW w:w="80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04"/>
              <w:gridCol w:w="2440"/>
              <w:gridCol w:w="2655"/>
            </w:tblGrid>
            <w:tr w14:paraId="372A1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7" w:hRule="exact"/>
                <w:jc w:val="center"/>
              </w:trPr>
              <w:tc>
                <w:tcPr>
                  <w:tcW w:w="3004" w:type="dxa"/>
                  <w:tcBorders>
                    <w:top w:val="single" w:color="auto" w:sz="4" w:space="0"/>
                    <w:left w:val="single" w:color="auto" w:sz="4" w:space="0"/>
                    <w:bottom w:val="single" w:color="auto" w:sz="4" w:space="0"/>
                    <w:right w:val="single" w:color="auto" w:sz="4" w:space="0"/>
                  </w:tcBorders>
                  <w:vAlign w:val="center"/>
                </w:tcPr>
                <w:p w14:paraId="3218FCFB">
                  <w:pPr>
                    <w:jc w:val="center"/>
                    <w:rPr>
                      <w:color w:val="auto"/>
                      <w:sz w:val="22"/>
                      <w:szCs w:val="22"/>
                      <w:highlight w:val="none"/>
                      <w:lang w:val="zh-CN"/>
                    </w:rPr>
                  </w:pPr>
                  <w:r>
                    <w:rPr>
                      <w:rFonts w:hint="eastAsia" w:cs="宋体"/>
                      <w:color w:val="auto"/>
                      <w:sz w:val="22"/>
                      <w:szCs w:val="22"/>
                      <w:highlight w:val="none"/>
                      <w:lang w:val="zh-CN"/>
                    </w:rPr>
                    <w:t>声环境功能区类别</w:t>
                  </w:r>
                </w:p>
              </w:tc>
              <w:tc>
                <w:tcPr>
                  <w:tcW w:w="2440" w:type="dxa"/>
                  <w:tcBorders>
                    <w:top w:val="single" w:color="auto" w:sz="4" w:space="0"/>
                    <w:left w:val="single" w:color="auto" w:sz="4" w:space="0"/>
                    <w:bottom w:val="single" w:color="auto" w:sz="4" w:space="0"/>
                    <w:right w:val="single" w:color="auto" w:sz="4" w:space="0"/>
                  </w:tcBorders>
                  <w:vAlign w:val="center"/>
                </w:tcPr>
                <w:p w14:paraId="3B3A3B26">
                  <w:pPr>
                    <w:ind w:firstLine="440" w:firstLineChars="200"/>
                    <w:jc w:val="center"/>
                    <w:rPr>
                      <w:color w:val="auto"/>
                      <w:sz w:val="22"/>
                      <w:szCs w:val="22"/>
                      <w:highlight w:val="none"/>
                      <w:lang w:val="zh-CN"/>
                    </w:rPr>
                  </w:pPr>
                  <w:r>
                    <w:rPr>
                      <w:rFonts w:hint="eastAsia" w:cs="宋体"/>
                      <w:color w:val="auto"/>
                      <w:sz w:val="22"/>
                      <w:szCs w:val="22"/>
                      <w:highlight w:val="none"/>
                      <w:lang w:val="zh-CN"/>
                    </w:rPr>
                    <w:t>昼间</w:t>
                  </w:r>
                </w:p>
              </w:tc>
              <w:tc>
                <w:tcPr>
                  <w:tcW w:w="2655" w:type="dxa"/>
                  <w:tcBorders>
                    <w:top w:val="single" w:color="auto" w:sz="4" w:space="0"/>
                    <w:left w:val="single" w:color="auto" w:sz="4" w:space="0"/>
                    <w:bottom w:val="single" w:color="auto" w:sz="4" w:space="0"/>
                    <w:right w:val="single" w:color="auto" w:sz="4" w:space="0"/>
                  </w:tcBorders>
                  <w:vAlign w:val="center"/>
                </w:tcPr>
                <w:p w14:paraId="1184D3A7">
                  <w:pPr>
                    <w:ind w:firstLine="440" w:firstLineChars="200"/>
                    <w:jc w:val="center"/>
                    <w:rPr>
                      <w:color w:val="auto"/>
                      <w:sz w:val="22"/>
                      <w:szCs w:val="22"/>
                      <w:highlight w:val="none"/>
                      <w:lang w:val="zh-CN"/>
                    </w:rPr>
                  </w:pPr>
                  <w:r>
                    <w:rPr>
                      <w:rFonts w:hint="eastAsia" w:cs="宋体"/>
                      <w:color w:val="auto"/>
                      <w:sz w:val="22"/>
                      <w:szCs w:val="22"/>
                      <w:highlight w:val="none"/>
                      <w:lang w:val="zh-CN"/>
                    </w:rPr>
                    <w:t>夜间</w:t>
                  </w:r>
                </w:p>
              </w:tc>
            </w:tr>
            <w:tr w14:paraId="66806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exact"/>
                <w:jc w:val="center"/>
              </w:trPr>
              <w:tc>
                <w:tcPr>
                  <w:tcW w:w="3004" w:type="dxa"/>
                  <w:tcBorders>
                    <w:top w:val="single" w:color="auto" w:sz="4" w:space="0"/>
                    <w:left w:val="single" w:color="auto" w:sz="4" w:space="0"/>
                    <w:bottom w:val="single" w:color="auto" w:sz="4" w:space="0"/>
                    <w:right w:val="single" w:color="auto" w:sz="4" w:space="0"/>
                  </w:tcBorders>
                  <w:vAlign w:val="center"/>
                </w:tcPr>
                <w:p w14:paraId="03BE5059">
                  <w:pPr>
                    <w:jc w:val="center"/>
                    <w:rPr>
                      <w:color w:val="auto"/>
                      <w:sz w:val="22"/>
                      <w:szCs w:val="22"/>
                      <w:highlight w:val="none"/>
                      <w:lang w:val="zh-CN"/>
                    </w:rPr>
                  </w:pPr>
                  <w:r>
                    <w:rPr>
                      <w:rFonts w:hint="eastAsia"/>
                      <w:color w:val="auto"/>
                      <w:sz w:val="22"/>
                      <w:szCs w:val="22"/>
                      <w:highlight w:val="none"/>
                      <w:lang w:val="en-US" w:eastAsia="zh-CN"/>
                    </w:rPr>
                    <w:t>3</w:t>
                  </w:r>
                  <w:r>
                    <w:rPr>
                      <w:rFonts w:hint="eastAsia" w:cs="宋体"/>
                      <w:color w:val="auto"/>
                      <w:sz w:val="22"/>
                      <w:szCs w:val="22"/>
                      <w:highlight w:val="none"/>
                      <w:lang w:val="zh-CN"/>
                    </w:rPr>
                    <w:t>类</w:t>
                  </w:r>
                </w:p>
              </w:tc>
              <w:tc>
                <w:tcPr>
                  <w:tcW w:w="2440" w:type="dxa"/>
                  <w:tcBorders>
                    <w:top w:val="single" w:color="auto" w:sz="4" w:space="0"/>
                    <w:left w:val="single" w:color="auto" w:sz="4" w:space="0"/>
                    <w:bottom w:val="single" w:color="auto" w:sz="4" w:space="0"/>
                    <w:right w:val="single" w:color="auto" w:sz="4" w:space="0"/>
                  </w:tcBorders>
                  <w:vAlign w:val="center"/>
                </w:tcPr>
                <w:p w14:paraId="4CD1D955">
                  <w:pPr>
                    <w:ind w:firstLine="440" w:firstLineChars="200"/>
                    <w:jc w:val="center"/>
                    <w:rPr>
                      <w:rFonts w:hint="eastAsia" w:eastAsia="宋体"/>
                      <w:color w:val="auto"/>
                      <w:sz w:val="22"/>
                      <w:szCs w:val="22"/>
                      <w:highlight w:val="none"/>
                      <w:lang w:val="zh-CN" w:eastAsia="zh-CN"/>
                    </w:rPr>
                  </w:pPr>
                  <w:r>
                    <w:rPr>
                      <w:color w:val="auto"/>
                      <w:sz w:val="22"/>
                      <w:szCs w:val="22"/>
                      <w:highlight w:val="none"/>
                      <w:lang w:val="zh-CN"/>
                    </w:rPr>
                    <w:t>6</w:t>
                  </w:r>
                  <w:r>
                    <w:rPr>
                      <w:rFonts w:hint="eastAsia"/>
                      <w:color w:val="auto"/>
                      <w:sz w:val="22"/>
                      <w:szCs w:val="22"/>
                      <w:highlight w:val="none"/>
                      <w:lang w:val="en-US" w:eastAsia="zh-CN"/>
                    </w:rPr>
                    <w:t>5</w:t>
                  </w:r>
                </w:p>
              </w:tc>
              <w:tc>
                <w:tcPr>
                  <w:tcW w:w="2655" w:type="dxa"/>
                  <w:tcBorders>
                    <w:top w:val="single" w:color="auto" w:sz="4" w:space="0"/>
                    <w:left w:val="single" w:color="auto" w:sz="4" w:space="0"/>
                    <w:bottom w:val="single" w:color="auto" w:sz="4" w:space="0"/>
                    <w:right w:val="single" w:color="auto" w:sz="4" w:space="0"/>
                  </w:tcBorders>
                  <w:vAlign w:val="center"/>
                </w:tcPr>
                <w:p w14:paraId="768B541D">
                  <w:pPr>
                    <w:ind w:firstLine="440" w:firstLineChars="200"/>
                    <w:jc w:val="center"/>
                    <w:rPr>
                      <w:rFonts w:hint="eastAsia" w:eastAsia="宋体"/>
                      <w:color w:val="auto"/>
                      <w:sz w:val="22"/>
                      <w:szCs w:val="22"/>
                      <w:highlight w:val="none"/>
                      <w:lang w:val="zh-CN" w:eastAsia="zh-CN"/>
                    </w:rPr>
                  </w:pPr>
                  <w:r>
                    <w:rPr>
                      <w:color w:val="auto"/>
                      <w:sz w:val="22"/>
                      <w:szCs w:val="22"/>
                      <w:highlight w:val="none"/>
                      <w:lang w:val="zh-CN"/>
                    </w:rPr>
                    <w:t>5</w:t>
                  </w:r>
                  <w:r>
                    <w:rPr>
                      <w:rFonts w:hint="eastAsia"/>
                      <w:color w:val="auto"/>
                      <w:sz w:val="22"/>
                      <w:szCs w:val="22"/>
                      <w:highlight w:val="none"/>
                      <w:lang w:val="en-US" w:eastAsia="zh-CN"/>
                    </w:rPr>
                    <w:t>5</w:t>
                  </w:r>
                </w:p>
              </w:tc>
            </w:tr>
          </w:tbl>
          <w:p w14:paraId="7713D524">
            <w:pPr>
              <w:keepNext w:val="0"/>
              <w:keepLines w:val="0"/>
              <w:pageBreakBefore w:val="0"/>
              <w:widowControl w:val="0"/>
              <w:kinsoku/>
              <w:wordWrap/>
              <w:overflowPunct/>
              <w:topLinePunct w:val="0"/>
              <w:autoSpaceDE/>
              <w:autoSpaceDN/>
              <w:bidi w:val="0"/>
              <w:adjustRightInd w:val="0"/>
              <w:snapToGrid w:val="0"/>
              <w:spacing w:before="313" w:beforeLines="100"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4、固废控制标准</w:t>
            </w:r>
          </w:p>
          <w:p w14:paraId="3596063B">
            <w:pPr>
              <w:adjustRightInd w:val="0"/>
              <w:snapToGrid w:val="0"/>
              <w:spacing w:line="360" w:lineRule="auto"/>
              <w:ind w:firstLine="480" w:firstLineChars="200"/>
              <w:jc w:val="left"/>
              <w:rPr>
                <w:rFonts w:hint="default" w:eastAsia="黑体"/>
                <w:color w:val="auto"/>
                <w:highlight w:val="none"/>
                <w:lang w:val="en-US" w:eastAsia="zh-CN"/>
              </w:rPr>
            </w:pPr>
            <w:r>
              <w:rPr>
                <w:rFonts w:hint="eastAsia" w:ascii="宋体" w:hAnsi="宋体" w:eastAsia="宋体" w:cs="宋体"/>
                <w:color w:val="auto"/>
                <w:sz w:val="24"/>
                <w:szCs w:val="24"/>
                <w:highlight w:val="none"/>
              </w:rPr>
              <w:t>一般工业固体废物参照执行《一般工业固体废物贮存和填埋污染控制标准》（GB18599-2020）。</w:t>
            </w:r>
            <w:r>
              <w:rPr>
                <w:rFonts w:hint="default" w:ascii="宋体" w:hAnsi="宋体" w:eastAsia="宋体" w:cs="宋体"/>
                <w:color w:val="auto"/>
                <w:sz w:val="24"/>
                <w:szCs w:val="24"/>
                <w:highlight w:val="none"/>
              </w:rPr>
              <w:t>危险废物按《危险废物贮存污染控制标准》（GB18597-20</w:t>
            </w:r>
            <w:r>
              <w:rPr>
                <w:rFonts w:hint="eastAsia" w:ascii="宋体" w:hAnsi="宋体" w:eastAsia="宋体" w:cs="宋体"/>
                <w:color w:val="auto"/>
                <w:sz w:val="24"/>
                <w:szCs w:val="24"/>
                <w:highlight w:val="none"/>
                <w:lang w:val="en-US" w:eastAsia="zh-CN"/>
              </w:rPr>
              <w:t>23</w:t>
            </w:r>
            <w:r>
              <w:rPr>
                <w:rFonts w:hint="default" w:ascii="宋体" w:hAnsi="宋体" w:eastAsia="宋体" w:cs="宋体"/>
                <w:color w:val="auto"/>
                <w:sz w:val="24"/>
                <w:szCs w:val="24"/>
                <w:highlight w:val="none"/>
              </w:rPr>
              <w:t>）执行。</w:t>
            </w:r>
          </w:p>
        </w:tc>
      </w:tr>
      <w:tr w14:paraId="04E9F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88" w:hRule="atLeast"/>
          <w:jc w:val="center"/>
        </w:trPr>
        <w:tc>
          <w:tcPr>
            <w:tcW w:w="800" w:type="dxa"/>
            <w:vAlign w:val="center"/>
          </w:tcPr>
          <w:p w14:paraId="5D9976C9">
            <w:pPr>
              <w:adjustRightInd w:val="0"/>
              <w:snapToGrid w:val="0"/>
              <w:jc w:val="center"/>
              <w:rPr>
                <w:rFonts w:ascii="宋体"/>
                <w:color w:val="auto"/>
                <w:sz w:val="24"/>
                <w:szCs w:val="24"/>
                <w:highlight w:val="none"/>
              </w:rPr>
            </w:pPr>
            <w:r>
              <w:rPr>
                <w:rFonts w:hint="eastAsia" w:ascii="宋体" w:hAnsi="宋体" w:cs="宋体"/>
                <w:color w:val="auto"/>
                <w:sz w:val="24"/>
                <w:szCs w:val="24"/>
                <w:highlight w:val="none"/>
              </w:rPr>
              <w:t>总量</w:t>
            </w:r>
          </w:p>
          <w:p w14:paraId="57C5B075">
            <w:pPr>
              <w:adjustRightInd w:val="0"/>
              <w:snapToGrid w:val="0"/>
              <w:jc w:val="center"/>
              <w:rPr>
                <w:rFonts w:ascii="宋体"/>
                <w:color w:val="auto"/>
                <w:sz w:val="24"/>
                <w:szCs w:val="24"/>
                <w:highlight w:val="none"/>
              </w:rPr>
            </w:pPr>
            <w:r>
              <w:rPr>
                <w:rFonts w:hint="eastAsia" w:ascii="宋体" w:hAnsi="宋体" w:cs="宋体"/>
                <w:color w:val="auto"/>
                <w:sz w:val="24"/>
                <w:szCs w:val="24"/>
                <w:highlight w:val="none"/>
              </w:rPr>
              <w:t>控制</w:t>
            </w:r>
          </w:p>
          <w:p w14:paraId="68F67F76">
            <w:pPr>
              <w:adjustRightInd w:val="0"/>
              <w:snapToGrid w:val="0"/>
              <w:jc w:val="center"/>
              <w:rPr>
                <w:rFonts w:ascii="宋体"/>
                <w:color w:val="auto"/>
                <w:kern w:val="0"/>
                <w:highlight w:val="none"/>
              </w:rPr>
            </w:pPr>
            <w:r>
              <w:rPr>
                <w:rFonts w:hint="eastAsia" w:ascii="宋体" w:hAnsi="宋体" w:cs="宋体"/>
                <w:color w:val="auto"/>
                <w:sz w:val="24"/>
                <w:szCs w:val="24"/>
                <w:highlight w:val="none"/>
              </w:rPr>
              <w:t>指标</w:t>
            </w:r>
          </w:p>
        </w:tc>
        <w:tc>
          <w:tcPr>
            <w:tcW w:w="8190" w:type="dxa"/>
          </w:tcPr>
          <w:p w14:paraId="7CA2B67D">
            <w:pPr>
              <w:adjustRightInd w:val="0"/>
              <w:snapToGrid w:val="0"/>
              <w:spacing w:before="120" w:beforeLines="50" w:line="360" w:lineRule="auto"/>
              <w:ind w:firstLine="480" w:firstLineChars="200"/>
              <w:jc w:val="left"/>
              <w:rPr>
                <w:rFonts w:ascii="宋体"/>
                <w:color w:val="auto"/>
                <w:sz w:val="24"/>
                <w:szCs w:val="24"/>
                <w:highlight w:val="none"/>
              </w:rPr>
            </w:pPr>
            <w:r>
              <w:rPr>
                <w:rFonts w:hint="eastAsia" w:ascii="宋体" w:hAnsi="宋体" w:cs="宋体"/>
                <w:color w:val="auto"/>
                <w:sz w:val="24"/>
                <w:szCs w:val="24"/>
                <w:highlight w:val="none"/>
              </w:rPr>
              <w:t>（</w:t>
            </w:r>
            <w:r>
              <w:rPr>
                <w:rFonts w:ascii="宋体" w:hAnsi="宋体" w:cs="宋体"/>
                <w:color w:val="auto"/>
                <w:sz w:val="24"/>
                <w:szCs w:val="24"/>
                <w:highlight w:val="none"/>
              </w:rPr>
              <w:t>1</w:t>
            </w:r>
            <w:r>
              <w:rPr>
                <w:rFonts w:hint="eastAsia" w:ascii="宋体" w:hAnsi="宋体" w:cs="宋体"/>
                <w:color w:val="auto"/>
                <w:sz w:val="24"/>
                <w:szCs w:val="24"/>
                <w:highlight w:val="none"/>
              </w:rPr>
              <w:t>）废气</w:t>
            </w:r>
          </w:p>
          <w:p w14:paraId="27514D8B">
            <w:pPr>
              <w:spacing w:line="360" w:lineRule="auto"/>
              <w:ind w:firstLine="480" w:firstLineChars="200"/>
              <w:rPr>
                <w:color w:val="auto"/>
                <w:sz w:val="24"/>
                <w:szCs w:val="24"/>
                <w:highlight w:val="none"/>
              </w:rPr>
            </w:pPr>
            <w:r>
              <w:rPr>
                <w:color w:val="auto"/>
                <w:sz w:val="24"/>
                <w:szCs w:val="24"/>
                <w:highlight w:val="none"/>
              </w:rPr>
              <w:t>根据《安徽省环保厅关于进一步加强建设项目新增大气主要污染物总量指标管理工作的通知》皖环发〔2017〕19号文件：三、大气主要污染物总量指标实行区域内等量或倍量削减替代。上年度空气质量不达标的城市，相应污染物指标应执行</w:t>
            </w:r>
            <w:r>
              <w:rPr>
                <w:rFonts w:hint="eastAsia"/>
                <w:color w:val="auto"/>
                <w:sz w:val="24"/>
                <w:szCs w:val="24"/>
                <w:highlight w:val="none"/>
                <w:lang w:eastAsia="zh-CN"/>
              </w:rPr>
              <w:t>“</w:t>
            </w:r>
            <w:r>
              <w:rPr>
                <w:color w:val="auto"/>
                <w:sz w:val="24"/>
                <w:szCs w:val="24"/>
                <w:highlight w:val="none"/>
              </w:rPr>
              <w:t>倍量替代</w:t>
            </w:r>
            <w:r>
              <w:rPr>
                <w:rFonts w:hint="eastAsia"/>
                <w:color w:val="auto"/>
                <w:sz w:val="24"/>
                <w:szCs w:val="24"/>
                <w:highlight w:val="none"/>
                <w:lang w:eastAsia="zh-CN"/>
              </w:rPr>
              <w:t>”</w:t>
            </w:r>
            <w:r>
              <w:rPr>
                <w:color w:val="auto"/>
                <w:sz w:val="24"/>
                <w:szCs w:val="24"/>
                <w:highlight w:val="none"/>
              </w:rPr>
              <w:t>。其中，上年度PM</w:t>
            </w:r>
            <w:r>
              <w:rPr>
                <w:color w:val="auto"/>
                <w:sz w:val="24"/>
                <w:szCs w:val="24"/>
                <w:highlight w:val="none"/>
                <w:vertAlign w:val="subscript"/>
              </w:rPr>
              <w:t>2.5</w:t>
            </w:r>
            <w:r>
              <w:rPr>
                <w:color w:val="auto"/>
                <w:sz w:val="24"/>
                <w:szCs w:val="24"/>
                <w:highlight w:val="none"/>
              </w:rPr>
              <w:t>不达标的城市，新增SO</w:t>
            </w:r>
            <w:r>
              <w:rPr>
                <w:color w:val="auto"/>
                <w:sz w:val="24"/>
                <w:szCs w:val="24"/>
                <w:highlight w:val="none"/>
                <w:vertAlign w:val="subscript"/>
              </w:rPr>
              <w:t>2</w:t>
            </w:r>
            <w:r>
              <w:rPr>
                <w:color w:val="auto"/>
                <w:sz w:val="24"/>
                <w:szCs w:val="24"/>
                <w:highlight w:val="none"/>
              </w:rPr>
              <w:t>、NOx和VOCs指标均要执行</w:t>
            </w:r>
            <w:r>
              <w:rPr>
                <w:rFonts w:hint="eastAsia"/>
                <w:color w:val="auto"/>
                <w:sz w:val="24"/>
                <w:szCs w:val="24"/>
                <w:highlight w:val="none"/>
                <w:lang w:eastAsia="zh-CN"/>
              </w:rPr>
              <w:t>“</w:t>
            </w:r>
            <w:r>
              <w:rPr>
                <w:color w:val="auto"/>
                <w:sz w:val="24"/>
                <w:szCs w:val="24"/>
                <w:highlight w:val="none"/>
              </w:rPr>
              <w:t>倍量替代</w:t>
            </w:r>
            <w:r>
              <w:rPr>
                <w:rFonts w:hint="eastAsia"/>
                <w:color w:val="auto"/>
                <w:sz w:val="24"/>
                <w:szCs w:val="24"/>
                <w:highlight w:val="none"/>
                <w:lang w:eastAsia="zh-CN"/>
              </w:rPr>
              <w:t>”</w:t>
            </w:r>
            <w:r>
              <w:rPr>
                <w:color w:val="auto"/>
                <w:sz w:val="24"/>
                <w:szCs w:val="24"/>
                <w:highlight w:val="none"/>
              </w:rPr>
              <w:t>。上年度PM</w:t>
            </w:r>
            <w:r>
              <w:rPr>
                <w:color w:val="auto"/>
                <w:sz w:val="24"/>
                <w:szCs w:val="24"/>
                <w:highlight w:val="none"/>
                <w:vertAlign w:val="subscript"/>
              </w:rPr>
              <w:t>10</w:t>
            </w:r>
            <w:r>
              <w:rPr>
                <w:color w:val="auto"/>
                <w:sz w:val="24"/>
                <w:szCs w:val="24"/>
                <w:highlight w:val="none"/>
              </w:rPr>
              <w:t>不达标的城市，新增烟（粉）尘指标要执行</w:t>
            </w:r>
            <w:r>
              <w:rPr>
                <w:rFonts w:hint="eastAsia"/>
                <w:color w:val="auto"/>
                <w:sz w:val="24"/>
                <w:szCs w:val="24"/>
                <w:highlight w:val="none"/>
                <w:lang w:eastAsia="zh-CN"/>
              </w:rPr>
              <w:t>“</w:t>
            </w:r>
            <w:r>
              <w:rPr>
                <w:color w:val="auto"/>
                <w:sz w:val="24"/>
                <w:szCs w:val="24"/>
                <w:highlight w:val="none"/>
              </w:rPr>
              <w:t>倍量替代</w:t>
            </w:r>
            <w:r>
              <w:rPr>
                <w:rFonts w:hint="eastAsia"/>
                <w:color w:val="auto"/>
                <w:sz w:val="24"/>
                <w:szCs w:val="24"/>
                <w:highlight w:val="none"/>
                <w:lang w:eastAsia="zh-CN"/>
              </w:rPr>
              <w:t>”</w:t>
            </w:r>
            <w:r>
              <w:rPr>
                <w:color w:val="auto"/>
                <w:sz w:val="24"/>
                <w:szCs w:val="24"/>
                <w:highlight w:val="none"/>
              </w:rPr>
              <w:t>。达到超低排放标准的新建火电项目无需执行</w:t>
            </w:r>
            <w:r>
              <w:rPr>
                <w:rFonts w:hint="eastAsia"/>
                <w:color w:val="auto"/>
                <w:sz w:val="24"/>
                <w:szCs w:val="24"/>
                <w:highlight w:val="none"/>
                <w:lang w:eastAsia="zh-CN"/>
              </w:rPr>
              <w:t>“</w:t>
            </w:r>
            <w:r>
              <w:rPr>
                <w:color w:val="auto"/>
                <w:sz w:val="24"/>
                <w:szCs w:val="24"/>
                <w:highlight w:val="none"/>
              </w:rPr>
              <w:t>倍量替代</w:t>
            </w:r>
            <w:r>
              <w:rPr>
                <w:rFonts w:hint="eastAsia"/>
                <w:color w:val="auto"/>
                <w:sz w:val="24"/>
                <w:szCs w:val="24"/>
                <w:highlight w:val="none"/>
                <w:lang w:eastAsia="zh-CN"/>
              </w:rPr>
              <w:t>”</w:t>
            </w:r>
            <w:r>
              <w:rPr>
                <w:color w:val="auto"/>
                <w:sz w:val="24"/>
                <w:szCs w:val="24"/>
                <w:highlight w:val="none"/>
              </w:rPr>
              <w:t>。</w:t>
            </w:r>
          </w:p>
          <w:p w14:paraId="530E6C4B">
            <w:pPr>
              <w:spacing w:line="360" w:lineRule="auto"/>
              <w:ind w:firstLine="480" w:firstLineChars="200"/>
              <w:rPr>
                <w:rFonts w:ascii="宋体" w:hAnsi="宋体" w:cs="宋体"/>
                <w:color w:val="auto"/>
                <w:sz w:val="24"/>
                <w:szCs w:val="24"/>
                <w:highlight w:val="none"/>
              </w:rPr>
            </w:pPr>
            <w:r>
              <w:rPr>
                <w:color w:val="auto"/>
                <w:sz w:val="24"/>
                <w:szCs w:val="24"/>
                <w:highlight w:val="none"/>
              </w:rPr>
              <w:t>项目所在区域为淮北市，上年度环境空气质量不达标，新增大气污染物指标需执行</w:t>
            </w:r>
            <w:r>
              <w:rPr>
                <w:rFonts w:hint="eastAsia"/>
                <w:color w:val="auto"/>
                <w:sz w:val="24"/>
                <w:szCs w:val="24"/>
                <w:highlight w:val="none"/>
                <w:lang w:eastAsia="zh-CN"/>
              </w:rPr>
              <w:t>“</w:t>
            </w:r>
            <w:r>
              <w:rPr>
                <w:color w:val="auto"/>
                <w:sz w:val="24"/>
                <w:szCs w:val="24"/>
                <w:highlight w:val="none"/>
              </w:rPr>
              <w:t>倍量替代</w:t>
            </w:r>
            <w:r>
              <w:rPr>
                <w:rFonts w:hint="eastAsia"/>
                <w:color w:val="auto"/>
                <w:sz w:val="24"/>
                <w:szCs w:val="24"/>
                <w:highlight w:val="none"/>
                <w:lang w:eastAsia="zh-CN"/>
              </w:rPr>
              <w:t>”</w:t>
            </w:r>
            <w:r>
              <w:rPr>
                <w:color w:val="auto"/>
                <w:sz w:val="24"/>
                <w:szCs w:val="24"/>
                <w:highlight w:val="none"/>
              </w:rPr>
              <w:t>。</w:t>
            </w:r>
          </w:p>
          <w:p w14:paraId="539D06D5">
            <w:pPr>
              <w:adjustRightInd w:val="0"/>
              <w:snapToGrid w:val="0"/>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本项目大气污染物总量控制指标为颗粒物：</w:t>
            </w:r>
            <w:r>
              <w:rPr>
                <w:rFonts w:hint="eastAsia" w:ascii="宋体" w:hAnsi="宋体" w:cs="宋体"/>
                <w:color w:val="auto"/>
                <w:sz w:val="24"/>
                <w:szCs w:val="24"/>
                <w:highlight w:val="none"/>
                <w:lang w:eastAsia="zh-CN"/>
              </w:rPr>
              <w:t>0.603</w:t>
            </w:r>
            <w:r>
              <w:rPr>
                <w:rFonts w:hint="eastAsia" w:ascii="宋体" w:hAnsi="宋体" w:eastAsia="宋体" w:cs="宋体"/>
                <w:color w:val="auto"/>
                <w:sz w:val="24"/>
                <w:szCs w:val="24"/>
                <w:highlight w:val="none"/>
              </w:rPr>
              <w:t>t</w:t>
            </w:r>
            <w:r>
              <w:rPr>
                <w:rFonts w:hint="eastAsia" w:ascii="宋体" w:hAnsi="宋体" w:cs="宋体"/>
                <w:color w:val="auto"/>
                <w:sz w:val="24"/>
                <w:szCs w:val="24"/>
                <w:highlight w:val="none"/>
              </w:rPr>
              <w:t>/a。</w:t>
            </w:r>
          </w:p>
          <w:p w14:paraId="056C628F">
            <w:pPr>
              <w:adjustRightInd w:val="0"/>
              <w:snapToGrid w:val="0"/>
              <w:spacing w:before="120" w:beforeLines="50" w:line="360" w:lineRule="auto"/>
              <w:ind w:firstLine="480" w:firstLineChars="200"/>
              <w:jc w:val="left"/>
              <w:rPr>
                <w:rFonts w:ascii="宋体"/>
                <w:color w:val="auto"/>
                <w:sz w:val="24"/>
                <w:szCs w:val="24"/>
                <w:highlight w:val="none"/>
              </w:rPr>
            </w:pPr>
            <w:r>
              <w:rPr>
                <w:rFonts w:hint="eastAsia" w:ascii="宋体" w:hAnsi="宋体" w:cs="宋体"/>
                <w:color w:val="auto"/>
                <w:sz w:val="24"/>
                <w:szCs w:val="24"/>
                <w:highlight w:val="none"/>
              </w:rPr>
              <w:t>（</w:t>
            </w:r>
            <w:r>
              <w:rPr>
                <w:rFonts w:ascii="宋体" w:hAnsi="宋体" w:cs="宋体"/>
                <w:color w:val="auto"/>
                <w:sz w:val="24"/>
                <w:szCs w:val="24"/>
                <w:highlight w:val="none"/>
              </w:rPr>
              <w:t>2</w:t>
            </w:r>
            <w:r>
              <w:rPr>
                <w:rFonts w:hint="eastAsia" w:ascii="宋体" w:hAnsi="宋体" w:cs="宋体"/>
                <w:color w:val="auto"/>
                <w:sz w:val="24"/>
                <w:szCs w:val="24"/>
                <w:highlight w:val="none"/>
              </w:rPr>
              <w:t>）废水</w:t>
            </w:r>
          </w:p>
          <w:p w14:paraId="03B0F3AA">
            <w:pPr>
              <w:adjustRightInd w:val="0"/>
              <w:snapToGrid w:val="0"/>
              <w:spacing w:line="360" w:lineRule="auto"/>
              <w:ind w:firstLine="480" w:firstLineChars="200"/>
              <w:jc w:val="left"/>
              <w:rPr>
                <w:color w:val="auto"/>
                <w:sz w:val="24"/>
                <w:szCs w:val="24"/>
                <w:highlight w:val="none"/>
              </w:rPr>
            </w:pPr>
            <w:r>
              <w:rPr>
                <w:rFonts w:hint="eastAsia" w:ascii="宋体" w:hAnsi="宋体" w:cs="宋体"/>
                <w:color w:val="auto"/>
                <w:sz w:val="24"/>
                <w:szCs w:val="24"/>
                <w:highlight w:val="none"/>
              </w:rPr>
              <w:t xml:space="preserve">本项目废水经污水处理设施预处理接管至淮北蓝海水处理有限公司。因此，本项目COD、NH3-N总量控制指标统一纳入淮北蓝海水处理有限公司总量，无需另行申请总量指标。  </w:t>
            </w:r>
          </w:p>
        </w:tc>
      </w:tr>
    </w:tbl>
    <w:p w14:paraId="0DD10395">
      <w:pPr>
        <w:pStyle w:val="34"/>
        <w:jc w:val="center"/>
        <w:outlineLvl w:val="0"/>
        <w:rPr>
          <w:rFonts w:ascii="黑体" w:hAnsi="黑体" w:eastAsia="黑体" w:cs="Times New Roman"/>
          <w:snapToGrid w:val="0"/>
          <w:color w:val="auto"/>
          <w:sz w:val="30"/>
          <w:szCs w:val="30"/>
          <w:highlight w:val="none"/>
        </w:rPr>
      </w:pPr>
      <w:r>
        <w:rPr>
          <w:rFonts w:ascii="黑体" w:hAnsi="黑体" w:eastAsia="黑体" w:cs="Times New Roman"/>
          <w:snapToGrid w:val="0"/>
          <w:color w:val="auto"/>
          <w:sz w:val="36"/>
          <w:szCs w:val="36"/>
          <w:highlight w:val="none"/>
        </w:rPr>
        <w:br w:type="page"/>
      </w:r>
      <w:r>
        <w:rPr>
          <w:rFonts w:hint="eastAsia" w:ascii="黑体" w:hAnsi="黑体" w:eastAsia="黑体" w:cs="黑体"/>
          <w:snapToGrid w:val="0"/>
          <w:color w:val="auto"/>
          <w:sz w:val="30"/>
          <w:szCs w:val="30"/>
          <w:highlight w:val="none"/>
        </w:rPr>
        <w:t>四、主要环境影响和保护措施</w:t>
      </w:r>
    </w:p>
    <w:tbl>
      <w:tblPr>
        <w:tblStyle w:val="37"/>
        <w:tblW w:w="899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53"/>
        <w:gridCol w:w="8246"/>
      </w:tblGrid>
      <w:tr w14:paraId="1BF271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85" w:hRule="atLeast"/>
          <w:jc w:val="center"/>
        </w:trPr>
        <w:tc>
          <w:tcPr>
            <w:tcW w:w="753" w:type="dxa"/>
            <w:tcBorders>
              <w:top w:val="single" w:color="auto" w:sz="8" w:space="0"/>
              <w:bottom w:val="single" w:color="auto" w:sz="8" w:space="0"/>
            </w:tcBorders>
            <w:tcMar>
              <w:left w:w="28" w:type="dxa"/>
              <w:right w:w="28" w:type="dxa"/>
            </w:tcMar>
            <w:vAlign w:val="center"/>
          </w:tcPr>
          <w:p w14:paraId="7FCAB1AD">
            <w:pPr>
              <w:pStyle w:val="34"/>
              <w:adjustRightInd w:val="0"/>
              <w:snapToGrid w:val="0"/>
              <w:spacing w:before="0" w:beforeAutospacing="0" w:after="0" w:afterAutospacing="0"/>
              <w:jc w:val="center"/>
              <w:rPr>
                <w:rFonts w:cs="Times New Roman"/>
                <w:color w:val="auto"/>
                <w:kern w:val="2"/>
                <w:highlight w:val="none"/>
              </w:rPr>
            </w:pPr>
            <w:r>
              <w:rPr>
                <w:rFonts w:hint="eastAsia"/>
                <w:color w:val="auto"/>
                <w:kern w:val="2"/>
                <w:highlight w:val="none"/>
              </w:rPr>
              <w:t>施工</w:t>
            </w:r>
          </w:p>
          <w:p w14:paraId="1CED6599">
            <w:pPr>
              <w:pStyle w:val="34"/>
              <w:adjustRightInd w:val="0"/>
              <w:snapToGrid w:val="0"/>
              <w:spacing w:before="0" w:beforeAutospacing="0" w:after="0" w:afterAutospacing="0"/>
              <w:jc w:val="center"/>
              <w:rPr>
                <w:rFonts w:cs="Times New Roman"/>
                <w:color w:val="auto"/>
                <w:kern w:val="2"/>
                <w:highlight w:val="none"/>
              </w:rPr>
            </w:pPr>
            <w:r>
              <w:rPr>
                <w:rFonts w:hint="eastAsia"/>
                <w:color w:val="auto"/>
                <w:kern w:val="2"/>
                <w:highlight w:val="none"/>
              </w:rPr>
              <w:t>期环</w:t>
            </w:r>
          </w:p>
          <w:p w14:paraId="130BC221">
            <w:pPr>
              <w:pStyle w:val="34"/>
              <w:adjustRightInd w:val="0"/>
              <w:snapToGrid w:val="0"/>
              <w:spacing w:before="0" w:beforeAutospacing="0" w:after="0" w:afterAutospacing="0"/>
              <w:jc w:val="center"/>
              <w:rPr>
                <w:rFonts w:cs="Times New Roman"/>
                <w:color w:val="auto"/>
                <w:kern w:val="2"/>
                <w:highlight w:val="none"/>
              </w:rPr>
            </w:pPr>
            <w:r>
              <w:rPr>
                <w:rFonts w:hint="eastAsia"/>
                <w:color w:val="auto"/>
                <w:kern w:val="2"/>
                <w:highlight w:val="none"/>
              </w:rPr>
              <w:t>境保</w:t>
            </w:r>
          </w:p>
          <w:p w14:paraId="2FA3BC4F">
            <w:pPr>
              <w:pStyle w:val="34"/>
              <w:adjustRightInd w:val="0"/>
              <w:snapToGrid w:val="0"/>
              <w:spacing w:before="0" w:beforeAutospacing="0" w:after="0" w:afterAutospacing="0"/>
              <w:jc w:val="center"/>
              <w:rPr>
                <w:rFonts w:cs="Times New Roman"/>
                <w:color w:val="auto"/>
                <w:kern w:val="2"/>
                <w:highlight w:val="none"/>
              </w:rPr>
            </w:pPr>
            <w:r>
              <w:rPr>
                <w:rFonts w:hint="eastAsia"/>
                <w:color w:val="auto"/>
                <w:kern w:val="2"/>
                <w:highlight w:val="none"/>
              </w:rPr>
              <w:t>护措</w:t>
            </w:r>
          </w:p>
          <w:p w14:paraId="0704F4AE">
            <w:pPr>
              <w:pStyle w:val="34"/>
              <w:adjustRightInd w:val="0"/>
              <w:snapToGrid w:val="0"/>
              <w:spacing w:before="0" w:beforeAutospacing="0" w:after="0" w:afterAutospacing="0"/>
              <w:jc w:val="center"/>
              <w:rPr>
                <w:rFonts w:cs="Times New Roman"/>
                <w:color w:val="auto"/>
                <w:kern w:val="2"/>
                <w:highlight w:val="none"/>
              </w:rPr>
            </w:pPr>
            <w:r>
              <w:rPr>
                <w:rFonts w:hint="eastAsia"/>
                <w:color w:val="auto"/>
                <w:kern w:val="2"/>
                <w:highlight w:val="none"/>
              </w:rPr>
              <w:t>施</w:t>
            </w:r>
          </w:p>
        </w:tc>
        <w:tc>
          <w:tcPr>
            <w:tcW w:w="8246" w:type="dxa"/>
            <w:tcBorders>
              <w:top w:val="single" w:color="auto" w:sz="8" w:space="0"/>
              <w:bottom w:val="single" w:color="auto" w:sz="8" w:space="0"/>
            </w:tcBorders>
            <w:vAlign w:val="center"/>
          </w:tcPr>
          <w:p w14:paraId="531FAEA7">
            <w:pPr>
              <w:spacing w:line="360" w:lineRule="auto"/>
              <w:ind w:firstLine="480" w:firstLineChars="200"/>
              <w:rPr>
                <w:rFonts w:ascii="宋体"/>
                <w:color w:val="auto"/>
                <w:sz w:val="24"/>
                <w:szCs w:val="24"/>
                <w:highlight w:val="none"/>
              </w:rPr>
            </w:pPr>
            <w:r>
              <w:rPr>
                <w:rFonts w:hint="eastAsia" w:ascii="宋体"/>
                <w:color w:val="auto"/>
                <w:sz w:val="24"/>
                <w:szCs w:val="24"/>
                <w:highlight w:val="none"/>
              </w:rPr>
              <w:t>本项目租赁现有空置厂房从事生产，不进行土建施工，设备安装完成后即可用于生产。施工期主要污染物是施工机械产生的噪声、废包装材料等。施工过程产生的污染较小，时间较短，随着施工期的结束，施工期影响随即消失。因此，对施工期污染不再进行分析。</w:t>
            </w:r>
          </w:p>
        </w:tc>
      </w:tr>
      <w:tr w14:paraId="7EF4D2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85" w:hRule="atLeast"/>
          <w:jc w:val="center"/>
        </w:trPr>
        <w:tc>
          <w:tcPr>
            <w:tcW w:w="753" w:type="dxa"/>
            <w:tcBorders>
              <w:top w:val="single" w:color="auto" w:sz="8" w:space="0"/>
            </w:tcBorders>
            <w:tcMar>
              <w:left w:w="28" w:type="dxa"/>
              <w:right w:w="28" w:type="dxa"/>
            </w:tcMar>
            <w:vAlign w:val="center"/>
          </w:tcPr>
          <w:p w14:paraId="50BAD6E6">
            <w:pPr>
              <w:adjustRightInd w:val="0"/>
              <w:snapToGrid w:val="0"/>
              <w:jc w:val="center"/>
              <w:rPr>
                <w:color w:val="auto"/>
                <w:highlight w:val="none"/>
              </w:rPr>
            </w:pPr>
          </w:p>
          <w:p w14:paraId="121CBEE3">
            <w:pPr>
              <w:pStyle w:val="34"/>
              <w:adjustRightInd w:val="0"/>
              <w:snapToGrid w:val="0"/>
              <w:spacing w:before="0" w:beforeAutospacing="0" w:after="0" w:afterAutospacing="0"/>
              <w:jc w:val="center"/>
              <w:rPr>
                <w:rFonts w:cs="Times New Roman"/>
                <w:color w:val="auto"/>
                <w:kern w:val="2"/>
                <w:highlight w:val="none"/>
              </w:rPr>
            </w:pPr>
          </w:p>
          <w:p w14:paraId="3DE52B03">
            <w:pPr>
              <w:pStyle w:val="34"/>
              <w:adjustRightInd w:val="0"/>
              <w:snapToGrid w:val="0"/>
              <w:spacing w:before="0" w:beforeAutospacing="0" w:after="0" w:afterAutospacing="0"/>
              <w:jc w:val="center"/>
              <w:rPr>
                <w:rFonts w:cs="Times New Roman"/>
                <w:color w:val="auto"/>
                <w:kern w:val="2"/>
                <w:highlight w:val="none"/>
              </w:rPr>
            </w:pPr>
            <w:r>
              <w:rPr>
                <w:rFonts w:hint="eastAsia"/>
                <w:color w:val="auto"/>
                <w:kern w:val="2"/>
                <w:highlight w:val="none"/>
              </w:rPr>
              <w:t>运营</w:t>
            </w:r>
          </w:p>
          <w:p w14:paraId="4974468D">
            <w:pPr>
              <w:pStyle w:val="34"/>
              <w:adjustRightInd w:val="0"/>
              <w:snapToGrid w:val="0"/>
              <w:spacing w:before="0" w:beforeAutospacing="0" w:after="0" w:afterAutospacing="0"/>
              <w:jc w:val="center"/>
              <w:rPr>
                <w:rFonts w:cs="Times New Roman"/>
                <w:color w:val="auto"/>
                <w:kern w:val="2"/>
                <w:highlight w:val="none"/>
              </w:rPr>
            </w:pPr>
            <w:r>
              <w:rPr>
                <w:rFonts w:hint="eastAsia"/>
                <w:color w:val="auto"/>
                <w:kern w:val="2"/>
                <w:highlight w:val="none"/>
              </w:rPr>
              <w:t>期环</w:t>
            </w:r>
          </w:p>
          <w:p w14:paraId="26B44B22">
            <w:pPr>
              <w:pStyle w:val="34"/>
              <w:adjustRightInd w:val="0"/>
              <w:snapToGrid w:val="0"/>
              <w:spacing w:before="0" w:beforeAutospacing="0" w:after="0" w:afterAutospacing="0"/>
              <w:jc w:val="center"/>
              <w:rPr>
                <w:rFonts w:cs="Times New Roman"/>
                <w:color w:val="auto"/>
                <w:kern w:val="2"/>
                <w:highlight w:val="none"/>
              </w:rPr>
            </w:pPr>
            <w:r>
              <w:rPr>
                <w:rFonts w:hint="eastAsia"/>
                <w:color w:val="auto"/>
                <w:kern w:val="2"/>
                <w:highlight w:val="none"/>
              </w:rPr>
              <w:t>境影</w:t>
            </w:r>
          </w:p>
          <w:p w14:paraId="2CC8A701">
            <w:pPr>
              <w:pStyle w:val="34"/>
              <w:adjustRightInd w:val="0"/>
              <w:snapToGrid w:val="0"/>
              <w:spacing w:before="0" w:beforeAutospacing="0" w:after="0" w:afterAutospacing="0"/>
              <w:jc w:val="center"/>
              <w:rPr>
                <w:rFonts w:cs="Times New Roman"/>
                <w:color w:val="auto"/>
                <w:kern w:val="2"/>
                <w:highlight w:val="none"/>
              </w:rPr>
            </w:pPr>
            <w:r>
              <w:rPr>
                <w:rFonts w:hint="eastAsia"/>
                <w:color w:val="auto"/>
                <w:kern w:val="2"/>
                <w:highlight w:val="none"/>
              </w:rPr>
              <w:t>响和</w:t>
            </w:r>
          </w:p>
          <w:p w14:paraId="0322C475">
            <w:pPr>
              <w:pStyle w:val="34"/>
              <w:adjustRightInd w:val="0"/>
              <w:snapToGrid w:val="0"/>
              <w:spacing w:before="0" w:beforeAutospacing="0" w:after="0" w:afterAutospacing="0"/>
              <w:jc w:val="center"/>
              <w:rPr>
                <w:rFonts w:cs="Times New Roman"/>
                <w:color w:val="auto"/>
                <w:kern w:val="2"/>
                <w:highlight w:val="none"/>
              </w:rPr>
            </w:pPr>
            <w:r>
              <w:rPr>
                <w:rFonts w:hint="eastAsia"/>
                <w:color w:val="auto"/>
                <w:kern w:val="2"/>
                <w:highlight w:val="none"/>
              </w:rPr>
              <w:t>保护</w:t>
            </w:r>
          </w:p>
          <w:p w14:paraId="40A096B7">
            <w:pPr>
              <w:pStyle w:val="34"/>
              <w:adjustRightInd w:val="0"/>
              <w:snapToGrid w:val="0"/>
              <w:spacing w:before="0" w:beforeAutospacing="0" w:after="0" w:afterAutospacing="0"/>
              <w:jc w:val="center"/>
              <w:rPr>
                <w:rFonts w:cs="Times New Roman"/>
                <w:color w:val="auto"/>
                <w:kern w:val="2"/>
                <w:highlight w:val="none"/>
              </w:rPr>
            </w:pPr>
            <w:r>
              <w:rPr>
                <w:rFonts w:hint="eastAsia"/>
                <w:color w:val="auto"/>
                <w:kern w:val="2"/>
                <w:highlight w:val="none"/>
              </w:rPr>
              <w:t>措施</w:t>
            </w:r>
          </w:p>
          <w:p w14:paraId="72B4EFAE">
            <w:pPr>
              <w:pStyle w:val="34"/>
              <w:adjustRightInd w:val="0"/>
              <w:snapToGrid w:val="0"/>
              <w:spacing w:before="0" w:beforeAutospacing="0" w:after="0" w:afterAutospacing="0"/>
              <w:jc w:val="center"/>
              <w:rPr>
                <w:rFonts w:cs="Times New Roman"/>
                <w:color w:val="auto"/>
                <w:kern w:val="2"/>
                <w:highlight w:val="none"/>
              </w:rPr>
            </w:pPr>
          </w:p>
          <w:p w14:paraId="212508F1">
            <w:pPr>
              <w:pStyle w:val="34"/>
              <w:adjustRightInd w:val="0"/>
              <w:snapToGrid w:val="0"/>
              <w:spacing w:before="0" w:beforeAutospacing="0" w:after="0" w:afterAutospacing="0"/>
              <w:jc w:val="center"/>
              <w:rPr>
                <w:rFonts w:cs="Times New Roman"/>
                <w:color w:val="auto"/>
                <w:kern w:val="2"/>
                <w:highlight w:val="none"/>
              </w:rPr>
            </w:pPr>
          </w:p>
          <w:p w14:paraId="754CFC2E">
            <w:pPr>
              <w:pStyle w:val="13"/>
              <w:rPr>
                <w:color w:val="auto"/>
                <w:highlight w:val="none"/>
              </w:rPr>
            </w:pPr>
          </w:p>
          <w:p w14:paraId="1E8378B4">
            <w:pPr>
              <w:pStyle w:val="13"/>
              <w:rPr>
                <w:color w:val="auto"/>
                <w:highlight w:val="none"/>
              </w:rPr>
            </w:pPr>
          </w:p>
          <w:p w14:paraId="11673512">
            <w:pPr>
              <w:pStyle w:val="13"/>
              <w:rPr>
                <w:color w:val="auto"/>
                <w:highlight w:val="none"/>
              </w:rPr>
            </w:pPr>
          </w:p>
          <w:p w14:paraId="1BA131A8">
            <w:pPr>
              <w:pStyle w:val="13"/>
              <w:rPr>
                <w:color w:val="auto"/>
                <w:highlight w:val="none"/>
              </w:rPr>
            </w:pPr>
          </w:p>
          <w:p w14:paraId="33F491F5">
            <w:pPr>
              <w:pStyle w:val="13"/>
              <w:rPr>
                <w:color w:val="auto"/>
                <w:highlight w:val="none"/>
              </w:rPr>
            </w:pPr>
          </w:p>
          <w:p w14:paraId="094F7AA1">
            <w:pPr>
              <w:pStyle w:val="13"/>
              <w:ind w:left="420" w:leftChars="200"/>
              <w:rPr>
                <w:rFonts w:hint="eastAsia" w:eastAsia="宋体"/>
                <w:color w:val="auto"/>
                <w:kern w:val="2"/>
                <w:highlight w:val="none"/>
                <w:lang w:eastAsia="zh-CN"/>
              </w:rPr>
            </w:pPr>
          </w:p>
        </w:tc>
        <w:tc>
          <w:tcPr>
            <w:tcW w:w="8246" w:type="dxa"/>
            <w:tcBorders>
              <w:top w:val="single" w:color="auto" w:sz="8" w:space="0"/>
            </w:tcBorders>
            <w:vAlign w:val="center"/>
          </w:tcPr>
          <w:p w14:paraId="4D5FEBFC">
            <w:pPr>
              <w:pStyle w:val="2"/>
              <w:keepNext/>
              <w:keepLines/>
              <w:pageBreakBefore w:val="0"/>
              <w:widowControl w:val="0"/>
              <w:kinsoku/>
              <w:wordWrap/>
              <w:overflowPunct/>
              <w:topLinePunct w:val="0"/>
              <w:autoSpaceDE/>
              <w:autoSpaceDN/>
              <w:bidi w:val="0"/>
              <w:adjustRightInd/>
              <w:snapToGrid/>
              <w:spacing w:before="313" w:beforeLines="100" w:after="0" w:line="360" w:lineRule="auto"/>
              <w:ind w:firstLine="482" w:firstLineChars="200"/>
              <w:textAlignment w:val="auto"/>
              <w:rPr>
                <w:rStyle w:val="85"/>
                <w:rFonts w:hint="eastAsia" w:ascii="Times New Roman" w:hAnsi="Times New Roman" w:cs="Times New Roman"/>
                <w:b/>
                <w:bCs/>
                <w:color w:val="auto"/>
                <w:highlight w:val="none"/>
              </w:rPr>
            </w:pPr>
            <w:r>
              <w:rPr>
                <w:rStyle w:val="85"/>
                <w:rFonts w:hint="eastAsia" w:ascii="Times New Roman" w:hAnsi="Times New Roman" w:cs="Times New Roman"/>
                <w:b/>
                <w:bCs/>
                <w:color w:val="auto"/>
                <w:highlight w:val="none"/>
                <w:lang w:val="en-US"/>
              </w:rPr>
              <w:t>1</w:t>
            </w:r>
            <w:r>
              <w:rPr>
                <w:rStyle w:val="85"/>
                <w:rFonts w:hint="eastAsia" w:ascii="Times New Roman" w:hAnsi="Times New Roman" w:cs="Times New Roman"/>
                <w:b/>
                <w:bCs/>
                <w:color w:val="auto"/>
                <w:highlight w:val="none"/>
              </w:rPr>
              <w:t xml:space="preserve">、水环境影响和保护措施 </w:t>
            </w:r>
          </w:p>
          <w:p w14:paraId="658A769C">
            <w:pPr>
              <w:pStyle w:val="2"/>
              <w:spacing w:before="0" w:after="0" w:line="360" w:lineRule="auto"/>
              <w:ind w:firstLine="482" w:firstLineChars="200"/>
              <w:rPr>
                <w:rStyle w:val="85"/>
                <w:rFonts w:ascii="Times New Roman" w:hAnsi="Times New Roman" w:cs="Times New Roman"/>
                <w:b w:val="0"/>
                <w:bCs w:val="0"/>
                <w:color w:val="auto"/>
                <w:highlight w:val="none"/>
              </w:rPr>
            </w:pPr>
            <w:r>
              <w:rPr>
                <w:rStyle w:val="85"/>
                <w:rFonts w:hint="eastAsia" w:ascii="Times New Roman" w:hAnsi="Times New Roman" w:cs="Times New Roman"/>
                <w:b/>
                <w:bCs/>
                <w:color w:val="auto"/>
                <w:highlight w:val="none"/>
                <w:lang w:val="en-US"/>
              </w:rPr>
              <w:t>1</w:t>
            </w:r>
            <w:r>
              <w:rPr>
                <w:rStyle w:val="85"/>
                <w:rFonts w:hint="eastAsia" w:ascii="Times New Roman" w:hAnsi="Times New Roman" w:cs="Times New Roman"/>
                <w:b/>
                <w:bCs/>
                <w:color w:val="auto"/>
                <w:highlight w:val="none"/>
              </w:rPr>
              <w:t>.1 污染工序及源强分析</w:t>
            </w:r>
          </w:p>
          <w:p w14:paraId="1FA75750">
            <w:pPr>
              <w:keepNext/>
              <w:keepLines/>
              <w:spacing w:line="360" w:lineRule="auto"/>
              <w:ind w:left="479" w:leftChars="228" w:firstLine="0" w:firstLineChars="0"/>
              <w:outlineLvl w:val="3"/>
              <w:rPr>
                <w:rStyle w:val="85"/>
                <w:rFonts w:hint="eastAsia" w:cs="宋体"/>
                <w:b w:val="0"/>
                <w:bCs w:val="0"/>
                <w:color w:val="auto"/>
                <w:highlight w:val="none"/>
              </w:rPr>
            </w:pPr>
            <w:r>
              <w:rPr>
                <w:rStyle w:val="85"/>
                <w:rFonts w:hint="eastAsia"/>
                <w:b w:val="0"/>
                <w:bCs w:val="0"/>
                <w:color w:val="auto"/>
                <w:highlight w:val="none"/>
              </w:rPr>
              <w:t>本项目无生产废水产生，污水主要为</w:t>
            </w:r>
            <w:r>
              <w:rPr>
                <w:rStyle w:val="85"/>
                <w:rFonts w:hint="eastAsia" w:cs="宋体"/>
                <w:b w:val="0"/>
                <w:bCs w:val="0"/>
                <w:color w:val="auto"/>
                <w:highlight w:val="none"/>
              </w:rPr>
              <w:t>生活污水及车辆冲洗废水。</w:t>
            </w:r>
          </w:p>
          <w:p w14:paraId="5314022D">
            <w:pPr>
              <w:numPr>
                <w:ilvl w:val="0"/>
                <w:numId w:val="0"/>
              </w:numPr>
              <w:autoSpaceDE w:val="0"/>
              <w:autoSpaceDN w:val="0"/>
              <w:spacing w:line="360" w:lineRule="auto"/>
              <w:ind w:firstLine="480" w:firstLineChars="200"/>
              <w:jc w:val="left"/>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1</w:t>
            </w:r>
            <w:r>
              <w:rPr>
                <w:rFonts w:hint="eastAsia" w:ascii="宋体" w:hAnsi="宋体" w:cs="宋体"/>
                <w:color w:val="auto"/>
                <w:sz w:val="24"/>
                <w:szCs w:val="24"/>
                <w:highlight w:val="none"/>
                <w:lang w:eastAsia="zh-CN"/>
              </w:rPr>
              <w:t>）生活污水</w:t>
            </w:r>
          </w:p>
          <w:p w14:paraId="3064B09B">
            <w:pPr>
              <w:numPr>
                <w:ilvl w:val="0"/>
                <w:numId w:val="0"/>
              </w:numPr>
              <w:autoSpaceDE w:val="0"/>
              <w:autoSpaceDN w:val="0"/>
              <w:spacing w:line="360" w:lineRule="auto"/>
              <w:ind w:firstLine="480" w:firstLineChars="200"/>
              <w:jc w:val="left"/>
              <w:rPr>
                <w:color w:val="auto"/>
                <w:sz w:val="24"/>
                <w:highlight w:val="none"/>
              </w:rPr>
            </w:pPr>
            <w:r>
              <w:rPr>
                <w:rFonts w:hint="eastAsia" w:ascii="宋体" w:hAnsi="宋体" w:cs="宋体"/>
                <w:color w:val="auto"/>
                <w:sz w:val="24"/>
                <w:szCs w:val="24"/>
                <w:highlight w:val="none"/>
              </w:rPr>
              <w:t>本项目劳动定员20人，年工作时间300天，根据《安徽省行业用水定额》（DB34/T 679-2019）中显示无食堂办公室用水为60L/（人·天），项目用水量约为360t/a，生活污水按80%计，生活污水产生量为288t/a，主要污染因子为COD、BOD5、SS、氨氮等</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eastAsia="zh-CN"/>
              </w:rPr>
              <w:br w:type="textWrapping"/>
            </w:r>
            <w:r>
              <w:rPr>
                <w:rFonts w:hint="eastAsia" w:ascii="宋体" w:hAnsi="宋体" w:cs="宋体"/>
                <w:color w:val="auto"/>
                <w:sz w:val="24"/>
                <w:szCs w:val="24"/>
                <w:highlight w:val="none"/>
                <w:lang w:val="en-US" w:eastAsia="zh-CN"/>
              </w:rPr>
              <w:t xml:space="preserve">    </w:t>
            </w:r>
            <w:r>
              <w:rPr>
                <w:rFonts w:hint="eastAsia"/>
                <w:color w:val="auto"/>
                <w:kern w:val="0"/>
                <w:sz w:val="24"/>
                <w:szCs w:val="24"/>
                <w:highlight w:val="none"/>
                <w:lang w:val="en-US" w:eastAsia="zh-CN"/>
              </w:rPr>
              <w:t>（2）车辆冲洗废水</w:t>
            </w:r>
            <w:r>
              <w:rPr>
                <w:rFonts w:hint="eastAsia"/>
                <w:color w:val="auto"/>
                <w:kern w:val="0"/>
                <w:sz w:val="24"/>
                <w:szCs w:val="24"/>
                <w:highlight w:val="none"/>
                <w:lang w:val="en-US" w:eastAsia="zh-CN"/>
              </w:rPr>
              <w:br w:type="textWrapping"/>
            </w:r>
            <w:r>
              <w:rPr>
                <w:rFonts w:hint="eastAsia"/>
                <w:color w:val="auto"/>
                <w:kern w:val="0"/>
                <w:sz w:val="24"/>
                <w:szCs w:val="24"/>
                <w:highlight w:val="none"/>
                <w:lang w:val="en-US" w:eastAsia="zh-CN"/>
              </w:rPr>
              <w:t xml:space="preserve">    </w:t>
            </w:r>
            <w:r>
              <w:rPr>
                <w:rFonts w:hint="eastAsia"/>
                <w:color w:val="auto"/>
                <w:sz w:val="24"/>
                <w:highlight w:val="none"/>
              </w:rPr>
              <w:t>项目在厂区内出入口建设1套车辆冲洗平台，并配套建设1座沉淀池。车辆冲洗废水经沉淀后回用于车辆冲洗，部分被车辆带走和蒸发，平均补充水量1t/d，</w:t>
            </w:r>
            <w:r>
              <w:rPr>
                <w:rFonts w:hint="eastAsia"/>
                <w:color w:val="auto"/>
                <w:sz w:val="24"/>
                <w:highlight w:val="none"/>
                <w:lang w:val="en-US" w:eastAsia="zh-CN"/>
              </w:rPr>
              <w:t>30</w:t>
            </w:r>
            <w:r>
              <w:rPr>
                <w:rFonts w:hint="eastAsia"/>
                <w:color w:val="auto"/>
                <w:sz w:val="24"/>
                <w:highlight w:val="none"/>
              </w:rPr>
              <w:t>0t/a。污水产生系数按照</w:t>
            </w:r>
            <w:r>
              <w:rPr>
                <w:rFonts w:hint="eastAsia"/>
                <w:color w:val="auto"/>
                <w:sz w:val="24"/>
                <w:highlight w:val="none"/>
                <w:lang w:val="en-US" w:eastAsia="zh-CN"/>
              </w:rPr>
              <w:t>9</w:t>
            </w:r>
            <w:r>
              <w:rPr>
                <w:rFonts w:hint="eastAsia"/>
                <w:color w:val="auto"/>
                <w:sz w:val="24"/>
                <w:highlight w:val="none"/>
              </w:rPr>
              <w:t>0%计，则车辆冲洗废水产生的总量为0.</w:t>
            </w:r>
            <w:r>
              <w:rPr>
                <w:rFonts w:hint="eastAsia"/>
                <w:color w:val="auto"/>
                <w:sz w:val="24"/>
                <w:highlight w:val="none"/>
                <w:lang w:val="en-US" w:eastAsia="zh-CN"/>
              </w:rPr>
              <w:t>9</w:t>
            </w:r>
            <w:r>
              <w:rPr>
                <w:rFonts w:hint="eastAsia"/>
                <w:color w:val="auto"/>
                <w:sz w:val="24"/>
                <w:highlight w:val="none"/>
              </w:rPr>
              <w:t>t/d，</w:t>
            </w:r>
            <w:r>
              <w:rPr>
                <w:rFonts w:hint="eastAsia"/>
                <w:color w:val="auto"/>
                <w:sz w:val="24"/>
                <w:highlight w:val="none"/>
                <w:lang w:val="en-US" w:eastAsia="zh-CN"/>
              </w:rPr>
              <w:t>270</w:t>
            </w:r>
            <w:r>
              <w:rPr>
                <w:rFonts w:hint="eastAsia"/>
                <w:color w:val="auto"/>
                <w:sz w:val="24"/>
                <w:highlight w:val="none"/>
              </w:rPr>
              <w:t>t/a。车辆冲洗废水收集后经</w:t>
            </w:r>
            <w:r>
              <w:rPr>
                <w:rFonts w:hint="eastAsia"/>
                <w:color w:val="auto"/>
                <w:sz w:val="24"/>
                <w:highlight w:val="none"/>
                <w:lang w:eastAsia="zh-CN"/>
              </w:rPr>
              <w:t>厂区内</w:t>
            </w:r>
            <w:r>
              <w:rPr>
                <w:rFonts w:hint="eastAsia"/>
                <w:color w:val="auto"/>
                <w:sz w:val="24"/>
                <w:highlight w:val="none"/>
              </w:rPr>
              <w:t>沉淀池沉淀后回用于车辆冲洗，循环利用，不外排。</w:t>
            </w:r>
          </w:p>
          <w:p w14:paraId="78D8DCA3">
            <w:pPr>
              <w:pStyle w:val="45"/>
              <w:spacing w:line="360" w:lineRule="auto"/>
              <w:ind w:firstLine="480" w:firstLineChars="200"/>
              <w:rPr>
                <w:b w:val="0"/>
                <w:bCs/>
                <w:color w:val="auto"/>
                <w:highlight w:val="none"/>
              </w:rPr>
            </w:pPr>
            <w:r>
              <w:rPr>
                <w:b w:val="0"/>
                <w:bCs/>
                <w:color w:val="auto"/>
                <w:highlight w:val="none"/>
              </w:rPr>
              <w:t>建设项目运营期废水产生及排放情况一览表见表4</w:t>
            </w:r>
            <w:r>
              <w:rPr>
                <w:rFonts w:hint="eastAsia"/>
                <w:b w:val="0"/>
                <w:bCs/>
                <w:color w:val="auto"/>
                <w:highlight w:val="none"/>
                <w:lang w:val="en-US" w:eastAsia="zh-CN"/>
              </w:rPr>
              <w:t>-1</w:t>
            </w:r>
            <w:r>
              <w:rPr>
                <w:b w:val="0"/>
                <w:bCs/>
                <w:color w:val="auto"/>
                <w:highlight w:val="none"/>
              </w:rPr>
              <w:t>。</w:t>
            </w:r>
          </w:p>
          <w:p w14:paraId="03D52B10">
            <w:pPr>
              <w:pStyle w:val="45"/>
              <w:spacing w:line="360" w:lineRule="auto"/>
              <w:jc w:val="center"/>
              <w:rPr>
                <w:b w:val="0"/>
                <w:bCs w:val="0"/>
                <w:color w:val="auto"/>
                <w:highlight w:val="none"/>
              </w:rPr>
            </w:pPr>
            <w:r>
              <w:rPr>
                <w:b w:val="0"/>
                <w:bCs w:val="0"/>
                <w:color w:val="auto"/>
                <w:highlight w:val="none"/>
              </w:rPr>
              <w:t>表4</w:t>
            </w:r>
            <w:r>
              <w:rPr>
                <w:rFonts w:hint="eastAsia"/>
                <w:b w:val="0"/>
                <w:bCs w:val="0"/>
                <w:color w:val="auto"/>
                <w:highlight w:val="none"/>
                <w:lang w:val="en-US" w:eastAsia="zh-CN"/>
              </w:rPr>
              <w:t>-1</w:t>
            </w:r>
            <w:r>
              <w:rPr>
                <w:b w:val="0"/>
                <w:bCs w:val="0"/>
                <w:color w:val="auto"/>
                <w:highlight w:val="none"/>
              </w:rPr>
              <w:t xml:space="preserve">  运营期废水产生及排放情况一览表</w:t>
            </w:r>
          </w:p>
          <w:tbl>
            <w:tblPr>
              <w:tblStyle w:val="37"/>
              <w:tblW w:w="79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
              <w:gridCol w:w="600"/>
              <w:gridCol w:w="651"/>
              <w:gridCol w:w="736"/>
              <w:gridCol w:w="742"/>
              <w:gridCol w:w="745"/>
              <w:gridCol w:w="676"/>
              <w:gridCol w:w="896"/>
              <w:gridCol w:w="797"/>
              <w:gridCol w:w="762"/>
              <w:gridCol w:w="792"/>
            </w:tblGrid>
            <w:tr w14:paraId="30D2B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339" w:type="pct"/>
                  <w:vMerge w:val="restart"/>
                  <w:tcBorders>
                    <w:tl2br w:val="nil"/>
                    <w:tr2bl w:val="nil"/>
                  </w:tcBorders>
                  <w:vAlign w:val="center"/>
                </w:tcPr>
                <w:p w14:paraId="06558735">
                  <w:pPr>
                    <w:adjustRightInd w:val="0"/>
                    <w:snapToGrid w:val="0"/>
                    <w:jc w:val="center"/>
                    <w:rPr>
                      <w:rFonts w:ascii="Times New Roman" w:hAnsi="Times New Roman" w:eastAsia="宋体" w:cs="宋体"/>
                      <w:color w:val="auto"/>
                      <w:sz w:val="22"/>
                      <w:szCs w:val="22"/>
                      <w:highlight w:val="none"/>
                    </w:rPr>
                  </w:pPr>
                  <w:r>
                    <w:rPr>
                      <w:rFonts w:ascii="Times New Roman" w:hAnsi="Times New Roman" w:eastAsia="宋体" w:cs="宋体"/>
                      <w:color w:val="auto"/>
                      <w:sz w:val="22"/>
                      <w:szCs w:val="22"/>
                      <w:highlight w:val="none"/>
                    </w:rPr>
                    <w:t>类别</w:t>
                  </w:r>
                </w:p>
              </w:tc>
              <w:tc>
                <w:tcPr>
                  <w:tcW w:w="378" w:type="pct"/>
                  <w:vMerge w:val="restart"/>
                  <w:tcBorders>
                    <w:tl2br w:val="nil"/>
                    <w:tr2bl w:val="nil"/>
                  </w:tcBorders>
                  <w:vAlign w:val="center"/>
                </w:tcPr>
                <w:p w14:paraId="07E8132B">
                  <w:pPr>
                    <w:adjustRightInd w:val="0"/>
                    <w:snapToGrid w:val="0"/>
                    <w:jc w:val="center"/>
                    <w:rPr>
                      <w:rFonts w:ascii="Times New Roman" w:hAnsi="Times New Roman" w:eastAsia="宋体" w:cs="宋体"/>
                      <w:color w:val="auto"/>
                      <w:sz w:val="22"/>
                      <w:szCs w:val="22"/>
                      <w:highlight w:val="none"/>
                    </w:rPr>
                  </w:pPr>
                  <w:r>
                    <w:rPr>
                      <w:rFonts w:hint="eastAsia" w:cs="宋体"/>
                      <w:color w:val="auto"/>
                      <w:sz w:val="22"/>
                      <w:szCs w:val="22"/>
                      <w:highlight w:val="none"/>
                    </w:rPr>
                    <w:t>排放量</w:t>
                  </w:r>
                  <w:r>
                    <w:rPr>
                      <w:rFonts w:hint="eastAsia"/>
                      <w:color w:val="auto"/>
                      <w:sz w:val="22"/>
                      <w:szCs w:val="22"/>
                      <w:highlight w:val="none"/>
                    </w:rPr>
                    <w:t>m</w:t>
                  </w:r>
                  <w:r>
                    <w:rPr>
                      <w:rFonts w:hint="eastAsia"/>
                      <w:color w:val="auto"/>
                      <w:sz w:val="22"/>
                      <w:szCs w:val="22"/>
                      <w:highlight w:val="none"/>
                      <w:vertAlign w:val="superscript"/>
                    </w:rPr>
                    <w:t>3</w:t>
                  </w:r>
                  <w:r>
                    <w:rPr>
                      <w:color w:val="auto"/>
                      <w:sz w:val="22"/>
                      <w:szCs w:val="22"/>
                      <w:highlight w:val="none"/>
                    </w:rPr>
                    <w:t>/a</w:t>
                  </w:r>
                </w:p>
              </w:tc>
              <w:tc>
                <w:tcPr>
                  <w:tcW w:w="410" w:type="pct"/>
                  <w:vMerge w:val="restart"/>
                  <w:tcBorders>
                    <w:tl2br w:val="nil"/>
                    <w:tr2bl w:val="nil"/>
                  </w:tcBorders>
                  <w:vAlign w:val="center"/>
                </w:tcPr>
                <w:p w14:paraId="772B3D1A">
                  <w:pPr>
                    <w:adjustRightInd w:val="0"/>
                    <w:snapToGrid w:val="0"/>
                    <w:jc w:val="center"/>
                    <w:rPr>
                      <w:rFonts w:ascii="Times New Roman" w:hAnsi="Times New Roman" w:eastAsia="宋体" w:cs="宋体"/>
                      <w:color w:val="auto"/>
                      <w:sz w:val="22"/>
                      <w:szCs w:val="22"/>
                      <w:highlight w:val="none"/>
                    </w:rPr>
                  </w:pPr>
                  <w:r>
                    <w:rPr>
                      <w:rFonts w:ascii="Times New Roman" w:hAnsi="Times New Roman" w:eastAsia="宋体" w:cs="宋体"/>
                      <w:color w:val="auto"/>
                      <w:sz w:val="22"/>
                      <w:szCs w:val="22"/>
                      <w:highlight w:val="none"/>
                    </w:rPr>
                    <w:t>污染物种类</w:t>
                  </w:r>
                </w:p>
              </w:tc>
              <w:tc>
                <w:tcPr>
                  <w:tcW w:w="931" w:type="pct"/>
                  <w:gridSpan w:val="2"/>
                  <w:tcBorders>
                    <w:tl2br w:val="nil"/>
                    <w:tr2bl w:val="nil"/>
                  </w:tcBorders>
                  <w:vAlign w:val="center"/>
                </w:tcPr>
                <w:p w14:paraId="6D559F49">
                  <w:pPr>
                    <w:adjustRightInd w:val="0"/>
                    <w:snapToGrid w:val="0"/>
                    <w:jc w:val="center"/>
                    <w:rPr>
                      <w:rFonts w:ascii="Times New Roman" w:hAnsi="Times New Roman" w:eastAsia="宋体" w:cs="宋体"/>
                      <w:color w:val="auto"/>
                      <w:sz w:val="22"/>
                      <w:szCs w:val="22"/>
                      <w:highlight w:val="none"/>
                    </w:rPr>
                  </w:pPr>
                  <w:r>
                    <w:rPr>
                      <w:rFonts w:ascii="Times New Roman" w:hAnsi="Times New Roman" w:eastAsia="宋体" w:cs="宋体"/>
                      <w:color w:val="auto"/>
                      <w:sz w:val="22"/>
                      <w:szCs w:val="22"/>
                      <w:highlight w:val="none"/>
                    </w:rPr>
                    <w:t>产生情况</w:t>
                  </w:r>
                </w:p>
              </w:tc>
              <w:tc>
                <w:tcPr>
                  <w:tcW w:w="469" w:type="pct"/>
                  <w:vMerge w:val="restart"/>
                  <w:tcBorders>
                    <w:tl2br w:val="nil"/>
                    <w:tr2bl w:val="nil"/>
                  </w:tcBorders>
                  <w:vAlign w:val="center"/>
                </w:tcPr>
                <w:p w14:paraId="6C71090F">
                  <w:pPr>
                    <w:adjustRightInd w:val="0"/>
                    <w:snapToGrid w:val="0"/>
                    <w:jc w:val="center"/>
                    <w:rPr>
                      <w:rFonts w:ascii="Times New Roman" w:hAnsi="Times New Roman" w:eastAsia="宋体" w:cs="宋体"/>
                      <w:color w:val="auto"/>
                      <w:sz w:val="22"/>
                      <w:szCs w:val="22"/>
                      <w:highlight w:val="none"/>
                    </w:rPr>
                  </w:pPr>
                  <w:r>
                    <w:rPr>
                      <w:rFonts w:ascii="Times New Roman" w:hAnsi="Times New Roman" w:eastAsia="宋体" w:cs="宋体"/>
                      <w:color w:val="auto"/>
                      <w:sz w:val="22"/>
                      <w:szCs w:val="22"/>
                      <w:highlight w:val="none"/>
                    </w:rPr>
                    <w:t>治理</w:t>
                  </w:r>
                </w:p>
                <w:p w14:paraId="7FA76DAE">
                  <w:pPr>
                    <w:adjustRightInd w:val="0"/>
                    <w:snapToGrid w:val="0"/>
                    <w:jc w:val="center"/>
                    <w:rPr>
                      <w:rFonts w:ascii="Times New Roman" w:hAnsi="Times New Roman" w:eastAsia="宋体" w:cs="宋体"/>
                      <w:color w:val="auto"/>
                      <w:sz w:val="22"/>
                      <w:szCs w:val="22"/>
                      <w:highlight w:val="none"/>
                    </w:rPr>
                  </w:pPr>
                  <w:r>
                    <w:rPr>
                      <w:rFonts w:ascii="Times New Roman" w:hAnsi="Times New Roman" w:eastAsia="宋体" w:cs="宋体"/>
                      <w:color w:val="auto"/>
                      <w:sz w:val="22"/>
                      <w:szCs w:val="22"/>
                      <w:highlight w:val="none"/>
                    </w:rPr>
                    <w:t>措施</w:t>
                  </w:r>
                </w:p>
              </w:tc>
              <w:tc>
                <w:tcPr>
                  <w:tcW w:w="990" w:type="pct"/>
                  <w:gridSpan w:val="2"/>
                  <w:tcBorders>
                    <w:tl2br w:val="nil"/>
                    <w:tr2bl w:val="nil"/>
                  </w:tcBorders>
                  <w:vAlign w:val="center"/>
                </w:tcPr>
                <w:p w14:paraId="173C1898">
                  <w:pPr>
                    <w:adjustRightInd w:val="0"/>
                    <w:snapToGrid w:val="0"/>
                    <w:jc w:val="center"/>
                    <w:rPr>
                      <w:rFonts w:ascii="Times New Roman" w:hAnsi="Times New Roman" w:eastAsia="宋体" w:cs="宋体"/>
                      <w:color w:val="auto"/>
                      <w:sz w:val="22"/>
                      <w:szCs w:val="22"/>
                      <w:highlight w:val="none"/>
                    </w:rPr>
                  </w:pPr>
                  <w:r>
                    <w:rPr>
                      <w:rFonts w:ascii="Times New Roman" w:hAnsi="Times New Roman" w:eastAsia="宋体" w:cs="宋体"/>
                      <w:color w:val="auto"/>
                      <w:sz w:val="22"/>
                      <w:szCs w:val="22"/>
                      <w:highlight w:val="none"/>
                    </w:rPr>
                    <w:t>污染物排放情况</w:t>
                  </w:r>
                </w:p>
              </w:tc>
              <w:tc>
                <w:tcPr>
                  <w:tcW w:w="502" w:type="pct"/>
                  <w:vMerge w:val="restart"/>
                  <w:tcBorders>
                    <w:tl2br w:val="nil"/>
                    <w:tr2bl w:val="nil"/>
                  </w:tcBorders>
                  <w:vAlign w:val="center"/>
                </w:tcPr>
                <w:p w14:paraId="33D77DF1">
                  <w:pPr>
                    <w:adjustRightInd w:val="0"/>
                    <w:snapToGrid w:val="0"/>
                    <w:jc w:val="center"/>
                    <w:rPr>
                      <w:rFonts w:ascii="Times New Roman" w:hAnsi="Times New Roman" w:eastAsia="宋体" w:cs="宋体"/>
                      <w:color w:val="auto"/>
                      <w:sz w:val="22"/>
                      <w:szCs w:val="22"/>
                      <w:highlight w:val="none"/>
                    </w:rPr>
                  </w:pPr>
                  <w:r>
                    <w:rPr>
                      <w:rFonts w:ascii="Times New Roman" w:hAnsi="Times New Roman" w:eastAsia="宋体" w:cs="宋体"/>
                      <w:color w:val="auto"/>
                      <w:sz w:val="22"/>
                      <w:szCs w:val="22"/>
                      <w:highlight w:val="none"/>
                    </w:rPr>
                    <w:t>治理</w:t>
                  </w:r>
                </w:p>
                <w:p w14:paraId="79BC4650">
                  <w:pPr>
                    <w:adjustRightInd w:val="0"/>
                    <w:snapToGrid w:val="0"/>
                    <w:jc w:val="center"/>
                    <w:rPr>
                      <w:rFonts w:ascii="Times New Roman" w:hAnsi="Times New Roman" w:eastAsia="宋体" w:cs="宋体"/>
                      <w:color w:val="auto"/>
                      <w:sz w:val="22"/>
                      <w:szCs w:val="22"/>
                      <w:highlight w:val="none"/>
                    </w:rPr>
                  </w:pPr>
                  <w:r>
                    <w:rPr>
                      <w:rFonts w:ascii="Times New Roman" w:hAnsi="Times New Roman" w:eastAsia="宋体" w:cs="宋体"/>
                      <w:color w:val="auto"/>
                      <w:sz w:val="22"/>
                      <w:szCs w:val="22"/>
                      <w:highlight w:val="none"/>
                    </w:rPr>
                    <w:t>措施</w:t>
                  </w:r>
                </w:p>
              </w:tc>
              <w:tc>
                <w:tcPr>
                  <w:tcW w:w="979" w:type="pct"/>
                  <w:gridSpan w:val="2"/>
                  <w:tcBorders>
                    <w:tl2br w:val="nil"/>
                    <w:tr2bl w:val="nil"/>
                  </w:tcBorders>
                  <w:vAlign w:val="center"/>
                </w:tcPr>
                <w:p w14:paraId="009920EE">
                  <w:pPr>
                    <w:adjustRightInd w:val="0"/>
                    <w:snapToGrid w:val="0"/>
                    <w:jc w:val="center"/>
                    <w:rPr>
                      <w:rFonts w:cs="宋体"/>
                      <w:color w:val="auto"/>
                      <w:sz w:val="22"/>
                      <w:szCs w:val="22"/>
                      <w:highlight w:val="none"/>
                    </w:rPr>
                  </w:pPr>
                  <w:r>
                    <w:rPr>
                      <w:rFonts w:hint="eastAsia" w:cs="宋体"/>
                      <w:color w:val="auto"/>
                      <w:sz w:val="22"/>
                      <w:szCs w:val="22"/>
                      <w:highlight w:val="none"/>
                    </w:rPr>
                    <w:t>污染物排放情况</w:t>
                  </w:r>
                </w:p>
              </w:tc>
            </w:tr>
            <w:tr w14:paraId="1A341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7" w:hRule="atLeast"/>
                <w:jc w:val="center"/>
              </w:trPr>
              <w:tc>
                <w:tcPr>
                  <w:tcW w:w="339" w:type="pct"/>
                  <w:vMerge w:val="continue"/>
                  <w:tcBorders>
                    <w:tl2br w:val="nil"/>
                    <w:tr2bl w:val="nil"/>
                  </w:tcBorders>
                  <w:vAlign w:val="center"/>
                </w:tcPr>
                <w:p w14:paraId="339E1E82">
                  <w:pPr>
                    <w:adjustRightInd w:val="0"/>
                    <w:snapToGrid w:val="0"/>
                    <w:jc w:val="center"/>
                    <w:rPr>
                      <w:rFonts w:ascii="Times New Roman" w:hAnsi="Times New Roman" w:eastAsia="宋体" w:cs="宋体"/>
                      <w:color w:val="auto"/>
                      <w:sz w:val="22"/>
                      <w:szCs w:val="22"/>
                      <w:highlight w:val="none"/>
                    </w:rPr>
                  </w:pPr>
                </w:p>
              </w:tc>
              <w:tc>
                <w:tcPr>
                  <w:tcW w:w="378" w:type="pct"/>
                  <w:vMerge w:val="continue"/>
                  <w:tcBorders>
                    <w:tl2br w:val="nil"/>
                    <w:tr2bl w:val="nil"/>
                  </w:tcBorders>
                  <w:vAlign w:val="center"/>
                </w:tcPr>
                <w:p w14:paraId="369B0ED2">
                  <w:pPr>
                    <w:adjustRightInd w:val="0"/>
                    <w:snapToGrid w:val="0"/>
                    <w:jc w:val="center"/>
                    <w:rPr>
                      <w:rFonts w:ascii="Times New Roman" w:hAnsi="Times New Roman" w:eastAsia="宋体" w:cs="宋体"/>
                      <w:color w:val="auto"/>
                      <w:sz w:val="22"/>
                      <w:szCs w:val="22"/>
                      <w:highlight w:val="none"/>
                    </w:rPr>
                  </w:pPr>
                </w:p>
              </w:tc>
              <w:tc>
                <w:tcPr>
                  <w:tcW w:w="410" w:type="pct"/>
                  <w:vMerge w:val="continue"/>
                  <w:tcBorders>
                    <w:tl2br w:val="nil"/>
                    <w:tr2bl w:val="nil"/>
                  </w:tcBorders>
                  <w:vAlign w:val="center"/>
                </w:tcPr>
                <w:p w14:paraId="56B2EC10">
                  <w:pPr>
                    <w:adjustRightInd w:val="0"/>
                    <w:snapToGrid w:val="0"/>
                    <w:jc w:val="center"/>
                    <w:rPr>
                      <w:rFonts w:ascii="Times New Roman" w:hAnsi="Times New Roman" w:eastAsia="宋体" w:cs="宋体"/>
                      <w:color w:val="auto"/>
                      <w:sz w:val="22"/>
                      <w:szCs w:val="22"/>
                      <w:highlight w:val="none"/>
                    </w:rPr>
                  </w:pPr>
                </w:p>
              </w:tc>
              <w:tc>
                <w:tcPr>
                  <w:tcW w:w="463" w:type="pct"/>
                  <w:tcBorders>
                    <w:tl2br w:val="nil"/>
                    <w:tr2bl w:val="nil"/>
                  </w:tcBorders>
                  <w:vAlign w:val="center"/>
                </w:tcPr>
                <w:p w14:paraId="6023915A">
                  <w:pPr>
                    <w:adjustRightInd w:val="0"/>
                    <w:snapToGrid w:val="0"/>
                    <w:jc w:val="center"/>
                    <w:rPr>
                      <w:rFonts w:ascii="Times New Roman" w:hAnsi="Times New Roman" w:eastAsia="宋体" w:cs="宋体"/>
                      <w:color w:val="auto"/>
                      <w:sz w:val="22"/>
                      <w:szCs w:val="22"/>
                      <w:highlight w:val="none"/>
                    </w:rPr>
                  </w:pPr>
                  <w:r>
                    <w:rPr>
                      <w:rFonts w:ascii="Times New Roman" w:hAnsi="Times New Roman" w:eastAsia="宋体" w:cs="宋体"/>
                      <w:color w:val="auto"/>
                      <w:sz w:val="22"/>
                      <w:szCs w:val="22"/>
                      <w:highlight w:val="none"/>
                    </w:rPr>
                    <w:t>浓度</w:t>
                  </w:r>
                  <w:r>
                    <w:rPr>
                      <w:rFonts w:hint="eastAsia" w:ascii="Times New Roman" w:hAnsi="Times New Roman" w:eastAsia="宋体" w:cs="宋体"/>
                      <w:color w:val="auto"/>
                      <w:sz w:val="22"/>
                      <w:szCs w:val="22"/>
                      <w:highlight w:val="none"/>
                    </w:rPr>
                    <w:t>（</w:t>
                  </w:r>
                  <w:r>
                    <w:rPr>
                      <w:rFonts w:ascii="Times New Roman" w:hAnsi="Times New Roman" w:eastAsia="宋体" w:cs="宋体"/>
                      <w:color w:val="auto"/>
                      <w:sz w:val="22"/>
                      <w:szCs w:val="22"/>
                      <w:highlight w:val="none"/>
                    </w:rPr>
                    <w:t>mg/L</w:t>
                  </w:r>
                  <w:r>
                    <w:rPr>
                      <w:rFonts w:hint="eastAsia" w:ascii="Times New Roman" w:hAnsi="Times New Roman" w:eastAsia="宋体" w:cs="宋体"/>
                      <w:color w:val="auto"/>
                      <w:sz w:val="22"/>
                      <w:szCs w:val="22"/>
                      <w:highlight w:val="none"/>
                    </w:rPr>
                    <w:t>）</w:t>
                  </w:r>
                </w:p>
              </w:tc>
              <w:tc>
                <w:tcPr>
                  <w:tcW w:w="467" w:type="pct"/>
                  <w:tcBorders>
                    <w:tl2br w:val="nil"/>
                    <w:tr2bl w:val="nil"/>
                  </w:tcBorders>
                  <w:vAlign w:val="center"/>
                </w:tcPr>
                <w:p w14:paraId="13D7AC37">
                  <w:pPr>
                    <w:adjustRightInd w:val="0"/>
                    <w:snapToGrid w:val="0"/>
                    <w:jc w:val="center"/>
                    <w:rPr>
                      <w:rFonts w:ascii="Times New Roman" w:hAnsi="Times New Roman" w:eastAsia="宋体" w:cs="宋体"/>
                      <w:color w:val="auto"/>
                      <w:sz w:val="22"/>
                      <w:szCs w:val="22"/>
                      <w:highlight w:val="none"/>
                    </w:rPr>
                  </w:pPr>
                  <w:r>
                    <w:rPr>
                      <w:rFonts w:hint="eastAsia" w:ascii="Times New Roman" w:hAnsi="Times New Roman" w:eastAsia="宋体" w:cs="宋体"/>
                      <w:color w:val="auto"/>
                      <w:sz w:val="22"/>
                      <w:szCs w:val="22"/>
                      <w:highlight w:val="none"/>
                    </w:rPr>
                    <w:t>产生</w:t>
                  </w:r>
                  <w:r>
                    <w:rPr>
                      <w:rFonts w:ascii="Times New Roman" w:hAnsi="Times New Roman" w:eastAsia="宋体" w:cs="宋体"/>
                      <w:color w:val="auto"/>
                      <w:sz w:val="22"/>
                      <w:szCs w:val="22"/>
                      <w:highlight w:val="none"/>
                    </w:rPr>
                    <w:t>量</w:t>
                  </w:r>
                  <w:r>
                    <w:rPr>
                      <w:rFonts w:hint="eastAsia" w:ascii="Times New Roman" w:hAnsi="Times New Roman" w:eastAsia="宋体" w:cs="宋体"/>
                      <w:color w:val="auto"/>
                      <w:sz w:val="22"/>
                      <w:szCs w:val="22"/>
                      <w:highlight w:val="none"/>
                    </w:rPr>
                    <w:t>（</w:t>
                  </w:r>
                  <w:r>
                    <w:rPr>
                      <w:rFonts w:ascii="Times New Roman" w:hAnsi="Times New Roman" w:eastAsia="宋体" w:cs="宋体"/>
                      <w:color w:val="auto"/>
                      <w:sz w:val="22"/>
                      <w:szCs w:val="22"/>
                      <w:highlight w:val="none"/>
                    </w:rPr>
                    <w:t>t/a</w:t>
                  </w:r>
                  <w:r>
                    <w:rPr>
                      <w:rFonts w:hint="eastAsia" w:ascii="Times New Roman" w:hAnsi="Times New Roman" w:eastAsia="宋体" w:cs="宋体"/>
                      <w:color w:val="auto"/>
                      <w:sz w:val="22"/>
                      <w:szCs w:val="22"/>
                      <w:highlight w:val="none"/>
                    </w:rPr>
                    <w:t>）</w:t>
                  </w:r>
                </w:p>
              </w:tc>
              <w:tc>
                <w:tcPr>
                  <w:tcW w:w="469" w:type="pct"/>
                  <w:vMerge w:val="continue"/>
                  <w:tcBorders>
                    <w:tl2br w:val="nil"/>
                    <w:tr2bl w:val="nil"/>
                  </w:tcBorders>
                  <w:vAlign w:val="center"/>
                </w:tcPr>
                <w:p w14:paraId="3E569261">
                  <w:pPr>
                    <w:adjustRightInd w:val="0"/>
                    <w:snapToGrid w:val="0"/>
                    <w:jc w:val="center"/>
                    <w:rPr>
                      <w:rFonts w:ascii="Times New Roman" w:hAnsi="Times New Roman" w:eastAsia="宋体" w:cs="宋体"/>
                      <w:color w:val="auto"/>
                      <w:sz w:val="22"/>
                      <w:szCs w:val="22"/>
                      <w:highlight w:val="none"/>
                    </w:rPr>
                  </w:pPr>
                </w:p>
              </w:tc>
              <w:tc>
                <w:tcPr>
                  <w:tcW w:w="425" w:type="pct"/>
                  <w:tcBorders>
                    <w:tl2br w:val="nil"/>
                    <w:tr2bl w:val="nil"/>
                  </w:tcBorders>
                  <w:vAlign w:val="center"/>
                </w:tcPr>
                <w:p w14:paraId="2D7478F5">
                  <w:pPr>
                    <w:adjustRightInd w:val="0"/>
                    <w:snapToGrid w:val="0"/>
                    <w:jc w:val="center"/>
                    <w:rPr>
                      <w:rFonts w:ascii="Times New Roman" w:hAnsi="Times New Roman" w:eastAsia="宋体" w:cs="宋体"/>
                      <w:color w:val="auto"/>
                      <w:sz w:val="22"/>
                      <w:szCs w:val="22"/>
                      <w:highlight w:val="none"/>
                    </w:rPr>
                  </w:pPr>
                  <w:r>
                    <w:rPr>
                      <w:rFonts w:ascii="Times New Roman" w:hAnsi="Times New Roman" w:eastAsia="宋体" w:cs="宋体"/>
                      <w:color w:val="auto"/>
                      <w:sz w:val="22"/>
                      <w:szCs w:val="22"/>
                      <w:highlight w:val="none"/>
                    </w:rPr>
                    <w:t>浓度</w:t>
                  </w:r>
                </w:p>
                <w:p w14:paraId="5C2C0DB7">
                  <w:pPr>
                    <w:adjustRightInd w:val="0"/>
                    <w:snapToGrid w:val="0"/>
                    <w:jc w:val="center"/>
                    <w:rPr>
                      <w:rFonts w:ascii="Times New Roman" w:hAnsi="Times New Roman" w:eastAsia="宋体" w:cs="宋体"/>
                      <w:color w:val="auto"/>
                      <w:sz w:val="22"/>
                      <w:szCs w:val="22"/>
                      <w:highlight w:val="none"/>
                    </w:rPr>
                  </w:pPr>
                  <w:r>
                    <w:rPr>
                      <w:rFonts w:hint="eastAsia" w:ascii="Times New Roman" w:hAnsi="Times New Roman" w:eastAsia="宋体" w:cs="宋体"/>
                      <w:color w:val="auto"/>
                      <w:sz w:val="22"/>
                      <w:szCs w:val="22"/>
                      <w:highlight w:val="none"/>
                    </w:rPr>
                    <w:t>（</w:t>
                  </w:r>
                  <w:r>
                    <w:rPr>
                      <w:rFonts w:ascii="Times New Roman" w:hAnsi="Times New Roman" w:eastAsia="宋体" w:cs="宋体"/>
                      <w:color w:val="auto"/>
                      <w:sz w:val="22"/>
                      <w:szCs w:val="22"/>
                      <w:highlight w:val="none"/>
                    </w:rPr>
                    <w:t>mg/L</w:t>
                  </w:r>
                  <w:r>
                    <w:rPr>
                      <w:rFonts w:hint="eastAsia" w:ascii="Times New Roman" w:hAnsi="Times New Roman" w:eastAsia="宋体" w:cs="宋体"/>
                      <w:color w:val="auto"/>
                      <w:sz w:val="22"/>
                      <w:szCs w:val="22"/>
                      <w:highlight w:val="none"/>
                    </w:rPr>
                    <w:t>）</w:t>
                  </w:r>
                </w:p>
              </w:tc>
              <w:tc>
                <w:tcPr>
                  <w:tcW w:w="564" w:type="pct"/>
                  <w:tcBorders>
                    <w:tl2br w:val="nil"/>
                    <w:tr2bl w:val="nil"/>
                  </w:tcBorders>
                  <w:vAlign w:val="center"/>
                </w:tcPr>
                <w:p w14:paraId="0337D434">
                  <w:pPr>
                    <w:adjustRightInd w:val="0"/>
                    <w:snapToGrid w:val="0"/>
                    <w:jc w:val="center"/>
                    <w:rPr>
                      <w:rFonts w:ascii="Times New Roman" w:hAnsi="Times New Roman" w:eastAsia="宋体" w:cs="宋体"/>
                      <w:color w:val="auto"/>
                      <w:sz w:val="22"/>
                      <w:szCs w:val="22"/>
                      <w:highlight w:val="none"/>
                    </w:rPr>
                  </w:pPr>
                  <w:r>
                    <w:rPr>
                      <w:rFonts w:ascii="Times New Roman" w:hAnsi="Times New Roman" w:eastAsia="宋体" w:cs="宋体"/>
                      <w:color w:val="auto"/>
                      <w:sz w:val="22"/>
                      <w:szCs w:val="22"/>
                      <w:highlight w:val="none"/>
                    </w:rPr>
                    <w:t>排放量</w:t>
                  </w:r>
                  <w:r>
                    <w:rPr>
                      <w:rFonts w:hint="eastAsia" w:ascii="Times New Roman" w:hAnsi="Times New Roman" w:eastAsia="宋体" w:cs="宋体"/>
                      <w:color w:val="auto"/>
                      <w:sz w:val="22"/>
                      <w:szCs w:val="22"/>
                      <w:highlight w:val="none"/>
                    </w:rPr>
                    <w:t>（</w:t>
                  </w:r>
                  <w:r>
                    <w:rPr>
                      <w:rFonts w:ascii="Times New Roman" w:hAnsi="Times New Roman" w:eastAsia="宋体" w:cs="宋体"/>
                      <w:color w:val="auto"/>
                      <w:sz w:val="22"/>
                      <w:szCs w:val="22"/>
                      <w:highlight w:val="none"/>
                    </w:rPr>
                    <w:t>t/a</w:t>
                  </w:r>
                  <w:r>
                    <w:rPr>
                      <w:rFonts w:hint="eastAsia" w:ascii="Times New Roman" w:hAnsi="Times New Roman" w:eastAsia="宋体" w:cs="宋体"/>
                      <w:color w:val="auto"/>
                      <w:sz w:val="22"/>
                      <w:szCs w:val="22"/>
                      <w:highlight w:val="none"/>
                    </w:rPr>
                    <w:t>）</w:t>
                  </w:r>
                </w:p>
              </w:tc>
              <w:tc>
                <w:tcPr>
                  <w:tcW w:w="502" w:type="pct"/>
                  <w:vMerge w:val="continue"/>
                  <w:tcBorders>
                    <w:tl2br w:val="nil"/>
                    <w:tr2bl w:val="nil"/>
                  </w:tcBorders>
                  <w:vAlign w:val="center"/>
                </w:tcPr>
                <w:p w14:paraId="42327CE5">
                  <w:pPr>
                    <w:adjustRightInd w:val="0"/>
                    <w:snapToGrid w:val="0"/>
                    <w:jc w:val="center"/>
                    <w:rPr>
                      <w:rFonts w:ascii="Times New Roman" w:hAnsi="Times New Roman" w:eastAsia="宋体" w:cs="宋体"/>
                      <w:color w:val="auto"/>
                      <w:sz w:val="22"/>
                      <w:szCs w:val="22"/>
                      <w:highlight w:val="none"/>
                    </w:rPr>
                  </w:pPr>
                </w:p>
              </w:tc>
              <w:tc>
                <w:tcPr>
                  <w:tcW w:w="480" w:type="pct"/>
                  <w:tcBorders>
                    <w:tl2br w:val="nil"/>
                    <w:tr2bl w:val="nil"/>
                  </w:tcBorders>
                  <w:vAlign w:val="center"/>
                </w:tcPr>
                <w:p w14:paraId="1F9E6945">
                  <w:pPr>
                    <w:adjustRightInd w:val="0"/>
                    <w:snapToGrid w:val="0"/>
                    <w:jc w:val="center"/>
                    <w:rPr>
                      <w:rFonts w:ascii="Times New Roman" w:hAnsi="Times New Roman" w:eastAsia="宋体" w:cs="宋体"/>
                      <w:color w:val="auto"/>
                      <w:sz w:val="22"/>
                      <w:szCs w:val="22"/>
                      <w:highlight w:val="none"/>
                    </w:rPr>
                  </w:pPr>
                  <w:r>
                    <w:rPr>
                      <w:rFonts w:ascii="Times New Roman" w:hAnsi="Times New Roman" w:eastAsia="宋体" w:cs="宋体"/>
                      <w:color w:val="auto"/>
                      <w:sz w:val="22"/>
                      <w:szCs w:val="22"/>
                      <w:highlight w:val="none"/>
                    </w:rPr>
                    <w:t>浓度</w:t>
                  </w:r>
                </w:p>
                <w:p w14:paraId="3377E0E0">
                  <w:pPr>
                    <w:adjustRightInd w:val="0"/>
                    <w:snapToGrid w:val="0"/>
                    <w:jc w:val="center"/>
                    <w:rPr>
                      <w:rFonts w:ascii="Times New Roman" w:hAnsi="Times New Roman" w:eastAsia="宋体" w:cs="宋体"/>
                      <w:color w:val="auto"/>
                      <w:sz w:val="22"/>
                      <w:szCs w:val="22"/>
                      <w:highlight w:val="none"/>
                    </w:rPr>
                  </w:pPr>
                  <w:r>
                    <w:rPr>
                      <w:rFonts w:hint="eastAsia" w:ascii="Times New Roman" w:hAnsi="Times New Roman" w:eastAsia="宋体" w:cs="宋体"/>
                      <w:color w:val="auto"/>
                      <w:sz w:val="22"/>
                      <w:szCs w:val="22"/>
                      <w:highlight w:val="none"/>
                    </w:rPr>
                    <w:t>（</w:t>
                  </w:r>
                  <w:r>
                    <w:rPr>
                      <w:rFonts w:ascii="Times New Roman" w:hAnsi="Times New Roman" w:eastAsia="宋体" w:cs="宋体"/>
                      <w:color w:val="auto"/>
                      <w:sz w:val="22"/>
                      <w:szCs w:val="22"/>
                      <w:highlight w:val="none"/>
                    </w:rPr>
                    <w:t>mg/L</w:t>
                  </w:r>
                  <w:r>
                    <w:rPr>
                      <w:rFonts w:hint="eastAsia" w:ascii="Times New Roman" w:hAnsi="Times New Roman" w:eastAsia="宋体" w:cs="宋体"/>
                      <w:color w:val="auto"/>
                      <w:sz w:val="22"/>
                      <w:szCs w:val="22"/>
                      <w:highlight w:val="none"/>
                    </w:rPr>
                    <w:t>）</w:t>
                  </w:r>
                </w:p>
              </w:tc>
              <w:tc>
                <w:tcPr>
                  <w:tcW w:w="499" w:type="pct"/>
                  <w:tcBorders>
                    <w:tl2br w:val="nil"/>
                    <w:tr2bl w:val="nil"/>
                  </w:tcBorders>
                  <w:vAlign w:val="center"/>
                </w:tcPr>
                <w:p w14:paraId="398831CF">
                  <w:pPr>
                    <w:adjustRightInd w:val="0"/>
                    <w:snapToGrid w:val="0"/>
                    <w:jc w:val="center"/>
                    <w:rPr>
                      <w:rFonts w:ascii="Times New Roman" w:hAnsi="Times New Roman" w:eastAsia="宋体" w:cs="宋体"/>
                      <w:color w:val="auto"/>
                      <w:sz w:val="22"/>
                      <w:szCs w:val="22"/>
                      <w:highlight w:val="none"/>
                    </w:rPr>
                  </w:pPr>
                  <w:r>
                    <w:rPr>
                      <w:rFonts w:ascii="Times New Roman" w:hAnsi="Times New Roman" w:eastAsia="宋体" w:cs="宋体"/>
                      <w:color w:val="auto"/>
                      <w:sz w:val="22"/>
                      <w:szCs w:val="22"/>
                      <w:highlight w:val="none"/>
                    </w:rPr>
                    <w:t>排放量</w:t>
                  </w:r>
                  <w:r>
                    <w:rPr>
                      <w:rFonts w:hint="eastAsia" w:ascii="Times New Roman" w:hAnsi="Times New Roman" w:eastAsia="宋体" w:cs="宋体"/>
                      <w:color w:val="auto"/>
                      <w:sz w:val="22"/>
                      <w:szCs w:val="22"/>
                      <w:highlight w:val="none"/>
                    </w:rPr>
                    <w:t>（</w:t>
                  </w:r>
                  <w:r>
                    <w:rPr>
                      <w:rFonts w:ascii="Times New Roman" w:hAnsi="Times New Roman" w:eastAsia="宋体" w:cs="宋体"/>
                      <w:color w:val="auto"/>
                      <w:sz w:val="22"/>
                      <w:szCs w:val="22"/>
                      <w:highlight w:val="none"/>
                    </w:rPr>
                    <w:t>t/a</w:t>
                  </w:r>
                  <w:r>
                    <w:rPr>
                      <w:rFonts w:hint="eastAsia" w:ascii="Times New Roman" w:hAnsi="Times New Roman" w:eastAsia="宋体" w:cs="宋体"/>
                      <w:color w:val="auto"/>
                      <w:sz w:val="22"/>
                      <w:szCs w:val="22"/>
                      <w:highlight w:val="none"/>
                    </w:rPr>
                    <w:t>）</w:t>
                  </w:r>
                </w:p>
              </w:tc>
            </w:tr>
            <w:tr w14:paraId="16834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39" w:type="pct"/>
                  <w:tcBorders>
                    <w:tl2br w:val="nil"/>
                    <w:tr2bl w:val="nil"/>
                  </w:tcBorders>
                  <w:vAlign w:val="center"/>
                </w:tcPr>
                <w:p w14:paraId="4617F00F">
                  <w:pPr>
                    <w:adjustRightInd w:val="0"/>
                    <w:snapToGrid w:val="0"/>
                    <w:jc w:val="center"/>
                    <w:rPr>
                      <w:rFonts w:hint="eastAsia" w:ascii="Times New Roman" w:hAnsi="Times New Roman" w:eastAsia="宋体" w:cs="宋体"/>
                      <w:color w:val="auto"/>
                      <w:sz w:val="22"/>
                      <w:szCs w:val="22"/>
                      <w:highlight w:val="none"/>
                      <w:lang w:eastAsia="zh-CN"/>
                    </w:rPr>
                  </w:pPr>
                  <w:r>
                    <w:rPr>
                      <w:rFonts w:hint="eastAsia" w:cs="宋体"/>
                      <w:color w:val="auto"/>
                      <w:sz w:val="22"/>
                      <w:szCs w:val="22"/>
                      <w:highlight w:val="none"/>
                      <w:lang w:eastAsia="zh-CN"/>
                    </w:rPr>
                    <w:t>车辆冲洗废水</w:t>
                  </w:r>
                </w:p>
              </w:tc>
              <w:tc>
                <w:tcPr>
                  <w:tcW w:w="378" w:type="pct"/>
                  <w:tcBorders>
                    <w:tl2br w:val="nil"/>
                    <w:tr2bl w:val="nil"/>
                  </w:tcBorders>
                  <w:vAlign w:val="center"/>
                </w:tcPr>
                <w:p w14:paraId="46DE87B1">
                  <w:pPr>
                    <w:adjustRightInd w:val="0"/>
                    <w:snapToGrid w:val="0"/>
                    <w:jc w:val="center"/>
                    <w:rPr>
                      <w:rFonts w:hint="default" w:ascii="Times New Roman" w:hAnsi="Times New Roman" w:cs="宋体"/>
                      <w:color w:val="auto"/>
                      <w:sz w:val="22"/>
                      <w:szCs w:val="22"/>
                      <w:highlight w:val="none"/>
                      <w:lang w:val="en-US" w:eastAsia="zh-CN"/>
                    </w:rPr>
                  </w:pPr>
                  <w:r>
                    <w:rPr>
                      <w:rFonts w:hint="eastAsia" w:cs="宋体"/>
                      <w:color w:val="auto"/>
                      <w:sz w:val="22"/>
                      <w:szCs w:val="22"/>
                      <w:highlight w:val="none"/>
                      <w:lang w:val="en-US" w:eastAsia="zh-CN"/>
                    </w:rPr>
                    <w:t>270</w:t>
                  </w:r>
                </w:p>
              </w:tc>
              <w:tc>
                <w:tcPr>
                  <w:tcW w:w="410" w:type="pct"/>
                  <w:tcBorders>
                    <w:tl2br w:val="nil"/>
                    <w:tr2bl w:val="nil"/>
                  </w:tcBorders>
                  <w:vAlign w:val="center"/>
                </w:tcPr>
                <w:p w14:paraId="760E17E5">
                  <w:pPr>
                    <w:adjustRightInd w:val="0"/>
                    <w:snapToGrid w:val="0"/>
                    <w:jc w:val="center"/>
                    <w:rPr>
                      <w:rFonts w:ascii="Times New Roman" w:hAnsi="Times New Roman" w:eastAsia="宋体" w:cs="宋体"/>
                      <w:color w:val="auto"/>
                      <w:sz w:val="22"/>
                      <w:szCs w:val="22"/>
                      <w:highlight w:val="none"/>
                    </w:rPr>
                  </w:pPr>
                  <w:r>
                    <w:rPr>
                      <w:rFonts w:ascii="Times New Roman" w:hAnsi="Times New Roman" w:eastAsia="宋体" w:cs="宋体"/>
                      <w:color w:val="auto"/>
                      <w:sz w:val="22"/>
                      <w:szCs w:val="22"/>
                      <w:highlight w:val="none"/>
                    </w:rPr>
                    <w:t>SS</w:t>
                  </w:r>
                </w:p>
              </w:tc>
              <w:tc>
                <w:tcPr>
                  <w:tcW w:w="463" w:type="pct"/>
                  <w:tcBorders>
                    <w:tl2br w:val="nil"/>
                    <w:tr2bl w:val="nil"/>
                  </w:tcBorders>
                  <w:vAlign w:val="center"/>
                </w:tcPr>
                <w:p w14:paraId="06704325">
                  <w:pPr>
                    <w:adjustRightInd w:val="0"/>
                    <w:snapToGrid w:val="0"/>
                    <w:jc w:val="center"/>
                    <w:rPr>
                      <w:rFonts w:hint="eastAsia" w:ascii="Times New Roman" w:hAnsi="Times New Roman" w:eastAsia="宋体" w:cs="宋体"/>
                      <w:color w:val="auto"/>
                      <w:sz w:val="22"/>
                      <w:szCs w:val="22"/>
                      <w:highlight w:val="none"/>
                    </w:rPr>
                  </w:pPr>
                  <w:r>
                    <w:rPr>
                      <w:rFonts w:hint="eastAsia" w:ascii="Times New Roman" w:hAnsi="Times New Roman" w:eastAsia="宋体" w:cs="宋体"/>
                      <w:color w:val="auto"/>
                      <w:sz w:val="22"/>
                      <w:szCs w:val="22"/>
                      <w:highlight w:val="none"/>
                    </w:rPr>
                    <w:t>200</w:t>
                  </w:r>
                </w:p>
              </w:tc>
              <w:tc>
                <w:tcPr>
                  <w:tcW w:w="467" w:type="pct"/>
                  <w:tcBorders>
                    <w:tl2br w:val="nil"/>
                    <w:tr2bl w:val="nil"/>
                  </w:tcBorders>
                  <w:vAlign w:val="center"/>
                </w:tcPr>
                <w:p w14:paraId="0F23018C">
                  <w:pPr>
                    <w:adjustRightInd w:val="0"/>
                    <w:snapToGrid w:val="0"/>
                    <w:jc w:val="center"/>
                    <w:rPr>
                      <w:rFonts w:hint="default" w:ascii="Times New Roman" w:hAnsi="Times New Roman" w:cs="宋体"/>
                      <w:color w:val="auto"/>
                      <w:sz w:val="22"/>
                      <w:szCs w:val="22"/>
                      <w:highlight w:val="none"/>
                      <w:lang w:val="en-US" w:eastAsia="zh-CN"/>
                    </w:rPr>
                  </w:pPr>
                  <w:r>
                    <w:rPr>
                      <w:rFonts w:hint="eastAsia" w:cs="宋体"/>
                      <w:color w:val="auto"/>
                      <w:sz w:val="22"/>
                      <w:szCs w:val="22"/>
                      <w:highlight w:val="none"/>
                      <w:lang w:val="en-US" w:eastAsia="zh-CN"/>
                    </w:rPr>
                    <w:t>0.054</w:t>
                  </w:r>
                </w:p>
              </w:tc>
              <w:tc>
                <w:tcPr>
                  <w:tcW w:w="469" w:type="pct"/>
                  <w:tcBorders>
                    <w:tl2br w:val="nil"/>
                    <w:tr2bl w:val="nil"/>
                  </w:tcBorders>
                  <w:vAlign w:val="center"/>
                </w:tcPr>
                <w:p w14:paraId="0E6D1A08">
                  <w:pPr>
                    <w:adjustRightInd w:val="0"/>
                    <w:snapToGrid w:val="0"/>
                    <w:jc w:val="center"/>
                    <w:rPr>
                      <w:rFonts w:hint="eastAsia" w:ascii="Times New Roman" w:hAnsi="Times New Roman" w:eastAsia="宋体" w:cs="宋体"/>
                      <w:color w:val="auto"/>
                      <w:sz w:val="22"/>
                      <w:szCs w:val="22"/>
                      <w:highlight w:val="none"/>
                      <w:lang w:eastAsia="zh-CN"/>
                    </w:rPr>
                  </w:pPr>
                  <w:r>
                    <w:rPr>
                      <w:rFonts w:hint="eastAsia" w:cs="宋体"/>
                      <w:color w:val="auto"/>
                      <w:sz w:val="22"/>
                      <w:szCs w:val="22"/>
                      <w:highlight w:val="none"/>
                      <w:lang w:eastAsia="zh-CN"/>
                    </w:rPr>
                    <w:t>沉淀池</w:t>
                  </w:r>
                </w:p>
              </w:tc>
              <w:tc>
                <w:tcPr>
                  <w:tcW w:w="425" w:type="pct"/>
                  <w:tcBorders>
                    <w:tl2br w:val="nil"/>
                    <w:tr2bl w:val="nil"/>
                  </w:tcBorders>
                  <w:vAlign w:val="center"/>
                </w:tcPr>
                <w:p w14:paraId="5C73BBA3">
                  <w:pPr>
                    <w:adjustRightInd w:val="0"/>
                    <w:snapToGrid w:val="0"/>
                    <w:jc w:val="center"/>
                    <w:rPr>
                      <w:rFonts w:hint="eastAsia" w:ascii="Times New Roman" w:hAnsi="Times New Roman" w:eastAsia="宋体" w:cs="宋体"/>
                      <w:color w:val="auto"/>
                      <w:sz w:val="22"/>
                      <w:szCs w:val="22"/>
                      <w:highlight w:val="none"/>
                      <w:lang w:val="en-US" w:eastAsia="zh-CN"/>
                    </w:rPr>
                  </w:pPr>
                  <w:r>
                    <w:rPr>
                      <w:rFonts w:hint="eastAsia" w:cs="宋体"/>
                      <w:color w:val="auto"/>
                      <w:sz w:val="22"/>
                      <w:szCs w:val="22"/>
                      <w:highlight w:val="none"/>
                      <w:lang w:val="en-US" w:eastAsia="zh-CN"/>
                    </w:rPr>
                    <w:t>0</w:t>
                  </w:r>
                </w:p>
              </w:tc>
              <w:tc>
                <w:tcPr>
                  <w:tcW w:w="564" w:type="pct"/>
                  <w:tcBorders>
                    <w:tl2br w:val="nil"/>
                    <w:tr2bl w:val="nil"/>
                  </w:tcBorders>
                  <w:vAlign w:val="center"/>
                </w:tcPr>
                <w:p w14:paraId="702CE833">
                  <w:pPr>
                    <w:adjustRightInd w:val="0"/>
                    <w:snapToGrid w:val="0"/>
                    <w:jc w:val="center"/>
                    <w:rPr>
                      <w:rFonts w:hint="default" w:ascii="Times New Roman" w:hAnsi="Times New Roman" w:cs="宋体"/>
                      <w:color w:val="auto"/>
                      <w:sz w:val="22"/>
                      <w:szCs w:val="22"/>
                      <w:highlight w:val="none"/>
                      <w:lang w:val="en-US" w:eastAsia="zh-CN"/>
                    </w:rPr>
                  </w:pPr>
                  <w:r>
                    <w:rPr>
                      <w:rFonts w:hint="eastAsia" w:cs="宋体"/>
                      <w:color w:val="auto"/>
                      <w:sz w:val="22"/>
                      <w:szCs w:val="22"/>
                      <w:highlight w:val="none"/>
                      <w:lang w:val="en-US" w:eastAsia="zh-CN"/>
                    </w:rPr>
                    <w:t>0</w:t>
                  </w:r>
                </w:p>
              </w:tc>
              <w:tc>
                <w:tcPr>
                  <w:tcW w:w="502" w:type="pct"/>
                  <w:tcBorders>
                    <w:tl2br w:val="nil"/>
                    <w:tr2bl w:val="nil"/>
                  </w:tcBorders>
                  <w:vAlign w:val="center"/>
                </w:tcPr>
                <w:p w14:paraId="22B9AC9A">
                  <w:pPr>
                    <w:adjustRightInd w:val="0"/>
                    <w:snapToGrid w:val="0"/>
                    <w:jc w:val="center"/>
                    <w:rPr>
                      <w:rFonts w:hint="eastAsia" w:ascii="Times New Roman" w:hAnsi="Times New Roman" w:eastAsia="宋体" w:cs="宋体"/>
                      <w:color w:val="auto"/>
                      <w:sz w:val="22"/>
                      <w:szCs w:val="22"/>
                      <w:highlight w:val="none"/>
                      <w:lang w:eastAsia="zh-CN"/>
                    </w:rPr>
                  </w:pPr>
                  <w:r>
                    <w:rPr>
                      <w:rFonts w:hint="eastAsia" w:cs="宋体"/>
                      <w:color w:val="auto"/>
                      <w:sz w:val="22"/>
                      <w:szCs w:val="22"/>
                      <w:highlight w:val="none"/>
                      <w:lang w:eastAsia="zh-CN"/>
                    </w:rPr>
                    <w:t>不外排</w:t>
                  </w:r>
                </w:p>
              </w:tc>
              <w:tc>
                <w:tcPr>
                  <w:tcW w:w="480" w:type="pct"/>
                  <w:tcBorders>
                    <w:tl2br w:val="nil"/>
                    <w:tr2bl w:val="nil"/>
                  </w:tcBorders>
                  <w:vAlign w:val="center"/>
                </w:tcPr>
                <w:p w14:paraId="6957AC46">
                  <w:pPr>
                    <w:widowControl/>
                    <w:jc w:val="center"/>
                    <w:textAlignment w:val="center"/>
                    <w:rPr>
                      <w:rFonts w:hint="eastAsia"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0</w:t>
                  </w:r>
                </w:p>
              </w:tc>
              <w:tc>
                <w:tcPr>
                  <w:tcW w:w="499" w:type="pct"/>
                  <w:tcBorders>
                    <w:tl2br w:val="nil"/>
                    <w:tr2bl w:val="nil"/>
                  </w:tcBorders>
                  <w:vAlign w:val="center"/>
                </w:tcPr>
                <w:p w14:paraId="4FCEFACE">
                  <w:pPr>
                    <w:adjustRightInd w:val="0"/>
                    <w:snapToGrid w:val="0"/>
                    <w:jc w:val="center"/>
                    <w:rPr>
                      <w:rFonts w:hint="default" w:ascii="Times New Roman" w:hAnsi="Times New Roman" w:cs="宋体"/>
                      <w:color w:val="auto"/>
                      <w:sz w:val="22"/>
                      <w:szCs w:val="22"/>
                      <w:highlight w:val="none"/>
                      <w:lang w:val="en-US" w:eastAsia="zh-CN"/>
                    </w:rPr>
                  </w:pPr>
                  <w:r>
                    <w:rPr>
                      <w:rFonts w:hint="eastAsia" w:cs="宋体"/>
                      <w:color w:val="auto"/>
                      <w:sz w:val="22"/>
                      <w:szCs w:val="22"/>
                      <w:highlight w:val="none"/>
                      <w:lang w:val="en-US" w:eastAsia="zh-CN"/>
                    </w:rPr>
                    <w:t>0</w:t>
                  </w:r>
                </w:p>
              </w:tc>
            </w:tr>
            <w:tr w14:paraId="0D5E0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339" w:type="pct"/>
                  <w:vMerge w:val="restart"/>
                  <w:tcBorders>
                    <w:tl2br w:val="nil"/>
                    <w:tr2bl w:val="nil"/>
                  </w:tcBorders>
                  <w:vAlign w:val="center"/>
                </w:tcPr>
                <w:p w14:paraId="484B2A20">
                  <w:pPr>
                    <w:adjustRightInd w:val="0"/>
                    <w:snapToGrid w:val="0"/>
                    <w:jc w:val="center"/>
                    <w:rPr>
                      <w:rFonts w:ascii="Times New Roman" w:hAnsi="Times New Roman" w:eastAsia="宋体" w:cs="宋体"/>
                      <w:color w:val="auto"/>
                      <w:sz w:val="22"/>
                      <w:szCs w:val="22"/>
                      <w:highlight w:val="none"/>
                    </w:rPr>
                  </w:pPr>
                  <w:r>
                    <w:rPr>
                      <w:rFonts w:ascii="Times New Roman" w:hAnsi="Times New Roman" w:eastAsia="宋体" w:cs="宋体"/>
                      <w:color w:val="auto"/>
                      <w:sz w:val="22"/>
                      <w:szCs w:val="22"/>
                      <w:highlight w:val="none"/>
                    </w:rPr>
                    <w:t>生活</w:t>
                  </w:r>
                </w:p>
                <w:p w14:paraId="521ABE53">
                  <w:pPr>
                    <w:adjustRightInd w:val="0"/>
                    <w:snapToGrid w:val="0"/>
                    <w:jc w:val="center"/>
                    <w:rPr>
                      <w:rFonts w:ascii="Times New Roman" w:hAnsi="Times New Roman" w:eastAsia="宋体" w:cs="宋体"/>
                      <w:color w:val="auto"/>
                      <w:sz w:val="22"/>
                      <w:szCs w:val="22"/>
                      <w:highlight w:val="none"/>
                    </w:rPr>
                  </w:pPr>
                  <w:r>
                    <w:rPr>
                      <w:rFonts w:ascii="Times New Roman" w:hAnsi="Times New Roman" w:eastAsia="宋体" w:cs="宋体"/>
                      <w:color w:val="auto"/>
                      <w:sz w:val="22"/>
                      <w:szCs w:val="22"/>
                      <w:highlight w:val="none"/>
                    </w:rPr>
                    <w:t>污水</w:t>
                  </w:r>
                </w:p>
              </w:tc>
              <w:tc>
                <w:tcPr>
                  <w:tcW w:w="378" w:type="pct"/>
                  <w:vMerge w:val="restart"/>
                  <w:tcBorders>
                    <w:tl2br w:val="nil"/>
                    <w:tr2bl w:val="nil"/>
                  </w:tcBorders>
                  <w:vAlign w:val="center"/>
                </w:tcPr>
                <w:p w14:paraId="3CEF4E28">
                  <w:pPr>
                    <w:adjustRightInd w:val="0"/>
                    <w:snapToGrid w:val="0"/>
                    <w:jc w:val="center"/>
                    <w:rPr>
                      <w:rFonts w:hint="default" w:ascii="Times New Roman" w:hAnsi="Times New Roman" w:eastAsia="宋体" w:cs="宋体"/>
                      <w:color w:val="auto"/>
                      <w:sz w:val="22"/>
                      <w:szCs w:val="22"/>
                      <w:highlight w:val="none"/>
                      <w:lang w:val="en-US" w:eastAsia="zh-CN"/>
                    </w:rPr>
                  </w:pPr>
                  <w:r>
                    <w:rPr>
                      <w:rFonts w:hint="eastAsia" w:ascii="Times New Roman" w:hAnsi="Times New Roman" w:cs="宋体"/>
                      <w:color w:val="auto"/>
                      <w:sz w:val="22"/>
                      <w:szCs w:val="22"/>
                      <w:highlight w:val="none"/>
                      <w:lang w:val="en-US" w:eastAsia="zh-CN"/>
                    </w:rPr>
                    <w:t>288</w:t>
                  </w:r>
                </w:p>
              </w:tc>
              <w:tc>
                <w:tcPr>
                  <w:tcW w:w="410" w:type="pct"/>
                  <w:tcBorders>
                    <w:tl2br w:val="nil"/>
                    <w:tr2bl w:val="nil"/>
                  </w:tcBorders>
                  <w:vAlign w:val="center"/>
                </w:tcPr>
                <w:p w14:paraId="1C875435">
                  <w:pPr>
                    <w:adjustRightInd w:val="0"/>
                    <w:snapToGrid w:val="0"/>
                    <w:jc w:val="center"/>
                    <w:rPr>
                      <w:rFonts w:ascii="Times New Roman" w:hAnsi="Times New Roman" w:eastAsia="宋体" w:cs="宋体"/>
                      <w:color w:val="auto"/>
                      <w:sz w:val="22"/>
                      <w:szCs w:val="22"/>
                      <w:highlight w:val="none"/>
                    </w:rPr>
                  </w:pPr>
                  <w:r>
                    <w:rPr>
                      <w:rFonts w:ascii="Times New Roman" w:hAnsi="Times New Roman" w:eastAsia="宋体" w:cs="宋体"/>
                      <w:color w:val="auto"/>
                      <w:sz w:val="22"/>
                      <w:szCs w:val="22"/>
                      <w:highlight w:val="none"/>
                    </w:rPr>
                    <w:t>COD</w:t>
                  </w:r>
                </w:p>
              </w:tc>
              <w:tc>
                <w:tcPr>
                  <w:tcW w:w="463" w:type="pct"/>
                  <w:tcBorders>
                    <w:tl2br w:val="nil"/>
                    <w:tr2bl w:val="nil"/>
                  </w:tcBorders>
                  <w:vAlign w:val="center"/>
                </w:tcPr>
                <w:p w14:paraId="2CD11502">
                  <w:pPr>
                    <w:adjustRightInd w:val="0"/>
                    <w:snapToGrid w:val="0"/>
                    <w:jc w:val="center"/>
                    <w:rPr>
                      <w:rFonts w:ascii="Times New Roman" w:hAnsi="Times New Roman" w:eastAsia="宋体" w:cs="宋体"/>
                      <w:color w:val="auto"/>
                      <w:sz w:val="22"/>
                      <w:szCs w:val="22"/>
                      <w:highlight w:val="none"/>
                    </w:rPr>
                  </w:pPr>
                  <w:r>
                    <w:rPr>
                      <w:rFonts w:hint="eastAsia" w:ascii="Times New Roman" w:hAnsi="Times New Roman" w:eastAsia="宋体" w:cs="宋体"/>
                      <w:color w:val="auto"/>
                      <w:sz w:val="22"/>
                      <w:szCs w:val="22"/>
                      <w:highlight w:val="none"/>
                    </w:rPr>
                    <w:t>300</w:t>
                  </w:r>
                </w:p>
              </w:tc>
              <w:tc>
                <w:tcPr>
                  <w:tcW w:w="467" w:type="pct"/>
                  <w:tcBorders>
                    <w:tl2br w:val="nil"/>
                    <w:tr2bl w:val="nil"/>
                  </w:tcBorders>
                  <w:vAlign w:val="center"/>
                </w:tcPr>
                <w:p w14:paraId="295A264B">
                  <w:pPr>
                    <w:adjustRightInd w:val="0"/>
                    <w:snapToGrid w:val="0"/>
                    <w:jc w:val="center"/>
                    <w:rPr>
                      <w:rFonts w:hint="default" w:ascii="Times New Roman" w:hAnsi="Times New Roman" w:eastAsia="宋体" w:cs="宋体"/>
                      <w:color w:val="auto"/>
                      <w:sz w:val="22"/>
                      <w:szCs w:val="22"/>
                      <w:highlight w:val="none"/>
                      <w:lang w:val="en-US" w:eastAsia="zh-CN"/>
                    </w:rPr>
                  </w:pPr>
                  <w:r>
                    <w:rPr>
                      <w:rFonts w:hint="eastAsia" w:ascii="Times New Roman" w:hAnsi="Times New Roman" w:cs="宋体"/>
                      <w:color w:val="auto"/>
                      <w:sz w:val="22"/>
                      <w:szCs w:val="22"/>
                      <w:highlight w:val="none"/>
                      <w:lang w:val="en-US" w:eastAsia="zh-CN"/>
                    </w:rPr>
                    <w:t>0.0864</w:t>
                  </w:r>
                </w:p>
              </w:tc>
              <w:tc>
                <w:tcPr>
                  <w:tcW w:w="469" w:type="pct"/>
                  <w:vMerge w:val="restart"/>
                  <w:tcBorders>
                    <w:tl2br w:val="nil"/>
                    <w:tr2bl w:val="nil"/>
                  </w:tcBorders>
                  <w:vAlign w:val="center"/>
                </w:tcPr>
                <w:p w14:paraId="674E006B">
                  <w:pPr>
                    <w:adjustRightInd w:val="0"/>
                    <w:snapToGrid w:val="0"/>
                    <w:jc w:val="center"/>
                    <w:rPr>
                      <w:rFonts w:ascii="Times New Roman" w:hAnsi="Times New Roman" w:eastAsia="宋体" w:cs="宋体"/>
                      <w:color w:val="auto"/>
                      <w:sz w:val="22"/>
                      <w:szCs w:val="22"/>
                      <w:highlight w:val="none"/>
                    </w:rPr>
                  </w:pPr>
                  <w:r>
                    <w:rPr>
                      <w:rFonts w:hint="eastAsia" w:ascii="Times New Roman" w:hAnsi="Times New Roman" w:eastAsia="宋体" w:cs="宋体"/>
                      <w:color w:val="auto"/>
                      <w:sz w:val="22"/>
                      <w:szCs w:val="22"/>
                      <w:highlight w:val="none"/>
                    </w:rPr>
                    <w:t>化粪池</w:t>
                  </w:r>
                </w:p>
              </w:tc>
              <w:tc>
                <w:tcPr>
                  <w:tcW w:w="425" w:type="pct"/>
                  <w:tcBorders>
                    <w:tl2br w:val="nil"/>
                    <w:tr2bl w:val="nil"/>
                  </w:tcBorders>
                  <w:vAlign w:val="center"/>
                </w:tcPr>
                <w:p w14:paraId="43B2A62E">
                  <w:pPr>
                    <w:adjustRightInd w:val="0"/>
                    <w:snapToGrid w:val="0"/>
                    <w:jc w:val="center"/>
                    <w:rPr>
                      <w:rFonts w:ascii="Times New Roman" w:hAnsi="Times New Roman" w:eastAsia="宋体" w:cs="宋体"/>
                      <w:color w:val="auto"/>
                      <w:sz w:val="22"/>
                      <w:szCs w:val="22"/>
                      <w:highlight w:val="none"/>
                    </w:rPr>
                  </w:pPr>
                  <w:r>
                    <w:rPr>
                      <w:rFonts w:ascii="Times New Roman" w:hAnsi="Times New Roman" w:eastAsia="宋体" w:cs="宋体"/>
                      <w:color w:val="auto"/>
                      <w:sz w:val="22"/>
                      <w:szCs w:val="22"/>
                      <w:highlight w:val="none"/>
                    </w:rPr>
                    <w:t>2</w:t>
                  </w:r>
                  <w:r>
                    <w:rPr>
                      <w:rFonts w:hint="eastAsia" w:ascii="Times New Roman" w:hAnsi="Times New Roman" w:eastAsia="宋体" w:cs="宋体"/>
                      <w:color w:val="auto"/>
                      <w:sz w:val="22"/>
                      <w:szCs w:val="22"/>
                      <w:highlight w:val="none"/>
                    </w:rPr>
                    <w:t>55</w:t>
                  </w:r>
                </w:p>
              </w:tc>
              <w:tc>
                <w:tcPr>
                  <w:tcW w:w="564" w:type="pct"/>
                  <w:tcBorders>
                    <w:tl2br w:val="nil"/>
                    <w:tr2bl w:val="nil"/>
                  </w:tcBorders>
                  <w:vAlign w:val="center"/>
                </w:tcPr>
                <w:p w14:paraId="33ADAC37">
                  <w:pPr>
                    <w:adjustRightInd w:val="0"/>
                    <w:snapToGrid w:val="0"/>
                    <w:jc w:val="center"/>
                    <w:rPr>
                      <w:rFonts w:hint="default" w:ascii="Times New Roman" w:hAnsi="Times New Roman" w:eastAsia="宋体" w:cs="宋体"/>
                      <w:color w:val="auto"/>
                      <w:sz w:val="22"/>
                      <w:szCs w:val="22"/>
                      <w:highlight w:val="none"/>
                      <w:lang w:val="en-US" w:eastAsia="zh-CN"/>
                    </w:rPr>
                  </w:pPr>
                  <w:r>
                    <w:rPr>
                      <w:rFonts w:hint="eastAsia" w:ascii="Times New Roman" w:hAnsi="Times New Roman" w:cs="宋体"/>
                      <w:color w:val="auto"/>
                      <w:sz w:val="22"/>
                      <w:szCs w:val="22"/>
                      <w:highlight w:val="none"/>
                      <w:lang w:val="en-US" w:eastAsia="zh-CN"/>
                    </w:rPr>
                    <w:t>0.07344</w:t>
                  </w:r>
                </w:p>
              </w:tc>
              <w:tc>
                <w:tcPr>
                  <w:tcW w:w="502" w:type="pct"/>
                  <w:vMerge w:val="restart"/>
                  <w:tcBorders>
                    <w:tl2br w:val="nil"/>
                    <w:tr2bl w:val="nil"/>
                  </w:tcBorders>
                  <w:vAlign w:val="center"/>
                </w:tcPr>
                <w:p w14:paraId="050F796E">
                  <w:pPr>
                    <w:adjustRightInd w:val="0"/>
                    <w:snapToGrid w:val="0"/>
                    <w:jc w:val="center"/>
                    <w:rPr>
                      <w:rFonts w:ascii="Times New Roman" w:hAnsi="Times New Roman" w:eastAsia="宋体" w:cs="宋体"/>
                      <w:color w:val="auto"/>
                      <w:sz w:val="22"/>
                      <w:szCs w:val="22"/>
                      <w:highlight w:val="none"/>
                    </w:rPr>
                  </w:pPr>
                  <w:r>
                    <w:rPr>
                      <w:rFonts w:hint="eastAsia" w:ascii="Times New Roman" w:hAnsi="Times New Roman" w:eastAsia="宋体" w:cs="宋体"/>
                      <w:color w:val="auto"/>
                      <w:sz w:val="22"/>
                      <w:szCs w:val="22"/>
                      <w:highlight w:val="none"/>
                    </w:rPr>
                    <w:t>淮北蓝海水处理有限公司</w:t>
                  </w:r>
                </w:p>
              </w:tc>
              <w:tc>
                <w:tcPr>
                  <w:tcW w:w="480" w:type="pct"/>
                  <w:tcBorders>
                    <w:tl2br w:val="nil"/>
                    <w:tr2bl w:val="nil"/>
                  </w:tcBorders>
                  <w:vAlign w:val="center"/>
                </w:tcPr>
                <w:p w14:paraId="4C3D27F4">
                  <w:pPr>
                    <w:widowControl/>
                    <w:jc w:val="center"/>
                    <w:textAlignment w:val="center"/>
                    <w:rPr>
                      <w:rFonts w:ascii="Times New Roman" w:hAnsi="Times New Roman" w:eastAsia="宋体" w:cs="宋体"/>
                      <w:color w:val="auto"/>
                      <w:sz w:val="22"/>
                      <w:szCs w:val="22"/>
                      <w:highlight w:val="none"/>
                    </w:rPr>
                  </w:pPr>
                  <w:r>
                    <w:rPr>
                      <w:rFonts w:ascii="Times New Roman" w:hAnsi="Times New Roman" w:eastAsia="宋体" w:cs="Times New Roman"/>
                      <w:color w:val="auto"/>
                      <w:kern w:val="0"/>
                      <w:szCs w:val="21"/>
                      <w:highlight w:val="none"/>
                      <w:lang w:bidi="ar"/>
                    </w:rPr>
                    <w:t>50</w:t>
                  </w:r>
                </w:p>
              </w:tc>
              <w:tc>
                <w:tcPr>
                  <w:tcW w:w="499" w:type="pct"/>
                  <w:tcBorders>
                    <w:tl2br w:val="nil"/>
                    <w:tr2bl w:val="nil"/>
                  </w:tcBorders>
                  <w:vAlign w:val="center"/>
                </w:tcPr>
                <w:p w14:paraId="4BCBB1CA">
                  <w:pPr>
                    <w:adjustRightInd w:val="0"/>
                    <w:snapToGrid w:val="0"/>
                    <w:jc w:val="center"/>
                    <w:rPr>
                      <w:rFonts w:hint="default" w:ascii="Times New Roman" w:hAnsi="Times New Roman" w:eastAsia="宋体" w:cs="宋体"/>
                      <w:color w:val="auto"/>
                      <w:sz w:val="22"/>
                      <w:szCs w:val="22"/>
                      <w:highlight w:val="none"/>
                      <w:lang w:val="en-US" w:eastAsia="zh-CN"/>
                    </w:rPr>
                  </w:pPr>
                  <w:r>
                    <w:rPr>
                      <w:rFonts w:hint="eastAsia" w:ascii="Times New Roman" w:hAnsi="Times New Roman" w:cs="宋体"/>
                      <w:color w:val="auto"/>
                      <w:sz w:val="22"/>
                      <w:szCs w:val="22"/>
                      <w:highlight w:val="none"/>
                      <w:lang w:val="en-US" w:eastAsia="zh-CN"/>
                    </w:rPr>
                    <w:t>0.0144</w:t>
                  </w:r>
                </w:p>
              </w:tc>
            </w:tr>
            <w:tr w14:paraId="7426A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339" w:type="pct"/>
                  <w:vMerge w:val="continue"/>
                  <w:tcBorders>
                    <w:tl2br w:val="nil"/>
                    <w:tr2bl w:val="nil"/>
                  </w:tcBorders>
                  <w:vAlign w:val="center"/>
                </w:tcPr>
                <w:p w14:paraId="45B83450">
                  <w:pPr>
                    <w:adjustRightInd w:val="0"/>
                    <w:snapToGrid w:val="0"/>
                    <w:jc w:val="center"/>
                    <w:rPr>
                      <w:rFonts w:ascii="Times New Roman" w:hAnsi="Times New Roman" w:eastAsia="宋体" w:cs="宋体"/>
                      <w:color w:val="auto"/>
                      <w:sz w:val="22"/>
                      <w:szCs w:val="22"/>
                      <w:highlight w:val="none"/>
                    </w:rPr>
                  </w:pPr>
                </w:p>
              </w:tc>
              <w:tc>
                <w:tcPr>
                  <w:tcW w:w="378" w:type="pct"/>
                  <w:vMerge w:val="continue"/>
                  <w:tcBorders>
                    <w:tl2br w:val="nil"/>
                    <w:tr2bl w:val="nil"/>
                  </w:tcBorders>
                  <w:vAlign w:val="center"/>
                </w:tcPr>
                <w:p w14:paraId="4771FAA2">
                  <w:pPr>
                    <w:adjustRightInd w:val="0"/>
                    <w:snapToGrid w:val="0"/>
                    <w:jc w:val="center"/>
                    <w:rPr>
                      <w:rFonts w:ascii="Times New Roman" w:hAnsi="Times New Roman" w:eastAsia="宋体" w:cs="宋体"/>
                      <w:color w:val="auto"/>
                      <w:sz w:val="22"/>
                      <w:szCs w:val="22"/>
                      <w:highlight w:val="none"/>
                    </w:rPr>
                  </w:pPr>
                </w:p>
              </w:tc>
              <w:tc>
                <w:tcPr>
                  <w:tcW w:w="410" w:type="pct"/>
                  <w:tcBorders>
                    <w:tl2br w:val="nil"/>
                    <w:tr2bl w:val="nil"/>
                  </w:tcBorders>
                  <w:vAlign w:val="center"/>
                </w:tcPr>
                <w:p w14:paraId="0B109ACE">
                  <w:pPr>
                    <w:adjustRightInd w:val="0"/>
                    <w:snapToGrid w:val="0"/>
                    <w:jc w:val="center"/>
                    <w:rPr>
                      <w:rFonts w:ascii="Times New Roman" w:hAnsi="Times New Roman" w:eastAsia="宋体" w:cs="宋体"/>
                      <w:color w:val="auto"/>
                      <w:sz w:val="22"/>
                      <w:szCs w:val="22"/>
                      <w:highlight w:val="none"/>
                    </w:rPr>
                  </w:pPr>
                  <w:r>
                    <w:rPr>
                      <w:rFonts w:ascii="Times New Roman" w:hAnsi="Times New Roman" w:eastAsia="宋体" w:cs="宋体"/>
                      <w:color w:val="auto"/>
                      <w:sz w:val="22"/>
                      <w:szCs w:val="22"/>
                      <w:highlight w:val="none"/>
                    </w:rPr>
                    <w:t>BOD</w:t>
                  </w:r>
                  <w:r>
                    <w:rPr>
                      <w:rFonts w:hint="eastAsia" w:ascii="Times New Roman" w:hAnsi="Times New Roman" w:eastAsia="宋体" w:cs="宋体"/>
                      <w:color w:val="auto"/>
                      <w:sz w:val="22"/>
                      <w:szCs w:val="22"/>
                      <w:highlight w:val="none"/>
                      <w:vertAlign w:val="subscript"/>
                    </w:rPr>
                    <w:t>5</w:t>
                  </w:r>
                </w:p>
              </w:tc>
              <w:tc>
                <w:tcPr>
                  <w:tcW w:w="463" w:type="pct"/>
                  <w:tcBorders>
                    <w:tl2br w:val="nil"/>
                    <w:tr2bl w:val="nil"/>
                  </w:tcBorders>
                  <w:vAlign w:val="center"/>
                </w:tcPr>
                <w:p w14:paraId="13054202">
                  <w:pPr>
                    <w:adjustRightInd w:val="0"/>
                    <w:snapToGrid w:val="0"/>
                    <w:jc w:val="center"/>
                    <w:rPr>
                      <w:rFonts w:ascii="Times New Roman" w:hAnsi="Times New Roman" w:eastAsia="宋体" w:cs="宋体"/>
                      <w:color w:val="auto"/>
                      <w:sz w:val="22"/>
                      <w:szCs w:val="22"/>
                      <w:highlight w:val="none"/>
                    </w:rPr>
                  </w:pPr>
                  <w:r>
                    <w:rPr>
                      <w:rFonts w:hint="eastAsia" w:ascii="Times New Roman" w:hAnsi="Times New Roman" w:eastAsia="宋体" w:cs="宋体"/>
                      <w:color w:val="auto"/>
                      <w:sz w:val="22"/>
                      <w:szCs w:val="22"/>
                      <w:highlight w:val="none"/>
                    </w:rPr>
                    <w:t>150</w:t>
                  </w:r>
                </w:p>
              </w:tc>
              <w:tc>
                <w:tcPr>
                  <w:tcW w:w="467" w:type="pct"/>
                  <w:tcBorders>
                    <w:tl2br w:val="nil"/>
                    <w:tr2bl w:val="nil"/>
                  </w:tcBorders>
                  <w:vAlign w:val="center"/>
                </w:tcPr>
                <w:p w14:paraId="52A52E44">
                  <w:pPr>
                    <w:adjustRightInd w:val="0"/>
                    <w:snapToGrid w:val="0"/>
                    <w:jc w:val="center"/>
                    <w:rPr>
                      <w:rFonts w:hint="default" w:ascii="Times New Roman" w:hAnsi="Times New Roman" w:eastAsia="宋体" w:cs="宋体"/>
                      <w:color w:val="auto"/>
                      <w:sz w:val="22"/>
                      <w:szCs w:val="22"/>
                      <w:highlight w:val="none"/>
                      <w:lang w:val="en-US" w:eastAsia="zh-CN"/>
                    </w:rPr>
                  </w:pPr>
                  <w:r>
                    <w:rPr>
                      <w:rFonts w:hint="eastAsia" w:ascii="Times New Roman" w:hAnsi="Times New Roman" w:cs="宋体"/>
                      <w:color w:val="auto"/>
                      <w:sz w:val="22"/>
                      <w:szCs w:val="22"/>
                      <w:highlight w:val="none"/>
                      <w:lang w:val="en-US" w:eastAsia="zh-CN"/>
                    </w:rPr>
                    <w:t>0.0432</w:t>
                  </w:r>
                </w:p>
              </w:tc>
              <w:tc>
                <w:tcPr>
                  <w:tcW w:w="469" w:type="pct"/>
                  <w:vMerge w:val="continue"/>
                  <w:tcBorders>
                    <w:tl2br w:val="nil"/>
                    <w:tr2bl w:val="nil"/>
                  </w:tcBorders>
                  <w:vAlign w:val="center"/>
                </w:tcPr>
                <w:p w14:paraId="01A31E1F">
                  <w:pPr>
                    <w:adjustRightInd w:val="0"/>
                    <w:snapToGrid w:val="0"/>
                    <w:jc w:val="center"/>
                    <w:rPr>
                      <w:rFonts w:ascii="Times New Roman" w:hAnsi="Times New Roman" w:eastAsia="宋体" w:cs="宋体"/>
                      <w:color w:val="auto"/>
                      <w:sz w:val="22"/>
                      <w:szCs w:val="22"/>
                      <w:highlight w:val="none"/>
                    </w:rPr>
                  </w:pPr>
                </w:p>
              </w:tc>
              <w:tc>
                <w:tcPr>
                  <w:tcW w:w="425" w:type="pct"/>
                  <w:tcBorders>
                    <w:tl2br w:val="nil"/>
                    <w:tr2bl w:val="nil"/>
                  </w:tcBorders>
                  <w:vAlign w:val="center"/>
                </w:tcPr>
                <w:p w14:paraId="1A1439E7">
                  <w:pPr>
                    <w:adjustRightInd w:val="0"/>
                    <w:snapToGrid w:val="0"/>
                    <w:jc w:val="center"/>
                    <w:rPr>
                      <w:rFonts w:ascii="Times New Roman" w:hAnsi="Times New Roman" w:eastAsia="宋体" w:cs="宋体"/>
                      <w:color w:val="auto"/>
                      <w:sz w:val="22"/>
                      <w:szCs w:val="22"/>
                      <w:highlight w:val="none"/>
                    </w:rPr>
                  </w:pPr>
                  <w:r>
                    <w:rPr>
                      <w:rFonts w:ascii="Times New Roman" w:hAnsi="Times New Roman" w:eastAsia="宋体" w:cs="宋体"/>
                      <w:color w:val="auto"/>
                      <w:sz w:val="22"/>
                      <w:szCs w:val="22"/>
                      <w:highlight w:val="none"/>
                    </w:rPr>
                    <w:t>1</w:t>
                  </w:r>
                  <w:r>
                    <w:rPr>
                      <w:rFonts w:hint="eastAsia" w:ascii="Times New Roman" w:hAnsi="Times New Roman" w:eastAsia="宋体" w:cs="宋体"/>
                      <w:color w:val="auto"/>
                      <w:sz w:val="22"/>
                      <w:szCs w:val="22"/>
                      <w:highlight w:val="none"/>
                    </w:rPr>
                    <w:t>20</w:t>
                  </w:r>
                </w:p>
              </w:tc>
              <w:tc>
                <w:tcPr>
                  <w:tcW w:w="564" w:type="pct"/>
                  <w:tcBorders>
                    <w:tl2br w:val="nil"/>
                    <w:tr2bl w:val="nil"/>
                  </w:tcBorders>
                  <w:vAlign w:val="center"/>
                </w:tcPr>
                <w:p w14:paraId="3A87EFC8">
                  <w:pPr>
                    <w:adjustRightInd w:val="0"/>
                    <w:snapToGrid w:val="0"/>
                    <w:jc w:val="center"/>
                    <w:rPr>
                      <w:rFonts w:hint="default" w:ascii="Times New Roman" w:hAnsi="Times New Roman" w:eastAsia="宋体" w:cs="宋体"/>
                      <w:color w:val="auto"/>
                      <w:sz w:val="22"/>
                      <w:szCs w:val="22"/>
                      <w:highlight w:val="none"/>
                      <w:lang w:val="en-US" w:eastAsia="zh-CN"/>
                    </w:rPr>
                  </w:pPr>
                  <w:r>
                    <w:rPr>
                      <w:rFonts w:hint="eastAsia" w:ascii="Times New Roman" w:hAnsi="Times New Roman" w:cs="宋体"/>
                      <w:color w:val="auto"/>
                      <w:sz w:val="22"/>
                      <w:szCs w:val="22"/>
                      <w:highlight w:val="none"/>
                      <w:lang w:val="en-US" w:eastAsia="zh-CN"/>
                    </w:rPr>
                    <w:t>0.03456</w:t>
                  </w:r>
                </w:p>
              </w:tc>
              <w:tc>
                <w:tcPr>
                  <w:tcW w:w="502" w:type="pct"/>
                  <w:vMerge w:val="continue"/>
                  <w:tcBorders>
                    <w:tl2br w:val="nil"/>
                    <w:tr2bl w:val="nil"/>
                  </w:tcBorders>
                  <w:vAlign w:val="center"/>
                </w:tcPr>
                <w:p w14:paraId="2CA1980C">
                  <w:pPr>
                    <w:adjustRightInd w:val="0"/>
                    <w:snapToGrid w:val="0"/>
                    <w:jc w:val="center"/>
                    <w:rPr>
                      <w:rFonts w:ascii="Times New Roman" w:hAnsi="Times New Roman" w:eastAsia="宋体" w:cs="宋体"/>
                      <w:color w:val="auto"/>
                      <w:sz w:val="22"/>
                      <w:szCs w:val="22"/>
                      <w:highlight w:val="none"/>
                    </w:rPr>
                  </w:pPr>
                </w:p>
              </w:tc>
              <w:tc>
                <w:tcPr>
                  <w:tcW w:w="480" w:type="pct"/>
                  <w:tcBorders>
                    <w:tl2br w:val="nil"/>
                    <w:tr2bl w:val="nil"/>
                  </w:tcBorders>
                  <w:vAlign w:val="center"/>
                </w:tcPr>
                <w:p w14:paraId="293C65FD">
                  <w:pPr>
                    <w:widowControl/>
                    <w:jc w:val="center"/>
                    <w:textAlignment w:val="center"/>
                    <w:rPr>
                      <w:rFonts w:ascii="Times New Roman" w:hAnsi="Times New Roman" w:eastAsia="宋体" w:cs="宋体"/>
                      <w:color w:val="auto"/>
                      <w:sz w:val="22"/>
                      <w:szCs w:val="22"/>
                      <w:highlight w:val="none"/>
                    </w:rPr>
                  </w:pPr>
                  <w:r>
                    <w:rPr>
                      <w:rFonts w:ascii="Times New Roman" w:hAnsi="Times New Roman" w:eastAsia="宋体" w:cs="Times New Roman"/>
                      <w:color w:val="auto"/>
                      <w:kern w:val="0"/>
                      <w:szCs w:val="21"/>
                      <w:highlight w:val="none"/>
                      <w:lang w:bidi="ar"/>
                    </w:rPr>
                    <w:t>10</w:t>
                  </w:r>
                </w:p>
              </w:tc>
              <w:tc>
                <w:tcPr>
                  <w:tcW w:w="499" w:type="pct"/>
                  <w:tcBorders>
                    <w:tl2br w:val="nil"/>
                    <w:tr2bl w:val="nil"/>
                  </w:tcBorders>
                  <w:vAlign w:val="center"/>
                </w:tcPr>
                <w:p w14:paraId="4D2FE1D5">
                  <w:pPr>
                    <w:adjustRightInd w:val="0"/>
                    <w:snapToGrid w:val="0"/>
                    <w:jc w:val="center"/>
                    <w:rPr>
                      <w:rFonts w:hint="default" w:ascii="Times New Roman" w:hAnsi="Times New Roman" w:eastAsia="宋体" w:cs="宋体"/>
                      <w:color w:val="auto"/>
                      <w:sz w:val="22"/>
                      <w:szCs w:val="22"/>
                      <w:highlight w:val="none"/>
                      <w:lang w:val="en-US" w:eastAsia="zh-CN"/>
                    </w:rPr>
                  </w:pPr>
                  <w:r>
                    <w:rPr>
                      <w:rFonts w:hint="eastAsia" w:ascii="Times New Roman" w:hAnsi="Times New Roman" w:cs="宋体"/>
                      <w:color w:val="auto"/>
                      <w:sz w:val="22"/>
                      <w:szCs w:val="22"/>
                      <w:highlight w:val="none"/>
                      <w:lang w:val="en-US" w:eastAsia="zh-CN"/>
                    </w:rPr>
                    <w:t>0.00288</w:t>
                  </w:r>
                </w:p>
              </w:tc>
            </w:tr>
            <w:tr w14:paraId="58FFE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339" w:type="pct"/>
                  <w:vMerge w:val="continue"/>
                  <w:tcBorders>
                    <w:tl2br w:val="nil"/>
                    <w:tr2bl w:val="nil"/>
                  </w:tcBorders>
                  <w:vAlign w:val="center"/>
                </w:tcPr>
                <w:p w14:paraId="4DDB227C">
                  <w:pPr>
                    <w:adjustRightInd w:val="0"/>
                    <w:snapToGrid w:val="0"/>
                    <w:jc w:val="center"/>
                    <w:rPr>
                      <w:rFonts w:ascii="Times New Roman" w:hAnsi="Times New Roman" w:eastAsia="宋体" w:cs="宋体"/>
                      <w:color w:val="auto"/>
                      <w:sz w:val="22"/>
                      <w:szCs w:val="22"/>
                      <w:highlight w:val="none"/>
                    </w:rPr>
                  </w:pPr>
                </w:p>
              </w:tc>
              <w:tc>
                <w:tcPr>
                  <w:tcW w:w="378" w:type="pct"/>
                  <w:vMerge w:val="continue"/>
                  <w:tcBorders>
                    <w:tl2br w:val="nil"/>
                    <w:tr2bl w:val="nil"/>
                  </w:tcBorders>
                  <w:vAlign w:val="center"/>
                </w:tcPr>
                <w:p w14:paraId="15F35FC1">
                  <w:pPr>
                    <w:adjustRightInd w:val="0"/>
                    <w:snapToGrid w:val="0"/>
                    <w:jc w:val="center"/>
                    <w:rPr>
                      <w:rFonts w:ascii="Times New Roman" w:hAnsi="Times New Roman" w:eastAsia="宋体" w:cs="宋体"/>
                      <w:color w:val="auto"/>
                      <w:sz w:val="22"/>
                      <w:szCs w:val="22"/>
                      <w:highlight w:val="none"/>
                    </w:rPr>
                  </w:pPr>
                </w:p>
              </w:tc>
              <w:tc>
                <w:tcPr>
                  <w:tcW w:w="410" w:type="pct"/>
                  <w:tcBorders>
                    <w:tl2br w:val="nil"/>
                    <w:tr2bl w:val="nil"/>
                  </w:tcBorders>
                  <w:vAlign w:val="center"/>
                </w:tcPr>
                <w:p w14:paraId="2ACEC8F2">
                  <w:pPr>
                    <w:adjustRightInd w:val="0"/>
                    <w:snapToGrid w:val="0"/>
                    <w:jc w:val="center"/>
                    <w:rPr>
                      <w:rFonts w:ascii="Times New Roman" w:hAnsi="Times New Roman" w:eastAsia="宋体" w:cs="宋体"/>
                      <w:color w:val="auto"/>
                      <w:sz w:val="22"/>
                      <w:szCs w:val="22"/>
                      <w:highlight w:val="none"/>
                    </w:rPr>
                  </w:pPr>
                  <w:r>
                    <w:rPr>
                      <w:rFonts w:ascii="Times New Roman" w:hAnsi="Times New Roman" w:eastAsia="宋体" w:cs="宋体"/>
                      <w:color w:val="auto"/>
                      <w:sz w:val="22"/>
                      <w:szCs w:val="22"/>
                      <w:highlight w:val="none"/>
                    </w:rPr>
                    <w:t>SS</w:t>
                  </w:r>
                </w:p>
              </w:tc>
              <w:tc>
                <w:tcPr>
                  <w:tcW w:w="463" w:type="pct"/>
                  <w:tcBorders>
                    <w:tl2br w:val="nil"/>
                    <w:tr2bl w:val="nil"/>
                  </w:tcBorders>
                  <w:vAlign w:val="center"/>
                </w:tcPr>
                <w:p w14:paraId="4BCB822A">
                  <w:pPr>
                    <w:adjustRightInd w:val="0"/>
                    <w:snapToGrid w:val="0"/>
                    <w:jc w:val="center"/>
                    <w:rPr>
                      <w:rFonts w:ascii="Times New Roman" w:hAnsi="Times New Roman" w:eastAsia="宋体" w:cs="宋体"/>
                      <w:color w:val="auto"/>
                      <w:sz w:val="22"/>
                      <w:szCs w:val="22"/>
                      <w:highlight w:val="none"/>
                    </w:rPr>
                  </w:pPr>
                  <w:r>
                    <w:rPr>
                      <w:rFonts w:hint="eastAsia" w:ascii="Times New Roman" w:hAnsi="Times New Roman" w:eastAsia="宋体" w:cs="宋体"/>
                      <w:color w:val="auto"/>
                      <w:sz w:val="22"/>
                      <w:szCs w:val="22"/>
                      <w:highlight w:val="none"/>
                    </w:rPr>
                    <w:t>200</w:t>
                  </w:r>
                </w:p>
              </w:tc>
              <w:tc>
                <w:tcPr>
                  <w:tcW w:w="467" w:type="pct"/>
                  <w:tcBorders>
                    <w:tl2br w:val="nil"/>
                    <w:tr2bl w:val="nil"/>
                  </w:tcBorders>
                  <w:vAlign w:val="center"/>
                </w:tcPr>
                <w:p w14:paraId="3831C155">
                  <w:pPr>
                    <w:adjustRightInd w:val="0"/>
                    <w:snapToGrid w:val="0"/>
                    <w:jc w:val="center"/>
                    <w:rPr>
                      <w:rFonts w:hint="default" w:ascii="Times New Roman" w:hAnsi="Times New Roman" w:eastAsia="宋体" w:cs="宋体"/>
                      <w:color w:val="auto"/>
                      <w:sz w:val="22"/>
                      <w:szCs w:val="22"/>
                      <w:highlight w:val="none"/>
                      <w:lang w:val="en-US" w:eastAsia="zh-CN"/>
                    </w:rPr>
                  </w:pPr>
                  <w:r>
                    <w:rPr>
                      <w:rFonts w:hint="eastAsia" w:ascii="Times New Roman" w:hAnsi="Times New Roman" w:cs="宋体"/>
                      <w:color w:val="auto"/>
                      <w:sz w:val="22"/>
                      <w:szCs w:val="22"/>
                      <w:highlight w:val="none"/>
                      <w:lang w:val="en-US" w:eastAsia="zh-CN"/>
                    </w:rPr>
                    <w:t>0.0576</w:t>
                  </w:r>
                </w:p>
              </w:tc>
              <w:tc>
                <w:tcPr>
                  <w:tcW w:w="469" w:type="pct"/>
                  <w:vMerge w:val="continue"/>
                  <w:tcBorders>
                    <w:tl2br w:val="nil"/>
                    <w:tr2bl w:val="nil"/>
                  </w:tcBorders>
                  <w:vAlign w:val="center"/>
                </w:tcPr>
                <w:p w14:paraId="15ED8483">
                  <w:pPr>
                    <w:adjustRightInd w:val="0"/>
                    <w:snapToGrid w:val="0"/>
                    <w:jc w:val="center"/>
                    <w:rPr>
                      <w:rFonts w:ascii="Times New Roman" w:hAnsi="Times New Roman" w:eastAsia="宋体" w:cs="宋体"/>
                      <w:color w:val="auto"/>
                      <w:sz w:val="22"/>
                      <w:szCs w:val="22"/>
                      <w:highlight w:val="none"/>
                    </w:rPr>
                  </w:pPr>
                </w:p>
              </w:tc>
              <w:tc>
                <w:tcPr>
                  <w:tcW w:w="425" w:type="pct"/>
                  <w:tcBorders>
                    <w:tl2br w:val="nil"/>
                    <w:tr2bl w:val="nil"/>
                  </w:tcBorders>
                  <w:vAlign w:val="center"/>
                </w:tcPr>
                <w:p w14:paraId="6E8C348E">
                  <w:pPr>
                    <w:adjustRightInd w:val="0"/>
                    <w:snapToGrid w:val="0"/>
                    <w:jc w:val="center"/>
                    <w:rPr>
                      <w:rFonts w:ascii="Times New Roman" w:hAnsi="Times New Roman" w:eastAsia="宋体" w:cs="宋体"/>
                      <w:color w:val="auto"/>
                      <w:sz w:val="22"/>
                      <w:szCs w:val="22"/>
                      <w:highlight w:val="none"/>
                    </w:rPr>
                  </w:pPr>
                  <w:r>
                    <w:rPr>
                      <w:rFonts w:hint="eastAsia" w:ascii="Times New Roman" w:hAnsi="Times New Roman" w:eastAsia="宋体" w:cs="宋体"/>
                      <w:color w:val="auto"/>
                      <w:sz w:val="22"/>
                      <w:szCs w:val="22"/>
                      <w:highlight w:val="none"/>
                    </w:rPr>
                    <w:t>140</w:t>
                  </w:r>
                </w:p>
              </w:tc>
              <w:tc>
                <w:tcPr>
                  <w:tcW w:w="564" w:type="pct"/>
                  <w:tcBorders>
                    <w:tl2br w:val="nil"/>
                    <w:tr2bl w:val="nil"/>
                  </w:tcBorders>
                  <w:vAlign w:val="center"/>
                </w:tcPr>
                <w:p w14:paraId="4665A15E">
                  <w:pPr>
                    <w:adjustRightInd w:val="0"/>
                    <w:snapToGrid w:val="0"/>
                    <w:jc w:val="center"/>
                    <w:rPr>
                      <w:rFonts w:hint="default" w:ascii="Times New Roman" w:hAnsi="Times New Roman" w:eastAsia="宋体" w:cs="宋体"/>
                      <w:color w:val="auto"/>
                      <w:sz w:val="22"/>
                      <w:szCs w:val="22"/>
                      <w:highlight w:val="none"/>
                      <w:lang w:val="en-US" w:eastAsia="zh-CN"/>
                    </w:rPr>
                  </w:pPr>
                  <w:r>
                    <w:rPr>
                      <w:rFonts w:hint="eastAsia" w:ascii="Times New Roman" w:hAnsi="Times New Roman" w:cs="宋体"/>
                      <w:color w:val="auto"/>
                      <w:sz w:val="22"/>
                      <w:szCs w:val="22"/>
                      <w:highlight w:val="none"/>
                      <w:lang w:val="en-US" w:eastAsia="zh-CN"/>
                    </w:rPr>
                    <w:t>0.04032</w:t>
                  </w:r>
                </w:p>
              </w:tc>
              <w:tc>
                <w:tcPr>
                  <w:tcW w:w="502" w:type="pct"/>
                  <w:vMerge w:val="continue"/>
                  <w:tcBorders>
                    <w:tl2br w:val="nil"/>
                    <w:tr2bl w:val="nil"/>
                  </w:tcBorders>
                  <w:vAlign w:val="center"/>
                </w:tcPr>
                <w:p w14:paraId="7E9DB1CA">
                  <w:pPr>
                    <w:adjustRightInd w:val="0"/>
                    <w:snapToGrid w:val="0"/>
                    <w:jc w:val="center"/>
                    <w:rPr>
                      <w:rFonts w:ascii="Times New Roman" w:hAnsi="Times New Roman" w:eastAsia="宋体" w:cs="宋体"/>
                      <w:color w:val="auto"/>
                      <w:sz w:val="22"/>
                      <w:szCs w:val="22"/>
                      <w:highlight w:val="none"/>
                    </w:rPr>
                  </w:pPr>
                </w:p>
              </w:tc>
              <w:tc>
                <w:tcPr>
                  <w:tcW w:w="480" w:type="pct"/>
                  <w:tcBorders>
                    <w:tl2br w:val="nil"/>
                    <w:tr2bl w:val="nil"/>
                  </w:tcBorders>
                  <w:vAlign w:val="center"/>
                </w:tcPr>
                <w:p w14:paraId="0796232A">
                  <w:pPr>
                    <w:widowControl/>
                    <w:jc w:val="center"/>
                    <w:textAlignment w:val="center"/>
                    <w:rPr>
                      <w:rFonts w:ascii="Times New Roman" w:hAnsi="Times New Roman" w:eastAsia="宋体" w:cs="宋体"/>
                      <w:color w:val="auto"/>
                      <w:sz w:val="22"/>
                      <w:szCs w:val="22"/>
                      <w:highlight w:val="none"/>
                    </w:rPr>
                  </w:pPr>
                  <w:r>
                    <w:rPr>
                      <w:rFonts w:ascii="Times New Roman" w:hAnsi="Times New Roman" w:eastAsia="宋体" w:cs="Times New Roman"/>
                      <w:color w:val="auto"/>
                      <w:kern w:val="0"/>
                      <w:szCs w:val="21"/>
                      <w:highlight w:val="none"/>
                      <w:lang w:bidi="ar"/>
                    </w:rPr>
                    <w:t>10</w:t>
                  </w:r>
                </w:p>
              </w:tc>
              <w:tc>
                <w:tcPr>
                  <w:tcW w:w="499" w:type="pct"/>
                  <w:tcBorders>
                    <w:tl2br w:val="nil"/>
                    <w:tr2bl w:val="nil"/>
                  </w:tcBorders>
                  <w:vAlign w:val="center"/>
                </w:tcPr>
                <w:p w14:paraId="52916C2F">
                  <w:pPr>
                    <w:adjustRightInd w:val="0"/>
                    <w:snapToGrid w:val="0"/>
                    <w:jc w:val="center"/>
                    <w:rPr>
                      <w:rFonts w:hint="default" w:ascii="Times New Roman" w:hAnsi="Times New Roman" w:eastAsia="宋体" w:cs="宋体"/>
                      <w:color w:val="auto"/>
                      <w:sz w:val="22"/>
                      <w:szCs w:val="22"/>
                      <w:highlight w:val="none"/>
                      <w:lang w:val="en-US" w:eastAsia="zh-CN"/>
                    </w:rPr>
                  </w:pPr>
                  <w:r>
                    <w:rPr>
                      <w:rFonts w:hint="eastAsia" w:ascii="Times New Roman" w:hAnsi="Times New Roman" w:cs="宋体"/>
                      <w:color w:val="auto"/>
                      <w:sz w:val="22"/>
                      <w:szCs w:val="22"/>
                      <w:highlight w:val="none"/>
                      <w:lang w:val="en-US" w:eastAsia="zh-CN"/>
                    </w:rPr>
                    <w:t>0.00288</w:t>
                  </w:r>
                </w:p>
              </w:tc>
            </w:tr>
            <w:tr w14:paraId="1BEB2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339" w:type="pct"/>
                  <w:vMerge w:val="continue"/>
                  <w:tcBorders>
                    <w:tl2br w:val="nil"/>
                    <w:tr2bl w:val="nil"/>
                  </w:tcBorders>
                  <w:vAlign w:val="center"/>
                </w:tcPr>
                <w:p w14:paraId="2227E289">
                  <w:pPr>
                    <w:adjustRightInd w:val="0"/>
                    <w:snapToGrid w:val="0"/>
                    <w:jc w:val="center"/>
                    <w:rPr>
                      <w:rFonts w:ascii="Times New Roman" w:hAnsi="Times New Roman" w:eastAsia="宋体" w:cs="宋体"/>
                      <w:color w:val="auto"/>
                      <w:sz w:val="22"/>
                      <w:szCs w:val="22"/>
                      <w:highlight w:val="none"/>
                    </w:rPr>
                  </w:pPr>
                </w:p>
              </w:tc>
              <w:tc>
                <w:tcPr>
                  <w:tcW w:w="378" w:type="pct"/>
                  <w:vMerge w:val="continue"/>
                  <w:tcBorders>
                    <w:tl2br w:val="nil"/>
                    <w:tr2bl w:val="nil"/>
                  </w:tcBorders>
                  <w:vAlign w:val="center"/>
                </w:tcPr>
                <w:p w14:paraId="57C46893">
                  <w:pPr>
                    <w:adjustRightInd w:val="0"/>
                    <w:snapToGrid w:val="0"/>
                    <w:jc w:val="center"/>
                    <w:rPr>
                      <w:rFonts w:ascii="Times New Roman" w:hAnsi="Times New Roman" w:eastAsia="宋体" w:cs="宋体"/>
                      <w:color w:val="auto"/>
                      <w:sz w:val="22"/>
                      <w:szCs w:val="22"/>
                      <w:highlight w:val="none"/>
                    </w:rPr>
                  </w:pPr>
                </w:p>
              </w:tc>
              <w:tc>
                <w:tcPr>
                  <w:tcW w:w="410" w:type="pct"/>
                  <w:tcBorders>
                    <w:tl2br w:val="nil"/>
                    <w:tr2bl w:val="nil"/>
                  </w:tcBorders>
                  <w:vAlign w:val="center"/>
                </w:tcPr>
                <w:p w14:paraId="49E781E0">
                  <w:pPr>
                    <w:adjustRightInd w:val="0"/>
                    <w:snapToGrid w:val="0"/>
                    <w:jc w:val="center"/>
                    <w:rPr>
                      <w:rFonts w:ascii="Times New Roman" w:hAnsi="Times New Roman" w:eastAsia="宋体" w:cs="宋体"/>
                      <w:color w:val="auto"/>
                      <w:sz w:val="22"/>
                      <w:szCs w:val="22"/>
                      <w:highlight w:val="none"/>
                    </w:rPr>
                  </w:pPr>
                  <w:r>
                    <w:rPr>
                      <w:rFonts w:ascii="Times New Roman" w:hAnsi="Times New Roman" w:eastAsia="宋体" w:cs="宋体"/>
                      <w:color w:val="auto"/>
                      <w:sz w:val="22"/>
                      <w:szCs w:val="22"/>
                      <w:highlight w:val="none"/>
                    </w:rPr>
                    <w:t>NH</w:t>
                  </w:r>
                  <w:r>
                    <w:rPr>
                      <w:rFonts w:ascii="Times New Roman" w:hAnsi="Times New Roman" w:eastAsia="宋体" w:cs="宋体"/>
                      <w:color w:val="auto"/>
                      <w:sz w:val="22"/>
                      <w:szCs w:val="22"/>
                      <w:highlight w:val="none"/>
                      <w:vertAlign w:val="subscript"/>
                    </w:rPr>
                    <w:t>3</w:t>
                  </w:r>
                  <w:r>
                    <w:rPr>
                      <w:rFonts w:ascii="Times New Roman" w:hAnsi="Times New Roman" w:eastAsia="宋体" w:cs="宋体"/>
                      <w:color w:val="auto"/>
                      <w:sz w:val="22"/>
                      <w:szCs w:val="22"/>
                      <w:highlight w:val="none"/>
                    </w:rPr>
                    <w:t>-H</w:t>
                  </w:r>
                </w:p>
              </w:tc>
              <w:tc>
                <w:tcPr>
                  <w:tcW w:w="463" w:type="pct"/>
                  <w:tcBorders>
                    <w:tl2br w:val="nil"/>
                    <w:tr2bl w:val="nil"/>
                  </w:tcBorders>
                  <w:vAlign w:val="center"/>
                </w:tcPr>
                <w:p w14:paraId="520DF41E">
                  <w:pPr>
                    <w:adjustRightInd w:val="0"/>
                    <w:snapToGrid w:val="0"/>
                    <w:jc w:val="center"/>
                    <w:rPr>
                      <w:rFonts w:ascii="Times New Roman" w:hAnsi="Times New Roman" w:eastAsia="宋体" w:cs="宋体"/>
                      <w:color w:val="auto"/>
                      <w:sz w:val="22"/>
                      <w:szCs w:val="22"/>
                      <w:highlight w:val="none"/>
                    </w:rPr>
                  </w:pPr>
                  <w:r>
                    <w:rPr>
                      <w:rFonts w:ascii="Times New Roman" w:hAnsi="Times New Roman" w:eastAsia="宋体" w:cs="宋体"/>
                      <w:color w:val="auto"/>
                      <w:sz w:val="22"/>
                      <w:szCs w:val="22"/>
                      <w:highlight w:val="none"/>
                    </w:rPr>
                    <w:t>30</w:t>
                  </w:r>
                </w:p>
              </w:tc>
              <w:tc>
                <w:tcPr>
                  <w:tcW w:w="467" w:type="pct"/>
                  <w:tcBorders>
                    <w:tl2br w:val="nil"/>
                    <w:tr2bl w:val="nil"/>
                  </w:tcBorders>
                  <w:vAlign w:val="center"/>
                </w:tcPr>
                <w:p w14:paraId="24803B40">
                  <w:pPr>
                    <w:adjustRightInd w:val="0"/>
                    <w:snapToGrid w:val="0"/>
                    <w:jc w:val="center"/>
                    <w:rPr>
                      <w:rFonts w:hint="default" w:ascii="Times New Roman" w:hAnsi="Times New Roman" w:eastAsia="宋体" w:cs="宋体"/>
                      <w:color w:val="auto"/>
                      <w:sz w:val="22"/>
                      <w:szCs w:val="22"/>
                      <w:highlight w:val="none"/>
                      <w:lang w:val="en-US" w:eastAsia="zh-CN"/>
                    </w:rPr>
                  </w:pPr>
                  <w:r>
                    <w:rPr>
                      <w:rFonts w:hint="eastAsia" w:ascii="Times New Roman" w:hAnsi="Times New Roman" w:cs="宋体"/>
                      <w:color w:val="auto"/>
                      <w:sz w:val="22"/>
                      <w:szCs w:val="22"/>
                      <w:highlight w:val="none"/>
                      <w:lang w:val="en-US" w:eastAsia="zh-CN"/>
                    </w:rPr>
                    <w:t>0.0864</w:t>
                  </w:r>
                </w:p>
              </w:tc>
              <w:tc>
                <w:tcPr>
                  <w:tcW w:w="469" w:type="pct"/>
                  <w:vMerge w:val="continue"/>
                  <w:tcBorders>
                    <w:tl2br w:val="nil"/>
                    <w:tr2bl w:val="nil"/>
                  </w:tcBorders>
                  <w:vAlign w:val="center"/>
                </w:tcPr>
                <w:p w14:paraId="0AF5BE05">
                  <w:pPr>
                    <w:adjustRightInd w:val="0"/>
                    <w:snapToGrid w:val="0"/>
                    <w:jc w:val="center"/>
                    <w:rPr>
                      <w:rFonts w:ascii="Times New Roman" w:hAnsi="Times New Roman" w:eastAsia="宋体" w:cs="宋体"/>
                      <w:color w:val="auto"/>
                      <w:sz w:val="22"/>
                      <w:szCs w:val="22"/>
                      <w:highlight w:val="none"/>
                    </w:rPr>
                  </w:pPr>
                </w:p>
              </w:tc>
              <w:tc>
                <w:tcPr>
                  <w:tcW w:w="425" w:type="pct"/>
                  <w:tcBorders>
                    <w:tl2br w:val="nil"/>
                    <w:tr2bl w:val="nil"/>
                  </w:tcBorders>
                  <w:vAlign w:val="center"/>
                </w:tcPr>
                <w:p w14:paraId="5F82FF17">
                  <w:pPr>
                    <w:adjustRightInd w:val="0"/>
                    <w:snapToGrid w:val="0"/>
                    <w:jc w:val="center"/>
                    <w:rPr>
                      <w:rFonts w:ascii="Times New Roman" w:hAnsi="Times New Roman" w:eastAsia="宋体" w:cs="宋体"/>
                      <w:color w:val="auto"/>
                      <w:sz w:val="22"/>
                      <w:szCs w:val="22"/>
                      <w:highlight w:val="none"/>
                    </w:rPr>
                  </w:pPr>
                  <w:r>
                    <w:rPr>
                      <w:rFonts w:hint="eastAsia" w:ascii="Times New Roman" w:hAnsi="Times New Roman" w:eastAsia="宋体" w:cs="宋体"/>
                      <w:color w:val="auto"/>
                      <w:sz w:val="22"/>
                      <w:szCs w:val="22"/>
                      <w:highlight w:val="none"/>
                    </w:rPr>
                    <w:t>28.5</w:t>
                  </w:r>
                </w:p>
              </w:tc>
              <w:tc>
                <w:tcPr>
                  <w:tcW w:w="564" w:type="pct"/>
                  <w:tcBorders>
                    <w:tl2br w:val="nil"/>
                    <w:tr2bl w:val="nil"/>
                  </w:tcBorders>
                  <w:vAlign w:val="center"/>
                </w:tcPr>
                <w:p w14:paraId="0363F1D8">
                  <w:pPr>
                    <w:adjustRightInd w:val="0"/>
                    <w:snapToGrid w:val="0"/>
                    <w:jc w:val="center"/>
                    <w:rPr>
                      <w:rFonts w:hint="default" w:ascii="Times New Roman" w:hAnsi="Times New Roman" w:eastAsia="宋体" w:cs="宋体"/>
                      <w:color w:val="auto"/>
                      <w:sz w:val="22"/>
                      <w:szCs w:val="22"/>
                      <w:highlight w:val="none"/>
                      <w:lang w:val="en-US" w:eastAsia="zh-CN"/>
                    </w:rPr>
                  </w:pPr>
                  <w:r>
                    <w:rPr>
                      <w:rFonts w:hint="eastAsia" w:ascii="Times New Roman" w:hAnsi="Times New Roman" w:cs="宋体"/>
                      <w:color w:val="auto"/>
                      <w:sz w:val="22"/>
                      <w:szCs w:val="22"/>
                      <w:highlight w:val="none"/>
                      <w:lang w:val="en-US" w:eastAsia="zh-CN"/>
                    </w:rPr>
                    <w:t>0.008208</w:t>
                  </w:r>
                </w:p>
              </w:tc>
              <w:tc>
                <w:tcPr>
                  <w:tcW w:w="502" w:type="pct"/>
                  <w:vMerge w:val="continue"/>
                  <w:tcBorders>
                    <w:tl2br w:val="nil"/>
                    <w:tr2bl w:val="nil"/>
                  </w:tcBorders>
                  <w:vAlign w:val="center"/>
                </w:tcPr>
                <w:p w14:paraId="59856DCD">
                  <w:pPr>
                    <w:adjustRightInd w:val="0"/>
                    <w:snapToGrid w:val="0"/>
                    <w:jc w:val="center"/>
                    <w:rPr>
                      <w:rFonts w:ascii="Times New Roman" w:hAnsi="Times New Roman" w:eastAsia="宋体" w:cs="宋体"/>
                      <w:color w:val="auto"/>
                      <w:sz w:val="22"/>
                      <w:szCs w:val="22"/>
                      <w:highlight w:val="none"/>
                    </w:rPr>
                  </w:pPr>
                </w:p>
              </w:tc>
              <w:tc>
                <w:tcPr>
                  <w:tcW w:w="480" w:type="pct"/>
                  <w:tcBorders>
                    <w:tl2br w:val="nil"/>
                    <w:tr2bl w:val="nil"/>
                  </w:tcBorders>
                  <w:vAlign w:val="center"/>
                </w:tcPr>
                <w:p w14:paraId="00110A40">
                  <w:pPr>
                    <w:widowControl/>
                    <w:jc w:val="center"/>
                    <w:textAlignment w:val="center"/>
                    <w:rPr>
                      <w:rFonts w:ascii="Times New Roman" w:hAnsi="Times New Roman" w:eastAsia="宋体" w:cs="宋体"/>
                      <w:color w:val="auto"/>
                      <w:sz w:val="22"/>
                      <w:szCs w:val="22"/>
                      <w:highlight w:val="none"/>
                    </w:rPr>
                  </w:pPr>
                  <w:r>
                    <w:rPr>
                      <w:rFonts w:hint="eastAsia" w:cs="Times New Roman"/>
                      <w:color w:val="auto"/>
                      <w:kern w:val="0"/>
                      <w:szCs w:val="21"/>
                      <w:highlight w:val="none"/>
                      <w:lang w:val="en-US" w:eastAsia="zh-CN" w:bidi="ar"/>
                    </w:rPr>
                    <w:t>5</w:t>
                  </w:r>
                </w:p>
              </w:tc>
              <w:tc>
                <w:tcPr>
                  <w:tcW w:w="499" w:type="pct"/>
                  <w:tcBorders>
                    <w:tl2br w:val="nil"/>
                    <w:tr2bl w:val="nil"/>
                  </w:tcBorders>
                  <w:vAlign w:val="center"/>
                </w:tcPr>
                <w:p w14:paraId="72D1E239">
                  <w:pPr>
                    <w:adjustRightInd w:val="0"/>
                    <w:snapToGrid w:val="0"/>
                    <w:jc w:val="center"/>
                    <w:rPr>
                      <w:rFonts w:hint="default" w:ascii="Times New Roman" w:hAnsi="Times New Roman" w:eastAsia="宋体" w:cs="宋体"/>
                      <w:color w:val="auto"/>
                      <w:sz w:val="22"/>
                      <w:szCs w:val="22"/>
                      <w:highlight w:val="none"/>
                      <w:lang w:val="en-US" w:eastAsia="zh-CN"/>
                    </w:rPr>
                  </w:pPr>
                  <w:r>
                    <w:rPr>
                      <w:rFonts w:hint="eastAsia" w:ascii="Times New Roman" w:hAnsi="Times New Roman" w:cs="宋体"/>
                      <w:color w:val="auto"/>
                      <w:sz w:val="22"/>
                      <w:szCs w:val="22"/>
                      <w:highlight w:val="none"/>
                      <w:lang w:val="en-US" w:eastAsia="zh-CN"/>
                    </w:rPr>
                    <w:t>0.0</w:t>
                  </w:r>
                  <w:r>
                    <w:rPr>
                      <w:rFonts w:hint="eastAsia" w:cs="宋体"/>
                      <w:color w:val="auto"/>
                      <w:sz w:val="22"/>
                      <w:szCs w:val="22"/>
                      <w:highlight w:val="none"/>
                      <w:lang w:val="en-US" w:eastAsia="zh-CN"/>
                    </w:rPr>
                    <w:t>144</w:t>
                  </w:r>
                </w:p>
              </w:tc>
            </w:tr>
          </w:tbl>
          <w:p w14:paraId="79E9DCD5">
            <w:pPr>
              <w:pStyle w:val="45"/>
              <w:jc w:val="center"/>
              <w:rPr>
                <w:bCs/>
                <w:color w:val="auto"/>
                <w:highlight w:val="none"/>
              </w:rPr>
            </w:pPr>
          </w:p>
          <w:p w14:paraId="32CD7339">
            <w:pPr>
              <w:autoSpaceDE w:val="0"/>
              <w:autoSpaceDN w:val="0"/>
              <w:adjustRightInd w:val="0"/>
              <w:spacing w:line="360" w:lineRule="auto"/>
              <w:ind w:firstLine="480" w:firstLineChars="200"/>
              <w:rPr>
                <w:rFonts w:ascii="Times New Roman" w:hAnsi="Times New Roman" w:cs="Times New Roman"/>
                <w:color w:val="auto"/>
                <w:sz w:val="24"/>
                <w:highlight w:val="red"/>
              </w:rPr>
            </w:pPr>
            <w:r>
              <w:rPr>
                <w:rFonts w:ascii="Times New Roman" w:hAnsi="Times New Roman" w:cs="Times New Roman"/>
                <w:color w:val="auto"/>
                <w:sz w:val="24"/>
                <w:highlight w:val="none"/>
              </w:rPr>
              <w:t>由表4</w:t>
            </w:r>
            <w:r>
              <w:rPr>
                <w:rFonts w:hint="eastAsia" w:cs="Times New Roman"/>
                <w:color w:val="auto"/>
                <w:sz w:val="24"/>
                <w:highlight w:val="none"/>
                <w:lang w:val="en-US" w:eastAsia="zh-CN"/>
              </w:rPr>
              <w:t>-1</w:t>
            </w:r>
            <w:r>
              <w:rPr>
                <w:rFonts w:ascii="Times New Roman" w:hAnsi="Times New Roman" w:cs="Times New Roman"/>
                <w:color w:val="auto"/>
                <w:sz w:val="24"/>
                <w:highlight w:val="none"/>
              </w:rPr>
              <w:t>可知，项目生活污水</w:t>
            </w:r>
            <w:r>
              <w:rPr>
                <w:rFonts w:hint="eastAsia" w:ascii="Times New Roman" w:hAnsi="Times New Roman" w:cs="Times New Roman"/>
                <w:color w:val="auto"/>
                <w:sz w:val="24"/>
                <w:highlight w:val="none"/>
              </w:rPr>
              <w:t>依托安徽麦丞新型材料科技有限公司现有化粪池</w:t>
            </w:r>
            <w:r>
              <w:rPr>
                <w:rFonts w:ascii="Times New Roman" w:hAnsi="Times New Roman" w:cs="Times New Roman"/>
                <w:color w:val="auto"/>
                <w:sz w:val="24"/>
                <w:highlight w:val="none"/>
              </w:rPr>
              <w:t>预处理达《</w:t>
            </w:r>
            <w:r>
              <w:rPr>
                <w:rFonts w:hint="eastAsia" w:ascii="Times New Roman" w:hAnsi="Times New Roman" w:cs="Times New Roman"/>
                <w:color w:val="auto"/>
                <w:sz w:val="24"/>
                <w:highlight w:val="none"/>
              </w:rPr>
              <w:t>污水综合排放标准</w:t>
            </w:r>
            <w:r>
              <w:rPr>
                <w:rFonts w:ascii="Times New Roman" w:hAnsi="Times New Roman" w:cs="Times New Roman"/>
                <w:color w:val="auto"/>
                <w:sz w:val="24"/>
                <w:highlight w:val="none"/>
              </w:rPr>
              <w:t>》（GB</w:t>
            </w:r>
            <w:r>
              <w:rPr>
                <w:rFonts w:hint="eastAsia" w:ascii="Times New Roman" w:hAnsi="Times New Roman" w:cs="Times New Roman"/>
                <w:color w:val="auto"/>
                <w:sz w:val="24"/>
                <w:highlight w:val="none"/>
              </w:rPr>
              <w:t>8978-1996</w:t>
            </w:r>
            <w:r>
              <w:rPr>
                <w:rFonts w:ascii="Times New Roman" w:hAnsi="Times New Roman" w:cs="Times New Roman"/>
                <w:color w:val="auto"/>
                <w:sz w:val="24"/>
                <w:highlight w:val="none"/>
              </w:rPr>
              <w:t>）</w:t>
            </w:r>
            <w:r>
              <w:rPr>
                <w:rFonts w:hint="eastAsia" w:ascii="Times New Roman" w:hAnsi="Times New Roman" w:cs="Times New Roman"/>
                <w:color w:val="auto"/>
                <w:sz w:val="24"/>
                <w:highlight w:val="none"/>
              </w:rPr>
              <w:t>表4中三级标准</w:t>
            </w:r>
            <w:r>
              <w:rPr>
                <w:rFonts w:ascii="Times New Roman" w:hAnsi="Times New Roman" w:cs="Times New Roman"/>
                <w:color w:val="auto"/>
                <w:sz w:val="24"/>
                <w:highlight w:val="none"/>
              </w:rPr>
              <w:t>及</w:t>
            </w:r>
            <w:r>
              <w:rPr>
                <w:rFonts w:hint="eastAsia" w:ascii="Times New Roman" w:hAnsi="Times New Roman" w:cs="Times New Roman"/>
                <w:color w:val="auto"/>
                <w:sz w:val="24"/>
                <w:highlight w:val="none"/>
              </w:rPr>
              <w:t>淮北蓝海水处理有限公司</w:t>
            </w:r>
            <w:r>
              <w:rPr>
                <w:rFonts w:ascii="Times New Roman" w:hAnsi="Times New Roman" w:cs="Times New Roman"/>
                <w:color w:val="auto"/>
                <w:sz w:val="24"/>
                <w:highlight w:val="none"/>
              </w:rPr>
              <w:t>接管</w:t>
            </w:r>
            <w:r>
              <w:rPr>
                <w:rFonts w:hint="eastAsia" w:ascii="Times New Roman" w:hAnsi="Times New Roman" w:cs="Times New Roman"/>
                <w:color w:val="auto"/>
                <w:sz w:val="24"/>
                <w:highlight w:val="none"/>
              </w:rPr>
              <w:t>要求</w:t>
            </w:r>
            <w:r>
              <w:rPr>
                <w:rFonts w:ascii="Times New Roman" w:hAnsi="Times New Roman" w:cs="Times New Roman"/>
                <w:color w:val="auto"/>
                <w:sz w:val="24"/>
                <w:highlight w:val="none"/>
              </w:rPr>
              <w:t>，</w:t>
            </w:r>
            <w:r>
              <w:rPr>
                <w:rFonts w:hint="eastAsia" w:cs="Times New Roman"/>
                <w:color w:val="auto"/>
                <w:sz w:val="24"/>
                <w:highlight w:val="none"/>
                <w:lang w:eastAsia="zh-CN"/>
              </w:rPr>
              <w:t>经</w:t>
            </w:r>
            <w:r>
              <w:rPr>
                <w:rFonts w:hint="eastAsia" w:ascii="Times New Roman" w:hAnsi="Times New Roman" w:cs="Times New Roman"/>
                <w:color w:val="auto"/>
                <w:sz w:val="24"/>
                <w:highlight w:val="none"/>
              </w:rPr>
              <w:t>淮北蓝海水处理有限公司处理厂处理后，满足《城镇污水处理厂污染物排放标准》（GB18918-2002）中一级A标准，本项目对周围水环境产生影响较小</w:t>
            </w:r>
            <w:r>
              <w:rPr>
                <w:rFonts w:ascii="Times New Roman" w:hAnsi="Times New Roman" w:cs="Times New Roman"/>
                <w:color w:val="auto"/>
                <w:sz w:val="24"/>
                <w:highlight w:val="none"/>
              </w:rPr>
              <w:t>。</w:t>
            </w:r>
          </w:p>
          <w:p w14:paraId="013263C1">
            <w:pPr>
              <w:autoSpaceDE w:val="0"/>
              <w:autoSpaceDN w:val="0"/>
              <w:adjustRightInd w:val="0"/>
              <w:spacing w:line="360" w:lineRule="auto"/>
              <w:ind w:firstLine="482" w:firstLineChars="200"/>
              <w:rPr>
                <w:rFonts w:hint="eastAsia" w:ascii="Times New Roman" w:hAnsi="Times New Roman" w:cs="Times New Roman"/>
                <w:b/>
                <w:bCs/>
                <w:color w:val="auto"/>
                <w:sz w:val="24"/>
                <w:highlight w:val="none"/>
              </w:rPr>
            </w:pPr>
            <w:r>
              <w:rPr>
                <w:rFonts w:hint="eastAsia" w:cs="Times New Roman"/>
                <w:b/>
                <w:bCs/>
                <w:color w:val="auto"/>
                <w:sz w:val="24"/>
                <w:highlight w:val="none"/>
                <w:lang w:val="en-US" w:eastAsia="zh-CN"/>
              </w:rPr>
              <w:t>1</w:t>
            </w:r>
            <w:r>
              <w:rPr>
                <w:rFonts w:hint="eastAsia" w:ascii="Times New Roman" w:hAnsi="Times New Roman" w:cs="Times New Roman"/>
                <w:b/>
                <w:bCs/>
                <w:color w:val="auto"/>
                <w:sz w:val="24"/>
                <w:highlight w:val="none"/>
              </w:rPr>
              <w:t>.2 废水污染物排放信息表</w:t>
            </w:r>
          </w:p>
          <w:p w14:paraId="009C2736">
            <w:pPr>
              <w:autoSpaceDE w:val="0"/>
              <w:autoSpaceDN w:val="0"/>
              <w:adjustRightInd w:val="0"/>
              <w:spacing w:line="360" w:lineRule="auto"/>
              <w:ind w:firstLine="480" w:firstLineChars="200"/>
              <w:rPr>
                <w:rFonts w:ascii="Times New Roman" w:hAnsi="Times New Roman" w:cs="Times New Roman"/>
                <w:color w:val="auto"/>
                <w:sz w:val="24"/>
                <w:highlight w:val="none"/>
              </w:rPr>
            </w:pPr>
            <w:r>
              <w:rPr>
                <w:rFonts w:hint="eastAsia" w:ascii="Times New Roman" w:hAnsi="Times New Roman" w:cs="Times New Roman"/>
                <w:color w:val="auto"/>
                <w:sz w:val="24"/>
                <w:highlight w:val="none"/>
              </w:rPr>
              <w:t>①废水类别、污染物及治理设施信息表</w:t>
            </w:r>
            <w:r>
              <w:rPr>
                <w:rFonts w:ascii="Times New Roman" w:hAnsi="Times New Roman" w:cs="Times New Roman"/>
                <w:color w:val="auto"/>
                <w:sz w:val="24"/>
                <w:highlight w:val="none"/>
              </w:rPr>
              <w:br w:type="textWrapping"/>
            </w:r>
            <w:r>
              <w:rPr>
                <w:rFonts w:hint="eastAsia" w:ascii="Times New Roman" w:hAnsi="Times New Roman" w:cs="Times New Roman"/>
                <w:color w:val="auto"/>
                <w:sz w:val="24"/>
                <w:highlight w:val="none"/>
              </w:rPr>
              <w:t xml:space="preserve">    </w:t>
            </w:r>
            <w:r>
              <w:rPr>
                <w:rFonts w:ascii="Times New Roman" w:hAnsi="Times New Roman" w:cs="Times New Roman"/>
                <w:color w:val="auto"/>
                <w:sz w:val="24"/>
                <w:highlight w:val="none"/>
              </w:rPr>
              <w:t>建设项目废水类别、污染物及污染治理设施信息表见表4</w:t>
            </w:r>
            <w:r>
              <w:rPr>
                <w:rFonts w:hint="eastAsia" w:cs="Times New Roman"/>
                <w:color w:val="auto"/>
                <w:sz w:val="24"/>
                <w:highlight w:val="none"/>
                <w:lang w:val="en-US" w:eastAsia="zh-CN"/>
              </w:rPr>
              <w:t>-2</w:t>
            </w:r>
            <w:r>
              <w:rPr>
                <w:rFonts w:ascii="Times New Roman" w:hAnsi="Times New Roman" w:cs="Times New Roman"/>
                <w:color w:val="auto"/>
                <w:sz w:val="24"/>
                <w:highlight w:val="none"/>
              </w:rPr>
              <w:t>。</w:t>
            </w:r>
          </w:p>
          <w:p w14:paraId="7C00F319">
            <w:pPr>
              <w:spacing w:line="360" w:lineRule="auto"/>
              <w:jc w:val="center"/>
              <w:rPr>
                <w:rFonts w:ascii="Times New Roman" w:hAnsi="Times New Roman" w:cs="Times New Roman"/>
                <w:b w:val="0"/>
                <w:bCs w:val="0"/>
                <w:color w:val="auto"/>
                <w:sz w:val="24"/>
                <w:highlight w:val="none"/>
              </w:rPr>
            </w:pPr>
            <w:r>
              <w:rPr>
                <w:rFonts w:ascii="Times New Roman" w:hAnsi="Times New Roman" w:cs="Times New Roman"/>
                <w:b w:val="0"/>
                <w:bCs w:val="0"/>
                <w:color w:val="auto"/>
                <w:sz w:val="24"/>
                <w:highlight w:val="none"/>
              </w:rPr>
              <w:t>表4</w:t>
            </w:r>
            <w:r>
              <w:rPr>
                <w:rFonts w:hint="eastAsia" w:cs="Times New Roman"/>
                <w:b w:val="0"/>
                <w:bCs w:val="0"/>
                <w:color w:val="auto"/>
                <w:sz w:val="24"/>
                <w:highlight w:val="none"/>
                <w:lang w:val="en-US" w:eastAsia="zh-CN"/>
              </w:rPr>
              <w:t>-2</w:t>
            </w:r>
            <w:r>
              <w:rPr>
                <w:rFonts w:ascii="Times New Roman" w:hAnsi="Times New Roman" w:cs="Times New Roman"/>
                <w:b w:val="0"/>
                <w:bCs w:val="0"/>
                <w:color w:val="auto"/>
                <w:sz w:val="24"/>
                <w:highlight w:val="none"/>
              </w:rPr>
              <w:t xml:space="preserve">  废水类别、污染物及治理设施信息表</w:t>
            </w:r>
          </w:p>
          <w:tbl>
            <w:tblPr>
              <w:tblStyle w:val="37"/>
              <w:tblW w:w="80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9"/>
              <w:gridCol w:w="849"/>
              <w:gridCol w:w="788"/>
              <w:gridCol w:w="628"/>
              <w:gridCol w:w="689"/>
              <w:gridCol w:w="805"/>
              <w:gridCol w:w="917"/>
              <w:gridCol w:w="511"/>
              <w:gridCol w:w="856"/>
              <w:gridCol w:w="1506"/>
            </w:tblGrid>
            <w:tr w14:paraId="36CA6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69" w:type="dxa"/>
                  <w:vMerge w:val="restart"/>
                  <w:vAlign w:val="center"/>
                </w:tcPr>
                <w:p w14:paraId="3AB7E610">
                  <w:pPr>
                    <w:pStyle w:val="139"/>
                    <w:rPr>
                      <w:color w:val="auto"/>
                      <w:szCs w:val="21"/>
                      <w:highlight w:val="none"/>
                    </w:rPr>
                  </w:pPr>
                  <w:r>
                    <w:rPr>
                      <w:color w:val="auto"/>
                      <w:szCs w:val="21"/>
                      <w:highlight w:val="none"/>
                    </w:rPr>
                    <w:t>废水类别</w:t>
                  </w:r>
                </w:p>
              </w:tc>
              <w:tc>
                <w:tcPr>
                  <w:tcW w:w="849" w:type="dxa"/>
                  <w:vMerge w:val="restart"/>
                  <w:vAlign w:val="center"/>
                </w:tcPr>
                <w:p w14:paraId="6A347B8D">
                  <w:pPr>
                    <w:pStyle w:val="139"/>
                    <w:rPr>
                      <w:color w:val="auto"/>
                      <w:szCs w:val="21"/>
                      <w:highlight w:val="none"/>
                    </w:rPr>
                  </w:pPr>
                  <w:r>
                    <w:rPr>
                      <w:color w:val="auto"/>
                      <w:szCs w:val="21"/>
                      <w:highlight w:val="none"/>
                    </w:rPr>
                    <w:t>污染物种类</w:t>
                  </w:r>
                </w:p>
              </w:tc>
              <w:tc>
                <w:tcPr>
                  <w:tcW w:w="788" w:type="dxa"/>
                  <w:vMerge w:val="restart"/>
                  <w:vAlign w:val="center"/>
                </w:tcPr>
                <w:p w14:paraId="57F956E0">
                  <w:pPr>
                    <w:pStyle w:val="139"/>
                    <w:rPr>
                      <w:color w:val="auto"/>
                      <w:szCs w:val="21"/>
                      <w:highlight w:val="none"/>
                    </w:rPr>
                  </w:pPr>
                  <w:r>
                    <w:rPr>
                      <w:color w:val="auto"/>
                      <w:szCs w:val="21"/>
                      <w:highlight w:val="none"/>
                    </w:rPr>
                    <w:t>排放去向</w:t>
                  </w:r>
                </w:p>
              </w:tc>
              <w:tc>
                <w:tcPr>
                  <w:tcW w:w="628" w:type="dxa"/>
                  <w:vMerge w:val="restart"/>
                  <w:vAlign w:val="center"/>
                </w:tcPr>
                <w:p w14:paraId="698BEA49">
                  <w:pPr>
                    <w:pStyle w:val="139"/>
                    <w:rPr>
                      <w:color w:val="auto"/>
                      <w:szCs w:val="21"/>
                      <w:highlight w:val="none"/>
                    </w:rPr>
                  </w:pPr>
                  <w:r>
                    <w:rPr>
                      <w:color w:val="auto"/>
                      <w:szCs w:val="21"/>
                      <w:highlight w:val="none"/>
                    </w:rPr>
                    <w:t>排放规律</w:t>
                  </w:r>
                </w:p>
              </w:tc>
              <w:tc>
                <w:tcPr>
                  <w:tcW w:w="2411" w:type="dxa"/>
                  <w:gridSpan w:val="3"/>
                  <w:vAlign w:val="center"/>
                </w:tcPr>
                <w:p w14:paraId="0A008A73">
                  <w:pPr>
                    <w:pStyle w:val="139"/>
                    <w:rPr>
                      <w:color w:val="auto"/>
                      <w:szCs w:val="21"/>
                      <w:highlight w:val="none"/>
                    </w:rPr>
                  </w:pPr>
                  <w:r>
                    <w:rPr>
                      <w:color w:val="auto"/>
                      <w:szCs w:val="21"/>
                      <w:highlight w:val="none"/>
                    </w:rPr>
                    <w:t>污染治理设施</w:t>
                  </w:r>
                </w:p>
              </w:tc>
              <w:tc>
                <w:tcPr>
                  <w:tcW w:w="511" w:type="dxa"/>
                  <w:vMerge w:val="restart"/>
                  <w:vAlign w:val="center"/>
                </w:tcPr>
                <w:p w14:paraId="121D3FED">
                  <w:pPr>
                    <w:pStyle w:val="139"/>
                    <w:rPr>
                      <w:color w:val="auto"/>
                      <w:szCs w:val="21"/>
                      <w:highlight w:val="none"/>
                    </w:rPr>
                  </w:pPr>
                  <w:r>
                    <w:rPr>
                      <w:color w:val="auto"/>
                      <w:szCs w:val="21"/>
                      <w:highlight w:val="none"/>
                    </w:rPr>
                    <w:t>排放口编号</w:t>
                  </w:r>
                </w:p>
              </w:tc>
              <w:tc>
                <w:tcPr>
                  <w:tcW w:w="856" w:type="dxa"/>
                  <w:vMerge w:val="restart"/>
                  <w:vAlign w:val="center"/>
                </w:tcPr>
                <w:p w14:paraId="471A7428">
                  <w:pPr>
                    <w:pStyle w:val="139"/>
                    <w:rPr>
                      <w:color w:val="auto"/>
                      <w:szCs w:val="21"/>
                      <w:highlight w:val="none"/>
                    </w:rPr>
                  </w:pPr>
                  <w:r>
                    <w:rPr>
                      <w:color w:val="auto"/>
                      <w:szCs w:val="21"/>
                      <w:highlight w:val="none"/>
                    </w:rPr>
                    <w:t>排放口设置是否符合要求</w:t>
                  </w:r>
                </w:p>
              </w:tc>
              <w:tc>
                <w:tcPr>
                  <w:tcW w:w="1506" w:type="dxa"/>
                  <w:vMerge w:val="restart"/>
                  <w:vAlign w:val="center"/>
                </w:tcPr>
                <w:p w14:paraId="76E1A064">
                  <w:pPr>
                    <w:pStyle w:val="139"/>
                    <w:rPr>
                      <w:color w:val="auto"/>
                      <w:szCs w:val="21"/>
                      <w:highlight w:val="none"/>
                    </w:rPr>
                  </w:pPr>
                  <w:r>
                    <w:rPr>
                      <w:color w:val="auto"/>
                      <w:szCs w:val="21"/>
                      <w:highlight w:val="none"/>
                    </w:rPr>
                    <w:t>排放口类型</w:t>
                  </w:r>
                </w:p>
              </w:tc>
            </w:tr>
            <w:tr w14:paraId="2AB39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469" w:type="dxa"/>
                  <w:vMerge w:val="continue"/>
                  <w:vAlign w:val="center"/>
                </w:tcPr>
                <w:p w14:paraId="70BE56E9">
                  <w:pPr>
                    <w:pStyle w:val="139"/>
                    <w:rPr>
                      <w:color w:val="auto"/>
                      <w:szCs w:val="21"/>
                      <w:highlight w:val="none"/>
                    </w:rPr>
                  </w:pPr>
                </w:p>
              </w:tc>
              <w:tc>
                <w:tcPr>
                  <w:tcW w:w="849" w:type="dxa"/>
                  <w:vMerge w:val="continue"/>
                  <w:vAlign w:val="center"/>
                </w:tcPr>
                <w:p w14:paraId="67FD0431">
                  <w:pPr>
                    <w:pStyle w:val="139"/>
                    <w:rPr>
                      <w:color w:val="auto"/>
                      <w:szCs w:val="21"/>
                      <w:highlight w:val="none"/>
                    </w:rPr>
                  </w:pPr>
                </w:p>
              </w:tc>
              <w:tc>
                <w:tcPr>
                  <w:tcW w:w="788" w:type="dxa"/>
                  <w:vMerge w:val="continue"/>
                  <w:vAlign w:val="center"/>
                </w:tcPr>
                <w:p w14:paraId="00ED5F2C">
                  <w:pPr>
                    <w:pStyle w:val="139"/>
                    <w:rPr>
                      <w:color w:val="auto"/>
                      <w:szCs w:val="21"/>
                      <w:highlight w:val="none"/>
                    </w:rPr>
                  </w:pPr>
                </w:p>
              </w:tc>
              <w:tc>
                <w:tcPr>
                  <w:tcW w:w="628" w:type="dxa"/>
                  <w:vMerge w:val="continue"/>
                  <w:vAlign w:val="center"/>
                </w:tcPr>
                <w:p w14:paraId="424D74CB">
                  <w:pPr>
                    <w:pStyle w:val="139"/>
                    <w:rPr>
                      <w:color w:val="auto"/>
                      <w:szCs w:val="21"/>
                      <w:highlight w:val="none"/>
                    </w:rPr>
                  </w:pPr>
                </w:p>
              </w:tc>
              <w:tc>
                <w:tcPr>
                  <w:tcW w:w="689" w:type="dxa"/>
                  <w:vAlign w:val="center"/>
                </w:tcPr>
                <w:p w14:paraId="7CFB3371">
                  <w:pPr>
                    <w:pStyle w:val="139"/>
                    <w:rPr>
                      <w:color w:val="auto"/>
                      <w:szCs w:val="21"/>
                      <w:highlight w:val="none"/>
                    </w:rPr>
                  </w:pPr>
                  <w:r>
                    <w:rPr>
                      <w:color w:val="auto"/>
                      <w:szCs w:val="21"/>
                      <w:highlight w:val="none"/>
                    </w:rPr>
                    <w:t>污染治理设施编号</w:t>
                  </w:r>
                </w:p>
              </w:tc>
              <w:tc>
                <w:tcPr>
                  <w:tcW w:w="805" w:type="dxa"/>
                  <w:vAlign w:val="center"/>
                </w:tcPr>
                <w:p w14:paraId="20088272">
                  <w:pPr>
                    <w:pStyle w:val="139"/>
                    <w:rPr>
                      <w:color w:val="auto"/>
                      <w:szCs w:val="21"/>
                      <w:highlight w:val="none"/>
                    </w:rPr>
                  </w:pPr>
                  <w:r>
                    <w:rPr>
                      <w:color w:val="auto"/>
                      <w:szCs w:val="21"/>
                      <w:highlight w:val="none"/>
                    </w:rPr>
                    <w:t>污染治理设施名称</w:t>
                  </w:r>
                </w:p>
              </w:tc>
              <w:tc>
                <w:tcPr>
                  <w:tcW w:w="917" w:type="dxa"/>
                  <w:vAlign w:val="center"/>
                </w:tcPr>
                <w:p w14:paraId="2F335519">
                  <w:pPr>
                    <w:pStyle w:val="139"/>
                    <w:rPr>
                      <w:color w:val="auto"/>
                      <w:szCs w:val="21"/>
                      <w:highlight w:val="none"/>
                    </w:rPr>
                  </w:pPr>
                  <w:r>
                    <w:rPr>
                      <w:color w:val="auto"/>
                      <w:szCs w:val="21"/>
                      <w:highlight w:val="none"/>
                    </w:rPr>
                    <w:t>污染治理设施工艺</w:t>
                  </w:r>
                </w:p>
              </w:tc>
              <w:tc>
                <w:tcPr>
                  <w:tcW w:w="511" w:type="dxa"/>
                  <w:vMerge w:val="continue"/>
                  <w:vAlign w:val="center"/>
                </w:tcPr>
                <w:p w14:paraId="220F9111">
                  <w:pPr>
                    <w:pStyle w:val="139"/>
                    <w:rPr>
                      <w:color w:val="auto"/>
                      <w:szCs w:val="21"/>
                      <w:highlight w:val="none"/>
                    </w:rPr>
                  </w:pPr>
                </w:p>
              </w:tc>
              <w:tc>
                <w:tcPr>
                  <w:tcW w:w="856" w:type="dxa"/>
                  <w:vMerge w:val="continue"/>
                  <w:vAlign w:val="center"/>
                </w:tcPr>
                <w:p w14:paraId="12679E15">
                  <w:pPr>
                    <w:pStyle w:val="139"/>
                    <w:rPr>
                      <w:color w:val="auto"/>
                      <w:szCs w:val="21"/>
                      <w:highlight w:val="none"/>
                    </w:rPr>
                  </w:pPr>
                </w:p>
              </w:tc>
              <w:tc>
                <w:tcPr>
                  <w:tcW w:w="1506" w:type="dxa"/>
                  <w:vMerge w:val="continue"/>
                  <w:vAlign w:val="center"/>
                </w:tcPr>
                <w:p w14:paraId="540594AA">
                  <w:pPr>
                    <w:pStyle w:val="139"/>
                    <w:rPr>
                      <w:color w:val="auto"/>
                      <w:szCs w:val="21"/>
                      <w:highlight w:val="none"/>
                    </w:rPr>
                  </w:pPr>
                </w:p>
              </w:tc>
            </w:tr>
            <w:tr w14:paraId="4296E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469" w:type="dxa"/>
                  <w:vAlign w:val="center"/>
                </w:tcPr>
                <w:p w14:paraId="7AC171B8">
                  <w:pPr>
                    <w:pStyle w:val="139"/>
                    <w:rPr>
                      <w:rFonts w:hint="eastAsia" w:ascii="Times New Roman" w:hAnsi="Times New Roman" w:eastAsia="宋体"/>
                      <w:color w:val="auto"/>
                      <w:szCs w:val="21"/>
                      <w:highlight w:val="none"/>
                      <w:lang w:eastAsia="zh-CN"/>
                    </w:rPr>
                  </w:pPr>
                  <w:r>
                    <w:rPr>
                      <w:rFonts w:hint="eastAsia"/>
                      <w:color w:val="auto"/>
                      <w:szCs w:val="21"/>
                      <w:highlight w:val="none"/>
                      <w:lang w:eastAsia="zh-CN"/>
                    </w:rPr>
                    <w:t>车辆冲洗废水</w:t>
                  </w:r>
                </w:p>
              </w:tc>
              <w:tc>
                <w:tcPr>
                  <w:tcW w:w="849" w:type="dxa"/>
                  <w:vAlign w:val="center"/>
                </w:tcPr>
                <w:p w14:paraId="50BDC1DA">
                  <w:pPr>
                    <w:autoSpaceDE w:val="0"/>
                    <w:autoSpaceDN w:val="0"/>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SS</w:t>
                  </w:r>
                </w:p>
              </w:tc>
              <w:tc>
                <w:tcPr>
                  <w:tcW w:w="788" w:type="dxa"/>
                  <w:vAlign w:val="center"/>
                </w:tcPr>
                <w:p w14:paraId="152ADC32">
                  <w:pPr>
                    <w:pStyle w:val="139"/>
                    <w:rPr>
                      <w:color w:val="auto"/>
                      <w:szCs w:val="21"/>
                      <w:highlight w:val="none"/>
                      <w:lang w:val="zh-CN"/>
                    </w:rPr>
                  </w:pPr>
                  <w:r>
                    <w:rPr>
                      <w:rFonts w:hint="eastAsia"/>
                      <w:color w:val="auto"/>
                      <w:szCs w:val="21"/>
                      <w:highlight w:val="none"/>
                      <w:lang w:val="zh-CN"/>
                    </w:rPr>
                    <w:t>不外排</w:t>
                  </w:r>
                </w:p>
              </w:tc>
              <w:tc>
                <w:tcPr>
                  <w:tcW w:w="628" w:type="dxa"/>
                  <w:vAlign w:val="center"/>
                </w:tcPr>
                <w:p w14:paraId="3EC5C9B0">
                  <w:pPr>
                    <w:pStyle w:val="139"/>
                    <w:rPr>
                      <w:rFonts w:hint="eastAsia" w:eastAsia="宋体"/>
                      <w:color w:val="auto"/>
                      <w:szCs w:val="21"/>
                      <w:highlight w:val="none"/>
                      <w:lang w:val="en-US" w:eastAsia="zh-CN"/>
                    </w:rPr>
                  </w:pPr>
                  <w:r>
                    <w:rPr>
                      <w:rFonts w:hint="eastAsia"/>
                      <w:color w:val="auto"/>
                      <w:szCs w:val="21"/>
                      <w:highlight w:val="none"/>
                      <w:lang w:val="en-US" w:eastAsia="zh-CN"/>
                    </w:rPr>
                    <w:t>/</w:t>
                  </w:r>
                </w:p>
              </w:tc>
              <w:tc>
                <w:tcPr>
                  <w:tcW w:w="689" w:type="dxa"/>
                  <w:vAlign w:val="center"/>
                </w:tcPr>
                <w:p w14:paraId="173BDA7C">
                  <w:pPr>
                    <w:pStyle w:val="139"/>
                    <w:rPr>
                      <w:rFonts w:hint="eastAsia" w:eastAsia="宋体"/>
                      <w:color w:val="auto"/>
                      <w:szCs w:val="21"/>
                      <w:highlight w:val="none"/>
                      <w:lang w:val="en-US" w:eastAsia="zh-CN"/>
                    </w:rPr>
                  </w:pPr>
                  <w:r>
                    <w:rPr>
                      <w:rFonts w:hint="eastAsia"/>
                      <w:color w:val="auto"/>
                      <w:szCs w:val="21"/>
                      <w:highlight w:val="none"/>
                      <w:lang w:val="en-US" w:eastAsia="zh-CN"/>
                    </w:rPr>
                    <w:t>/</w:t>
                  </w:r>
                </w:p>
              </w:tc>
              <w:tc>
                <w:tcPr>
                  <w:tcW w:w="805" w:type="dxa"/>
                  <w:vAlign w:val="center"/>
                </w:tcPr>
                <w:p w14:paraId="09B29A2E">
                  <w:pPr>
                    <w:pStyle w:val="139"/>
                    <w:rPr>
                      <w:rFonts w:hint="eastAsia" w:eastAsia="宋体"/>
                      <w:color w:val="auto"/>
                      <w:szCs w:val="21"/>
                      <w:highlight w:val="none"/>
                      <w:lang w:val="en-US" w:eastAsia="zh-CN"/>
                    </w:rPr>
                  </w:pPr>
                  <w:r>
                    <w:rPr>
                      <w:rFonts w:hint="eastAsia"/>
                      <w:color w:val="auto"/>
                      <w:szCs w:val="21"/>
                      <w:highlight w:val="none"/>
                      <w:lang w:val="en-US" w:eastAsia="zh-CN"/>
                    </w:rPr>
                    <w:t>/</w:t>
                  </w:r>
                </w:p>
              </w:tc>
              <w:tc>
                <w:tcPr>
                  <w:tcW w:w="917" w:type="dxa"/>
                  <w:vAlign w:val="center"/>
                </w:tcPr>
                <w:p w14:paraId="609E80C7">
                  <w:pPr>
                    <w:pStyle w:val="139"/>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w:t>
                  </w:r>
                </w:p>
              </w:tc>
              <w:tc>
                <w:tcPr>
                  <w:tcW w:w="511" w:type="dxa"/>
                  <w:vAlign w:val="center"/>
                </w:tcPr>
                <w:p w14:paraId="1743091D">
                  <w:pPr>
                    <w:pStyle w:val="139"/>
                    <w:rPr>
                      <w:rFonts w:hint="eastAsia" w:eastAsia="宋体"/>
                      <w:color w:val="auto"/>
                      <w:szCs w:val="21"/>
                      <w:highlight w:val="none"/>
                      <w:lang w:val="en-US" w:eastAsia="zh-CN"/>
                    </w:rPr>
                  </w:pPr>
                  <w:r>
                    <w:rPr>
                      <w:rFonts w:hint="eastAsia"/>
                      <w:color w:val="auto"/>
                      <w:szCs w:val="21"/>
                      <w:highlight w:val="none"/>
                      <w:lang w:val="en-US" w:eastAsia="zh-CN"/>
                    </w:rPr>
                    <w:t>/</w:t>
                  </w:r>
                </w:p>
              </w:tc>
              <w:tc>
                <w:tcPr>
                  <w:tcW w:w="856" w:type="dxa"/>
                  <w:vAlign w:val="center"/>
                </w:tcPr>
                <w:p w14:paraId="74A7F528">
                  <w:pPr>
                    <w:pStyle w:val="139"/>
                    <w:rPr>
                      <w:rFonts w:hint="eastAsia" w:eastAsia="宋体"/>
                      <w:color w:val="auto"/>
                      <w:szCs w:val="21"/>
                      <w:highlight w:val="none"/>
                      <w:lang w:val="en-US" w:eastAsia="zh-CN"/>
                    </w:rPr>
                  </w:pPr>
                  <w:r>
                    <w:rPr>
                      <w:rFonts w:hint="eastAsia"/>
                      <w:color w:val="auto"/>
                      <w:szCs w:val="21"/>
                      <w:highlight w:val="none"/>
                      <w:lang w:val="en-US" w:eastAsia="zh-CN"/>
                    </w:rPr>
                    <w:t>/</w:t>
                  </w:r>
                </w:p>
              </w:tc>
              <w:tc>
                <w:tcPr>
                  <w:tcW w:w="1506" w:type="dxa"/>
                  <w:vAlign w:val="center"/>
                </w:tcPr>
                <w:p w14:paraId="0C66ECE5">
                  <w:pPr>
                    <w:pStyle w:val="139"/>
                    <w:jc w:val="both"/>
                    <w:rPr>
                      <w:rFonts w:hint="eastAsia" w:eastAsia="宋体"/>
                      <w:color w:val="auto"/>
                      <w:szCs w:val="21"/>
                      <w:highlight w:val="none"/>
                      <w:lang w:val="en-US" w:eastAsia="zh-CN"/>
                    </w:rPr>
                  </w:pPr>
                  <w:r>
                    <w:rPr>
                      <w:rFonts w:hint="eastAsia"/>
                      <w:color w:val="auto"/>
                      <w:szCs w:val="21"/>
                      <w:highlight w:val="none"/>
                      <w:lang w:val="en-US" w:eastAsia="zh-CN"/>
                    </w:rPr>
                    <w:t>/</w:t>
                  </w:r>
                </w:p>
              </w:tc>
            </w:tr>
            <w:tr w14:paraId="2392C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469" w:type="dxa"/>
                  <w:vMerge w:val="restart"/>
                  <w:vAlign w:val="center"/>
                </w:tcPr>
                <w:p w14:paraId="402FB546">
                  <w:pPr>
                    <w:pStyle w:val="139"/>
                    <w:rPr>
                      <w:color w:val="auto"/>
                      <w:szCs w:val="21"/>
                      <w:highlight w:val="none"/>
                    </w:rPr>
                  </w:pPr>
                  <w:r>
                    <w:rPr>
                      <w:rFonts w:hint="eastAsia" w:ascii="Times New Roman" w:hAnsi="Times New Roman" w:eastAsia="宋体"/>
                      <w:color w:val="auto"/>
                      <w:szCs w:val="21"/>
                      <w:highlight w:val="none"/>
                    </w:rPr>
                    <w:t>生</w:t>
                  </w:r>
                  <w:r>
                    <w:rPr>
                      <w:color w:val="auto"/>
                      <w:szCs w:val="21"/>
                      <w:highlight w:val="none"/>
                    </w:rPr>
                    <w:t>活污水</w:t>
                  </w:r>
                </w:p>
              </w:tc>
              <w:tc>
                <w:tcPr>
                  <w:tcW w:w="849" w:type="dxa"/>
                  <w:vAlign w:val="center"/>
                </w:tcPr>
                <w:p w14:paraId="1270E12E">
                  <w:pPr>
                    <w:autoSpaceDE w:val="0"/>
                    <w:autoSpaceDN w:val="0"/>
                    <w:adjustRightInd w:val="0"/>
                    <w:snapToGrid w:val="0"/>
                    <w:jc w:val="center"/>
                    <w:rPr>
                      <w:color w:val="auto"/>
                      <w:szCs w:val="21"/>
                      <w:highlight w:val="none"/>
                      <w:lang w:val="zh-CN"/>
                    </w:rPr>
                  </w:pPr>
                  <w:r>
                    <w:rPr>
                      <w:color w:val="auto"/>
                      <w:szCs w:val="21"/>
                      <w:highlight w:val="none"/>
                      <w:lang w:val="zh-CN"/>
                    </w:rPr>
                    <w:t>COD</w:t>
                  </w:r>
                </w:p>
              </w:tc>
              <w:tc>
                <w:tcPr>
                  <w:tcW w:w="788" w:type="dxa"/>
                  <w:vMerge w:val="restart"/>
                  <w:vAlign w:val="center"/>
                </w:tcPr>
                <w:p w14:paraId="6E5D06B7">
                  <w:pPr>
                    <w:pStyle w:val="139"/>
                    <w:rPr>
                      <w:color w:val="auto"/>
                      <w:szCs w:val="21"/>
                      <w:highlight w:val="none"/>
                    </w:rPr>
                  </w:pPr>
                </w:p>
                <w:p w14:paraId="1EA26B9F">
                  <w:pPr>
                    <w:pStyle w:val="139"/>
                    <w:rPr>
                      <w:color w:val="auto"/>
                      <w:szCs w:val="21"/>
                      <w:highlight w:val="none"/>
                    </w:rPr>
                  </w:pPr>
                  <w:r>
                    <w:rPr>
                      <w:color w:val="auto"/>
                      <w:szCs w:val="21"/>
                      <w:highlight w:val="none"/>
                      <w:lang w:val="zh-CN"/>
                    </w:rPr>
                    <w:t>淮北蓝海水处理有限公司</w:t>
                  </w:r>
                </w:p>
              </w:tc>
              <w:tc>
                <w:tcPr>
                  <w:tcW w:w="628" w:type="dxa"/>
                  <w:vMerge w:val="restart"/>
                  <w:vAlign w:val="center"/>
                </w:tcPr>
                <w:p w14:paraId="75C0FB72">
                  <w:pPr>
                    <w:pStyle w:val="139"/>
                    <w:rPr>
                      <w:color w:val="auto"/>
                      <w:szCs w:val="21"/>
                      <w:highlight w:val="none"/>
                    </w:rPr>
                  </w:pPr>
                </w:p>
                <w:p w14:paraId="0045C7ED">
                  <w:pPr>
                    <w:pStyle w:val="139"/>
                    <w:rPr>
                      <w:color w:val="auto"/>
                      <w:szCs w:val="21"/>
                      <w:highlight w:val="none"/>
                    </w:rPr>
                  </w:pPr>
                  <w:r>
                    <w:rPr>
                      <w:color w:val="auto"/>
                      <w:szCs w:val="21"/>
                      <w:highlight w:val="none"/>
                    </w:rPr>
                    <w:t>间歇式排放</w:t>
                  </w:r>
                </w:p>
              </w:tc>
              <w:tc>
                <w:tcPr>
                  <w:tcW w:w="689" w:type="dxa"/>
                  <w:vMerge w:val="restart"/>
                  <w:vAlign w:val="center"/>
                </w:tcPr>
                <w:p w14:paraId="77C47DDF">
                  <w:pPr>
                    <w:pStyle w:val="139"/>
                    <w:rPr>
                      <w:color w:val="auto"/>
                      <w:szCs w:val="21"/>
                      <w:highlight w:val="none"/>
                    </w:rPr>
                  </w:pPr>
                  <w:r>
                    <w:rPr>
                      <w:color w:val="auto"/>
                      <w:szCs w:val="21"/>
                      <w:highlight w:val="none"/>
                    </w:rPr>
                    <w:t>TW001</w:t>
                  </w:r>
                </w:p>
              </w:tc>
              <w:tc>
                <w:tcPr>
                  <w:tcW w:w="805" w:type="dxa"/>
                  <w:vMerge w:val="restart"/>
                  <w:vAlign w:val="center"/>
                </w:tcPr>
                <w:p w14:paraId="09800C06">
                  <w:pPr>
                    <w:pStyle w:val="139"/>
                    <w:rPr>
                      <w:rFonts w:eastAsia="宋体"/>
                      <w:color w:val="auto"/>
                      <w:szCs w:val="21"/>
                      <w:highlight w:val="none"/>
                    </w:rPr>
                  </w:pPr>
                  <w:r>
                    <w:rPr>
                      <w:rFonts w:hint="eastAsia"/>
                      <w:color w:val="auto"/>
                      <w:szCs w:val="21"/>
                      <w:highlight w:val="none"/>
                    </w:rPr>
                    <w:t>化粪池</w:t>
                  </w:r>
                </w:p>
              </w:tc>
              <w:tc>
                <w:tcPr>
                  <w:tcW w:w="917" w:type="dxa"/>
                  <w:vMerge w:val="restart"/>
                  <w:vAlign w:val="center"/>
                </w:tcPr>
                <w:p w14:paraId="6745D75D">
                  <w:pPr>
                    <w:pStyle w:val="139"/>
                    <w:rPr>
                      <w:color w:val="auto"/>
                      <w:szCs w:val="21"/>
                      <w:highlight w:val="none"/>
                    </w:rPr>
                  </w:pPr>
                  <w:r>
                    <w:rPr>
                      <w:rFonts w:hint="eastAsia" w:ascii="宋体" w:hAnsi="宋体" w:cs="宋体"/>
                      <w:color w:val="auto"/>
                      <w:szCs w:val="21"/>
                      <w:highlight w:val="none"/>
                    </w:rPr>
                    <w:t>沉淀+厌氧</w:t>
                  </w:r>
                </w:p>
              </w:tc>
              <w:tc>
                <w:tcPr>
                  <w:tcW w:w="511" w:type="dxa"/>
                  <w:vMerge w:val="restart"/>
                  <w:vAlign w:val="center"/>
                </w:tcPr>
                <w:p w14:paraId="60B089E4">
                  <w:pPr>
                    <w:pStyle w:val="139"/>
                    <w:rPr>
                      <w:color w:val="auto"/>
                      <w:szCs w:val="21"/>
                      <w:highlight w:val="none"/>
                    </w:rPr>
                  </w:pPr>
                  <w:r>
                    <w:rPr>
                      <w:color w:val="auto"/>
                      <w:szCs w:val="21"/>
                      <w:highlight w:val="none"/>
                    </w:rPr>
                    <w:t>DW001</w:t>
                  </w:r>
                </w:p>
              </w:tc>
              <w:tc>
                <w:tcPr>
                  <w:tcW w:w="856" w:type="dxa"/>
                  <w:vMerge w:val="restart"/>
                  <w:vAlign w:val="center"/>
                </w:tcPr>
                <w:p w14:paraId="51BDE011">
                  <w:pPr>
                    <w:pStyle w:val="139"/>
                    <w:rPr>
                      <w:color w:val="auto"/>
                      <w:szCs w:val="21"/>
                      <w:highlight w:val="none"/>
                    </w:rPr>
                  </w:pPr>
                  <w:r>
                    <w:rPr>
                      <w:color w:val="auto"/>
                      <w:szCs w:val="21"/>
                      <w:highlight w:val="none"/>
                    </w:rPr>
                    <w:t>☑是</w:t>
                  </w:r>
                </w:p>
                <w:p w14:paraId="0DC77650">
                  <w:pPr>
                    <w:pStyle w:val="139"/>
                    <w:rPr>
                      <w:color w:val="auto"/>
                      <w:szCs w:val="21"/>
                      <w:highlight w:val="none"/>
                    </w:rPr>
                  </w:pPr>
                  <w:r>
                    <w:rPr>
                      <w:rFonts w:hint="eastAsia"/>
                      <w:color w:val="auto"/>
                      <w:szCs w:val="21"/>
                      <w:highlight w:val="none"/>
                    </w:rPr>
                    <w:t>□</w:t>
                  </w:r>
                  <w:r>
                    <w:rPr>
                      <w:color w:val="auto"/>
                      <w:szCs w:val="21"/>
                      <w:highlight w:val="none"/>
                    </w:rPr>
                    <w:t>否</w:t>
                  </w:r>
                </w:p>
              </w:tc>
              <w:tc>
                <w:tcPr>
                  <w:tcW w:w="1506" w:type="dxa"/>
                  <w:vMerge w:val="restart"/>
                  <w:vAlign w:val="center"/>
                </w:tcPr>
                <w:p w14:paraId="15449C8E">
                  <w:pPr>
                    <w:pStyle w:val="139"/>
                    <w:jc w:val="both"/>
                    <w:rPr>
                      <w:color w:val="auto"/>
                      <w:szCs w:val="21"/>
                      <w:highlight w:val="none"/>
                    </w:rPr>
                  </w:pPr>
                  <w:r>
                    <w:rPr>
                      <w:rFonts w:hint="eastAsia"/>
                      <w:color w:val="auto"/>
                      <w:szCs w:val="21"/>
                      <w:highlight w:val="none"/>
                      <w:lang w:eastAsia="zh-CN"/>
                    </w:rPr>
                    <w:t>☑</w:t>
                  </w:r>
                  <w:r>
                    <w:rPr>
                      <w:color w:val="auto"/>
                      <w:szCs w:val="21"/>
                      <w:highlight w:val="none"/>
                    </w:rPr>
                    <w:t>企业总排</w:t>
                  </w:r>
                </w:p>
                <w:p w14:paraId="5728736B">
                  <w:pPr>
                    <w:pStyle w:val="139"/>
                    <w:jc w:val="both"/>
                    <w:rPr>
                      <w:color w:val="auto"/>
                      <w:szCs w:val="21"/>
                      <w:highlight w:val="none"/>
                    </w:rPr>
                  </w:pPr>
                  <w:r>
                    <w:rPr>
                      <w:rFonts w:hint="eastAsia"/>
                      <w:color w:val="auto"/>
                      <w:szCs w:val="21"/>
                      <w:highlight w:val="none"/>
                    </w:rPr>
                    <w:t>□</w:t>
                  </w:r>
                  <w:r>
                    <w:rPr>
                      <w:color w:val="auto"/>
                      <w:szCs w:val="21"/>
                      <w:highlight w:val="none"/>
                    </w:rPr>
                    <w:t>雨水排放</w:t>
                  </w:r>
                </w:p>
                <w:p w14:paraId="503702EE">
                  <w:pPr>
                    <w:pStyle w:val="139"/>
                    <w:jc w:val="both"/>
                    <w:rPr>
                      <w:color w:val="auto"/>
                      <w:szCs w:val="21"/>
                      <w:highlight w:val="none"/>
                    </w:rPr>
                  </w:pPr>
                  <w:r>
                    <w:rPr>
                      <w:rFonts w:hint="eastAsia"/>
                      <w:color w:val="auto"/>
                      <w:szCs w:val="21"/>
                      <w:highlight w:val="none"/>
                    </w:rPr>
                    <w:t>□</w:t>
                  </w:r>
                  <w:r>
                    <w:rPr>
                      <w:color w:val="auto"/>
                      <w:szCs w:val="21"/>
                      <w:highlight w:val="none"/>
                    </w:rPr>
                    <w:t>淸净下水</w:t>
                  </w:r>
                </w:p>
                <w:p w14:paraId="3D6E84F7">
                  <w:pPr>
                    <w:pStyle w:val="139"/>
                    <w:jc w:val="both"/>
                    <w:rPr>
                      <w:color w:val="auto"/>
                      <w:szCs w:val="21"/>
                      <w:highlight w:val="none"/>
                    </w:rPr>
                  </w:pPr>
                  <w:r>
                    <w:rPr>
                      <w:rFonts w:hint="eastAsia"/>
                      <w:color w:val="auto"/>
                      <w:szCs w:val="21"/>
                      <w:highlight w:val="none"/>
                    </w:rPr>
                    <w:t>□</w:t>
                  </w:r>
                  <w:r>
                    <w:rPr>
                      <w:color w:val="auto"/>
                      <w:szCs w:val="21"/>
                      <w:highlight w:val="none"/>
                    </w:rPr>
                    <w:t>温排水排放</w:t>
                  </w:r>
                </w:p>
                <w:p w14:paraId="44FE71F7">
                  <w:pPr>
                    <w:pStyle w:val="139"/>
                    <w:jc w:val="both"/>
                    <w:rPr>
                      <w:color w:val="auto"/>
                      <w:szCs w:val="21"/>
                      <w:highlight w:val="none"/>
                    </w:rPr>
                  </w:pPr>
                  <w:r>
                    <w:rPr>
                      <w:rFonts w:hint="eastAsia"/>
                      <w:color w:val="auto"/>
                      <w:szCs w:val="21"/>
                      <w:highlight w:val="none"/>
                    </w:rPr>
                    <w:t>□</w:t>
                  </w:r>
                  <w:r>
                    <w:rPr>
                      <w:color w:val="auto"/>
                      <w:szCs w:val="21"/>
                      <w:highlight w:val="none"/>
                    </w:rPr>
                    <w:t>车间或车间处理设施排放</w:t>
                  </w:r>
                </w:p>
              </w:tc>
            </w:tr>
            <w:tr w14:paraId="4309B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469" w:type="dxa"/>
                  <w:vMerge w:val="continue"/>
                  <w:vAlign w:val="center"/>
                </w:tcPr>
                <w:p w14:paraId="54E35C30">
                  <w:pPr>
                    <w:pStyle w:val="139"/>
                    <w:rPr>
                      <w:color w:val="auto"/>
                      <w:szCs w:val="21"/>
                      <w:highlight w:val="none"/>
                    </w:rPr>
                  </w:pPr>
                </w:p>
              </w:tc>
              <w:tc>
                <w:tcPr>
                  <w:tcW w:w="849" w:type="dxa"/>
                  <w:vAlign w:val="center"/>
                </w:tcPr>
                <w:p w14:paraId="09A213BC">
                  <w:pPr>
                    <w:autoSpaceDE w:val="0"/>
                    <w:autoSpaceDN w:val="0"/>
                    <w:adjustRightInd w:val="0"/>
                    <w:snapToGrid w:val="0"/>
                    <w:jc w:val="center"/>
                    <w:rPr>
                      <w:color w:val="auto"/>
                      <w:szCs w:val="21"/>
                      <w:highlight w:val="none"/>
                      <w:lang w:val="zh-CN"/>
                    </w:rPr>
                  </w:pPr>
                  <w:r>
                    <w:rPr>
                      <w:color w:val="auto"/>
                      <w:szCs w:val="21"/>
                      <w:highlight w:val="none"/>
                      <w:lang w:val="zh-CN"/>
                    </w:rPr>
                    <w:t>BOD</w:t>
                  </w:r>
                  <w:r>
                    <w:rPr>
                      <w:color w:val="auto"/>
                      <w:szCs w:val="21"/>
                      <w:highlight w:val="none"/>
                      <w:vertAlign w:val="subscript"/>
                      <w:lang w:val="zh-CN"/>
                    </w:rPr>
                    <w:t>5</w:t>
                  </w:r>
                </w:p>
              </w:tc>
              <w:tc>
                <w:tcPr>
                  <w:tcW w:w="788" w:type="dxa"/>
                  <w:vMerge w:val="continue"/>
                  <w:vAlign w:val="center"/>
                </w:tcPr>
                <w:p w14:paraId="2025C6E0">
                  <w:pPr>
                    <w:pStyle w:val="139"/>
                    <w:rPr>
                      <w:color w:val="auto"/>
                      <w:szCs w:val="21"/>
                      <w:highlight w:val="none"/>
                    </w:rPr>
                  </w:pPr>
                </w:p>
              </w:tc>
              <w:tc>
                <w:tcPr>
                  <w:tcW w:w="628" w:type="dxa"/>
                  <w:vMerge w:val="continue"/>
                  <w:vAlign w:val="center"/>
                </w:tcPr>
                <w:p w14:paraId="0E522B61">
                  <w:pPr>
                    <w:pStyle w:val="139"/>
                    <w:rPr>
                      <w:color w:val="auto"/>
                      <w:szCs w:val="21"/>
                      <w:highlight w:val="none"/>
                    </w:rPr>
                  </w:pPr>
                </w:p>
              </w:tc>
              <w:tc>
                <w:tcPr>
                  <w:tcW w:w="689" w:type="dxa"/>
                  <w:vMerge w:val="continue"/>
                  <w:vAlign w:val="center"/>
                </w:tcPr>
                <w:p w14:paraId="501C85EA">
                  <w:pPr>
                    <w:pStyle w:val="139"/>
                    <w:rPr>
                      <w:color w:val="auto"/>
                      <w:szCs w:val="21"/>
                      <w:highlight w:val="none"/>
                    </w:rPr>
                  </w:pPr>
                </w:p>
              </w:tc>
              <w:tc>
                <w:tcPr>
                  <w:tcW w:w="805" w:type="dxa"/>
                  <w:vMerge w:val="continue"/>
                  <w:vAlign w:val="center"/>
                </w:tcPr>
                <w:p w14:paraId="2329869F">
                  <w:pPr>
                    <w:pStyle w:val="139"/>
                    <w:rPr>
                      <w:color w:val="auto"/>
                      <w:szCs w:val="21"/>
                      <w:highlight w:val="none"/>
                    </w:rPr>
                  </w:pPr>
                </w:p>
              </w:tc>
              <w:tc>
                <w:tcPr>
                  <w:tcW w:w="917" w:type="dxa"/>
                  <w:vMerge w:val="continue"/>
                  <w:vAlign w:val="center"/>
                </w:tcPr>
                <w:p w14:paraId="1DF895CF">
                  <w:pPr>
                    <w:pStyle w:val="139"/>
                    <w:rPr>
                      <w:color w:val="auto"/>
                      <w:szCs w:val="21"/>
                      <w:highlight w:val="none"/>
                    </w:rPr>
                  </w:pPr>
                </w:p>
              </w:tc>
              <w:tc>
                <w:tcPr>
                  <w:tcW w:w="511" w:type="dxa"/>
                  <w:vMerge w:val="continue"/>
                  <w:vAlign w:val="center"/>
                </w:tcPr>
                <w:p w14:paraId="61C0C63F">
                  <w:pPr>
                    <w:pStyle w:val="139"/>
                    <w:rPr>
                      <w:color w:val="auto"/>
                      <w:szCs w:val="21"/>
                      <w:highlight w:val="none"/>
                    </w:rPr>
                  </w:pPr>
                </w:p>
              </w:tc>
              <w:tc>
                <w:tcPr>
                  <w:tcW w:w="856" w:type="dxa"/>
                  <w:vMerge w:val="continue"/>
                  <w:vAlign w:val="center"/>
                </w:tcPr>
                <w:p w14:paraId="2B435277">
                  <w:pPr>
                    <w:pStyle w:val="139"/>
                    <w:rPr>
                      <w:color w:val="auto"/>
                      <w:szCs w:val="21"/>
                      <w:highlight w:val="none"/>
                    </w:rPr>
                  </w:pPr>
                </w:p>
              </w:tc>
              <w:tc>
                <w:tcPr>
                  <w:tcW w:w="1506" w:type="dxa"/>
                  <w:vMerge w:val="continue"/>
                  <w:vAlign w:val="center"/>
                </w:tcPr>
                <w:p w14:paraId="065A5943">
                  <w:pPr>
                    <w:pStyle w:val="139"/>
                    <w:rPr>
                      <w:color w:val="auto"/>
                      <w:szCs w:val="21"/>
                      <w:highlight w:val="none"/>
                    </w:rPr>
                  </w:pPr>
                </w:p>
              </w:tc>
            </w:tr>
            <w:tr w14:paraId="00F1E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69" w:type="dxa"/>
                  <w:vMerge w:val="continue"/>
                  <w:vAlign w:val="center"/>
                </w:tcPr>
                <w:p w14:paraId="770B8D4F">
                  <w:pPr>
                    <w:pStyle w:val="139"/>
                    <w:rPr>
                      <w:color w:val="auto"/>
                      <w:szCs w:val="21"/>
                      <w:highlight w:val="none"/>
                    </w:rPr>
                  </w:pPr>
                </w:p>
              </w:tc>
              <w:tc>
                <w:tcPr>
                  <w:tcW w:w="849" w:type="dxa"/>
                  <w:vAlign w:val="center"/>
                </w:tcPr>
                <w:p w14:paraId="58D195F0">
                  <w:pPr>
                    <w:autoSpaceDE w:val="0"/>
                    <w:autoSpaceDN w:val="0"/>
                    <w:adjustRightInd w:val="0"/>
                    <w:snapToGrid w:val="0"/>
                    <w:jc w:val="center"/>
                    <w:rPr>
                      <w:color w:val="auto"/>
                      <w:szCs w:val="21"/>
                      <w:highlight w:val="none"/>
                      <w:lang w:val="zh-CN"/>
                    </w:rPr>
                  </w:pPr>
                  <w:r>
                    <w:rPr>
                      <w:color w:val="auto"/>
                      <w:szCs w:val="21"/>
                      <w:highlight w:val="none"/>
                      <w:lang w:val="zh-CN"/>
                    </w:rPr>
                    <w:t>SS</w:t>
                  </w:r>
                </w:p>
              </w:tc>
              <w:tc>
                <w:tcPr>
                  <w:tcW w:w="788" w:type="dxa"/>
                  <w:vMerge w:val="continue"/>
                  <w:vAlign w:val="center"/>
                </w:tcPr>
                <w:p w14:paraId="6E3EE838">
                  <w:pPr>
                    <w:pStyle w:val="139"/>
                    <w:rPr>
                      <w:color w:val="auto"/>
                      <w:szCs w:val="21"/>
                      <w:highlight w:val="none"/>
                    </w:rPr>
                  </w:pPr>
                </w:p>
              </w:tc>
              <w:tc>
                <w:tcPr>
                  <w:tcW w:w="628" w:type="dxa"/>
                  <w:vMerge w:val="continue"/>
                  <w:vAlign w:val="center"/>
                </w:tcPr>
                <w:p w14:paraId="14D62834">
                  <w:pPr>
                    <w:pStyle w:val="139"/>
                    <w:rPr>
                      <w:color w:val="auto"/>
                      <w:szCs w:val="21"/>
                      <w:highlight w:val="none"/>
                    </w:rPr>
                  </w:pPr>
                </w:p>
              </w:tc>
              <w:tc>
                <w:tcPr>
                  <w:tcW w:w="689" w:type="dxa"/>
                  <w:vMerge w:val="continue"/>
                  <w:vAlign w:val="center"/>
                </w:tcPr>
                <w:p w14:paraId="5B3D7341">
                  <w:pPr>
                    <w:pStyle w:val="139"/>
                    <w:rPr>
                      <w:color w:val="auto"/>
                      <w:szCs w:val="21"/>
                      <w:highlight w:val="none"/>
                    </w:rPr>
                  </w:pPr>
                </w:p>
              </w:tc>
              <w:tc>
                <w:tcPr>
                  <w:tcW w:w="805" w:type="dxa"/>
                  <w:vMerge w:val="continue"/>
                  <w:vAlign w:val="center"/>
                </w:tcPr>
                <w:p w14:paraId="1F1D7CEA">
                  <w:pPr>
                    <w:pStyle w:val="139"/>
                    <w:rPr>
                      <w:color w:val="auto"/>
                      <w:szCs w:val="21"/>
                      <w:highlight w:val="none"/>
                    </w:rPr>
                  </w:pPr>
                </w:p>
              </w:tc>
              <w:tc>
                <w:tcPr>
                  <w:tcW w:w="917" w:type="dxa"/>
                  <w:vMerge w:val="continue"/>
                  <w:vAlign w:val="center"/>
                </w:tcPr>
                <w:p w14:paraId="570176B9">
                  <w:pPr>
                    <w:pStyle w:val="139"/>
                    <w:rPr>
                      <w:color w:val="auto"/>
                      <w:szCs w:val="21"/>
                      <w:highlight w:val="none"/>
                    </w:rPr>
                  </w:pPr>
                </w:p>
              </w:tc>
              <w:tc>
                <w:tcPr>
                  <w:tcW w:w="511" w:type="dxa"/>
                  <w:vMerge w:val="continue"/>
                  <w:vAlign w:val="center"/>
                </w:tcPr>
                <w:p w14:paraId="1B2ED44D">
                  <w:pPr>
                    <w:pStyle w:val="139"/>
                    <w:rPr>
                      <w:color w:val="auto"/>
                      <w:szCs w:val="21"/>
                      <w:highlight w:val="none"/>
                    </w:rPr>
                  </w:pPr>
                </w:p>
              </w:tc>
              <w:tc>
                <w:tcPr>
                  <w:tcW w:w="856" w:type="dxa"/>
                  <w:vMerge w:val="continue"/>
                  <w:vAlign w:val="center"/>
                </w:tcPr>
                <w:p w14:paraId="0BB05731">
                  <w:pPr>
                    <w:pStyle w:val="139"/>
                    <w:rPr>
                      <w:color w:val="auto"/>
                      <w:szCs w:val="21"/>
                      <w:highlight w:val="none"/>
                    </w:rPr>
                  </w:pPr>
                </w:p>
              </w:tc>
              <w:tc>
                <w:tcPr>
                  <w:tcW w:w="1506" w:type="dxa"/>
                  <w:vMerge w:val="continue"/>
                  <w:vAlign w:val="center"/>
                </w:tcPr>
                <w:p w14:paraId="3B5EB95C">
                  <w:pPr>
                    <w:pStyle w:val="139"/>
                    <w:rPr>
                      <w:color w:val="auto"/>
                      <w:szCs w:val="21"/>
                      <w:highlight w:val="none"/>
                    </w:rPr>
                  </w:pPr>
                </w:p>
              </w:tc>
            </w:tr>
            <w:tr w14:paraId="43BD6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469" w:type="dxa"/>
                  <w:vMerge w:val="continue"/>
                  <w:vAlign w:val="center"/>
                </w:tcPr>
                <w:p w14:paraId="58C14923">
                  <w:pPr>
                    <w:pStyle w:val="139"/>
                    <w:rPr>
                      <w:color w:val="auto"/>
                      <w:szCs w:val="21"/>
                      <w:highlight w:val="none"/>
                    </w:rPr>
                  </w:pPr>
                </w:p>
              </w:tc>
              <w:tc>
                <w:tcPr>
                  <w:tcW w:w="849" w:type="dxa"/>
                  <w:vAlign w:val="center"/>
                </w:tcPr>
                <w:p w14:paraId="33F2259D">
                  <w:pPr>
                    <w:autoSpaceDE w:val="0"/>
                    <w:autoSpaceDN w:val="0"/>
                    <w:adjustRightInd w:val="0"/>
                    <w:snapToGrid w:val="0"/>
                    <w:jc w:val="center"/>
                    <w:rPr>
                      <w:color w:val="auto"/>
                      <w:szCs w:val="21"/>
                      <w:highlight w:val="none"/>
                      <w:lang w:val="zh-CN"/>
                    </w:rPr>
                  </w:pPr>
                  <w:r>
                    <w:rPr>
                      <w:color w:val="auto"/>
                      <w:szCs w:val="21"/>
                      <w:highlight w:val="none"/>
                      <w:lang w:val="zh-CN"/>
                    </w:rPr>
                    <w:t>氨氮</w:t>
                  </w:r>
                </w:p>
              </w:tc>
              <w:tc>
                <w:tcPr>
                  <w:tcW w:w="788" w:type="dxa"/>
                  <w:vMerge w:val="continue"/>
                  <w:vAlign w:val="center"/>
                </w:tcPr>
                <w:p w14:paraId="31FF18C9">
                  <w:pPr>
                    <w:pStyle w:val="139"/>
                    <w:rPr>
                      <w:color w:val="auto"/>
                      <w:szCs w:val="21"/>
                      <w:highlight w:val="none"/>
                    </w:rPr>
                  </w:pPr>
                </w:p>
              </w:tc>
              <w:tc>
                <w:tcPr>
                  <w:tcW w:w="628" w:type="dxa"/>
                  <w:vMerge w:val="continue"/>
                  <w:vAlign w:val="center"/>
                </w:tcPr>
                <w:p w14:paraId="324760FE">
                  <w:pPr>
                    <w:pStyle w:val="139"/>
                    <w:rPr>
                      <w:color w:val="auto"/>
                      <w:szCs w:val="21"/>
                      <w:highlight w:val="none"/>
                    </w:rPr>
                  </w:pPr>
                </w:p>
              </w:tc>
              <w:tc>
                <w:tcPr>
                  <w:tcW w:w="689" w:type="dxa"/>
                  <w:vMerge w:val="continue"/>
                  <w:vAlign w:val="center"/>
                </w:tcPr>
                <w:p w14:paraId="31EDD2A5">
                  <w:pPr>
                    <w:pStyle w:val="139"/>
                    <w:rPr>
                      <w:color w:val="auto"/>
                      <w:szCs w:val="21"/>
                      <w:highlight w:val="none"/>
                    </w:rPr>
                  </w:pPr>
                </w:p>
              </w:tc>
              <w:tc>
                <w:tcPr>
                  <w:tcW w:w="805" w:type="dxa"/>
                  <w:vMerge w:val="continue"/>
                  <w:vAlign w:val="center"/>
                </w:tcPr>
                <w:p w14:paraId="20D3DCA0">
                  <w:pPr>
                    <w:pStyle w:val="139"/>
                    <w:rPr>
                      <w:color w:val="auto"/>
                      <w:szCs w:val="21"/>
                      <w:highlight w:val="none"/>
                    </w:rPr>
                  </w:pPr>
                </w:p>
              </w:tc>
              <w:tc>
                <w:tcPr>
                  <w:tcW w:w="917" w:type="dxa"/>
                  <w:vMerge w:val="continue"/>
                  <w:vAlign w:val="center"/>
                </w:tcPr>
                <w:p w14:paraId="180C9272">
                  <w:pPr>
                    <w:pStyle w:val="139"/>
                    <w:rPr>
                      <w:color w:val="auto"/>
                      <w:szCs w:val="21"/>
                      <w:highlight w:val="none"/>
                    </w:rPr>
                  </w:pPr>
                </w:p>
              </w:tc>
              <w:tc>
                <w:tcPr>
                  <w:tcW w:w="511" w:type="dxa"/>
                  <w:vMerge w:val="continue"/>
                  <w:vAlign w:val="center"/>
                </w:tcPr>
                <w:p w14:paraId="164DCE4F">
                  <w:pPr>
                    <w:pStyle w:val="139"/>
                    <w:rPr>
                      <w:color w:val="auto"/>
                      <w:szCs w:val="21"/>
                      <w:highlight w:val="none"/>
                    </w:rPr>
                  </w:pPr>
                </w:p>
              </w:tc>
              <w:tc>
                <w:tcPr>
                  <w:tcW w:w="856" w:type="dxa"/>
                  <w:vMerge w:val="continue"/>
                  <w:vAlign w:val="center"/>
                </w:tcPr>
                <w:p w14:paraId="6EC46614">
                  <w:pPr>
                    <w:pStyle w:val="139"/>
                    <w:rPr>
                      <w:color w:val="auto"/>
                      <w:szCs w:val="21"/>
                      <w:highlight w:val="none"/>
                    </w:rPr>
                  </w:pPr>
                </w:p>
              </w:tc>
              <w:tc>
                <w:tcPr>
                  <w:tcW w:w="1506" w:type="dxa"/>
                  <w:vMerge w:val="continue"/>
                  <w:vAlign w:val="center"/>
                </w:tcPr>
                <w:p w14:paraId="742B9844">
                  <w:pPr>
                    <w:pStyle w:val="139"/>
                    <w:rPr>
                      <w:color w:val="auto"/>
                      <w:szCs w:val="21"/>
                      <w:highlight w:val="none"/>
                    </w:rPr>
                  </w:pPr>
                </w:p>
              </w:tc>
            </w:tr>
          </w:tbl>
          <w:p w14:paraId="32C8EDA9">
            <w:pPr>
              <w:jc w:val="center"/>
              <w:rPr>
                <w:rFonts w:ascii="Times New Roman" w:hAnsi="Times New Roman" w:cs="Times New Roman"/>
                <w:b/>
                <w:bCs/>
                <w:color w:val="auto"/>
                <w:sz w:val="24"/>
                <w:highlight w:val="none"/>
              </w:rPr>
            </w:pPr>
          </w:p>
          <w:p w14:paraId="4BF66C17">
            <w:pPr>
              <w:spacing w:line="360" w:lineRule="auto"/>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建设项目废水间接排放口基本情况表见表4</w:t>
            </w:r>
            <w:r>
              <w:rPr>
                <w:rFonts w:hint="eastAsia" w:cs="Times New Roman"/>
                <w:color w:val="auto"/>
                <w:sz w:val="24"/>
                <w:highlight w:val="none"/>
                <w:lang w:val="en-US" w:eastAsia="zh-CN"/>
              </w:rPr>
              <w:t>-3</w:t>
            </w:r>
            <w:r>
              <w:rPr>
                <w:rFonts w:ascii="Times New Roman" w:hAnsi="Times New Roman" w:cs="Times New Roman"/>
                <w:color w:val="auto"/>
                <w:sz w:val="24"/>
                <w:highlight w:val="none"/>
              </w:rPr>
              <w:t>。</w:t>
            </w:r>
          </w:p>
          <w:p w14:paraId="7BC541C0">
            <w:pPr>
              <w:jc w:val="center"/>
              <w:rPr>
                <w:rFonts w:ascii="Times New Roman" w:hAnsi="Times New Roman" w:cs="Times New Roman"/>
                <w:b w:val="0"/>
                <w:bCs w:val="0"/>
                <w:color w:val="auto"/>
                <w:sz w:val="24"/>
                <w:highlight w:val="none"/>
              </w:rPr>
            </w:pPr>
            <w:r>
              <w:rPr>
                <w:rFonts w:ascii="Times New Roman" w:hAnsi="Times New Roman" w:cs="Times New Roman"/>
                <w:b w:val="0"/>
                <w:bCs w:val="0"/>
                <w:color w:val="auto"/>
                <w:sz w:val="24"/>
                <w:highlight w:val="none"/>
              </w:rPr>
              <w:t>表4</w:t>
            </w:r>
            <w:r>
              <w:rPr>
                <w:rFonts w:hint="eastAsia" w:cs="Times New Roman"/>
                <w:b w:val="0"/>
                <w:bCs w:val="0"/>
                <w:color w:val="auto"/>
                <w:sz w:val="24"/>
                <w:highlight w:val="none"/>
                <w:lang w:val="en-US" w:eastAsia="zh-CN"/>
              </w:rPr>
              <w:t>-3</w:t>
            </w:r>
            <w:r>
              <w:rPr>
                <w:rFonts w:ascii="Times New Roman" w:hAnsi="Times New Roman" w:cs="Times New Roman"/>
                <w:b w:val="0"/>
                <w:bCs w:val="0"/>
                <w:color w:val="auto"/>
                <w:sz w:val="24"/>
                <w:highlight w:val="none"/>
              </w:rPr>
              <w:t xml:space="preserve">  废水间接排放口基本情况表</w:t>
            </w:r>
          </w:p>
          <w:tbl>
            <w:tblPr>
              <w:tblStyle w:val="37"/>
              <w:tblW w:w="80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0"/>
              <w:gridCol w:w="728"/>
              <w:gridCol w:w="728"/>
              <w:gridCol w:w="736"/>
              <w:gridCol w:w="728"/>
              <w:gridCol w:w="608"/>
              <w:gridCol w:w="664"/>
              <w:gridCol w:w="694"/>
              <w:gridCol w:w="728"/>
              <w:gridCol w:w="728"/>
              <w:gridCol w:w="1293"/>
            </w:tblGrid>
            <w:tr w14:paraId="5D8AD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420" w:type="dxa"/>
                  <w:vMerge w:val="restart"/>
                  <w:tcBorders>
                    <w:top w:val="single" w:color="auto" w:sz="4" w:space="0"/>
                    <w:left w:val="single" w:color="auto" w:sz="4" w:space="0"/>
                    <w:bottom w:val="single" w:color="auto" w:sz="4" w:space="0"/>
                    <w:right w:val="single" w:color="auto" w:sz="4" w:space="0"/>
                  </w:tcBorders>
                  <w:vAlign w:val="center"/>
                </w:tcPr>
                <w:p w14:paraId="2A203B2E">
                  <w:pPr>
                    <w:adjustRightInd w:val="0"/>
                    <w:snapToGrid w:val="0"/>
                    <w:jc w:val="center"/>
                    <w:rPr>
                      <w:color w:val="auto"/>
                      <w:sz w:val="22"/>
                      <w:szCs w:val="22"/>
                      <w:highlight w:val="none"/>
                    </w:rPr>
                  </w:pPr>
                  <w:r>
                    <w:rPr>
                      <w:rFonts w:hint="eastAsia" w:cs="宋体"/>
                      <w:color w:val="auto"/>
                      <w:sz w:val="22"/>
                      <w:szCs w:val="22"/>
                      <w:highlight w:val="none"/>
                    </w:rPr>
                    <w:t>序号</w:t>
                  </w:r>
                </w:p>
              </w:tc>
              <w:tc>
                <w:tcPr>
                  <w:tcW w:w="728" w:type="dxa"/>
                  <w:vMerge w:val="restart"/>
                  <w:tcBorders>
                    <w:top w:val="single" w:color="auto" w:sz="4" w:space="0"/>
                    <w:left w:val="single" w:color="auto" w:sz="4" w:space="0"/>
                    <w:bottom w:val="single" w:color="auto" w:sz="4" w:space="0"/>
                    <w:right w:val="single" w:color="auto" w:sz="4" w:space="0"/>
                  </w:tcBorders>
                  <w:vAlign w:val="center"/>
                </w:tcPr>
                <w:p w14:paraId="1498EEC4">
                  <w:pPr>
                    <w:adjustRightInd w:val="0"/>
                    <w:snapToGrid w:val="0"/>
                    <w:jc w:val="center"/>
                    <w:rPr>
                      <w:color w:val="auto"/>
                      <w:sz w:val="22"/>
                      <w:szCs w:val="22"/>
                      <w:highlight w:val="none"/>
                    </w:rPr>
                  </w:pPr>
                  <w:r>
                    <w:rPr>
                      <w:rFonts w:hint="eastAsia" w:cs="宋体"/>
                      <w:color w:val="auto"/>
                      <w:sz w:val="22"/>
                      <w:szCs w:val="22"/>
                      <w:highlight w:val="none"/>
                    </w:rPr>
                    <w:t>排放口编号</w:t>
                  </w:r>
                </w:p>
              </w:tc>
              <w:tc>
                <w:tcPr>
                  <w:tcW w:w="1464" w:type="dxa"/>
                  <w:gridSpan w:val="2"/>
                  <w:tcBorders>
                    <w:top w:val="single" w:color="auto" w:sz="4" w:space="0"/>
                    <w:left w:val="single" w:color="auto" w:sz="4" w:space="0"/>
                    <w:bottom w:val="single" w:color="auto" w:sz="4" w:space="0"/>
                    <w:right w:val="single" w:color="auto" w:sz="4" w:space="0"/>
                  </w:tcBorders>
                  <w:vAlign w:val="center"/>
                </w:tcPr>
                <w:p w14:paraId="392EA17A">
                  <w:pPr>
                    <w:adjustRightInd w:val="0"/>
                    <w:snapToGrid w:val="0"/>
                    <w:jc w:val="center"/>
                    <w:rPr>
                      <w:color w:val="auto"/>
                      <w:sz w:val="22"/>
                      <w:szCs w:val="22"/>
                      <w:highlight w:val="none"/>
                    </w:rPr>
                  </w:pPr>
                  <w:r>
                    <w:rPr>
                      <w:rFonts w:hint="eastAsia" w:cs="宋体"/>
                      <w:color w:val="auto"/>
                      <w:sz w:val="22"/>
                      <w:szCs w:val="22"/>
                      <w:highlight w:val="none"/>
                    </w:rPr>
                    <w:t>排放口地理坐标</w:t>
                  </w:r>
                </w:p>
              </w:tc>
              <w:tc>
                <w:tcPr>
                  <w:tcW w:w="728" w:type="dxa"/>
                  <w:vMerge w:val="restart"/>
                  <w:tcBorders>
                    <w:top w:val="single" w:color="auto" w:sz="4" w:space="0"/>
                    <w:left w:val="single" w:color="auto" w:sz="4" w:space="0"/>
                    <w:bottom w:val="single" w:color="auto" w:sz="4" w:space="0"/>
                    <w:right w:val="single" w:color="auto" w:sz="4" w:space="0"/>
                  </w:tcBorders>
                  <w:vAlign w:val="center"/>
                </w:tcPr>
                <w:p w14:paraId="2D593D42">
                  <w:pPr>
                    <w:adjustRightInd w:val="0"/>
                    <w:snapToGrid w:val="0"/>
                    <w:jc w:val="center"/>
                    <w:rPr>
                      <w:color w:val="auto"/>
                      <w:sz w:val="22"/>
                      <w:szCs w:val="22"/>
                      <w:highlight w:val="none"/>
                    </w:rPr>
                  </w:pPr>
                  <w:r>
                    <w:rPr>
                      <w:rFonts w:hint="eastAsia" w:cs="宋体"/>
                      <w:color w:val="auto"/>
                      <w:sz w:val="22"/>
                      <w:szCs w:val="22"/>
                      <w:highlight w:val="none"/>
                    </w:rPr>
                    <w:t>废水排放量</w:t>
                  </w:r>
                  <w:r>
                    <w:rPr>
                      <w:color w:val="auto"/>
                      <w:sz w:val="22"/>
                      <w:szCs w:val="22"/>
                      <w:highlight w:val="none"/>
                    </w:rPr>
                    <w:t>/</w:t>
                  </w:r>
                  <w:r>
                    <w:rPr>
                      <w:rFonts w:hint="eastAsia" w:cs="宋体"/>
                      <w:color w:val="auto"/>
                      <w:sz w:val="22"/>
                      <w:szCs w:val="22"/>
                      <w:highlight w:val="none"/>
                    </w:rPr>
                    <w:t>（万</w:t>
                  </w:r>
                  <w:r>
                    <w:rPr>
                      <w:color w:val="auto"/>
                      <w:sz w:val="22"/>
                      <w:szCs w:val="22"/>
                      <w:highlight w:val="none"/>
                    </w:rPr>
                    <w:t>t/a</w:t>
                  </w:r>
                  <w:r>
                    <w:rPr>
                      <w:rFonts w:hint="eastAsia" w:cs="宋体"/>
                      <w:color w:val="auto"/>
                      <w:sz w:val="22"/>
                      <w:szCs w:val="22"/>
                      <w:highlight w:val="none"/>
                    </w:rPr>
                    <w:t>）</w:t>
                  </w:r>
                </w:p>
              </w:tc>
              <w:tc>
                <w:tcPr>
                  <w:tcW w:w="608" w:type="dxa"/>
                  <w:vMerge w:val="restart"/>
                  <w:tcBorders>
                    <w:top w:val="single" w:color="auto" w:sz="4" w:space="0"/>
                    <w:left w:val="single" w:color="auto" w:sz="4" w:space="0"/>
                    <w:bottom w:val="single" w:color="auto" w:sz="4" w:space="0"/>
                    <w:right w:val="single" w:color="auto" w:sz="4" w:space="0"/>
                  </w:tcBorders>
                  <w:vAlign w:val="center"/>
                </w:tcPr>
                <w:p w14:paraId="4F8EB481">
                  <w:pPr>
                    <w:adjustRightInd w:val="0"/>
                    <w:snapToGrid w:val="0"/>
                    <w:jc w:val="center"/>
                    <w:rPr>
                      <w:color w:val="auto"/>
                      <w:sz w:val="22"/>
                      <w:szCs w:val="22"/>
                      <w:highlight w:val="none"/>
                    </w:rPr>
                  </w:pPr>
                  <w:r>
                    <w:rPr>
                      <w:rFonts w:hint="eastAsia" w:cs="宋体"/>
                      <w:color w:val="auto"/>
                      <w:sz w:val="22"/>
                      <w:szCs w:val="22"/>
                      <w:highlight w:val="none"/>
                    </w:rPr>
                    <w:t>排放去向</w:t>
                  </w:r>
                </w:p>
              </w:tc>
              <w:tc>
                <w:tcPr>
                  <w:tcW w:w="664" w:type="dxa"/>
                  <w:vMerge w:val="restart"/>
                  <w:tcBorders>
                    <w:top w:val="single" w:color="auto" w:sz="4" w:space="0"/>
                    <w:left w:val="single" w:color="auto" w:sz="4" w:space="0"/>
                    <w:bottom w:val="single" w:color="auto" w:sz="4" w:space="0"/>
                    <w:right w:val="single" w:color="auto" w:sz="4" w:space="0"/>
                  </w:tcBorders>
                  <w:vAlign w:val="center"/>
                </w:tcPr>
                <w:p w14:paraId="6485E6E9">
                  <w:pPr>
                    <w:adjustRightInd w:val="0"/>
                    <w:snapToGrid w:val="0"/>
                    <w:jc w:val="center"/>
                    <w:rPr>
                      <w:color w:val="auto"/>
                      <w:sz w:val="22"/>
                      <w:szCs w:val="22"/>
                      <w:highlight w:val="none"/>
                    </w:rPr>
                  </w:pPr>
                  <w:r>
                    <w:rPr>
                      <w:rFonts w:hint="eastAsia" w:cs="宋体"/>
                      <w:color w:val="auto"/>
                      <w:sz w:val="22"/>
                      <w:szCs w:val="22"/>
                      <w:highlight w:val="none"/>
                    </w:rPr>
                    <w:t>排放规律</w:t>
                  </w:r>
                </w:p>
              </w:tc>
              <w:tc>
                <w:tcPr>
                  <w:tcW w:w="694" w:type="dxa"/>
                  <w:vMerge w:val="restart"/>
                  <w:tcBorders>
                    <w:top w:val="single" w:color="auto" w:sz="4" w:space="0"/>
                    <w:left w:val="single" w:color="auto" w:sz="4" w:space="0"/>
                    <w:bottom w:val="single" w:color="auto" w:sz="4" w:space="0"/>
                    <w:right w:val="single" w:color="auto" w:sz="4" w:space="0"/>
                  </w:tcBorders>
                  <w:vAlign w:val="center"/>
                </w:tcPr>
                <w:p w14:paraId="0C2961D7">
                  <w:pPr>
                    <w:adjustRightInd w:val="0"/>
                    <w:snapToGrid w:val="0"/>
                    <w:jc w:val="center"/>
                    <w:rPr>
                      <w:color w:val="auto"/>
                      <w:sz w:val="22"/>
                      <w:szCs w:val="22"/>
                      <w:highlight w:val="none"/>
                    </w:rPr>
                  </w:pPr>
                  <w:r>
                    <w:rPr>
                      <w:rFonts w:hint="eastAsia" w:cs="宋体"/>
                      <w:color w:val="auto"/>
                      <w:sz w:val="22"/>
                      <w:szCs w:val="22"/>
                      <w:highlight w:val="none"/>
                    </w:rPr>
                    <w:t>间歇排放时段</w:t>
                  </w:r>
                </w:p>
              </w:tc>
              <w:tc>
                <w:tcPr>
                  <w:tcW w:w="2749" w:type="dxa"/>
                  <w:gridSpan w:val="3"/>
                  <w:tcBorders>
                    <w:top w:val="single" w:color="auto" w:sz="4" w:space="0"/>
                    <w:left w:val="single" w:color="auto" w:sz="4" w:space="0"/>
                    <w:bottom w:val="single" w:color="auto" w:sz="4" w:space="0"/>
                    <w:right w:val="single" w:color="auto" w:sz="4" w:space="0"/>
                  </w:tcBorders>
                  <w:vAlign w:val="center"/>
                </w:tcPr>
                <w:p w14:paraId="295B0B0B">
                  <w:pPr>
                    <w:adjustRightInd w:val="0"/>
                    <w:snapToGrid w:val="0"/>
                    <w:jc w:val="center"/>
                    <w:rPr>
                      <w:color w:val="auto"/>
                      <w:sz w:val="22"/>
                      <w:szCs w:val="22"/>
                      <w:highlight w:val="none"/>
                    </w:rPr>
                  </w:pPr>
                  <w:r>
                    <w:rPr>
                      <w:rFonts w:hint="eastAsia" w:cs="宋体"/>
                      <w:color w:val="auto"/>
                      <w:sz w:val="22"/>
                      <w:szCs w:val="22"/>
                      <w:highlight w:val="none"/>
                    </w:rPr>
                    <w:t>受纳污水处理厂信息</w:t>
                  </w:r>
                </w:p>
              </w:tc>
            </w:tr>
            <w:tr w14:paraId="4292C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420" w:type="dxa"/>
                  <w:vMerge w:val="continue"/>
                  <w:tcBorders>
                    <w:top w:val="single" w:color="auto" w:sz="4" w:space="0"/>
                    <w:left w:val="single" w:color="auto" w:sz="4" w:space="0"/>
                    <w:bottom w:val="single" w:color="auto" w:sz="4" w:space="0"/>
                    <w:right w:val="single" w:color="auto" w:sz="4" w:space="0"/>
                  </w:tcBorders>
                  <w:vAlign w:val="center"/>
                </w:tcPr>
                <w:p w14:paraId="57C1D603">
                  <w:pPr>
                    <w:adjustRightInd w:val="0"/>
                    <w:snapToGrid w:val="0"/>
                    <w:jc w:val="center"/>
                    <w:rPr>
                      <w:color w:val="auto"/>
                      <w:sz w:val="22"/>
                      <w:szCs w:val="22"/>
                      <w:highlight w:val="none"/>
                    </w:rPr>
                  </w:pPr>
                </w:p>
              </w:tc>
              <w:tc>
                <w:tcPr>
                  <w:tcW w:w="728" w:type="dxa"/>
                  <w:vMerge w:val="continue"/>
                  <w:tcBorders>
                    <w:top w:val="single" w:color="auto" w:sz="4" w:space="0"/>
                    <w:left w:val="single" w:color="auto" w:sz="4" w:space="0"/>
                    <w:bottom w:val="single" w:color="auto" w:sz="4" w:space="0"/>
                    <w:right w:val="single" w:color="auto" w:sz="4" w:space="0"/>
                  </w:tcBorders>
                  <w:vAlign w:val="center"/>
                </w:tcPr>
                <w:p w14:paraId="05E22A3F">
                  <w:pPr>
                    <w:adjustRightInd w:val="0"/>
                    <w:snapToGrid w:val="0"/>
                    <w:jc w:val="center"/>
                    <w:rPr>
                      <w:color w:val="auto"/>
                      <w:sz w:val="22"/>
                      <w:szCs w:val="22"/>
                      <w:highlight w:val="none"/>
                    </w:rPr>
                  </w:pPr>
                </w:p>
              </w:tc>
              <w:tc>
                <w:tcPr>
                  <w:tcW w:w="728" w:type="dxa"/>
                  <w:tcBorders>
                    <w:top w:val="single" w:color="auto" w:sz="4" w:space="0"/>
                    <w:left w:val="single" w:color="auto" w:sz="4" w:space="0"/>
                    <w:bottom w:val="single" w:color="auto" w:sz="4" w:space="0"/>
                    <w:right w:val="single" w:color="auto" w:sz="4" w:space="0"/>
                  </w:tcBorders>
                  <w:vAlign w:val="center"/>
                </w:tcPr>
                <w:p w14:paraId="0331994A">
                  <w:pPr>
                    <w:adjustRightInd w:val="0"/>
                    <w:snapToGrid w:val="0"/>
                    <w:jc w:val="center"/>
                    <w:rPr>
                      <w:color w:val="auto"/>
                      <w:sz w:val="22"/>
                      <w:szCs w:val="22"/>
                      <w:highlight w:val="none"/>
                    </w:rPr>
                  </w:pPr>
                  <w:r>
                    <w:rPr>
                      <w:rFonts w:hint="eastAsia" w:cs="宋体"/>
                      <w:color w:val="auto"/>
                      <w:sz w:val="22"/>
                      <w:szCs w:val="22"/>
                      <w:highlight w:val="none"/>
                    </w:rPr>
                    <w:t>经度</w:t>
                  </w:r>
                </w:p>
              </w:tc>
              <w:tc>
                <w:tcPr>
                  <w:tcW w:w="736" w:type="dxa"/>
                  <w:tcBorders>
                    <w:top w:val="single" w:color="auto" w:sz="4" w:space="0"/>
                    <w:left w:val="single" w:color="auto" w:sz="4" w:space="0"/>
                    <w:bottom w:val="single" w:color="auto" w:sz="4" w:space="0"/>
                    <w:right w:val="single" w:color="auto" w:sz="4" w:space="0"/>
                  </w:tcBorders>
                  <w:vAlign w:val="center"/>
                </w:tcPr>
                <w:p w14:paraId="336F9542">
                  <w:pPr>
                    <w:adjustRightInd w:val="0"/>
                    <w:snapToGrid w:val="0"/>
                    <w:jc w:val="center"/>
                    <w:rPr>
                      <w:color w:val="auto"/>
                      <w:sz w:val="22"/>
                      <w:szCs w:val="22"/>
                      <w:highlight w:val="none"/>
                    </w:rPr>
                  </w:pPr>
                  <w:r>
                    <w:rPr>
                      <w:rFonts w:hint="eastAsia" w:cs="宋体"/>
                      <w:color w:val="auto"/>
                      <w:sz w:val="22"/>
                      <w:szCs w:val="22"/>
                      <w:highlight w:val="none"/>
                    </w:rPr>
                    <w:t>纬度</w:t>
                  </w:r>
                </w:p>
              </w:tc>
              <w:tc>
                <w:tcPr>
                  <w:tcW w:w="728" w:type="dxa"/>
                  <w:vMerge w:val="continue"/>
                  <w:tcBorders>
                    <w:top w:val="single" w:color="auto" w:sz="4" w:space="0"/>
                    <w:left w:val="single" w:color="auto" w:sz="4" w:space="0"/>
                    <w:bottom w:val="single" w:color="auto" w:sz="4" w:space="0"/>
                    <w:right w:val="single" w:color="auto" w:sz="4" w:space="0"/>
                  </w:tcBorders>
                  <w:vAlign w:val="center"/>
                </w:tcPr>
                <w:p w14:paraId="23912A89">
                  <w:pPr>
                    <w:adjustRightInd w:val="0"/>
                    <w:snapToGrid w:val="0"/>
                    <w:jc w:val="center"/>
                    <w:rPr>
                      <w:color w:val="auto"/>
                      <w:sz w:val="22"/>
                      <w:szCs w:val="22"/>
                      <w:highlight w:val="none"/>
                    </w:rPr>
                  </w:pPr>
                </w:p>
              </w:tc>
              <w:tc>
                <w:tcPr>
                  <w:tcW w:w="608" w:type="dxa"/>
                  <w:vMerge w:val="continue"/>
                  <w:tcBorders>
                    <w:top w:val="single" w:color="auto" w:sz="4" w:space="0"/>
                    <w:left w:val="single" w:color="auto" w:sz="4" w:space="0"/>
                    <w:bottom w:val="single" w:color="auto" w:sz="4" w:space="0"/>
                    <w:right w:val="single" w:color="auto" w:sz="4" w:space="0"/>
                  </w:tcBorders>
                  <w:vAlign w:val="center"/>
                </w:tcPr>
                <w:p w14:paraId="07F95EA6">
                  <w:pPr>
                    <w:adjustRightInd w:val="0"/>
                    <w:snapToGrid w:val="0"/>
                    <w:jc w:val="center"/>
                    <w:rPr>
                      <w:color w:val="auto"/>
                      <w:sz w:val="22"/>
                      <w:szCs w:val="22"/>
                      <w:highlight w:val="none"/>
                    </w:rPr>
                  </w:pPr>
                </w:p>
              </w:tc>
              <w:tc>
                <w:tcPr>
                  <w:tcW w:w="664" w:type="dxa"/>
                  <w:vMerge w:val="continue"/>
                  <w:tcBorders>
                    <w:top w:val="single" w:color="auto" w:sz="4" w:space="0"/>
                    <w:left w:val="single" w:color="auto" w:sz="4" w:space="0"/>
                    <w:bottom w:val="single" w:color="auto" w:sz="4" w:space="0"/>
                    <w:right w:val="single" w:color="auto" w:sz="4" w:space="0"/>
                  </w:tcBorders>
                  <w:vAlign w:val="center"/>
                </w:tcPr>
                <w:p w14:paraId="209815C1">
                  <w:pPr>
                    <w:adjustRightInd w:val="0"/>
                    <w:snapToGrid w:val="0"/>
                    <w:jc w:val="center"/>
                    <w:rPr>
                      <w:color w:val="auto"/>
                      <w:sz w:val="22"/>
                      <w:szCs w:val="22"/>
                      <w:highlight w:val="none"/>
                    </w:rPr>
                  </w:pPr>
                </w:p>
              </w:tc>
              <w:tc>
                <w:tcPr>
                  <w:tcW w:w="694" w:type="dxa"/>
                  <w:vMerge w:val="continue"/>
                  <w:tcBorders>
                    <w:top w:val="single" w:color="auto" w:sz="4" w:space="0"/>
                    <w:left w:val="single" w:color="auto" w:sz="4" w:space="0"/>
                    <w:bottom w:val="single" w:color="auto" w:sz="4" w:space="0"/>
                    <w:right w:val="single" w:color="auto" w:sz="4" w:space="0"/>
                  </w:tcBorders>
                  <w:vAlign w:val="center"/>
                </w:tcPr>
                <w:p w14:paraId="431BA31B">
                  <w:pPr>
                    <w:adjustRightInd w:val="0"/>
                    <w:snapToGrid w:val="0"/>
                    <w:jc w:val="center"/>
                    <w:rPr>
                      <w:color w:val="auto"/>
                      <w:sz w:val="22"/>
                      <w:szCs w:val="22"/>
                      <w:highlight w:val="none"/>
                    </w:rPr>
                  </w:pPr>
                </w:p>
              </w:tc>
              <w:tc>
                <w:tcPr>
                  <w:tcW w:w="728" w:type="dxa"/>
                  <w:tcBorders>
                    <w:top w:val="single" w:color="auto" w:sz="4" w:space="0"/>
                    <w:left w:val="single" w:color="auto" w:sz="4" w:space="0"/>
                    <w:bottom w:val="single" w:color="auto" w:sz="4" w:space="0"/>
                    <w:right w:val="single" w:color="auto" w:sz="4" w:space="0"/>
                  </w:tcBorders>
                  <w:vAlign w:val="center"/>
                </w:tcPr>
                <w:p w14:paraId="3D1F43D8">
                  <w:pPr>
                    <w:adjustRightInd w:val="0"/>
                    <w:snapToGrid w:val="0"/>
                    <w:jc w:val="center"/>
                    <w:rPr>
                      <w:color w:val="auto"/>
                      <w:sz w:val="22"/>
                      <w:szCs w:val="22"/>
                      <w:highlight w:val="none"/>
                    </w:rPr>
                  </w:pPr>
                  <w:r>
                    <w:rPr>
                      <w:rFonts w:hint="eastAsia" w:cs="宋体"/>
                      <w:color w:val="auto"/>
                      <w:sz w:val="22"/>
                      <w:szCs w:val="22"/>
                      <w:highlight w:val="none"/>
                    </w:rPr>
                    <w:t>名称</w:t>
                  </w:r>
                </w:p>
              </w:tc>
              <w:tc>
                <w:tcPr>
                  <w:tcW w:w="728" w:type="dxa"/>
                  <w:tcBorders>
                    <w:top w:val="single" w:color="auto" w:sz="4" w:space="0"/>
                    <w:left w:val="single" w:color="auto" w:sz="4" w:space="0"/>
                    <w:bottom w:val="single" w:color="auto" w:sz="4" w:space="0"/>
                    <w:right w:val="single" w:color="auto" w:sz="4" w:space="0"/>
                  </w:tcBorders>
                  <w:vAlign w:val="center"/>
                </w:tcPr>
                <w:p w14:paraId="09EC3ED2">
                  <w:pPr>
                    <w:adjustRightInd w:val="0"/>
                    <w:snapToGrid w:val="0"/>
                    <w:jc w:val="center"/>
                    <w:rPr>
                      <w:color w:val="auto"/>
                      <w:sz w:val="22"/>
                      <w:szCs w:val="22"/>
                      <w:highlight w:val="none"/>
                    </w:rPr>
                  </w:pPr>
                  <w:r>
                    <w:rPr>
                      <w:rFonts w:hint="eastAsia" w:cs="宋体"/>
                      <w:color w:val="auto"/>
                      <w:sz w:val="22"/>
                      <w:szCs w:val="22"/>
                      <w:highlight w:val="none"/>
                    </w:rPr>
                    <w:t>污染物种类</w:t>
                  </w:r>
                </w:p>
              </w:tc>
              <w:tc>
                <w:tcPr>
                  <w:tcW w:w="1293" w:type="dxa"/>
                  <w:tcBorders>
                    <w:top w:val="single" w:color="auto" w:sz="4" w:space="0"/>
                    <w:left w:val="single" w:color="auto" w:sz="4" w:space="0"/>
                    <w:bottom w:val="single" w:color="auto" w:sz="4" w:space="0"/>
                    <w:right w:val="single" w:color="auto" w:sz="4" w:space="0"/>
                  </w:tcBorders>
                  <w:vAlign w:val="center"/>
                </w:tcPr>
                <w:p w14:paraId="0C749EAD">
                  <w:pPr>
                    <w:adjustRightInd w:val="0"/>
                    <w:snapToGrid w:val="0"/>
                    <w:jc w:val="center"/>
                    <w:rPr>
                      <w:color w:val="auto"/>
                      <w:sz w:val="22"/>
                      <w:szCs w:val="22"/>
                      <w:highlight w:val="none"/>
                    </w:rPr>
                  </w:pPr>
                  <w:r>
                    <w:rPr>
                      <w:rFonts w:hint="eastAsia" w:cs="宋体"/>
                      <w:color w:val="auto"/>
                      <w:sz w:val="22"/>
                      <w:szCs w:val="22"/>
                      <w:highlight w:val="none"/>
                    </w:rPr>
                    <w:t>国家或地方污染物排放标准浓度</w:t>
                  </w:r>
                  <w:r>
                    <w:rPr>
                      <w:color w:val="auto"/>
                      <w:sz w:val="22"/>
                      <w:szCs w:val="22"/>
                      <w:highlight w:val="none"/>
                    </w:rPr>
                    <w:t>/</w:t>
                  </w:r>
                  <w:r>
                    <w:rPr>
                      <w:rFonts w:hint="eastAsia" w:cs="宋体"/>
                      <w:color w:val="auto"/>
                      <w:sz w:val="22"/>
                      <w:szCs w:val="22"/>
                      <w:highlight w:val="none"/>
                    </w:rPr>
                    <w:t>（</w:t>
                  </w:r>
                  <w:r>
                    <w:rPr>
                      <w:color w:val="auto"/>
                      <w:sz w:val="22"/>
                      <w:szCs w:val="22"/>
                      <w:highlight w:val="none"/>
                    </w:rPr>
                    <w:t>mg/L</w:t>
                  </w:r>
                  <w:r>
                    <w:rPr>
                      <w:rFonts w:hint="eastAsia" w:cs="宋体"/>
                      <w:color w:val="auto"/>
                      <w:sz w:val="22"/>
                      <w:szCs w:val="22"/>
                      <w:highlight w:val="none"/>
                    </w:rPr>
                    <w:t>）</w:t>
                  </w:r>
                </w:p>
              </w:tc>
            </w:tr>
            <w:tr w14:paraId="06274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2" w:hRule="atLeast"/>
                <w:jc w:val="center"/>
              </w:trPr>
              <w:tc>
                <w:tcPr>
                  <w:tcW w:w="420" w:type="dxa"/>
                  <w:tcBorders>
                    <w:top w:val="single" w:color="auto" w:sz="4" w:space="0"/>
                    <w:left w:val="single" w:color="auto" w:sz="4" w:space="0"/>
                    <w:bottom w:val="single" w:color="auto" w:sz="4" w:space="0"/>
                    <w:right w:val="single" w:color="auto" w:sz="4" w:space="0"/>
                  </w:tcBorders>
                  <w:vAlign w:val="center"/>
                </w:tcPr>
                <w:p w14:paraId="4F6C942A">
                  <w:pPr>
                    <w:pStyle w:val="114"/>
                    <w:spacing w:line="240" w:lineRule="auto"/>
                    <w:rPr>
                      <w:color w:val="auto"/>
                      <w:sz w:val="22"/>
                      <w:szCs w:val="22"/>
                      <w:highlight w:val="none"/>
                    </w:rPr>
                  </w:pPr>
                  <w:r>
                    <w:rPr>
                      <w:rFonts w:ascii="Times New Roman" w:hAnsi="Times New Roman" w:cs="Times New Roman"/>
                      <w:color w:val="auto"/>
                      <w:highlight w:val="none"/>
                    </w:rPr>
                    <w:t>1</w:t>
                  </w:r>
                </w:p>
              </w:tc>
              <w:tc>
                <w:tcPr>
                  <w:tcW w:w="728" w:type="dxa"/>
                  <w:tcBorders>
                    <w:top w:val="single" w:color="auto" w:sz="4" w:space="0"/>
                    <w:left w:val="single" w:color="auto" w:sz="4" w:space="0"/>
                    <w:bottom w:val="single" w:color="auto" w:sz="4" w:space="0"/>
                    <w:right w:val="single" w:color="auto" w:sz="4" w:space="0"/>
                  </w:tcBorders>
                  <w:vAlign w:val="center"/>
                </w:tcPr>
                <w:p w14:paraId="20BCB61C">
                  <w:pPr>
                    <w:pStyle w:val="114"/>
                    <w:spacing w:line="240" w:lineRule="auto"/>
                    <w:ind w:left="0" w:leftChars="0" w:firstLine="0" w:firstLineChars="0"/>
                    <w:jc w:val="both"/>
                    <w:rPr>
                      <w:color w:val="auto"/>
                      <w:sz w:val="22"/>
                      <w:szCs w:val="22"/>
                      <w:highlight w:val="none"/>
                    </w:rPr>
                  </w:pPr>
                  <w:r>
                    <w:rPr>
                      <w:rFonts w:ascii="Times New Roman" w:hAnsi="Times New Roman" w:cs="Times New Roman"/>
                      <w:color w:val="auto"/>
                      <w:highlight w:val="none"/>
                    </w:rPr>
                    <w:t>DW001</w:t>
                  </w:r>
                </w:p>
              </w:tc>
              <w:tc>
                <w:tcPr>
                  <w:tcW w:w="728" w:type="dxa"/>
                  <w:tcBorders>
                    <w:top w:val="single" w:color="auto" w:sz="4" w:space="0"/>
                    <w:left w:val="single" w:color="auto" w:sz="4" w:space="0"/>
                    <w:bottom w:val="single" w:color="auto" w:sz="4" w:space="0"/>
                    <w:right w:val="single" w:color="auto" w:sz="4" w:space="0"/>
                  </w:tcBorders>
                  <w:vAlign w:val="center"/>
                </w:tcPr>
                <w:p w14:paraId="6F8B6E8B">
                  <w:pPr>
                    <w:pStyle w:val="114"/>
                    <w:spacing w:line="240" w:lineRule="auto"/>
                    <w:ind w:left="0" w:leftChars="0" w:firstLine="0" w:firstLineChars="0"/>
                    <w:jc w:val="both"/>
                    <w:rPr>
                      <w:color w:val="auto"/>
                      <w:sz w:val="22"/>
                      <w:szCs w:val="22"/>
                      <w:highlight w:val="none"/>
                    </w:rPr>
                  </w:pPr>
                  <w:r>
                    <w:rPr>
                      <w:rFonts w:hint="eastAsia"/>
                      <w:color w:val="auto"/>
                      <w:sz w:val="22"/>
                      <w:szCs w:val="22"/>
                      <w:highlight w:val="none"/>
                    </w:rPr>
                    <w:t>116.85292708</w:t>
                  </w:r>
                </w:p>
              </w:tc>
              <w:tc>
                <w:tcPr>
                  <w:tcW w:w="736" w:type="dxa"/>
                  <w:tcBorders>
                    <w:top w:val="single" w:color="auto" w:sz="4" w:space="0"/>
                    <w:left w:val="single" w:color="auto" w:sz="4" w:space="0"/>
                    <w:bottom w:val="single" w:color="auto" w:sz="4" w:space="0"/>
                    <w:right w:val="single" w:color="auto" w:sz="4" w:space="0"/>
                  </w:tcBorders>
                  <w:vAlign w:val="center"/>
                </w:tcPr>
                <w:p w14:paraId="79051DA9">
                  <w:pPr>
                    <w:pStyle w:val="114"/>
                    <w:spacing w:line="240" w:lineRule="auto"/>
                    <w:ind w:left="0" w:leftChars="0" w:firstLine="0" w:firstLineChars="0"/>
                    <w:jc w:val="both"/>
                    <w:rPr>
                      <w:color w:val="auto"/>
                      <w:sz w:val="22"/>
                      <w:szCs w:val="22"/>
                      <w:highlight w:val="none"/>
                    </w:rPr>
                  </w:pPr>
                  <w:r>
                    <w:rPr>
                      <w:rFonts w:hint="eastAsia"/>
                      <w:color w:val="auto"/>
                      <w:sz w:val="22"/>
                      <w:szCs w:val="22"/>
                      <w:highlight w:val="none"/>
                    </w:rPr>
                    <w:t>33.81248947</w:t>
                  </w:r>
                </w:p>
              </w:tc>
              <w:tc>
                <w:tcPr>
                  <w:tcW w:w="728" w:type="dxa"/>
                  <w:tcBorders>
                    <w:top w:val="single" w:color="auto" w:sz="4" w:space="0"/>
                    <w:left w:val="single" w:color="auto" w:sz="4" w:space="0"/>
                    <w:bottom w:val="single" w:color="auto" w:sz="4" w:space="0"/>
                    <w:right w:val="single" w:color="auto" w:sz="4" w:space="0"/>
                  </w:tcBorders>
                  <w:vAlign w:val="center"/>
                </w:tcPr>
                <w:p w14:paraId="6360860A">
                  <w:pPr>
                    <w:pStyle w:val="114"/>
                    <w:spacing w:line="240" w:lineRule="auto"/>
                    <w:ind w:left="0" w:leftChars="0" w:firstLine="0" w:firstLineChars="0"/>
                    <w:jc w:val="both"/>
                    <w:rPr>
                      <w:rFonts w:hint="default" w:eastAsia="宋体"/>
                      <w:color w:val="auto"/>
                      <w:sz w:val="22"/>
                      <w:szCs w:val="22"/>
                      <w:highlight w:val="none"/>
                      <w:lang w:val="en-US" w:eastAsia="zh-CN"/>
                    </w:rPr>
                  </w:pPr>
                  <w:r>
                    <w:rPr>
                      <w:rFonts w:hint="eastAsia" w:ascii="Times New Roman" w:hAnsi="Times New Roman" w:cs="Times New Roman"/>
                      <w:color w:val="auto"/>
                      <w:highlight w:val="none"/>
                    </w:rPr>
                    <w:t>0.</w:t>
                  </w:r>
                  <w:r>
                    <w:rPr>
                      <w:rFonts w:hint="eastAsia" w:ascii="Times New Roman" w:hAnsi="Times New Roman" w:cs="Times New Roman"/>
                      <w:color w:val="auto"/>
                      <w:highlight w:val="none"/>
                      <w:lang w:val="en-US" w:eastAsia="zh-CN"/>
                    </w:rPr>
                    <w:t>0288</w:t>
                  </w:r>
                </w:p>
              </w:tc>
              <w:tc>
                <w:tcPr>
                  <w:tcW w:w="608" w:type="dxa"/>
                  <w:tcBorders>
                    <w:top w:val="single" w:color="auto" w:sz="4" w:space="0"/>
                    <w:left w:val="single" w:color="auto" w:sz="4" w:space="0"/>
                    <w:bottom w:val="single" w:color="auto" w:sz="4" w:space="0"/>
                    <w:right w:val="single" w:color="auto" w:sz="4" w:space="0"/>
                  </w:tcBorders>
                  <w:vAlign w:val="center"/>
                </w:tcPr>
                <w:p w14:paraId="3EBBCB6B">
                  <w:pPr>
                    <w:pStyle w:val="114"/>
                    <w:spacing w:line="240" w:lineRule="auto"/>
                    <w:ind w:left="0" w:leftChars="0" w:firstLine="0" w:firstLineChars="0"/>
                    <w:jc w:val="center"/>
                    <w:rPr>
                      <w:color w:val="auto"/>
                      <w:sz w:val="22"/>
                      <w:szCs w:val="22"/>
                      <w:highlight w:val="none"/>
                    </w:rPr>
                  </w:pPr>
                  <w:r>
                    <w:rPr>
                      <w:rFonts w:hint="eastAsia" w:ascii="Times New Roman" w:hAnsi="Times New Roman" w:cs="Times New Roman"/>
                      <w:color w:val="auto"/>
                      <w:highlight w:val="none"/>
                      <w:lang w:eastAsia="zh-CN"/>
                    </w:rPr>
                    <w:t>工</w:t>
                  </w:r>
                  <w:r>
                    <w:rPr>
                      <w:rFonts w:ascii="Times New Roman" w:hAnsi="Times New Roman" w:cs="Times New Roman"/>
                      <w:color w:val="auto"/>
                      <w:highlight w:val="none"/>
                    </w:rPr>
                    <w:t>业废水集中处理厂</w:t>
                  </w:r>
                </w:p>
              </w:tc>
              <w:tc>
                <w:tcPr>
                  <w:tcW w:w="664" w:type="dxa"/>
                  <w:tcBorders>
                    <w:top w:val="single" w:color="auto" w:sz="4" w:space="0"/>
                    <w:left w:val="single" w:color="auto" w:sz="4" w:space="0"/>
                    <w:bottom w:val="single" w:color="auto" w:sz="4" w:space="0"/>
                    <w:right w:val="single" w:color="auto" w:sz="4" w:space="0"/>
                  </w:tcBorders>
                  <w:vAlign w:val="center"/>
                </w:tcPr>
                <w:p w14:paraId="465382C9">
                  <w:pPr>
                    <w:pStyle w:val="114"/>
                    <w:spacing w:line="240" w:lineRule="auto"/>
                    <w:ind w:left="0" w:leftChars="0" w:firstLine="0" w:firstLineChars="0"/>
                    <w:jc w:val="both"/>
                    <w:rPr>
                      <w:color w:val="auto"/>
                      <w:sz w:val="22"/>
                      <w:szCs w:val="22"/>
                      <w:highlight w:val="none"/>
                    </w:rPr>
                  </w:pPr>
                  <w:r>
                    <w:rPr>
                      <w:rFonts w:ascii="Times New Roman" w:hAnsi="Times New Roman" w:cs="Times New Roman"/>
                      <w:color w:val="auto"/>
                      <w:highlight w:val="none"/>
                    </w:rPr>
                    <w:t>间断排放，排放期间流量稳定</w:t>
                  </w:r>
                </w:p>
              </w:tc>
              <w:tc>
                <w:tcPr>
                  <w:tcW w:w="694" w:type="dxa"/>
                  <w:tcBorders>
                    <w:top w:val="single" w:color="auto" w:sz="4" w:space="0"/>
                    <w:left w:val="single" w:color="auto" w:sz="4" w:space="0"/>
                    <w:bottom w:val="single" w:color="auto" w:sz="4" w:space="0"/>
                    <w:right w:val="single" w:color="auto" w:sz="4" w:space="0"/>
                  </w:tcBorders>
                  <w:vAlign w:val="center"/>
                </w:tcPr>
                <w:p w14:paraId="177BA5DF">
                  <w:pPr>
                    <w:pStyle w:val="114"/>
                    <w:spacing w:line="240" w:lineRule="auto"/>
                    <w:ind w:left="0" w:leftChars="0" w:firstLine="0" w:firstLineChars="0"/>
                    <w:jc w:val="both"/>
                    <w:rPr>
                      <w:color w:val="auto"/>
                      <w:sz w:val="22"/>
                      <w:szCs w:val="22"/>
                      <w:highlight w:val="none"/>
                    </w:rPr>
                  </w:pPr>
                  <w:r>
                    <w:rPr>
                      <w:rFonts w:ascii="Times New Roman" w:hAnsi="Times New Roman" w:cs="Times New Roman"/>
                      <w:color w:val="auto"/>
                      <w:highlight w:val="none"/>
                    </w:rPr>
                    <w:t>--</w:t>
                  </w:r>
                </w:p>
              </w:tc>
              <w:tc>
                <w:tcPr>
                  <w:tcW w:w="728" w:type="dxa"/>
                  <w:tcBorders>
                    <w:top w:val="single" w:color="auto" w:sz="4" w:space="0"/>
                    <w:left w:val="single" w:color="auto" w:sz="4" w:space="0"/>
                    <w:bottom w:val="single" w:color="auto" w:sz="4" w:space="0"/>
                    <w:right w:val="single" w:color="auto" w:sz="4" w:space="0"/>
                  </w:tcBorders>
                  <w:vAlign w:val="center"/>
                </w:tcPr>
                <w:p w14:paraId="23A107ED">
                  <w:pPr>
                    <w:pStyle w:val="114"/>
                    <w:spacing w:line="240" w:lineRule="auto"/>
                    <w:ind w:left="0" w:leftChars="0" w:firstLine="0" w:firstLineChars="0"/>
                    <w:jc w:val="center"/>
                    <w:rPr>
                      <w:color w:val="auto"/>
                      <w:sz w:val="22"/>
                      <w:szCs w:val="22"/>
                      <w:highlight w:val="none"/>
                    </w:rPr>
                  </w:pPr>
                  <w:r>
                    <w:rPr>
                      <w:rFonts w:hint="eastAsia" w:ascii="Times New Roman" w:hAnsi="Times New Roman" w:cs="Times New Roman"/>
                      <w:color w:val="auto"/>
                      <w:highlight w:val="none"/>
                    </w:rPr>
                    <w:t>淮北蓝海水处理有限公司</w:t>
                  </w:r>
                </w:p>
              </w:tc>
              <w:tc>
                <w:tcPr>
                  <w:tcW w:w="728" w:type="dxa"/>
                  <w:tcBorders>
                    <w:top w:val="single" w:color="auto" w:sz="4" w:space="0"/>
                    <w:left w:val="single" w:color="auto" w:sz="4" w:space="0"/>
                    <w:bottom w:val="single" w:color="auto" w:sz="4" w:space="0"/>
                    <w:right w:val="single" w:color="auto" w:sz="4" w:space="0"/>
                  </w:tcBorders>
                  <w:vAlign w:val="center"/>
                </w:tcPr>
                <w:p w14:paraId="26DDD62D">
                  <w:pPr>
                    <w:pStyle w:val="114"/>
                    <w:spacing w:line="240" w:lineRule="auto"/>
                    <w:ind w:left="0" w:leftChars="0" w:firstLine="0" w:firstLineChars="0"/>
                    <w:jc w:val="center"/>
                    <w:rPr>
                      <w:color w:val="auto"/>
                      <w:sz w:val="22"/>
                      <w:szCs w:val="22"/>
                      <w:highlight w:val="none"/>
                    </w:rPr>
                  </w:pPr>
                  <w:r>
                    <w:rPr>
                      <w:rFonts w:ascii="Times New Roman" w:hAnsi="Times New Roman" w:cs="Times New Roman"/>
                      <w:color w:val="auto"/>
                      <w:highlight w:val="none"/>
                    </w:rPr>
                    <w:t>pH、COD、NH</w:t>
                  </w:r>
                  <w:r>
                    <w:rPr>
                      <w:rFonts w:ascii="Times New Roman" w:hAnsi="Times New Roman" w:cs="Times New Roman"/>
                      <w:color w:val="auto"/>
                      <w:highlight w:val="none"/>
                      <w:vertAlign w:val="subscript"/>
                    </w:rPr>
                    <w:t>3</w:t>
                  </w:r>
                  <w:r>
                    <w:rPr>
                      <w:rFonts w:ascii="Times New Roman" w:hAnsi="Times New Roman" w:cs="Times New Roman"/>
                      <w:color w:val="auto"/>
                      <w:highlight w:val="none"/>
                    </w:rPr>
                    <w:t>-N、SS、BOD</w:t>
                  </w:r>
                  <w:r>
                    <w:rPr>
                      <w:rFonts w:hint="eastAsia" w:ascii="Times New Roman" w:hAnsi="Times New Roman" w:cs="Times New Roman"/>
                      <w:color w:val="auto"/>
                      <w:highlight w:val="none"/>
                      <w:vertAlign w:val="subscript"/>
                    </w:rPr>
                    <w:t>5</w:t>
                  </w:r>
                </w:p>
              </w:tc>
              <w:tc>
                <w:tcPr>
                  <w:tcW w:w="1293" w:type="dxa"/>
                  <w:tcBorders>
                    <w:top w:val="single" w:color="auto" w:sz="4" w:space="0"/>
                    <w:left w:val="single" w:color="auto" w:sz="4" w:space="0"/>
                    <w:bottom w:val="single" w:color="auto" w:sz="4" w:space="0"/>
                    <w:right w:val="single" w:color="auto" w:sz="4" w:space="0"/>
                  </w:tcBorders>
                  <w:vAlign w:val="center"/>
                </w:tcPr>
                <w:p w14:paraId="1C5ED5DF">
                  <w:pPr>
                    <w:pStyle w:val="114"/>
                    <w:spacing w:line="240" w:lineRule="auto"/>
                    <w:ind w:left="0" w:leftChars="0" w:firstLine="0" w:firstLineChars="0"/>
                    <w:jc w:val="both"/>
                    <w:rPr>
                      <w:color w:val="auto"/>
                      <w:sz w:val="22"/>
                      <w:szCs w:val="22"/>
                      <w:highlight w:val="none"/>
                    </w:rPr>
                  </w:pPr>
                  <w:r>
                    <w:rPr>
                      <w:rFonts w:ascii="Times New Roman" w:hAnsi="Times New Roman" w:cs="Times New Roman"/>
                      <w:color w:val="auto"/>
                      <w:highlight w:val="none"/>
                    </w:rPr>
                    <w:t>pH：6～9，NH</w:t>
                  </w:r>
                  <w:r>
                    <w:rPr>
                      <w:rFonts w:ascii="Times New Roman" w:hAnsi="Times New Roman" w:cs="Times New Roman"/>
                      <w:color w:val="auto"/>
                      <w:highlight w:val="none"/>
                      <w:vertAlign w:val="subscript"/>
                    </w:rPr>
                    <w:t>3</w:t>
                  </w:r>
                  <w:r>
                    <w:rPr>
                      <w:rFonts w:ascii="Times New Roman" w:hAnsi="Times New Roman" w:cs="Times New Roman"/>
                      <w:color w:val="auto"/>
                      <w:highlight w:val="none"/>
                    </w:rPr>
                    <w:t>-N：</w:t>
                  </w:r>
                  <w:r>
                    <w:rPr>
                      <w:rFonts w:hint="eastAsia" w:ascii="Times New Roman" w:hAnsi="Times New Roman" w:cs="Times New Roman"/>
                      <w:color w:val="auto"/>
                      <w:highlight w:val="none"/>
                    </w:rPr>
                    <w:t>35</w:t>
                  </w:r>
                  <w:r>
                    <w:rPr>
                      <w:rFonts w:ascii="Times New Roman" w:hAnsi="Times New Roman" w:cs="Times New Roman"/>
                      <w:color w:val="auto"/>
                      <w:highlight w:val="none"/>
                    </w:rPr>
                    <w:t>，COD：</w:t>
                  </w:r>
                  <w:r>
                    <w:rPr>
                      <w:rFonts w:hint="eastAsia" w:ascii="Times New Roman" w:hAnsi="Times New Roman" w:cs="Times New Roman"/>
                      <w:color w:val="auto"/>
                      <w:highlight w:val="none"/>
                    </w:rPr>
                    <w:t>480</w:t>
                  </w:r>
                  <w:r>
                    <w:rPr>
                      <w:rFonts w:ascii="Times New Roman" w:hAnsi="Times New Roman" w:cs="Times New Roman"/>
                      <w:color w:val="auto"/>
                      <w:highlight w:val="none"/>
                    </w:rPr>
                    <w:t>，SS：</w:t>
                  </w:r>
                  <w:r>
                    <w:rPr>
                      <w:rFonts w:hint="eastAsia" w:ascii="Times New Roman" w:hAnsi="Times New Roman" w:cs="Times New Roman"/>
                      <w:color w:val="auto"/>
                      <w:highlight w:val="none"/>
                    </w:rPr>
                    <w:t>310</w:t>
                  </w:r>
                  <w:r>
                    <w:rPr>
                      <w:rFonts w:ascii="Times New Roman" w:hAnsi="Times New Roman" w:cs="Times New Roman"/>
                      <w:color w:val="auto"/>
                      <w:highlight w:val="none"/>
                    </w:rPr>
                    <w:t>，BOD</w:t>
                  </w:r>
                  <w:r>
                    <w:rPr>
                      <w:rFonts w:ascii="Times New Roman" w:hAnsi="Times New Roman" w:cs="Times New Roman"/>
                      <w:color w:val="auto"/>
                      <w:highlight w:val="none"/>
                      <w:vertAlign w:val="subscript"/>
                    </w:rPr>
                    <w:t>5</w:t>
                  </w:r>
                  <w:r>
                    <w:rPr>
                      <w:rFonts w:ascii="Times New Roman" w:hAnsi="Times New Roman" w:cs="Times New Roman"/>
                      <w:color w:val="auto"/>
                      <w:highlight w:val="none"/>
                    </w:rPr>
                    <w:t>：</w:t>
                  </w:r>
                  <w:r>
                    <w:rPr>
                      <w:rFonts w:hint="eastAsia" w:ascii="Times New Roman" w:hAnsi="Times New Roman" w:cs="Times New Roman"/>
                      <w:color w:val="auto"/>
                      <w:highlight w:val="none"/>
                    </w:rPr>
                    <w:t>120</w:t>
                  </w:r>
                </w:p>
              </w:tc>
            </w:tr>
          </w:tbl>
          <w:p w14:paraId="0D007EBB">
            <w:pPr>
              <w:jc w:val="center"/>
              <w:rPr>
                <w:rFonts w:ascii="Times New Roman" w:hAnsi="Times New Roman" w:cs="Times New Roman"/>
                <w:color w:val="auto"/>
                <w:sz w:val="24"/>
                <w:highlight w:val="none"/>
              </w:rPr>
            </w:pPr>
          </w:p>
          <w:p w14:paraId="362DFFE9">
            <w:pPr>
              <w:spacing w:line="360" w:lineRule="auto"/>
              <w:ind w:firstLine="482" w:firstLineChars="200"/>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lang w:val="en-US" w:eastAsia="zh-CN"/>
              </w:rPr>
              <w:t>1.3</w:t>
            </w:r>
            <w:r>
              <w:rPr>
                <w:rFonts w:hint="eastAsia" w:asciiTheme="minorEastAsia" w:hAnsiTheme="minorEastAsia" w:eastAsiaTheme="minorEastAsia" w:cstheme="minorEastAsia"/>
                <w:b/>
                <w:bCs/>
                <w:color w:val="auto"/>
                <w:sz w:val="24"/>
                <w:szCs w:val="24"/>
                <w:highlight w:val="none"/>
              </w:rPr>
              <w:t>废水处理可行性分析</w:t>
            </w:r>
          </w:p>
          <w:p w14:paraId="700CCBC4">
            <w:pPr>
              <w:spacing w:line="360" w:lineRule="auto"/>
              <w:ind w:firstLine="480" w:firstLineChars="200"/>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b w:val="0"/>
                <w:bCs w:val="0"/>
                <w:color w:val="auto"/>
                <w:sz w:val="24"/>
                <w:szCs w:val="24"/>
                <w:highlight w:val="none"/>
              </w:rPr>
              <w:t>1）废水处理措施可行性分析</w:t>
            </w:r>
          </w:p>
          <w:p w14:paraId="5DFF7DD3">
            <w:pPr>
              <w:spacing w:line="360" w:lineRule="auto"/>
              <w:ind w:firstLine="480" w:firstLineChars="200"/>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b w:val="0"/>
                <w:bCs w:val="0"/>
                <w:color w:val="auto"/>
                <w:sz w:val="24"/>
                <w:szCs w:val="24"/>
                <w:highlight w:val="none"/>
              </w:rPr>
              <w:t>根据</w:t>
            </w:r>
            <w:r>
              <w:rPr>
                <w:rFonts w:hint="eastAsia" w:asciiTheme="minorEastAsia" w:hAnsiTheme="minorEastAsia" w:eastAsiaTheme="minorEastAsia" w:cstheme="minorEastAsia"/>
                <w:b w:val="0"/>
                <w:bCs w:val="0"/>
                <w:color w:val="auto"/>
                <w:sz w:val="24"/>
                <w:szCs w:val="24"/>
                <w:highlight w:val="none"/>
                <w:shd w:val="clear" w:color="auto" w:fill="auto"/>
              </w:rPr>
              <w:t>表</w:t>
            </w:r>
            <w:r>
              <w:rPr>
                <w:rFonts w:hint="eastAsia" w:asciiTheme="minorEastAsia" w:hAnsiTheme="minorEastAsia" w:eastAsiaTheme="minorEastAsia" w:cstheme="minorEastAsia"/>
                <w:b w:val="0"/>
                <w:bCs w:val="0"/>
                <w:color w:val="auto"/>
                <w:sz w:val="24"/>
                <w:szCs w:val="24"/>
                <w:highlight w:val="none"/>
                <w:shd w:val="clear" w:color="auto" w:fill="auto"/>
                <w:lang w:val="en-US" w:eastAsia="zh-CN"/>
              </w:rPr>
              <w:t>4-8</w:t>
            </w:r>
            <w:r>
              <w:rPr>
                <w:rFonts w:hint="eastAsia" w:asciiTheme="minorEastAsia" w:hAnsiTheme="minorEastAsia" w:eastAsiaTheme="minorEastAsia" w:cstheme="minorEastAsia"/>
                <w:b w:val="0"/>
                <w:bCs w:val="0"/>
                <w:color w:val="auto"/>
                <w:sz w:val="24"/>
                <w:szCs w:val="24"/>
                <w:highlight w:val="none"/>
              </w:rPr>
              <w:t>废水污染物源强、治理措施、污染物去除效率及废水排放计算结果，本项目处理后废水污染物浓度能够满足</w:t>
            </w:r>
            <w:r>
              <w:rPr>
                <w:rFonts w:hint="eastAsia" w:asciiTheme="minorEastAsia" w:hAnsiTheme="minorEastAsia" w:eastAsiaTheme="minorEastAsia" w:cstheme="minorEastAsia"/>
                <w:b w:val="0"/>
                <w:bCs w:val="0"/>
                <w:color w:val="auto"/>
                <w:sz w:val="24"/>
                <w:szCs w:val="24"/>
                <w:highlight w:val="none"/>
                <w:lang w:eastAsia="zh-CN"/>
              </w:rPr>
              <w:t>淮北蓝海水处理有限公司</w:t>
            </w:r>
            <w:r>
              <w:rPr>
                <w:rFonts w:hint="eastAsia" w:asciiTheme="minorEastAsia" w:hAnsiTheme="minorEastAsia" w:eastAsiaTheme="minorEastAsia" w:cstheme="minorEastAsia"/>
                <w:b w:val="0"/>
                <w:bCs w:val="0"/>
                <w:color w:val="auto"/>
                <w:sz w:val="24"/>
                <w:szCs w:val="24"/>
                <w:highlight w:val="none"/>
              </w:rPr>
              <w:t>接管限值及《污水综合排放标准》（GB8978-1996）表4中三级标准要求，因此本项目废水处理措施可行。</w:t>
            </w:r>
          </w:p>
          <w:p w14:paraId="75590C0E">
            <w:pPr>
              <w:pStyle w:val="5"/>
              <w:spacing w:before="0" w:after="0" w:line="360" w:lineRule="auto"/>
              <w:ind w:left="480"/>
              <w:rPr>
                <w:rFonts w:hint="eastAsia" w:asciiTheme="minorEastAsia" w:hAnsiTheme="minorEastAsia" w:eastAsiaTheme="minorEastAsia" w:cstheme="minorEastAsia"/>
                <w:b w:val="0"/>
                <w:bCs w:val="0"/>
                <w:color w:val="auto"/>
                <w:kern w:val="2"/>
                <w:sz w:val="24"/>
                <w:szCs w:val="24"/>
                <w:highlight w:val="none"/>
                <w:lang w:val="en-US" w:eastAsia="zh-CN" w:bidi="ar-SA"/>
              </w:rPr>
            </w:pPr>
            <w:r>
              <w:rPr>
                <w:rFonts w:hint="eastAsia" w:asciiTheme="minorEastAsia" w:hAnsiTheme="minorEastAsia" w:eastAsiaTheme="minorEastAsia" w:cstheme="minorEastAsia"/>
                <w:b w:val="0"/>
                <w:bCs w:val="0"/>
                <w:color w:val="auto"/>
                <w:kern w:val="2"/>
                <w:sz w:val="24"/>
                <w:szCs w:val="24"/>
                <w:highlight w:val="none"/>
                <w:lang w:val="en-US" w:eastAsia="zh-CN" w:bidi="ar-SA"/>
              </w:rPr>
              <w:t>2）接管可行性分析：</w:t>
            </w:r>
          </w:p>
          <w:p w14:paraId="747BC64F">
            <w:pPr>
              <w:spacing w:line="360" w:lineRule="auto"/>
              <w:ind w:firstLine="480" w:firstLineChars="200"/>
              <w:rPr>
                <w:rFonts w:hint="eastAsia" w:asciiTheme="minorEastAsia" w:hAnsiTheme="minorEastAsia" w:eastAsiaTheme="minorEastAsia" w:cstheme="minorEastAsia"/>
                <w:color w:val="auto"/>
                <w:sz w:val="24"/>
                <w:szCs w:val="24"/>
                <w:highlight w:val="red"/>
              </w:rPr>
            </w:pPr>
            <w:r>
              <w:rPr>
                <w:rFonts w:hint="eastAsia" w:asciiTheme="minorEastAsia" w:hAnsiTheme="minorEastAsia" w:eastAsiaTheme="minorEastAsia" w:cstheme="minorEastAsia"/>
                <w:color w:val="auto"/>
                <w:sz w:val="24"/>
                <w:szCs w:val="24"/>
                <w:highlight w:val="none"/>
                <w:lang w:eastAsia="zh-CN"/>
              </w:rPr>
              <w:t>淮北蓝海水处理有限公司</w:t>
            </w:r>
            <w:r>
              <w:rPr>
                <w:rFonts w:hint="eastAsia" w:asciiTheme="minorEastAsia" w:hAnsiTheme="minorEastAsia" w:eastAsiaTheme="minorEastAsia" w:cstheme="minorEastAsia"/>
                <w:color w:val="auto"/>
                <w:sz w:val="24"/>
                <w:szCs w:val="24"/>
                <w:highlight w:val="none"/>
              </w:rPr>
              <w:t>于2014年建设，目前已建成并投入运营。</w:t>
            </w:r>
            <w:r>
              <w:rPr>
                <w:rFonts w:hint="eastAsia" w:asciiTheme="minorEastAsia" w:hAnsiTheme="minorEastAsia" w:eastAsiaTheme="minorEastAsia" w:cstheme="minorEastAsia"/>
                <w:color w:val="auto"/>
                <w:sz w:val="24"/>
                <w:szCs w:val="24"/>
                <w:highlight w:val="none"/>
                <w:lang w:eastAsia="zh-CN"/>
              </w:rPr>
              <w:t>淮北蓝海水处理有限公司</w:t>
            </w:r>
            <w:r>
              <w:rPr>
                <w:rFonts w:hint="eastAsia" w:asciiTheme="minorEastAsia" w:hAnsiTheme="minorEastAsia" w:eastAsiaTheme="minorEastAsia" w:cstheme="minorEastAsia"/>
                <w:color w:val="auto"/>
                <w:sz w:val="24"/>
                <w:szCs w:val="24"/>
                <w:highlight w:val="none"/>
              </w:rPr>
              <w:t>一期规模2万m</w:t>
            </w:r>
            <w:r>
              <w:rPr>
                <w:rFonts w:hint="eastAsia" w:asciiTheme="minorEastAsia" w:hAnsiTheme="minorEastAsia" w:eastAsiaTheme="minorEastAsia" w:cstheme="minorEastAsia"/>
                <w:color w:val="auto"/>
                <w:sz w:val="24"/>
                <w:szCs w:val="24"/>
                <w:highlight w:val="none"/>
                <w:vertAlign w:val="superscript"/>
              </w:rPr>
              <w:t>3</w:t>
            </w:r>
            <w:r>
              <w:rPr>
                <w:rFonts w:hint="eastAsia" w:asciiTheme="minorEastAsia" w:hAnsiTheme="minorEastAsia" w:eastAsiaTheme="minorEastAsia" w:cstheme="minorEastAsia"/>
                <w:color w:val="auto"/>
                <w:sz w:val="24"/>
                <w:szCs w:val="24"/>
                <w:highlight w:val="none"/>
              </w:rPr>
              <w:t>/d，位于滨河路与土山路交口东南角。处理工艺为：曝气生物滤池+转盘滤池+二氧化氯消毒，废水经处理后达到《城镇排水公司污染物排放标准》（GB18918-2002）中一级A排放标准，一部分排入</w:t>
            </w:r>
            <w:r>
              <w:rPr>
                <w:rFonts w:hint="eastAsia" w:asciiTheme="minorEastAsia" w:hAnsiTheme="minorEastAsia" w:eastAsiaTheme="minorEastAsia" w:cstheme="minorEastAsia"/>
                <w:color w:val="auto"/>
                <w:sz w:val="24"/>
                <w:szCs w:val="24"/>
                <w:highlight w:val="none"/>
                <w:lang w:eastAsia="zh-CN"/>
              </w:rPr>
              <w:t>濉河</w:t>
            </w:r>
            <w:r>
              <w:rPr>
                <w:rFonts w:hint="eastAsia" w:asciiTheme="minorEastAsia" w:hAnsiTheme="minorEastAsia" w:eastAsiaTheme="minorEastAsia" w:cstheme="minorEastAsia"/>
                <w:color w:val="auto"/>
                <w:sz w:val="24"/>
                <w:szCs w:val="24"/>
                <w:highlight w:val="none"/>
              </w:rPr>
              <w:t>，一部分作为中水回用。中水主要用途：作为平山电厂冷却水，其余排入</w:t>
            </w:r>
            <w:r>
              <w:rPr>
                <w:rFonts w:hint="eastAsia" w:asciiTheme="minorEastAsia" w:hAnsiTheme="minorEastAsia" w:eastAsiaTheme="minorEastAsia" w:cstheme="minorEastAsia"/>
                <w:color w:val="auto"/>
                <w:sz w:val="24"/>
                <w:szCs w:val="24"/>
                <w:highlight w:val="none"/>
                <w:lang w:eastAsia="zh-CN"/>
              </w:rPr>
              <w:t>濉河</w:t>
            </w:r>
            <w:r>
              <w:rPr>
                <w:rFonts w:hint="eastAsia" w:asciiTheme="minorEastAsia" w:hAnsiTheme="minorEastAsia" w:eastAsiaTheme="minorEastAsia" w:cstheme="minorEastAsia"/>
                <w:color w:val="auto"/>
                <w:sz w:val="24"/>
                <w:szCs w:val="24"/>
                <w:highlight w:val="none"/>
              </w:rPr>
              <w:t>。</w:t>
            </w:r>
          </w:p>
          <w:p w14:paraId="3591840D">
            <w:pPr>
              <w:widowControl/>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drawing>
                <wp:inline distT="0" distB="0" distL="114300" distR="114300">
                  <wp:extent cx="5087620" cy="3183890"/>
                  <wp:effectExtent l="0" t="0" r="2540" b="127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1"/>
                          <a:stretch>
                            <a:fillRect/>
                          </a:stretch>
                        </pic:blipFill>
                        <pic:spPr>
                          <a:xfrm>
                            <a:off x="0" y="0"/>
                            <a:ext cx="5087620" cy="3183890"/>
                          </a:xfrm>
                          <a:prstGeom prst="rect">
                            <a:avLst/>
                          </a:prstGeom>
                          <a:noFill/>
                          <a:ln>
                            <a:noFill/>
                          </a:ln>
                        </pic:spPr>
                      </pic:pic>
                    </a:graphicData>
                  </a:graphic>
                </wp:inline>
              </w:drawing>
            </w:r>
          </w:p>
          <w:p w14:paraId="0966FA8F">
            <w:pPr>
              <w:autoSpaceDE w:val="0"/>
              <w:autoSpaceDN w:val="0"/>
              <w:spacing w:line="360" w:lineRule="auto"/>
              <w:jc w:val="center"/>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b w:val="0"/>
                <w:bCs w:val="0"/>
                <w:color w:val="auto"/>
                <w:sz w:val="24"/>
                <w:szCs w:val="24"/>
                <w:highlight w:val="none"/>
              </w:rPr>
              <w:t>图</w:t>
            </w:r>
            <w:r>
              <w:rPr>
                <w:rFonts w:hint="eastAsia" w:asciiTheme="minorEastAsia" w:hAnsiTheme="minorEastAsia" w:eastAsiaTheme="minorEastAsia" w:cstheme="minorEastAsia"/>
                <w:b w:val="0"/>
                <w:bCs w:val="0"/>
                <w:color w:val="auto"/>
                <w:sz w:val="24"/>
                <w:szCs w:val="24"/>
                <w:highlight w:val="none"/>
                <w:lang w:val="en-US" w:eastAsia="zh-CN"/>
              </w:rPr>
              <w:t>4-1</w:t>
            </w:r>
            <w:r>
              <w:rPr>
                <w:rFonts w:hint="eastAsia" w:asciiTheme="minorEastAsia" w:hAnsiTheme="minorEastAsia" w:eastAsiaTheme="minorEastAsia" w:cstheme="minorEastAsia"/>
                <w:b w:val="0"/>
                <w:bCs w:val="0"/>
                <w:color w:val="auto"/>
                <w:sz w:val="24"/>
                <w:szCs w:val="24"/>
                <w:highlight w:val="none"/>
              </w:rPr>
              <w:t xml:space="preserve"> </w:t>
            </w:r>
            <w:r>
              <w:rPr>
                <w:rFonts w:hint="eastAsia" w:asciiTheme="minorEastAsia" w:hAnsiTheme="minorEastAsia" w:eastAsiaTheme="minorEastAsia" w:cstheme="minorEastAsia"/>
                <w:b w:val="0"/>
                <w:bCs w:val="0"/>
                <w:color w:val="auto"/>
                <w:sz w:val="24"/>
                <w:szCs w:val="24"/>
                <w:highlight w:val="none"/>
                <w:lang w:eastAsia="zh-CN"/>
              </w:rPr>
              <w:t>淮北蓝海水处理有限公司</w:t>
            </w:r>
            <w:r>
              <w:rPr>
                <w:rFonts w:hint="eastAsia" w:asciiTheme="minorEastAsia" w:hAnsiTheme="minorEastAsia" w:eastAsiaTheme="minorEastAsia" w:cstheme="minorEastAsia"/>
                <w:b w:val="0"/>
                <w:bCs w:val="0"/>
                <w:color w:val="auto"/>
                <w:sz w:val="24"/>
                <w:szCs w:val="24"/>
                <w:highlight w:val="none"/>
              </w:rPr>
              <w:t>处理工艺流程图</w:t>
            </w:r>
          </w:p>
          <w:p w14:paraId="1CACB6D3">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本项目</w:t>
            </w:r>
            <w:r>
              <w:rPr>
                <w:rFonts w:hint="eastAsia" w:asciiTheme="minorEastAsia" w:hAnsiTheme="minorEastAsia" w:eastAsiaTheme="minorEastAsia" w:cstheme="minorEastAsia"/>
                <w:color w:val="auto"/>
                <w:sz w:val="24"/>
                <w:szCs w:val="24"/>
                <w:highlight w:val="none"/>
                <w:lang w:val="zh-CN"/>
              </w:rPr>
              <w:t>所在地属于淮北蓝海水处理有限公司收水范围，废水经预处理后</w:t>
            </w:r>
            <w:r>
              <w:rPr>
                <w:rFonts w:hint="eastAsia" w:asciiTheme="minorEastAsia" w:hAnsiTheme="minorEastAsia" w:eastAsiaTheme="minorEastAsia" w:cstheme="minorEastAsia"/>
                <w:color w:val="auto"/>
                <w:sz w:val="24"/>
                <w:szCs w:val="24"/>
                <w:highlight w:val="none"/>
              </w:rPr>
              <w:t>满足</w:t>
            </w:r>
            <w:r>
              <w:rPr>
                <w:rFonts w:hint="eastAsia" w:asciiTheme="minorEastAsia" w:hAnsiTheme="minorEastAsia" w:eastAsiaTheme="minorEastAsia" w:cstheme="minorEastAsia"/>
                <w:color w:val="auto"/>
                <w:sz w:val="24"/>
                <w:szCs w:val="24"/>
                <w:highlight w:val="none"/>
                <w:lang w:eastAsia="zh-CN"/>
              </w:rPr>
              <w:t>淮北蓝海水处理有限公司</w:t>
            </w:r>
            <w:r>
              <w:rPr>
                <w:rFonts w:hint="eastAsia" w:asciiTheme="minorEastAsia" w:hAnsiTheme="minorEastAsia" w:eastAsiaTheme="minorEastAsia" w:cstheme="minorEastAsia"/>
                <w:color w:val="auto"/>
                <w:sz w:val="24"/>
                <w:szCs w:val="24"/>
                <w:highlight w:val="none"/>
              </w:rPr>
              <w:t>接管限值要求，本项目废水量为</w:t>
            </w:r>
            <w:r>
              <w:rPr>
                <w:rFonts w:hint="eastAsia" w:asciiTheme="minorEastAsia" w:hAnsiTheme="minorEastAsia" w:eastAsiaTheme="minorEastAsia" w:cstheme="minorEastAsia"/>
                <w:color w:val="auto"/>
                <w:sz w:val="24"/>
                <w:szCs w:val="24"/>
                <w:highlight w:val="none"/>
                <w:lang w:val="en-US" w:eastAsia="zh-CN"/>
              </w:rPr>
              <w:t>0.96</w:t>
            </w:r>
            <w:r>
              <w:rPr>
                <w:rFonts w:hint="eastAsia" w:asciiTheme="minorEastAsia" w:hAnsiTheme="minorEastAsia" w:eastAsiaTheme="minorEastAsia" w:cstheme="minorEastAsia"/>
                <w:color w:val="auto"/>
                <w:sz w:val="24"/>
                <w:szCs w:val="24"/>
                <w:highlight w:val="none"/>
              </w:rPr>
              <w:t>t/d，</w:t>
            </w:r>
            <w:r>
              <w:rPr>
                <w:rFonts w:hint="eastAsia" w:asciiTheme="minorEastAsia" w:hAnsiTheme="minorEastAsia" w:eastAsiaTheme="minorEastAsia" w:cstheme="minorEastAsia"/>
                <w:bCs/>
                <w:color w:val="auto"/>
                <w:sz w:val="24"/>
                <w:szCs w:val="24"/>
                <w:highlight w:val="none"/>
                <w:lang w:eastAsia="zh-CN"/>
              </w:rPr>
              <w:t>淮北蓝海水处理有限公司</w:t>
            </w:r>
            <w:r>
              <w:rPr>
                <w:rFonts w:hint="eastAsia" w:asciiTheme="minorEastAsia" w:hAnsiTheme="minorEastAsia" w:eastAsiaTheme="minorEastAsia" w:cstheme="minorEastAsia"/>
                <w:bCs/>
                <w:color w:val="auto"/>
                <w:sz w:val="24"/>
                <w:szCs w:val="24"/>
                <w:highlight w:val="none"/>
              </w:rPr>
              <w:t>实际接纳污水量约1.9万m</w:t>
            </w:r>
            <w:r>
              <w:rPr>
                <w:rFonts w:hint="eastAsia" w:asciiTheme="minorEastAsia" w:hAnsiTheme="minorEastAsia" w:eastAsiaTheme="minorEastAsia" w:cstheme="minorEastAsia"/>
                <w:bCs/>
                <w:color w:val="auto"/>
                <w:sz w:val="24"/>
                <w:szCs w:val="24"/>
                <w:highlight w:val="none"/>
                <w:vertAlign w:val="superscript"/>
              </w:rPr>
              <w:t>3</w:t>
            </w:r>
            <w:r>
              <w:rPr>
                <w:rFonts w:hint="eastAsia" w:asciiTheme="minorEastAsia" w:hAnsiTheme="minorEastAsia" w:eastAsiaTheme="minorEastAsia" w:cstheme="minorEastAsia"/>
                <w:bCs/>
                <w:color w:val="auto"/>
                <w:sz w:val="24"/>
                <w:szCs w:val="24"/>
                <w:highlight w:val="none"/>
              </w:rPr>
              <w:t>/d</w:t>
            </w:r>
            <w:r>
              <w:rPr>
                <w:rFonts w:hint="eastAsia" w:asciiTheme="minorEastAsia" w:hAnsiTheme="minorEastAsia" w:eastAsiaTheme="minorEastAsia" w:cstheme="minorEastAsia"/>
                <w:color w:val="auto"/>
                <w:sz w:val="24"/>
                <w:szCs w:val="24"/>
                <w:highlight w:val="none"/>
              </w:rPr>
              <w:t>，则废水进入</w:t>
            </w:r>
            <w:r>
              <w:rPr>
                <w:rFonts w:hint="eastAsia" w:asciiTheme="minorEastAsia" w:hAnsiTheme="minorEastAsia" w:eastAsiaTheme="minorEastAsia" w:cstheme="minorEastAsia"/>
                <w:color w:val="auto"/>
                <w:sz w:val="24"/>
                <w:szCs w:val="24"/>
                <w:highlight w:val="none"/>
                <w:lang w:eastAsia="zh-CN"/>
              </w:rPr>
              <w:t>淮北蓝海水处理有限公司</w:t>
            </w:r>
            <w:r>
              <w:rPr>
                <w:rFonts w:hint="eastAsia" w:asciiTheme="minorEastAsia" w:hAnsiTheme="minorEastAsia" w:eastAsiaTheme="minorEastAsia" w:cstheme="minorEastAsia"/>
                <w:color w:val="auto"/>
                <w:sz w:val="24"/>
                <w:szCs w:val="24"/>
                <w:highlight w:val="none"/>
              </w:rPr>
              <w:t>处理可行。</w:t>
            </w:r>
          </w:p>
          <w:p w14:paraId="0C32B6C5">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本项目排放的污水满足</w:t>
            </w:r>
            <w:r>
              <w:rPr>
                <w:rFonts w:hint="eastAsia" w:asciiTheme="minorEastAsia" w:hAnsiTheme="minorEastAsia" w:eastAsiaTheme="minorEastAsia" w:cstheme="minorEastAsia"/>
                <w:color w:val="auto"/>
                <w:sz w:val="24"/>
                <w:szCs w:val="24"/>
                <w:highlight w:val="none"/>
                <w:lang w:eastAsia="zh-CN"/>
              </w:rPr>
              <w:t>淮北蓝海水处理有限公司</w:t>
            </w:r>
            <w:r>
              <w:rPr>
                <w:rFonts w:hint="eastAsia" w:asciiTheme="minorEastAsia" w:hAnsiTheme="minorEastAsia" w:eastAsiaTheme="minorEastAsia" w:cstheme="minorEastAsia"/>
                <w:color w:val="auto"/>
                <w:sz w:val="24"/>
                <w:szCs w:val="24"/>
                <w:highlight w:val="none"/>
              </w:rPr>
              <w:t>的进水水质及水量的要求，不会对</w:t>
            </w:r>
            <w:r>
              <w:rPr>
                <w:rFonts w:hint="eastAsia" w:asciiTheme="minorEastAsia" w:hAnsiTheme="minorEastAsia" w:eastAsiaTheme="minorEastAsia" w:cstheme="minorEastAsia"/>
                <w:color w:val="auto"/>
                <w:sz w:val="24"/>
                <w:szCs w:val="24"/>
                <w:highlight w:val="none"/>
                <w:lang w:eastAsia="zh-CN"/>
              </w:rPr>
              <w:t>淮北蓝海水处理有限公司</w:t>
            </w:r>
            <w:r>
              <w:rPr>
                <w:rFonts w:hint="eastAsia" w:asciiTheme="minorEastAsia" w:hAnsiTheme="minorEastAsia" w:eastAsiaTheme="minorEastAsia" w:cstheme="minorEastAsia"/>
                <w:color w:val="auto"/>
                <w:sz w:val="24"/>
                <w:szCs w:val="24"/>
                <w:highlight w:val="none"/>
              </w:rPr>
              <w:t>造成冲击影响，</w:t>
            </w:r>
            <w:r>
              <w:rPr>
                <w:rFonts w:hint="eastAsia" w:asciiTheme="minorEastAsia" w:hAnsiTheme="minorEastAsia" w:eastAsiaTheme="minorEastAsia" w:cstheme="minorEastAsia"/>
                <w:color w:val="auto"/>
                <w:sz w:val="24"/>
                <w:szCs w:val="24"/>
                <w:highlight w:val="none"/>
                <w:lang w:val="en-GB"/>
              </w:rPr>
              <w:t>因此本项目排水方式可行。项目污水经采取合理措施后对地表水环境影响很小，不会降低项目所在区域水环境现有功能。</w:t>
            </w:r>
          </w:p>
          <w:p w14:paraId="4E465B4C">
            <w:pPr>
              <w:spacing w:line="360" w:lineRule="auto"/>
              <w:ind w:firstLine="466" w:firstLineChars="200"/>
              <w:rPr>
                <w:rFonts w:hint="eastAsia" w:asciiTheme="minorEastAsia" w:hAnsiTheme="minorEastAsia" w:eastAsiaTheme="minorEastAsia" w:cstheme="minorEastAsia"/>
                <w:b/>
                <w:bCs/>
                <w:color w:val="auto"/>
                <w:kern w:val="0"/>
                <w:sz w:val="24"/>
                <w:szCs w:val="24"/>
                <w:highlight w:val="none"/>
              </w:rPr>
            </w:pPr>
            <w:r>
              <w:rPr>
                <w:rFonts w:hint="eastAsia" w:asciiTheme="minorEastAsia" w:hAnsiTheme="minorEastAsia" w:eastAsiaTheme="minorEastAsia" w:cstheme="minorEastAsia"/>
                <w:b/>
                <w:bCs/>
                <w:color w:val="auto"/>
                <w:spacing w:val="-4"/>
                <w:sz w:val="24"/>
                <w:szCs w:val="24"/>
                <w:highlight w:val="none"/>
                <w:lang w:val="en-US" w:eastAsia="zh-CN"/>
              </w:rPr>
              <w:t>1</w:t>
            </w:r>
            <w:r>
              <w:rPr>
                <w:rFonts w:hint="eastAsia" w:asciiTheme="minorEastAsia" w:hAnsiTheme="minorEastAsia" w:eastAsiaTheme="minorEastAsia" w:cstheme="minorEastAsia"/>
                <w:b/>
                <w:bCs/>
                <w:color w:val="auto"/>
                <w:spacing w:val="-4"/>
                <w:sz w:val="24"/>
                <w:szCs w:val="24"/>
                <w:highlight w:val="none"/>
              </w:rPr>
              <w:t>.</w:t>
            </w:r>
            <w:r>
              <w:rPr>
                <w:rFonts w:hint="eastAsia" w:asciiTheme="minorEastAsia" w:hAnsiTheme="minorEastAsia" w:eastAsiaTheme="minorEastAsia" w:cstheme="minorEastAsia"/>
                <w:b/>
                <w:bCs/>
                <w:color w:val="auto"/>
                <w:spacing w:val="-4"/>
                <w:sz w:val="24"/>
                <w:szCs w:val="24"/>
                <w:highlight w:val="none"/>
                <w:lang w:val="en-US" w:eastAsia="zh-CN"/>
              </w:rPr>
              <w:t>4</w:t>
            </w:r>
            <w:r>
              <w:rPr>
                <w:rFonts w:hint="eastAsia" w:asciiTheme="minorEastAsia" w:hAnsiTheme="minorEastAsia" w:eastAsiaTheme="minorEastAsia" w:cstheme="minorEastAsia"/>
                <w:b/>
                <w:bCs/>
                <w:color w:val="auto"/>
                <w:kern w:val="0"/>
                <w:sz w:val="24"/>
                <w:szCs w:val="24"/>
                <w:highlight w:val="none"/>
              </w:rPr>
              <w:t>废水污染物自行监测计划</w:t>
            </w:r>
          </w:p>
          <w:p w14:paraId="1757929B">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本项目运营期无生产性废水外排。</w:t>
            </w:r>
          </w:p>
          <w:p w14:paraId="4A189BDE">
            <w:pPr>
              <w:spacing w:line="360" w:lineRule="auto"/>
              <w:ind w:firstLine="480" w:firstLineChars="200"/>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color w:val="auto"/>
                <w:sz w:val="24"/>
                <w:szCs w:val="24"/>
                <w:highlight w:val="none"/>
              </w:rPr>
              <w:t>项目</w:t>
            </w:r>
            <w:r>
              <w:rPr>
                <w:rFonts w:hint="eastAsia" w:asciiTheme="minorEastAsia" w:hAnsiTheme="minorEastAsia" w:eastAsiaTheme="minorEastAsia" w:cstheme="minorEastAsia"/>
                <w:color w:val="auto"/>
                <w:sz w:val="24"/>
                <w:szCs w:val="24"/>
                <w:highlight w:val="none"/>
                <w:lang w:eastAsia="zh-CN"/>
              </w:rPr>
              <w:t>车辆冲洗废水经沉淀池沉淀后回用于车辆冲洗，不外排；</w:t>
            </w:r>
            <w:r>
              <w:rPr>
                <w:rFonts w:hint="eastAsia" w:asciiTheme="minorEastAsia" w:hAnsiTheme="minorEastAsia" w:eastAsiaTheme="minorEastAsia" w:cstheme="minorEastAsia"/>
                <w:color w:val="auto"/>
                <w:sz w:val="24"/>
                <w:szCs w:val="24"/>
                <w:highlight w:val="none"/>
              </w:rPr>
              <w:t>生活污水经厂区</w:t>
            </w:r>
            <w:r>
              <w:rPr>
                <w:rFonts w:hint="eastAsia" w:asciiTheme="minorEastAsia" w:hAnsiTheme="minorEastAsia" w:eastAsiaTheme="minorEastAsia" w:cstheme="minorEastAsia"/>
                <w:color w:val="auto"/>
                <w:sz w:val="24"/>
                <w:szCs w:val="24"/>
                <w:highlight w:val="none"/>
                <w:lang w:eastAsia="zh-CN"/>
              </w:rPr>
              <w:t>化粪池</w:t>
            </w:r>
            <w:r>
              <w:rPr>
                <w:rFonts w:hint="eastAsia" w:asciiTheme="minorEastAsia" w:hAnsiTheme="minorEastAsia" w:eastAsiaTheme="minorEastAsia" w:cstheme="minorEastAsia"/>
                <w:color w:val="auto"/>
                <w:sz w:val="24"/>
                <w:szCs w:val="24"/>
                <w:highlight w:val="none"/>
              </w:rPr>
              <w:t>处理后，进入</w:t>
            </w:r>
            <w:r>
              <w:rPr>
                <w:rFonts w:hint="eastAsia" w:asciiTheme="minorEastAsia" w:hAnsiTheme="minorEastAsia" w:eastAsiaTheme="minorEastAsia" w:cstheme="minorEastAsia"/>
                <w:color w:val="auto"/>
                <w:sz w:val="24"/>
                <w:szCs w:val="24"/>
                <w:highlight w:val="none"/>
                <w:lang w:eastAsia="zh-CN"/>
              </w:rPr>
              <w:t>园</w:t>
            </w:r>
            <w:r>
              <w:rPr>
                <w:rFonts w:hint="eastAsia" w:asciiTheme="minorEastAsia" w:hAnsiTheme="minorEastAsia" w:eastAsiaTheme="minorEastAsia" w:cstheme="minorEastAsia"/>
                <w:color w:val="auto"/>
                <w:sz w:val="24"/>
                <w:szCs w:val="24"/>
                <w:highlight w:val="none"/>
              </w:rPr>
              <w:t>区污水管网执行《污水综合排放标准》（GB8978-1996）表4中三级标准及</w:t>
            </w:r>
            <w:r>
              <w:rPr>
                <w:rFonts w:hint="eastAsia" w:asciiTheme="minorEastAsia" w:hAnsiTheme="minorEastAsia" w:eastAsiaTheme="minorEastAsia" w:cstheme="minorEastAsia"/>
                <w:color w:val="auto"/>
                <w:sz w:val="24"/>
                <w:szCs w:val="24"/>
                <w:highlight w:val="none"/>
                <w:lang w:val="en-US" w:eastAsia="zh-CN"/>
              </w:rPr>
              <w:t>淮北蓝海水处理有限公司</w:t>
            </w:r>
            <w:r>
              <w:rPr>
                <w:rFonts w:hint="eastAsia" w:asciiTheme="minorEastAsia" w:hAnsiTheme="minorEastAsia" w:eastAsiaTheme="minorEastAsia" w:cstheme="minorEastAsia"/>
                <w:color w:val="auto"/>
                <w:sz w:val="24"/>
                <w:szCs w:val="24"/>
                <w:highlight w:val="none"/>
              </w:rPr>
              <w:t>接管标准。</w:t>
            </w:r>
          </w:p>
          <w:p w14:paraId="27716F93">
            <w:pPr>
              <w:autoSpaceDE w:val="0"/>
              <w:autoSpaceDN w:val="0"/>
              <w:adjustRightInd w:val="0"/>
              <w:spacing w:line="360" w:lineRule="auto"/>
              <w:ind w:firstLine="480" w:firstLineChars="200"/>
              <w:rPr>
                <w:rFonts w:ascii="Times New Roman" w:hAnsi="Times New Roman" w:cs="Times New Roman"/>
                <w:color w:val="auto"/>
                <w:sz w:val="24"/>
                <w:highlight w:val="none"/>
              </w:rPr>
            </w:pPr>
            <w:r>
              <w:rPr>
                <w:rFonts w:hint="eastAsia" w:asciiTheme="minorEastAsia" w:hAnsiTheme="minorEastAsia" w:eastAsiaTheme="minorEastAsia" w:cstheme="minorEastAsia"/>
                <w:color w:val="auto"/>
                <w:kern w:val="0"/>
                <w:sz w:val="24"/>
                <w:szCs w:val="24"/>
                <w:highlight w:val="none"/>
              </w:rPr>
              <w:t>根据《排污单位自行监测技术指南 总则》（HJ819-2017），结合《环境影响评价技术导则 地表水环境》（HJ2.3-2018）附录G.4，项目排放少量生活污水无需进行监测</w:t>
            </w:r>
          </w:p>
          <w:p w14:paraId="2CB4916C">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479" w:leftChars="228" w:firstLine="0" w:firstLineChars="0"/>
              <w:jc w:val="left"/>
              <w:textAlignment w:val="auto"/>
              <w:rPr>
                <w:rStyle w:val="85"/>
                <w:rFonts w:hint="eastAsia" w:cs="宋体"/>
                <w:b/>
                <w:bCs/>
                <w:color w:val="auto"/>
                <w:highlight w:val="none"/>
              </w:rPr>
            </w:pPr>
            <w:r>
              <w:rPr>
                <w:rStyle w:val="85"/>
                <w:rFonts w:hint="eastAsia" w:cs="宋体"/>
                <w:b/>
                <w:bCs/>
                <w:color w:val="auto"/>
                <w:highlight w:val="none"/>
              </w:rPr>
              <w:t>大气环境影响及保护措施</w:t>
            </w:r>
            <w:r>
              <w:rPr>
                <w:rStyle w:val="85"/>
                <w:rFonts w:hint="eastAsia" w:cs="宋体"/>
                <w:b/>
                <w:bCs/>
                <w:color w:val="auto"/>
                <w:highlight w:val="none"/>
              </w:rPr>
              <w:br w:type="textWrapping"/>
            </w:r>
            <w:r>
              <w:rPr>
                <w:rStyle w:val="85"/>
                <w:rFonts w:hint="eastAsia" w:cs="宋体"/>
                <w:b/>
                <w:bCs/>
                <w:color w:val="auto"/>
                <w:highlight w:val="none"/>
                <w:lang w:val="en-US"/>
              </w:rPr>
              <w:t>2.1 废气污染工序及源强分析</w:t>
            </w:r>
          </w:p>
          <w:p w14:paraId="09D2F8B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Style w:val="85"/>
                <w:rFonts w:hint="default" w:ascii="Times New Roman" w:hAnsi="Times New Roman" w:eastAsia="宋体" w:cs="宋体"/>
                <w:b w:val="0"/>
                <w:bCs w:val="0"/>
                <w:color w:val="auto"/>
                <w:highlight w:val="none"/>
                <w:lang w:val="en-US"/>
              </w:rPr>
            </w:pPr>
            <w:r>
              <w:rPr>
                <w:rStyle w:val="85"/>
                <w:rFonts w:hint="eastAsia" w:cs="宋体"/>
                <w:b w:val="0"/>
                <w:bCs w:val="0"/>
                <w:color w:val="auto"/>
                <w:highlight w:val="none"/>
              </w:rPr>
              <w:t>本项目产生的废气主要为原料装卸过程中产生的颗粒物、生物质颗粒生产过程中的破碎、粉碎、制粒成型等工序产生的颗粒物及车辆运输废气。</w:t>
            </w:r>
            <w:r>
              <w:rPr>
                <w:rStyle w:val="85"/>
                <w:rFonts w:hint="eastAsia" w:cs="宋体"/>
                <w:b w:val="0"/>
                <w:bCs w:val="0"/>
                <w:color w:val="auto"/>
                <w:highlight w:val="none"/>
              </w:rPr>
              <w:br w:type="textWrapping"/>
            </w:r>
            <w:r>
              <w:rPr>
                <w:rStyle w:val="85"/>
                <w:rFonts w:hint="eastAsia" w:cs="宋体"/>
                <w:b w:val="0"/>
                <w:bCs w:val="0"/>
                <w:color w:val="auto"/>
                <w:highlight w:val="none"/>
                <w:lang w:val="en-US"/>
              </w:rPr>
              <w:t xml:space="preserve">    （</w:t>
            </w:r>
            <w:r>
              <w:rPr>
                <w:rStyle w:val="85"/>
                <w:rFonts w:hint="eastAsia" w:ascii="Times New Roman" w:hAnsi="Times New Roman" w:eastAsia="宋体" w:cs="宋体"/>
                <w:b w:val="0"/>
                <w:bCs w:val="0"/>
                <w:color w:val="auto"/>
                <w:highlight w:val="none"/>
                <w:lang w:val="en-US"/>
              </w:rPr>
              <w:t>1）</w:t>
            </w:r>
            <w:r>
              <w:rPr>
                <w:rStyle w:val="85"/>
                <w:rFonts w:hint="eastAsia" w:ascii="Times New Roman" w:hAnsi="Times New Roman" w:eastAsia="宋体" w:cs="宋体"/>
                <w:b w:val="0"/>
                <w:bCs w:val="0"/>
                <w:color w:val="auto"/>
                <w:highlight w:val="none"/>
              </w:rPr>
              <w:t>原料装卸</w:t>
            </w:r>
            <w:r>
              <w:rPr>
                <w:rStyle w:val="85"/>
                <w:rFonts w:hint="eastAsia" w:cs="宋体"/>
                <w:b w:val="0"/>
                <w:bCs w:val="0"/>
                <w:color w:val="auto"/>
                <w:highlight w:val="none"/>
              </w:rPr>
              <w:t>、输送</w:t>
            </w:r>
            <w:r>
              <w:rPr>
                <w:rStyle w:val="85"/>
                <w:rFonts w:hint="eastAsia" w:ascii="Times New Roman" w:hAnsi="Times New Roman" w:eastAsia="宋体" w:cs="宋体"/>
                <w:b w:val="0"/>
                <w:bCs w:val="0"/>
                <w:color w:val="auto"/>
                <w:highlight w:val="none"/>
              </w:rPr>
              <w:t>过程中产生的</w:t>
            </w:r>
            <w:r>
              <w:rPr>
                <w:rStyle w:val="85"/>
                <w:rFonts w:hint="eastAsia" w:cs="宋体"/>
                <w:b w:val="0"/>
                <w:bCs w:val="0"/>
                <w:color w:val="auto"/>
                <w:highlight w:val="none"/>
              </w:rPr>
              <w:t>颗粒物</w:t>
            </w:r>
          </w:p>
          <w:p w14:paraId="48206FE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Style w:val="85"/>
                <w:rFonts w:hint="eastAsia" w:ascii="Times New Roman" w:hAnsi="Times New Roman" w:eastAsia="宋体" w:cs="宋体"/>
                <w:b w:val="0"/>
                <w:bCs w:val="0"/>
                <w:color w:val="auto"/>
                <w:highlight w:val="none"/>
              </w:rPr>
            </w:pPr>
            <w:r>
              <w:rPr>
                <w:rStyle w:val="85"/>
                <w:rFonts w:hint="eastAsia" w:ascii="Times New Roman" w:hAnsi="Times New Roman" w:eastAsia="宋体" w:cs="宋体"/>
                <w:b w:val="0"/>
                <w:bCs w:val="0"/>
                <w:color w:val="auto"/>
                <w:highlight w:val="none"/>
              </w:rPr>
              <w:t>本项目原料由厂家送货，采用</w:t>
            </w:r>
            <w:r>
              <w:rPr>
                <w:rStyle w:val="85"/>
                <w:rFonts w:hint="eastAsia" w:cs="宋体"/>
                <w:b w:val="0"/>
                <w:bCs w:val="0"/>
                <w:color w:val="auto"/>
                <w:highlight w:val="none"/>
              </w:rPr>
              <w:t>汽车</w:t>
            </w:r>
            <w:r>
              <w:rPr>
                <w:rStyle w:val="85"/>
                <w:rFonts w:hint="eastAsia" w:ascii="Times New Roman" w:hAnsi="Times New Roman" w:eastAsia="宋体" w:cs="宋体"/>
                <w:b w:val="0"/>
                <w:bCs w:val="0"/>
                <w:color w:val="auto"/>
                <w:highlight w:val="none"/>
              </w:rPr>
              <w:t>运输运至厂区物料库内进行分区装卸，原料均在密闭厂房内装卸和储存。原料主要为秸秆、碎木、锯末，秸秆、锯末包装为</w:t>
            </w:r>
            <w:r>
              <w:rPr>
                <w:rStyle w:val="85"/>
                <w:rFonts w:hint="eastAsia" w:cs="宋体"/>
                <w:b w:val="0"/>
                <w:bCs w:val="0"/>
                <w:color w:val="auto"/>
                <w:highlight w:val="none"/>
                <w:lang w:val="en-US"/>
              </w:rPr>
              <w:t>袋装</w:t>
            </w:r>
            <w:r>
              <w:rPr>
                <w:rStyle w:val="85"/>
                <w:rFonts w:hint="eastAsia" w:ascii="Times New Roman" w:hAnsi="Times New Roman" w:eastAsia="宋体" w:cs="宋体"/>
                <w:b w:val="0"/>
                <w:bCs w:val="0"/>
                <w:color w:val="auto"/>
                <w:highlight w:val="none"/>
                <w:lang w:val="en-US"/>
              </w:rPr>
              <w:t>，因此，</w:t>
            </w:r>
            <w:r>
              <w:rPr>
                <w:rStyle w:val="85"/>
                <w:rFonts w:hint="eastAsia" w:ascii="Times New Roman" w:hAnsi="Times New Roman" w:eastAsia="宋体" w:cs="宋体"/>
                <w:b w:val="0"/>
                <w:bCs w:val="0"/>
                <w:color w:val="auto"/>
                <w:highlight w:val="none"/>
              </w:rPr>
              <w:t>原料堆存装卸过程中产生的粉尘很小</w:t>
            </w:r>
            <w:r>
              <w:rPr>
                <w:rStyle w:val="85"/>
                <w:rFonts w:hint="eastAsia" w:cs="宋体"/>
                <w:b w:val="0"/>
                <w:bCs w:val="0"/>
                <w:color w:val="auto"/>
                <w:highlight w:val="none"/>
              </w:rPr>
              <w:t>。</w:t>
            </w:r>
            <w:r>
              <w:rPr>
                <w:rStyle w:val="85"/>
                <w:rFonts w:hint="eastAsia" w:ascii="Times New Roman" w:hAnsi="Times New Roman" w:eastAsia="宋体" w:cs="宋体"/>
                <w:b w:val="0"/>
                <w:bCs w:val="0"/>
                <w:color w:val="auto"/>
                <w:highlight w:val="none"/>
              </w:rPr>
              <w:t>另外物料在整个生产过程均通过输送皮带进行转运，评价建议对各输送皮带进行密闭处理，无组织粉尘主要来自原料装卸</w:t>
            </w:r>
            <w:r>
              <w:rPr>
                <w:rStyle w:val="85"/>
                <w:rFonts w:hint="eastAsia" w:cs="宋体"/>
                <w:b w:val="0"/>
                <w:bCs w:val="0"/>
                <w:color w:val="auto"/>
                <w:highlight w:val="none"/>
              </w:rPr>
              <w:t>、</w:t>
            </w:r>
            <w:r>
              <w:rPr>
                <w:rStyle w:val="85"/>
                <w:rFonts w:hint="eastAsia" w:ascii="Times New Roman" w:hAnsi="Times New Roman" w:eastAsia="宋体" w:cs="宋体"/>
                <w:b w:val="0"/>
                <w:bCs w:val="0"/>
                <w:color w:val="auto"/>
                <w:highlight w:val="none"/>
              </w:rPr>
              <w:t>输送过程。</w:t>
            </w:r>
          </w:p>
          <w:p w14:paraId="53D5F052">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jc w:val="left"/>
              <w:textAlignment w:val="auto"/>
              <w:rPr>
                <w:rStyle w:val="85"/>
                <w:rFonts w:hint="default" w:ascii="Times New Roman" w:hAnsi="Times New Roman" w:eastAsia="宋体" w:cs="宋体"/>
                <w:b w:val="0"/>
                <w:bCs w:val="0"/>
                <w:color w:val="auto"/>
                <w:highlight w:val="none"/>
                <w:lang w:val="en-US"/>
              </w:rPr>
            </w:pPr>
            <w:r>
              <w:rPr>
                <w:rStyle w:val="85"/>
                <w:rFonts w:hint="eastAsia" w:ascii="Times New Roman" w:hAnsi="Times New Roman" w:eastAsia="宋体" w:cs="宋体"/>
                <w:b w:val="0"/>
                <w:bCs w:val="0"/>
                <w:color w:val="auto"/>
                <w:highlight w:val="none"/>
              </w:rPr>
              <w:t>原料装卸、输送过程中会产生粉尘。粉尘产生量参考《逸散性工业粉尘控制技术》（中国环境科学出版社），粉尘排放因子为 0.01kg/t-物料，项目原料装卸量为</w:t>
            </w:r>
            <w:r>
              <w:rPr>
                <w:rStyle w:val="85"/>
                <w:rFonts w:hint="eastAsia" w:ascii="Times New Roman" w:hAnsi="Times New Roman" w:eastAsia="宋体" w:cs="宋体"/>
                <w:b w:val="0"/>
                <w:bCs w:val="0"/>
                <w:color w:val="auto"/>
                <w:highlight w:val="none"/>
                <w:lang w:val="en-US"/>
              </w:rPr>
              <w:t>20.1</w:t>
            </w:r>
            <w:r>
              <w:rPr>
                <w:rStyle w:val="85"/>
                <w:rFonts w:hint="eastAsia" w:cs="宋体"/>
                <w:b w:val="0"/>
                <w:bCs w:val="0"/>
                <w:color w:val="auto"/>
                <w:highlight w:val="none"/>
                <w:lang w:val="en-US"/>
              </w:rPr>
              <w:t>万</w:t>
            </w:r>
            <w:r>
              <w:rPr>
                <w:rStyle w:val="85"/>
                <w:rFonts w:hint="eastAsia" w:ascii="Times New Roman" w:hAnsi="Times New Roman" w:eastAsia="宋体" w:cs="宋体"/>
                <w:b w:val="0"/>
                <w:bCs w:val="0"/>
                <w:color w:val="auto"/>
                <w:highlight w:val="none"/>
              </w:rPr>
              <w:t xml:space="preserve">t/a，则项目装卸粉尘产生量为 </w:t>
            </w:r>
            <w:r>
              <w:rPr>
                <w:rStyle w:val="85"/>
                <w:rFonts w:hint="eastAsia" w:cs="宋体"/>
                <w:b w:val="0"/>
                <w:bCs w:val="0"/>
                <w:color w:val="auto"/>
                <w:highlight w:val="none"/>
                <w:lang w:val="en-US"/>
              </w:rPr>
              <w:t>2.01</w:t>
            </w:r>
            <w:r>
              <w:rPr>
                <w:rStyle w:val="85"/>
                <w:rFonts w:hint="eastAsia" w:ascii="Times New Roman" w:hAnsi="Times New Roman" w:eastAsia="宋体" w:cs="宋体"/>
                <w:b w:val="0"/>
                <w:bCs w:val="0"/>
                <w:color w:val="auto"/>
                <w:highlight w:val="none"/>
              </w:rPr>
              <w:t>t/a。</w:t>
            </w:r>
            <w:r>
              <w:rPr>
                <w:color w:val="auto"/>
              </w:rPr>
              <w:br w:type="textWrapping"/>
            </w:r>
            <w:r>
              <w:rPr>
                <w:rFonts w:hint="eastAsia"/>
                <w:color w:val="auto"/>
                <w:lang w:val="en-US" w:eastAsia="zh-CN"/>
              </w:rPr>
              <w:t xml:space="preserve">    </w:t>
            </w:r>
            <w:r>
              <w:rPr>
                <w:rStyle w:val="85"/>
                <w:rFonts w:hint="eastAsia" w:ascii="Times New Roman" w:hAnsi="Times New Roman" w:eastAsia="宋体" w:cs="宋体"/>
                <w:b w:val="0"/>
                <w:bCs w:val="0"/>
                <w:color w:val="auto"/>
                <w:highlight w:val="none"/>
              </w:rPr>
              <w:t>物料在</w:t>
            </w:r>
            <w:r>
              <w:rPr>
                <w:rStyle w:val="85"/>
                <w:rFonts w:hint="eastAsia" w:cs="宋体"/>
                <w:b w:val="0"/>
                <w:bCs w:val="0"/>
                <w:color w:val="auto"/>
                <w:highlight w:val="none"/>
              </w:rPr>
              <w:t>车间</w:t>
            </w:r>
            <w:r>
              <w:rPr>
                <w:rStyle w:val="85"/>
                <w:rFonts w:hint="eastAsia" w:ascii="Times New Roman" w:hAnsi="Times New Roman" w:eastAsia="宋体" w:cs="宋体"/>
                <w:b w:val="0"/>
                <w:bCs w:val="0"/>
                <w:color w:val="auto"/>
                <w:highlight w:val="none"/>
              </w:rPr>
              <w:t>内传输采用</w:t>
            </w:r>
            <w:r>
              <w:rPr>
                <w:rStyle w:val="85"/>
                <w:rFonts w:hint="eastAsia" w:cs="宋体"/>
                <w:b w:val="0"/>
                <w:bCs w:val="0"/>
                <w:color w:val="auto"/>
                <w:highlight w:val="none"/>
                <w:lang w:val="en-US"/>
              </w:rPr>
              <w:t>密闭</w:t>
            </w:r>
            <w:r>
              <w:rPr>
                <w:rStyle w:val="85"/>
                <w:rFonts w:hint="eastAsia" w:ascii="Times New Roman" w:hAnsi="Times New Roman" w:eastAsia="宋体" w:cs="宋体"/>
                <w:b w:val="0"/>
                <w:bCs w:val="0"/>
                <w:color w:val="auto"/>
                <w:highlight w:val="none"/>
              </w:rPr>
              <w:t>式</w:t>
            </w:r>
            <w:r>
              <w:rPr>
                <w:rStyle w:val="85"/>
                <w:rFonts w:hint="eastAsia" w:cs="宋体"/>
                <w:b w:val="0"/>
                <w:bCs w:val="0"/>
                <w:color w:val="auto"/>
                <w:highlight w:val="none"/>
              </w:rPr>
              <w:t>输送带</w:t>
            </w:r>
            <w:r>
              <w:rPr>
                <w:rStyle w:val="85"/>
                <w:rFonts w:hint="eastAsia" w:ascii="Times New Roman" w:hAnsi="Times New Roman" w:eastAsia="宋体" w:cs="宋体"/>
                <w:b w:val="0"/>
                <w:bCs w:val="0"/>
                <w:color w:val="auto"/>
                <w:highlight w:val="none"/>
              </w:rPr>
              <w:t>，粉尘产生量很小，故皮带输送过程中产生的无组织粉尘经过自然沉降、定期清扫等措施，外泄粉尘量较少，可忽略不计。</w:t>
            </w:r>
            <w:r>
              <w:rPr>
                <w:rStyle w:val="85"/>
                <w:rFonts w:hint="eastAsia" w:ascii="Times New Roman" w:hAnsi="Times New Roman" w:eastAsia="宋体" w:cs="宋体"/>
                <w:b w:val="0"/>
                <w:bCs w:val="0"/>
                <w:color w:val="auto"/>
                <w:highlight w:val="none"/>
              </w:rPr>
              <w:br w:type="textWrapping"/>
            </w:r>
            <w:r>
              <w:rPr>
                <w:rStyle w:val="85"/>
                <w:rFonts w:hint="eastAsia" w:cs="宋体"/>
                <w:b w:val="0"/>
                <w:bCs w:val="0"/>
                <w:color w:val="auto"/>
                <w:highlight w:val="none"/>
                <w:lang w:val="en-US"/>
              </w:rPr>
              <w:t xml:space="preserve">    </w:t>
            </w:r>
            <w:r>
              <w:rPr>
                <w:rStyle w:val="85"/>
                <w:rFonts w:hint="eastAsia" w:ascii="Times New Roman" w:hAnsi="Times New Roman" w:eastAsia="宋体" w:cs="宋体"/>
                <w:b w:val="0"/>
                <w:bCs w:val="0"/>
                <w:color w:val="auto"/>
                <w:highlight w:val="none"/>
              </w:rPr>
              <w:t>原料装卸、输送</w:t>
            </w:r>
            <w:r>
              <w:rPr>
                <w:rStyle w:val="85"/>
                <w:rFonts w:hint="eastAsia" w:cs="宋体"/>
                <w:b w:val="0"/>
                <w:bCs w:val="0"/>
                <w:color w:val="auto"/>
                <w:highlight w:val="none"/>
                <w:lang w:val="en-US"/>
              </w:rPr>
              <w:t>粉尘采取以下防治措施：物料库封闭；输送带做密闭处理；装卸时尽量降低作业高度，减少落差。经采取以上措施后，可有效减少粒料堆存、转运和装卸过程粉尘的排放。经重力沉降比例较大，且原料暂存及装卸作业均处于封闭仓库内，考虑车间内风力影响极其有限的情况下，逸散的粉尘量占比约为 20%，则</w:t>
            </w:r>
            <w:r>
              <w:rPr>
                <w:rStyle w:val="85"/>
                <w:rFonts w:hint="eastAsia" w:ascii="Times New Roman" w:hAnsi="Times New Roman" w:eastAsia="宋体" w:cs="宋体"/>
                <w:b w:val="0"/>
                <w:bCs w:val="0"/>
                <w:color w:val="auto"/>
                <w:highlight w:val="none"/>
              </w:rPr>
              <w:t>原料装卸、输送</w:t>
            </w:r>
            <w:r>
              <w:rPr>
                <w:rStyle w:val="85"/>
                <w:rFonts w:hint="eastAsia" w:cs="宋体"/>
                <w:b w:val="0"/>
                <w:bCs w:val="0"/>
                <w:color w:val="auto"/>
                <w:highlight w:val="none"/>
                <w:lang w:val="en-US"/>
              </w:rPr>
              <w:t>粉尘无组织排放量为 0.402t/a。</w:t>
            </w:r>
          </w:p>
          <w:p w14:paraId="2B4DA27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Style w:val="85"/>
                <w:rFonts w:hint="default" w:ascii="Times New Roman" w:hAnsi="Times New Roman" w:eastAsia="宋体" w:cs="宋体"/>
                <w:b w:val="0"/>
                <w:bCs w:val="0"/>
                <w:color w:val="auto"/>
                <w:highlight w:val="red"/>
                <w:lang w:val="en-US"/>
              </w:rPr>
            </w:pPr>
            <w:r>
              <w:rPr>
                <w:rStyle w:val="85"/>
                <w:rFonts w:hint="eastAsia" w:ascii="Times New Roman" w:hAnsi="Times New Roman" w:eastAsia="宋体" w:cs="宋体"/>
                <w:b w:val="0"/>
                <w:bCs w:val="0"/>
                <w:color w:val="auto"/>
                <w:highlight w:val="none"/>
                <w:lang w:val="en-US"/>
              </w:rPr>
              <w:t>（2）</w:t>
            </w:r>
            <w:r>
              <w:rPr>
                <w:rStyle w:val="85"/>
                <w:rFonts w:hint="eastAsia" w:cs="宋体"/>
                <w:b w:val="0"/>
                <w:bCs w:val="0"/>
                <w:color w:val="auto"/>
                <w:highlight w:val="none"/>
              </w:rPr>
              <w:t>破碎、粉碎、制粒成型等工序产生的颗粒物</w:t>
            </w:r>
          </w:p>
          <w:p w14:paraId="46401EBE">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Theme="minorEastAsia" w:hAnsiTheme="minorEastAsia" w:eastAsiaTheme="minorEastAsia" w:cstheme="minorEastAsia"/>
                <w:bCs/>
                <w:color w:val="auto"/>
                <w:sz w:val="24"/>
                <w:szCs w:val="24"/>
                <w:highlight w:val="none"/>
                <w:lang w:val="en-US" w:eastAsia="zh-CN"/>
              </w:rPr>
            </w:pPr>
            <w:r>
              <w:rPr>
                <w:rStyle w:val="85"/>
                <w:rFonts w:hint="eastAsia" w:cs="宋体"/>
                <w:b w:val="0"/>
                <w:bCs w:val="0"/>
                <w:color w:val="auto"/>
                <w:highlight w:val="none"/>
              </w:rPr>
              <w:t>参照《</w:t>
            </w:r>
            <w:r>
              <w:rPr>
                <w:color w:val="auto"/>
                <w:highlight w:val="none"/>
              </w:rPr>
              <w:fldChar w:fldCharType="begin"/>
            </w:r>
            <w:r>
              <w:rPr>
                <w:color w:val="auto"/>
                <w:highlight w:val="none"/>
              </w:rPr>
              <w:instrText xml:space="preserve"> HYPERLINK "http://www.mee.gov.cn/xxgk2018/xxgk/xxgk01/202106/W020210624327149500026.pdf" </w:instrText>
            </w:r>
            <w:r>
              <w:rPr>
                <w:color w:val="auto"/>
                <w:highlight w:val="none"/>
              </w:rPr>
              <w:fldChar w:fldCharType="separate"/>
            </w:r>
            <w:r>
              <w:rPr>
                <w:rStyle w:val="85"/>
                <w:rFonts w:hint="eastAsia" w:cs="宋体"/>
                <w:b w:val="0"/>
                <w:bCs w:val="0"/>
                <w:color w:val="auto"/>
                <w:highlight w:val="none"/>
              </w:rPr>
              <w:t>排放源统计调查产排污核算方法和系数手册</w:t>
            </w:r>
            <w:r>
              <w:rPr>
                <w:rStyle w:val="85"/>
                <w:rFonts w:hint="eastAsia" w:cs="宋体"/>
                <w:b w:val="0"/>
                <w:bCs w:val="0"/>
                <w:color w:val="auto"/>
                <w:highlight w:val="none"/>
              </w:rPr>
              <w:fldChar w:fldCharType="end"/>
            </w:r>
            <w:r>
              <w:rPr>
                <w:rStyle w:val="85"/>
                <w:rFonts w:hint="eastAsia" w:cs="宋体"/>
                <w:b w:val="0"/>
                <w:bCs w:val="0"/>
                <w:color w:val="auto"/>
                <w:highlight w:val="none"/>
              </w:rPr>
              <w:t>》中的《</w:t>
            </w:r>
            <w:r>
              <w:rPr>
                <w:rStyle w:val="85"/>
                <w:rFonts w:cs="宋体"/>
                <w:b w:val="0"/>
                <w:bCs w:val="0"/>
                <w:color w:val="auto"/>
                <w:highlight w:val="none"/>
              </w:rPr>
              <w:t>2542 生物质致密成型燃料加工行业系数手册</w:t>
            </w:r>
            <w:r>
              <w:rPr>
                <w:rStyle w:val="85"/>
                <w:rFonts w:hint="eastAsia" w:cs="宋体"/>
                <w:b w:val="0"/>
                <w:bCs w:val="0"/>
                <w:color w:val="auto"/>
                <w:highlight w:val="none"/>
              </w:rPr>
              <w:t>》中显示“剪切、破碎、筛分、造粒”工序颗粒物的产污系数为6.69×10</w:t>
            </w:r>
            <w:r>
              <w:rPr>
                <w:rStyle w:val="85"/>
                <w:rFonts w:hint="eastAsia" w:cs="宋体"/>
                <w:b w:val="0"/>
                <w:bCs w:val="0"/>
                <w:color w:val="auto"/>
                <w:highlight w:val="none"/>
                <w:vertAlign w:val="superscript"/>
              </w:rPr>
              <w:t>-4</w:t>
            </w:r>
            <w:r>
              <w:rPr>
                <w:rStyle w:val="85"/>
                <w:rFonts w:hint="eastAsia" w:cs="宋体"/>
                <w:b w:val="0"/>
                <w:bCs w:val="0"/>
                <w:color w:val="auto"/>
                <w:highlight w:val="none"/>
              </w:rPr>
              <w:t>吨/吨-产品。本项目产品为</w:t>
            </w:r>
            <w:r>
              <w:rPr>
                <w:rFonts w:hint="eastAsia" w:ascii="宋体" w:hAnsi="宋体" w:cs="宋体"/>
                <w:color w:val="auto"/>
                <w:sz w:val="24"/>
                <w:szCs w:val="24"/>
                <w:highlight w:val="none"/>
                <w:lang w:eastAsia="zh-CN"/>
              </w:rPr>
              <w:t>年加工20万吨生物质颗粒建设项目</w:t>
            </w:r>
            <w:r>
              <w:rPr>
                <w:rStyle w:val="85"/>
                <w:rFonts w:hint="eastAsia" w:cs="宋体"/>
                <w:b w:val="0"/>
                <w:bCs w:val="0"/>
                <w:color w:val="auto"/>
                <w:highlight w:val="none"/>
              </w:rPr>
              <w:t>，因此颗粒物的产生量为</w:t>
            </w:r>
            <w:r>
              <w:rPr>
                <w:rStyle w:val="85"/>
                <w:rFonts w:hint="eastAsia" w:cs="宋体"/>
                <w:b w:val="0"/>
                <w:bCs w:val="0"/>
                <w:color w:val="auto"/>
                <w:highlight w:val="none"/>
                <w:lang w:val="en-US"/>
              </w:rPr>
              <w:t>133.8</w:t>
            </w:r>
            <w:r>
              <w:rPr>
                <w:rStyle w:val="85"/>
                <w:rFonts w:hint="eastAsia" w:cs="宋体"/>
                <w:b w:val="0"/>
                <w:bCs w:val="0"/>
                <w:color w:val="auto"/>
                <w:highlight w:val="none"/>
              </w:rPr>
              <w:t>t/a。</w:t>
            </w:r>
          </w:p>
          <w:p w14:paraId="7759DCA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bCs/>
                <w:color w:val="auto"/>
                <w:sz w:val="24"/>
                <w:szCs w:val="24"/>
                <w:highlight w:val="none"/>
                <w:lang w:val="en-US" w:eastAsia="zh-CN"/>
              </w:rPr>
            </w:pPr>
            <w:r>
              <w:rPr>
                <w:rFonts w:hint="eastAsia" w:asciiTheme="minorEastAsia" w:hAnsiTheme="minorEastAsia" w:eastAsiaTheme="minorEastAsia" w:cstheme="minorEastAsia"/>
                <w:bCs/>
                <w:color w:val="auto"/>
                <w:sz w:val="24"/>
                <w:szCs w:val="24"/>
                <w:highlight w:val="none"/>
                <w:lang w:val="en-US" w:eastAsia="zh-CN"/>
              </w:rPr>
              <w:t>破碎、粉碎、成型工序上方设集气罩，粉尘经集气罩收集（收集效率约为90%），收集粉尘经旋风除尘+布袋除尘器处理后通过15m排气筒排放（DA001）</w:t>
            </w:r>
            <w:r>
              <w:rPr>
                <w:rFonts w:hint="eastAsia" w:asciiTheme="minorEastAsia" w:hAnsiTheme="minorEastAsia" w:eastAsiaTheme="minorEastAsia" w:cstheme="minorEastAsia"/>
                <w:bCs/>
                <w:color w:val="auto"/>
                <w:sz w:val="24"/>
                <w:szCs w:val="24"/>
                <w:highlight w:val="none"/>
              </w:rPr>
              <w:t>。</w:t>
            </w:r>
            <w:r>
              <w:rPr>
                <w:rFonts w:hint="eastAsia" w:asciiTheme="minorEastAsia" w:hAnsiTheme="minorEastAsia" w:eastAsiaTheme="minorEastAsia" w:cstheme="minorEastAsia"/>
                <w:bCs/>
                <w:color w:val="auto"/>
                <w:sz w:val="24"/>
                <w:szCs w:val="24"/>
                <w:highlight w:val="none"/>
                <w:lang w:eastAsia="zh-CN"/>
              </w:rPr>
              <w:t>其中旋风除尘处理效率约为</w:t>
            </w:r>
            <w:r>
              <w:rPr>
                <w:rFonts w:hint="eastAsia" w:asciiTheme="minorEastAsia" w:hAnsiTheme="minorEastAsia" w:eastAsiaTheme="minorEastAsia" w:cstheme="minorEastAsia"/>
                <w:bCs/>
                <w:color w:val="auto"/>
                <w:sz w:val="24"/>
                <w:szCs w:val="24"/>
                <w:highlight w:val="none"/>
                <w:lang w:val="en-US" w:eastAsia="zh-CN"/>
              </w:rPr>
              <w:t>60%，袋式除尘效率约为99%，合计除尘效率约为99.5%。</w:t>
            </w:r>
            <w:r>
              <w:rPr>
                <w:rFonts w:hint="eastAsia" w:asciiTheme="minorEastAsia" w:hAnsiTheme="minorEastAsia" w:eastAsiaTheme="minorEastAsia" w:cstheme="minorEastAsia"/>
                <w:bCs/>
                <w:color w:val="auto"/>
                <w:sz w:val="24"/>
                <w:szCs w:val="24"/>
                <w:highlight w:val="none"/>
              </w:rPr>
              <w:br w:type="textWrapping"/>
            </w:r>
            <w:r>
              <w:rPr>
                <w:rFonts w:hint="eastAsia" w:asciiTheme="minorEastAsia" w:hAnsiTheme="minorEastAsia" w:eastAsiaTheme="minorEastAsia" w:cstheme="minorEastAsia"/>
                <w:bCs/>
                <w:color w:val="auto"/>
                <w:sz w:val="24"/>
                <w:szCs w:val="24"/>
                <w:highlight w:val="none"/>
                <w:lang w:val="en-US" w:eastAsia="zh-CN"/>
              </w:rPr>
              <w:t xml:space="preserve">    参照以下经验公式计算得出破碎、筛分、制粒成型工位上方集气罩所需风量L。</w:t>
            </w:r>
          </w:p>
          <w:p w14:paraId="432ED06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bCs/>
                <w:color w:val="auto"/>
                <w:sz w:val="24"/>
                <w:szCs w:val="24"/>
                <w:highlight w:val="none"/>
                <w:lang w:val="en-US" w:eastAsia="zh-CN"/>
              </w:rPr>
            </w:pPr>
            <w:r>
              <w:rPr>
                <w:rFonts w:hint="eastAsia" w:asciiTheme="minorEastAsia" w:hAnsiTheme="minorEastAsia" w:eastAsiaTheme="minorEastAsia" w:cstheme="minorEastAsia"/>
                <w:bCs/>
                <w:color w:val="auto"/>
                <w:sz w:val="24"/>
                <w:szCs w:val="24"/>
                <w:highlight w:val="none"/>
                <w:lang w:val="en-US" w:eastAsia="zh-CN"/>
              </w:rPr>
              <w:t>L=3600（5X</w:t>
            </w:r>
            <w:r>
              <w:rPr>
                <w:rFonts w:hint="eastAsia" w:asciiTheme="minorEastAsia" w:hAnsiTheme="minorEastAsia" w:eastAsiaTheme="minorEastAsia" w:cstheme="minorEastAsia"/>
                <w:bCs/>
                <w:color w:val="auto"/>
                <w:sz w:val="24"/>
                <w:szCs w:val="24"/>
                <w:highlight w:val="none"/>
                <w:vertAlign w:val="superscript"/>
                <w:lang w:val="en-US" w:eastAsia="zh-CN"/>
              </w:rPr>
              <w:t>2</w:t>
            </w:r>
            <w:r>
              <w:rPr>
                <w:rFonts w:hint="eastAsia" w:asciiTheme="minorEastAsia" w:hAnsiTheme="minorEastAsia" w:eastAsiaTheme="minorEastAsia" w:cstheme="minorEastAsia"/>
                <w:bCs/>
                <w:color w:val="auto"/>
                <w:sz w:val="24"/>
                <w:szCs w:val="24"/>
                <w:highlight w:val="none"/>
                <w:lang w:val="en-US" w:eastAsia="zh-CN"/>
              </w:rPr>
              <w:t>+F）×V</w:t>
            </w:r>
          </w:p>
          <w:p w14:paraId="21F92E6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bCs/>
                <w:color w:val="auto"/>
                <w:sz w:val="24"/>
                <w:szCs w:val="24"/>
                <w:highlight w:val="none"/>
                <w:lang w:val="en-US" w:eastAsia="zh-CN"/>
              </w:rPr>
            </w:pPr>
            <w:r>
              <w:rPr>
                <w:rFonts w:hint="eastAsia" w:asciiTheme="minorEastAsia" w:hAnsiTheme="minorEastAsia" w:eastAsiaTheme="minorEastAsia" w:cstheme="minorEastAsia"/>
                <w:bCs/>
                <w:color w:val="auto"/>
                <w:sz w:val="24"/>
                <w:szCs w:val="24"/>
                <w:highlight w:val="none"/>
                <w:lang w:val="en-US" w:eastAsia="zh-CN"/>
              </w:rPr>
              <w:t>其中：X——集气罩至污染源的距离（取0.2m）；</w:t>
            </w:r>
          </w:p>
          <w:p w14:paraId="3784C08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bCs/>
                <w:color w:val="auto"/>
                <w:sz w:val="24"/>
                <w:szCs w:val="24"/>
                <w:highlight w:val="none"/>
                <w:lang w:val="en-US" w:eastAsia="zh-CN"/>
              </w:rPr>
            </w:pPr>
            <w:r>
              <w:rPr>
                <w:rFonts w:hint="eastAsia" w:asciiTheme="minorEastAsia" w:hAnsiTheme="minorEastAsia" w:eastAsiaTheme="minorEastAsia" w:cstheme="minorEastAsia"/>
                <w:bCs/>
                <w:color w:val="auto"/>
                <w:sz w:val="24"/>
                <w:szCs w:val="24"/>
                <w:highlight w:val="none"/>
                <w:lang w:val="en-US" w:eastAsia="zh-CN"/>
              </w:rPr>
              <w:t>F——集气罩面积（破碎、粉碎等工位上方集气罩尺寸约为2m×1m,面积为2m</w:t>
            </w:r>
            <w:r>
              <w:rPr>
                <w:rFonts w:hint="eastAsia" w:asciiTheme="minorEastAsia" w:hAnsiTheme="minorEastAsia" w:eastAsiaTheme="minorEastAsia" w:cstheme="minorEastAsia"/>
                <w:bCs/>
                <w:color w:val="auto"/>
                <w:sz w:val="24"/>
                <w:szCs w:val="24"/>
                <w:highlight w:val="none"/>
                <w:vertAlign w:val="superscript"/>
                <w:lang w:val="en-US" w:eastAsia="zh-CN"/>
              </w:rPr>
              <w:t>2</w:t>
            </w:r>
            <w:r>
              <w:rPr>
                <w:rFonts w:hint="eastAsia" w:asciiTheme="minorEastAsia" w:hAnsiTheme="minorEastAsia" w:eastAsiaTheme="minorEastAsia" w:cstheme="minorEastAsia"/>
                <w:bCs/>
                <w:color w:val="auto"/>
                <w:sz w:val="24"/>
                <w:szCs w:val="24"/>
                <w:highlight w:val="none"/>
                <w:lang w:val="en-US" w:eastAsia="zh-CN"/>
              </w:rPr>
              <w:t>）；</w:t>
            </w:r>
          </w:p>
          <w:p w14:paraId="4E0FC34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bCs/>
                <w:color w:val="auto"/>
                <w:sz w:val="24"/>
                <w:szCs w:val="24"/>
                <w:highlight w:val="none"/>
                <w:lang w:val="en-US" w:eastAsia="zh-CN"/>
              </w:rPr>
            </w:pPr>
            <w:r>
              <w:rPr>
                <w:rFonts w:hint="eastAsia" w:asciiTheme="minorEastAsia" w:hAnsiTheme="minorEastAsia" w:eastAsiaTheme="minorEastAsia" w:cstheme="minorEastAsia"/>
                <w:bCs/>
                <w:color w:val="auto"/>
                <w:sz w:val="24"/>
                <w:szCs w:val="24"/>
                <w:highlight w:val="none"/>
                <w:lang w:val="en-US" w:eastAsia="zh-CN"/>
              </w:rPr>
              <w:t>V——控制风速（取0.5m/s）。</w:t>
            </w:r>
          </w:p>
          <w:p w14:paraId="2564218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bCs/>
                <w:color w:val="auto"/>
                <w:sz w:val="24"/>
                <w:szCs w:val="24"/>
                <w:highlight w:val="none"/>
                <w:lang w:val="en-US" w:eastAsia="zh-CN"/>
              </w:rPr>
            </w:pPr>
            <w:r>
              <w:rPr>
                <w:rFonts w:hint="eastAsia" w:asciiTheme="minorEastAsia" w:hAnsiTheme="minorEastAsia" w:eastAsiaTheme="minorEastAsia" w:cstheme="minorEastAsia"/>
                <w:bCs/>
                <w:color w:val="auto"/>
                <w:sz w:val="24"/>
                <w:szCs w:val="24"/>
                <w:highlight w:val="none"/>
                <w:lang w:val="en-US" w:eastAsia="zh-CN"/>
              </w:rPr>
              <w:t>经计算，破碎、粉碎工位上方单个集气罩风量约为3960m</w:t>
            </w:r>
            <w:r>
              <w:rPr>
                <w:rFonts w:hint="eastAsia" w:asciiTheme="minorEastAsia" w:hAnsiTheme="minorEastAsia" w:eastAsiaTheme="minorEastAsia" w:cstheme="minorEastAsia"/>
                <w:bCs/>
                <w:color w:val="auto"/>
                <w:sz w:val="24"/>
                <w:szCs w:val="24"/>
                <w:highlight w:val="none"/>
                <w:vertAlign w:val="superscript"/>
                <w:lang w:val="en-US" w:eastAsia="zh-CN"/>
              </w:rPr>
              <w:t>3</w:t>
            </w:r>
            <w:r>
              <w:rPr>
                <w:rFonts w:hint="eastAsia" w:asciiTheme="minorEastAsia" w:hAnsiTheme="minorEastAsia" w:eastAsiaTheme="minorEastAsia" w:cstheme="minorEastAsia"/>
                <w:bCs/>
                <w:color w:val="auto"/>
                <w:sz w:val="24"/>
                <w:szCs w:val="24"/>
                <w:highlight w:val="none"/>
                <w:lang w:val="en-US" w:eastAsia="zh-CN"/>
              </w:rPr>
              <w:t>/h。</w:t>
            </w:r>
          </w:p>
          <w:p w14:paraId="586511C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Cs/>
                <w:color w:val="auto"/>
                <w:sz w:val="24"/>
                <w:szCs w:val="24"/>
                <w:highlight w:val="none"/>
                <w:lang w:val="en-US" w:eastAsia="zh-CN"/>
              </w:rPr>
              <w:t>本项目共设置6个集气罩，则破碎、筛分、</w:t>
            </w:r>
            <w:r>
              <w:rPr>
                <w:rStyle w:val="85"/>
                <w:rFonts w:hint="eastAsia" w:cs="宋体"/>
                <w:b w:val="0"/>
                <w:bCs w:val="0"/>
                <w:color w:val="auto"/>
                <w:highlight w:val="none"/>
              </w:rPr>
              <w:t>制粒成型</w:t>
            </w:r>
            <w:r>
              <w:rPr>
                <w:rFonts w:hint="eastAsia" w:asciiTheme="minorEastAsia" w:hAnsiTheme="minorEastAsia" w:eastAsiaTheme="minorEastAsia" w:cstheme="minorEastAsia"/>
                <w:bCs/>
                <w:color w:val="auto"/>
                <w:sz w:val="24"/>
                <w:szCs w:val="24"/>
                <w:highlight w:val="none"/>
                <w:lang w:val="en-US" w:eastAsia="zh-CN"/>
              </w:rPr>
              <w:t>工序风量为23760m</w:t>
            </w:r>
            <w:r>
              <w:rPr>
                <w:rFonts w:hint="eastAsia" w:asciiTheme="minorEastAsia" w:hAnsiTheme="minorEastAsia" w:eastAsiaTheme="minorEastAsia" w:cstheme="minorEastAsia"/>
                <w:bCs/>
                <w:color w:val="auto"/>
                <w:sz w:val="24"/>
                <w:szCs w:val="24"/>
                <w:highlight w:val="none"/>
                <w:vertAlign w:val="superscript"/>
                <w:lang w:val="en-US" w:eastAsia="zh-CN"/>
              </w:rPr>
              <w:t>3</w:t>
            </w:r>
            <w:r>
              <w:rPr>
                <w:rFonts w:hint="eastAsia" w:asciiTheme="minorEastAsia" w:hAnsiTheme="minorEastAsia" w:eastAsiaTheme="minorEastAsia" w:cstheme="minorEastAsia"/>
                <w:bCs/>
                <w:color w:val="auto"/>
                <w:sz w:val="24"/>
                <w:szCs w:val="24"/>
                <w:highlight w:val="none"/>
                <w:lang w:val="en-US" w:eastAsia="zh-CN"/>
              </w:rPr>
              <w:t>/h</w:t>
            </w:r>
            <w:r>
              <w:rPr>
                <w:rFonts w:hint="eastAsia" w:asciiTheme="minorEastAsia" w:hAnsiTheme="minorEastAsia" w:eastAsiaTheme="minorEastAsia" w:cstheme="minorEastAsia"/>
                <w:color w:val="auto"/>
                <w:sz w:val="24"/>
                <w:szCs w:val="24"/>
                <w:highlight w:val="none"/>
              </w:rPr>
              <w:t xml:space="preserve">。 </w:t>
            </w:r>
          </w:p>
          <w:p w14:paraId="622192C8">
            <w:pPr>
              <w:spacing w:line="360" w:lineRule="auto"/>
              <w:ind w:firstLine="480" w:firstLineChars="200"/>
              <w:rPr>
                <w:rFonts w:hint="eastAsia" w:asciiTheme="minorEastAsia" w:hAnsiTheme="minorEastAsia" w:eastAsiaTheme="minorEastAsia" w:cstheme="minorEastAsia"/>
                <w:bCs/>
                <w:color w:val="auto"/>
                <w:sz w:val="24"/>
                <w:szCs w:val="24"/>
                <w:highlight w:val="none"/>
                <w:vertAlign w:val="baseline"/>
                <w:lang w:val="en-US" w:eastAsia="zh-CN"/>
              </w:rPr>
            </w:pPr>
            <w:r>
              <w:rPr>
                <w:rFonts w:hint="eastAsia" w:asciiTheme="minorEastAsia" w:hAnsiTheme="minorEastAsia" w:eastAsiaTheme="minorEastAsia" w:cstheme="minorEastAsia"/>
                <w:bCs/>
                <w:color w:val="auto"/>
                <w:sz w:val="24"/>
                <w:szCs w:val="24"/>
                <w:highlight w:val="none"/>
                <w:lang w:val="en-US" w:eastAsia="zh-CN"/>
              </w:rPr>
              <w:t>考虑风阻损耗及收集效率等因素，项目破碎、筛分、</w:t>
            </w:r>
            <w:r>
              <w:rPr>
                <w:rStyle w:val="85"/>
                <w:rFonts w:hint="eastAsia" w:cs="宋体"/>
                <w:b w:val="0"/>
                <w:bCs w:val="0"/>
                <w:color w:val="auto"/>
                <w:highlight w:val="none"/>
              </w:rPr>
              <w:t>制粒成型</w:t>
            </w:r>
            <w:r>
              <w:rPr>
                <w:rFonts w:hint="eastAsia" w:asciiTheme="minorEastAsia" w:hAnsiTheme="minorEastAsia" w:eastAsiaTheme="minorEastAsia" w:cstheme="minorEastAsia"/>
                <w:bCs/>
                <w:color w:val="auto"/>
                <w:sz w:val="24"/>
                <w:szCs w:val="24"/>
                <w:highlight w:val="none"/>
                <w:lang w:val="en-US" w:eastAsia="zh-CN"/>
              </w:rPr>
              <w:t>工序设计风量共计为25000m</w:t>
            </w:r>
            <w:r>
              <w:rPr>
                <w:rFonts w:hint="eastAsia" w:asciiTheme="minorEastAsia" w:hAnsiTheme="minorEastAsia" w:eastAsiaTheme="minorEastAsia" w:cstheme="minorEastAsia"/>
                <w:bCs/>
                <w:color w:val="auto"/>
                <w:sz w:val="24"/>
                <w:szCs w:val="24"/>
                <w:highlight w:val="none"/>
                <w:vertAlign w:val="superscript"/>
                <w:lang w:val="en-US" w:eastAsia="zh-CN"/>
              </w:rPr>
              <w:t>3</w:t>
            </w:r>
            <w:r>
              <w:rPr>
                <w:rFonts w:hint="eastAsia" w:asciiTheme="minorEastAsia" w:hAnsiTheme="minorEastAsia" w:eastAsiaTheme="minorEastAsia" w:cstheme="minorEastAsia"/>
                <w:bCs/>
                <w:color w:val="auto"/>
                <w:sz w:val="24"/>
                <w:szCs w:val="24"/>
                <w:highlight w:val="none"/>
                <w:lang w:val="en-US" w:eastAsia="zh-CN"/>
              </w:rPr>
              <w:t>/h。</w:t>
            </w:r>
            <w:r>
              <w:rPr>
                <w:rFonts w:hint="eastAsia" w:asciiTheme="minorEastAsia" w:hAnsiTheme="minorEastAsia" w:eastAsiaTheme="minorEastAsia" w:cstheme="minorEastAsia"/>
                <w:bCs/>
                <w:color w:val="auto"/>
                <w:sz w:val="24"/>
                <w:szCs w:val="24"/>
                <w:highlight w:val="none"/>
                <w:lang w:val="en-US" w:eastAsia="zh-CN"/>
              </w:rPr>
              <w:br w:type="textWrapping"/>
            </w:r>
            <w:r>
              <w:rPr>
                <w:rFonts w:hint="eastAsia" w:asciiTheme="minorEastAsia" w:hAnsiTheme="minorEastAsia" w:eastAsiaTheme="minorEastAsia" w:cstheme="minorEastAsia"/>
                <w:bCs/>
                <w:color w:val="auto"/>
                <w:sz w:val="24"/>
                <w:szCs w:val="24"/>
                <w:highlight w:val="none"/>
                <w:lang w:val="en-US" w:eastAsia="zh-CN"/>
              </w:rPr>
              <w:t xml:space="preserve">    本项目破碎、粉碎、</w:t>
            </w:r>
            <w:r>
              <w:rPr>
                <w:rStyle w:val="85"/>
                <w:rFonts w:hint="eastAsia" w:cs="宋体"/>
                <w:b w:val="0"/>
                <w:bCs w:val="0"/>
                <w:color w:val="auto"/>
                <w:highlight w:val="none"/>
              </w:rPr>
              <w:t>制粒成型</w:t>
            </w:r>
            <w:r>
              <w:rPr>
                <w:rFonts w:hint="eastAsia" w:asciiTheme="minorEastAsia" w:hAnsiTheme="minorEastAsia" w:eastAsiaTheme="minorEastAsia" w:cstheme="minorEastAsia"/>
                <w:bCs/>
                <w:color w:val="auto"/>
                <w:sz w:val="24"/>
                <w:szCs w:val="24"/>
                <w:highlight w:val="none"/>
                <w:lang w:val="en-US" w:eastAsia="zh-CN"/>
              </w:rPr>
              <w:t>工序颗粒物产生量为133.8t/a，产生速率约为25.0875kg/h，产生浓度约为1003.5mg/m</w:t>
            </w:r>
            <w:r>
              <w:rPr>
                <w:rFonts w:hint="eastAsia" w:asciiTheme="minorEastAsia" w:hAnsiTheme="minorEastAsia" w:eastAsiaTheme="minorEastAsia" w:cstheme="minorEastAsia"/>
                <w:bCs/>
                <w:color w:val="auto"/>
                <w:sz w:val="24"/>
                <w:szCs w:val="24"/>
                <w:highlight w:val="none"/>
                <w:vertAlign w:val="superscript"/>
                <w:lang w:val="en-US" w:eastAsia="zh-CN"/>
              </w:rPr>
              <w:t>3</w:t>
            </w:r>
            <w:r>
              <w:rPr>
                <w:rFonts w:hint="eastAsia" w:asciiTheme="minorEastAsia" w:hAnsiTheme="minorEastAsia" w:eastAsiaTheme="minorEastAsia" w:cstheme="minorEastAsia"/>
                <w:bCs/>
                <w:color w:val="auto"/>
                <w:sz w:val="24"/>
                <w:szCs w:val="24"/>
                <w:highlight w:val="none"/>
                <w:vertAlign w:val="baseline"/>
                <w:lang w:val="en-US" w:eastAsia="zh-CN"/>
              </w:rPr>
              <w:t>；排放</w:t>
            </w:r>
            <w:r>
              <w:rPr>
                <w:rFonts w:hint="eastAsia" w:asciiTheme="minorEastAsia" w:hAnsiTheme="minorEastAsia" w:eastAsiaTheme="minorEastAsia" w:cstheme="minorEastAsia"/>
                <w:bCs/>
                <w:color w:val="auto"/>
                <w:sz w:val="24"/>
                <w:szCs w:val="24"/>
                <w:highlight w:val="none"/>
                <w:lang w:val="en-US" w:eastAsia="zh-CN"/>
              </w:rPr>
              <w:t>量为0.603t/a，</w:t>
            </w:r>
            <w:r>
              <w:rPr>
                <w:rFonts w:hint="eastAsia" w:asciiTheme="minorEastAsia" w:hAnsiTheme="minorEastAsia" w:eastAsiaTheme="minorEastAsia" w:cstheme="minorEastAsia"/>
                <w:bCs/>
                <w:color w:val="auto"/>
                <w:sz w:val="24"/>
                <w:szCs w:val="24"/>
                <w:highlight w:val="none"/>
                <w:vertAlign w:val="baseline"/>
                <w:lang w:val="en-US" w:eastAsia="zh-CN"/>
              </w:rPr>
              <w:t>排放</w:t>
            </w:r>
            <w:r>
              <w:rPr>
                <w:rFonts w:hint="eastAsia" w:asciiTheme="minorEastAsia" w:hAnsiTheme="minorEastAsia" w:eastAsiaTheme="minorEastAsia" w:cstheme="minorEastAsia"/>
                <w:bCs/>
                <w:color w:val="auto"/>
                <w:sz w:val="24"/>
                <w:szCs w:val="24"/>
                <w:highlight w:val="none"/>
                <w:lang w:val="en-US" w:eastAsia="zh-CN"/>
              </w:rPr>
              <w:t>速率约为0.12544kg/h，</w:t>
            </w:r>
            <w:r>
              <w:rPr>
                <w:rFonts w:hint="eastAsia" w:asciiTheme="minorEastAsia" w:hAnsiTheme="minorEastAsia" w:eastAsiaTheme="minorEastAsia" w:cstheme="minorEastAsia"/>
                <w:bCs/>
                <w:color w:val="auto"/>
                <w:sz w:val="24"/>
                <w:szCs w:val="24"/>
                <w:highlight w:val="none"/>
                <w:vertAlign w:val="baseline"/>
                <w:lang w:val="en-US" w:eastAsia="zh-CN"/>
              </w:rPr>
              <w:t>排放</w:t>
            </w:r>
            <w:r>
              <w:rPr>
                <w:rFonts w:hint="eastAsia" w:asciiTheme="minorEastAsia" w:hAnsiTheme="minorEastAsia" w:eastAsiaTheme="minorEastAsia" w:cstheme="minorEastAsia"/>
                <w:bCs/>
                <w:color w:val="auto"/>
                <w:sz w:val="24"/>
                <w:szCs w:val="24"/>
                <w:highlight w:val="none"/>
                <w:lang w:val="en-US" w:eastAsia="zh-CN"/>
              </w:rPr>
              <w:t>浓度约为5.018mg/m</w:t>
            </w:r>
            <w:r>
              <w:rPr>
                <w:rFonts w:hint="eastAsia" w:asciiTheme="minorEastAsia" w:hAnsiTheme="minorEastAsia" w:eastAsiaTheme="minorEastAsia" w:cstheme="minorEastAsia"/>
                <w:bCs/>
                <w:color w:val="auto"/>
                <w:sz w:val="24"/>
                <w:szCs w:val="24"/>
                <w:highlight w:val="none"/>
                <w:vertAlign w:val="superscript"/>
                <w:lang w:val="en-US" w:eastAsia="zh-CN"/>
              </w:rPr>
              <w:t>3</w:t>
            </w:r>
            <w:r>
              <w:rPr>
                <w:rFonts w:hint="eastAsia" w:asciiTheme="minorEastAsia" w:hAnsiTheme="minorEastAsia" w:eastAsiaTheme="minorEastAsia" w:cstheme="minorEastAsia"/>
                <w:bCs/>
                <w:color w:val="auto"/>
                <w:sz w:val="24"/>
                <w:szCs w:val="24"/>
                <w:highlight w:val="none"/>
                <w:vertAlign w:val="baseline"/>
                <w:lang w:val="en-US" w:eastAsia="zh-CN"/>
              </w:rPr>
              <w:t>。</w:t>
            </w:r>
          </w:p>
          <w:p w14:paraId="717B1B24">
            <w:pPr>
              <w:spacing w:line="360" w:lineRule="auto"/>
              <w:ind w:firstLine="480" w:firstLineChars="200"/>
              <w:rPr>
                <w:rFonts w:hint="eastAsia" w:eastAsia="宋体" w:cs="宋体"/>
                <w:color w:val="auto"/>
                <w:sz w:val="24"/>
                <w:highlight w:val="none"/>
                <w:lang w:eastAsia="zh-CN"/>
              </w:rPr>
            </w:pPr>
            <w:r>
              <w:rPr>
                <w:rFonts w:hint="eastAsia" w:asciiTheme="minorEastAsia" w:hAnsiTheme="minorEastAsia" w:eastAsiaTheme="minorEastAsia" w:cstheme="minorEastAsia"/>
                <w:bCs/>
                <w:color w:val="auto"/>
                <w:sz w:val="24"/>
                <w:szCs w:val="24"/>
                <w:highlight w:val="none"/>
                <w:vertAlign w:val="baseline"/>
                <w:lang w:val="en-US" w:eastAsia="zh-CN"/>
              </w:rPr>
              <w:t>未收集到的颗粒物于生产车间内无组织排放，排放量约为13.38t/a。</w:t>
            </w:r>
            <w:r>
              <w:rPr>
                <w:rFonts w:hint="eastAsia" w:asciiTheme="minorEastAsia" w:hAnsiTheme="minorEastAsia" w:eastAsiaTheme="minorEastAsia" w:cstheme="minorEastAsia"/>
                <w:bCs/>
                <w:color w:val="auto"/>
                <w:sz w:val="24"/>
                <w:szCs w:val="24"/>
                <w:highlight w:val="none"/>
                <w:vertAlign w:val="baseline"/>
                <w:lang w:val="en-US" w:eastAsia="zh-CN"/>
              </w:rPr>
              <w:br w:type="textWrapping"/>
            </w:r>
            <w:r>
              <w:rPr>
                <w:rFonts w:hint="eastAsia" w:asciiTheme="minorEastAsia" w:hAnsiTheme="minorEastAsia" w:eastAsiaTheme="minorEastAsia" w:cstheme="minorEastAsia"/>
                <w:bCs/>
                <w:color w:val="auto"/>
                <w:sz w:val="24"/>
                <w:szCs w:val="24"/>
                <w:highlight w:val="none"/>
                <w:vertAlign w:val="baseline"/>
                <w:lang w:val="en-US" w:eastAsia="zh-CN"/>
              </w:rPr>
              <w:t xml:space="preserve">    （3）车辆</w:t>
            </w:r>
            <w:r>
              <w:rPr>
                <w:rStyle w:val="85"/>
                <w:rFonts w:hint="eastAsia" w:cs="宋体"/>
                <w:b w:val="0"/>
                <w:bCs w:val="0"/>
                <w:color w:val="auto"/>
                <w:highlight w:val="none"/>
              </w:rPr>
              <w:t>运输废气</w:t>
            </w:r>
            <w:r>
              <w:rPr>
                <w:rStyle w:val="85"/>
                <w:rFonts w:hint="eastAsia" w:cs="宋体"/>
                <w:b w:val="0"/>
                <w:bCs w:val="0"/>
                <w:color w:val="auto"/>
                <w:highlight w:val="red"/>
              </w:rPr>
              <w:br w:type="textWrapping"/>
            </w:r>
            <w:r>
              <w:rPr>
                <w:rFonts w:hint="eastAsia" w:cs="宋体"/>
                <w:color w:val="auto"/>
                <w:sz w:val="24"/>
                <w:highlight w:val="none"/>
                <w:lang w:val="en-US" w:eastAsia="zh-CN"/>
              </w:rPr>
              <w:t xml:space="preserve">    </w:t>
            </w:r>
            <w:r>
              <w:rPr>
                <w:rFonts w:hint="eastAsia" w:cs="宋体"/>
                <w:color w:val="auto"/>
                <w:sz w:val="24"/>
                <w:highlight w:val="none"/>
              </w:rPr>
              <w:t>本项目</w:t>
            </w:r>
            <w:r>
              <w:rPr>
                <w:rFonts w:hint="eastAsia" w:asciiTheme="minorEastAsia" w:hAnsiTheme="minorEastAsia" w:eastAsiaTheme="minorEastAsia" w:cstheme="minorEastAsia"/>
                <w:bCs/>
                <w:color w:val="auto"/>
                <w:sz w:val="24"/>
                <w:szCs w:val="24"/>
                <w:highlight w:val="none"/>
                <w:vertAlign w:val="baseline"/>
                <w:lang w:val="en-US" w:eastAsia="zh-CN"/>
              </w:rPr>
              <w:t>车辆</w:t>
            </w:r>
            <w:r>
              <w:rPr>
                <w:rStyle w:val="85"/>
                <w:rFonts w:hint="eastAsia" w:cs="宋体"/>
                <w:b w:val="0"/>
                <w:bCs w:val="0"/>
                <w:color w:val="auto"/>
                <w:highlight w:val="none"/>
              </w:rPr>
              <w:t>运输废气包括</w:t>
            </w:r>
            <w:r>
              <w:rPr>
                <w:rFonts w:hint="eastAsia" w:cs="宋体"/>
                <w:color w:val="auto"/>
                <w:sz w:val="24"/>
                <w:highlight w:val="none"/>
              </w:rPr>
              <w:t>车辆运输扬尘</w:t>
            </w:r>
            <w:r>
              <w:rPr>
                <w:rFonts w:hint="eastAsia" w:cs="宋体"/>
                <w:color w:val="auto"/>
                <w:sz w:val="24"/>
                <w:highlight w:val="none"/>
                <w:lang w:eastAsia="zh-CN"/>
              </w:rPr>
              <w:t>及</w:t>
            </w:r>
            <w:r>
              <w:rPr>
                <w:rFonts w:hint="eastAsia" w:cs="宋体"/>
                <w:color w:val="auto"/>
                <w:sz w:val="24"/>
                <w:highlight w:val="none"/>
              </w:rPr>
              <w:t>车辆尾气</w:t>
            </w:r>
          </w:p>
          <w:p w14:paraId="6F22FCBE">
            <w:pPr>
              <w:pStyle w:val="144"/>
              <w:adjustRightInd w:val="0"/>
              <w:snapToGrid w:val="0"/>
              <w:spacing w:beforeLines="0" w:line="360" w:lineRule="auto"/>
              <w:ind w:left="719" w:leftChars="228" w:hanging="240" w:hangingChars="100"/>
              <w:rPr>
                <w:rFonts w:hint="eastAsia" w:cs="宋体"/>
                <w:color w:val="auto"/>
                <w:sz w:val="24"/>
                <w:highlight w:val="none"/>
              </w:rPr>
            </w:pPr>
            <w:r>
              <w:rPr>
                <w:rFonts w:hint="eastAsia" w:cs="宋体"/>
                <w:color w:val="auto"/>
                <w:sz w:val="24"/>
                <w:highlight w:val="none"/>
              </w:rPr>
              <w:t>①车辆运输扬尘</w:t>
            </w:r>
          </w:p>
          <w:p w14:paraId="39A78452">
            <w:pPr>
              <w:numPr>
                <w:ilvl w:val="0"/>
                <w:numId w:val="0"/>
              </w:numPr>
              <w:spacing w:line="360" w:lineRule="auto"/>
              <w:ind w:firstLine="480" w:firstLineChars="200"/>
              <w:rPr>
                <w:rStyle w:val="85"/>
                <w:rFonts w:hint="eastAsia" w:cs="宋体"/>
                <w:b w:val="0"/>
                <w:bCs w:val="0"/>
                <w:color w:val="auto"/>
                <w:highlight w:val="none"/>
              </w:rPr>
            </w:pPr>
            <w:r>
              <w:rPr>
                <w:rStyle w:val="85"/>
                <w:rFonts w:hint="eastAsia" w:cs="宋体"/>
                <w:b w:val="0"/>
                <w:bCs w:val="0"/>
                <w:color w:val="auto"/>
                <w:highlight w:val="none"/>
              </w:rPr>
              <w:t>车辆运输时产生扬尘，参考工程交通运输起尘采用的计算公式，本项目仅针对场内运输扬尘进行定量计算:</w:t>
            </w:r>
          </w:p>
          <w:p w14:paraId="1A56A3EF">
            <w:pPr>
              <w:numPr>
                <w:ilvl w:val="0"/>
                <w:numId w:val="0"/>
              </w:numPr>
              <w:spacing w:line="360" w:lineRule="auto"/>
              <w:jc w:val="center"/>
              <w:rPr>
                <w:rStyle w:val="85"/>
                <w:rFonts w:hint="eastAsia" w:cs="宋体"/>
                <w:b w:val="0"/>
                <w:bCs w:val="0"/>
                <w:color w:val="auto"/>
                <w:highlight w:val="none"/>
              </w:rPr>
            </w:pPr>
            <w:r>
              <w:rPr>
                <w:rStyle w:val="85"/>
                <w:rFonts w:hint="eastAsia" w:cs="宋体"/>
                <w:b w:val="0"/>
                <w:bCs w:val="0"/>
                <w:color w:val="auto"/>
                <w:highlight w:val="none"/>
              </w:rPr>
              <w:t>Qy= 0.123×</w:t>
            </w:r>
            <w:r>
              <w:rPr>
                <w:rStyle w:val="85"/>
                <w:rFonts w:hint="eastAsia" w:cs="宋体"/>
                <w:b w:val="0"/>
                <w:bCs w:val="0"/>
                <w:color w:val="auto"/>
                <w:highlight w:val="none"/>
                <w:lang w:val="en-US"/>
              </w:rPr>
              <w:t>V</w:t>
            </w:r>
            <w:r>
              <w:rPr>
                <w:rStyle w:val="85"/>
                <w:rFonts w:hint="eastAsia" w:cs="宋体"/>
                <w:b w:val="0"/>
                <w:bCs w:val="0"/>
                <w:color w:val="auto"/>
                <w:highlight w:val="none"/>
              </w:rPr>
              <w:t>/5×（</w:t>
            </w:r>
            <w:r>
              <w:rPr>
                <w:rStyle w:val="85"/>
                <w:rFonts w:hint="eastAsia" w:cs="宋体"/>
                <w:b w:val="0"/>
                <w:bCs w:val="0"/>
                <w:color w:val="auto"/>
                <w:highlight w:val="none"/>
                <w:lang w:val="en-US"/>
              </w:rPr>
              <w:t>M</w:t>
            </w:r>
            <w:r>
              <w:rPr>
                <w:rStyle w:val="85"/>
                <w:rFonts w:hint="eastAsia" w:cs="宋体"/>
                <w:b w:val="0"/>
                <w:bCs w:val="0"/>
                <w:color w:val="auto"/>
                <w:highlight w:val="none"/>
              </w:rPr>
              <w:t xml:space="preserve"> /6.8）</w:t>
            </w:r>
            <w:r>
              <w:rPr>
                <w:rStyle w:val="85"/>
                <w:rFonts w:hint="eastAsia" w:cs="宋体"/>
                <w:b w:val="0"/>
                <w:bCs w:val="0"/>
                <w:color w:val="auto"/>
                <w:highlight w:val="none"/>
                <w:vertAlign w:val="superscript"/>
              </w:rPr>
              <w:t>0.85</w:t>
            </w:r>
            <w:r>
              <w:rPr>
                <w:rStyle w:val="85"/>
                <w:rFonts w:hint="eastAsia" w:cs="宋体"/>
                <w:b w:val="0"/>
                <w:bCs w:val="0"/>
                <w:color w:val="auto"/>
                <w:highlight w:val="none"/>
              </w:rPr>
              <w:t>×（</w:t>
            </w:r>
            <w:r>
              <w:rPr>
                <w:rStyle w:val="85"/>
                <w:rFonts w:hint="eastAsia" w:cs="宋体"/>
                <w:b w:val="0"/>
                <w:bCs w:val="0"/>
                <w:color w:val="auto"/>
                <w:highlight w:val="none"/>
                <w:lang w:val="en-US"/>
              </w:rPr>
              <w:t>P</w:t>
            </w:r>
            <w:r>
              <w:rPr>
                <w:rStyle w:val="85"/>
                <w:rFonts w:hint="eastAsia" w:cs="宋体"/>
                <w:b w:val="0"/>
                <w:bCs w:val="0"/>
                <w:color w:val="auto"/>
                <w:highlight w:val="none"/>
              </w:rPr>
              <w:t xml:space="preserve"> /0.5）</w:t>
            </w:r>
            <w:r>
              <w:rPr>
                <w:rStyle w:val="85"/>
                <w:rFonts w:hint="eastAsia" w:cs="宋体"/>
                <w:b w:val="0"/>
                <w:bCs w:val="0"/>
                <w:color w:val="auto"/>
                <w:highlight w:val="none"/>
                <w:vertAlign w:val="superscript"/>
              </w:rPr>
              <w:t>0.72</w:t>
            </w:r>
          </w:p>
          <w:p w14:paraId="00AD1682">
            <w:pPr>
              <w:numPr>
                <w:ilvl w:val="0"/>
                <w:numId w:val="0"/>
              </w:numPr>
              <w:spacing w:line="360" w:lineRule="auto"/>
              <w:ind w:firstLine="1680" w:firstLineChars="700"/>
              <w:rPr>
                <w:rStyle w:val="85"/>
                <w:rFonts w:hint="eastAsia" w:cs="宋体"/>
                <w:b w:val="0"/>
                <w:bCs w:val="0"/>
                <w:color w:val="auto"/>
                <w:highlight w:val="none"/>
              </w:rPr>
            </w:pPr>
            <w:r>
              <w:rPr>
                <w:rStyle w:val="85"/>
                <w:rFonts w:hint="eastAsia" w:cs="宋体"/>
                <w:b w:val="0"/>
                <w:bCs w:val="0"/>
                <w:color w:val="auto"/>
                <w:highlight w:val="none"/>
              </w:rPr>
              <w:t>Qt=Qy×L×（Q/M）</w:t>
            </w:r>
          </w:p>
          <w:p w14:paraId="15ED9726">
            <w:pPr>
              <w:numPr>
                <w:ilvl w:val="0"/>
                <w:numId w:val="0"/>
              </w:numPr>
              <w:spacing w:line="360" w:lineRule="auto"/>
              <w:ind w:firstLine="480" w:firstLineChars="200"/>
              <w:rPr>
                <w:rStyle w:val="85"/>
                <w:rFonts w:hint="eastAsia" w:cs="宋体"/>
                <w:b w:val="0"/>
                <w:bCs w:val="0"/>
                <w:color w:val="auto"/>
                <w:highlight w:val="none"/>
              </w:rPr>
            </w:pPr>
            <w:r>
              <w:rPr>
                <w:rStyle w:val="85"/>
                <w:rFonts w:hint="eastAsia" w:cs="宋体"/>
                <w:b w:val="0"/>
                <w:bCs w:val="0"/>
                <w:color w:val="auto"/>
                <w:highlight w:val="none"/>
              </w:rPr>
              <w:t>式中：Qy——交通运输起尘量，</w:t>
            </w:r>
            <w:r>
              <w:rPr>
                <w:rStyle w:val="85"/>
                <w:rFonts w:hint="eastAsia" w:cs="宋体"/>
                <w:b w:val="0"/>
                <w:bCs w:val="0"/>
                <w:color w:val="auto"/>
                <w:highlight w:val="none"/>
                <w:lang w:val="en-US"/>
              </w:rPr>
              <w:t>k</w:t>
            </w:r>
            <w:r>
              <w:rPr>
                <w:rStyle w:val="85"/>
                <w:rFonts w:hint="eastAsia" w:cs="宋体"/>
                <w:b w:val="0"/>
                <w:bCs w:val="0"/>
                <w:color w:val="auto"/>
                <w:highlight w:val="none"/>
              </w:rPr>
              <w:t>g/km.辆：</w:t>
            </w:r>
          </w:p>
          <w:p w14:paraId="5E222769">
            <w:pPr>
              <w:numPr>
                <w:ilvl w:val="0"/>
                <w:numId w:val="0"/>
              </w:numPr>
              <w:spacing w:line="360" w:lineRule="auto"/>
              <w:ind w:firstLine="480" w:firstLineChars="200"/>
              <w:rPr>
                <w:rStyle w:val="85"/>
                <w:rFonts w:hint="eastAsia" w:cs="宋体"/>
                <w:b w:val="0"/>
                <w:bCs w:val="0"/>
                <w:color w:val="auto"/>
                <w:highlight w:val="none"/>
              </w:rPr>
            </w:pPr>
            <w:r>
              <w:rPr>
                <w:rStyle w:val="85"/>
                <w:rFonts w:hint="eastAsia" w:cs="宋体"/>
                <w:b w:val="0"/>
                <w:bCs w:val="0"/>
                <w:color w:val="auto"/>
                <w:highlight w:val="none"/>
              </w:rPr>
              <w:t>Qt——交通途中起尘量，</w:t>
            </w:r>
            <w:r>
              <w:rPr>
                <w:rStyle w:val="85"/>
                <w:rFonts w:hint="eastAsia" w:cs="宋体"/>
                <w:b w:val="0"/>
                <w:bCs w:val="0"/>
                <w:color w:val="auto"/>
                <w:highlight w:val="none"/>
                <w:lang w:val="en-US"/>
              </w:rPr>
              <w:t>k</w:t>
            </w:r>
            <w:r>
              <w:rPr>
                <w:rStyle w:val="85"/>
                <w:rFonts w:hint="eastAsia" w:cs="宋体"/>
                <w:b w:val="0"/>
                <w:bCs w:val="0"/>
                <w:color w:val="auto"/>
                <w:highlight w:val="none"/>
              </w:rPr>
              <w:t>g/a;</w:t>
            </w:r>
          </w:p>
          <w:p w14:paraId="26A96FC9">
            <w:pPr>
              <w:numPr>
                <w:ilvl w:val="0"/>
                <w:numId w:val="0"/>
              </w:numPr>
              <w:spacing w:line="360" w:lineRule="auto"/>
              <w:ind w:firstLine="480" w:firstLineChars="200"/>
              <w:rPr>
                <w:rStyle w:val="85"/>
                <w:rFonts w:hint="eastAsia" w:cs="宋体"/>
                <w:b w:val="0"/>
                <w:bCs w:val="0"/>
                <w:color w:val="auto"/>
                <w:highlight w:val="none"/>
              </w:rPr>
            </w:pPr>
            <w:r>
              <w:rPr>
                <w:rStyle w:val="85"/>
                <w:rFonts w:hint="eastAsia" w:cs="宋体"/>
                <w:b w:val="0"/>
                <w:bCs w:val="0"/>
                <w:color w:val="auto"/>
                <w:highlight w:val="none"/>
              </w:rPr>
              <w:t>V——车辆行驶速度，</w:t>
            </w:r>
            <w:r>
              <w:rPr>
                <w:rStyle w:val="85"/>
                <w:rFonts w:hint="eastAsia" w:cs="宋体"/>
                <w:b w:val="0"/>
                <w:bCs w:val="0"/>
                <w:color w:val="auto"/>
                <w:highlight w:val="none"/>
                <w:lang w:val="en-US"/>
              </w:rPr>
              <w:t>k</w:t>
            </w:r>
            <w:r>
              <w:rPr>
                <w:rStyle w:val="85"/>
                <w:rFonts w:hint="eastAsia" w:cs="宋体"/>
                <w:b w:val="0"/>
                <w:bCs w:val="0"/>
                <w:color w:val="auto"/>
                <w:highlight w:val="none"/>
              </w:rPr>
              <w:t xml:space="preserve">m/h（减速慢行，取 </w:t>
            </w:r>
            <w:r>
              <w:rPr>
                <w:rStyle w:val="85"/>
                <w:rFonts w:hint="eastAsia" w:cs="宋体"/>
                <w:b w:val="0"/>
                <w:bCs w:val="0"/>
                <w:color w:val="auto"/>
                <w:highlight w:val="none"/>
                <w:lang w:val="en-US"/>
              </w:rPr>
              <w:t>2</w:t>
            </w:r>
            <w:r>
              <w:rPr>
                <w:rStyle w:val="85"/>
                <w:rFonts w:hint="eastAsia" w:cs="宋体"/>
                <w:b w:val="0"/>
                <w:bCs w:val="0"/>
                <w:color w:val="auto"/>
                <w:highlight w:val="none"/>
              </w:rPr>
              <w:t xml:space="preserve">0 </w:t>
            </w:r>
            <w:r>
              <w:rPr>
                <w:rStyle w:val="85"/>
                <w:rFonts w:hint="eastAsia" w:cs="宋体"/>
                <w:b w:val="0"/>
                <w:bCs w:val="0"/>
                <w:color w:val="auto"/>
                <w:highlight w:val="none"/>
                <w:lang w:val="en-US"/>
              </w:rPr>
              <w:t>k</w:t>
            </w:r>
            <w:r>
              <w:rPr>
                <w:rStyle w:val="85"/>
                <w:rFonts w:hint="eastAsia" w:cs="宋体"/>
                <w:b w:val="0"/>
                <w:bCs w:val="0"/>
                <w:color w:val="auto"/>
                <w:highlight w:val="none"/>
              </w:rPr>
              <w:t>m/h）</w:t>
            </w:r>
          </w:p>
          <w:p w14:paraId="21775964">
            <w:pPr>
              <w:numPr>
                <w:ilvl w:val="0"/>
                <w:numId w:val="0"/>
              </w:numPr>
              <w:spacing w:line="360" w:lineRule="auto"/>
              <w:ind w:firstLine="480" w:firstLineChars="200"/>
              <w:rPr>
                <w:rStyle w:val="85"/>
                <w:rFonts w:hint="eastAsia" w:cs="宋体"/>
                <w:b w:val="0"/>
                <w:bCs w:val="0"/>
                <w:color w:val="auto"/>
                <w:highlight w:val="none"/>
              </w:rPr>
            </w:pPr>
            <w:r>
              <w:rPr>
                <w:rStyle w:val="85"/>
                <w:rFonts w:hint="eastAsia" w:cs="宋体"/>
                <w:b w:val="0"/>
                <w:bCs w:val="0"/>
                <w:color w:val="auto"/>
                <w:highlight w:val="none"/>
              </w:rPr>
              <w:t>P——路面状况，以每平方米路面灰尘覆盖率表示，</w:t>
            </w:r>
            <w:r>
              <w:rPr>
                <w:rStyle w:val="85"/>
                <w:rFonts w:hint="eastAsia" w:cs="宋体"/>
                <w:b w:val="0"/>
                <w:bCs w:val="0"/>
                <w:color w:val="auto"/>
                <w:highlight w:val="none"/>
                <w:lang w:val="en-US"/>
              </w:rPr>
              <w:t>k</w:t>
            </w:r>
            <w:r>
              <w:rPr>
                <w:rStyle w:val="85"/>
                <w:rFonts w:hint="eastAsia" w:cs="宋体"/>
                <w:b w:val="0"/>
                <w:bCs w:val="0"/>
                <w:color w:val="auto"/>
                <w:highlight w:val="none"/>
              </w:rPr>
              <w:t>g/m</w:t>
            </w:r>
            <w:r>
              <w:rPr>
                <w:rStyle w:val="85"/>
                <w:rFonts w:hint="eastAsia" w:cs="宋体"/>
                <w:b w:val="0"/>
                <w:bCs w:val="0"/>
                <w:color w:val="auto"/>
                <w:highlight w:val="none"/>
                <w:vertAlign w:val="superscript"/>
                <w:lang w:val="en-US"/>
              </w:rPr>
              <w:t>2</w:t>
            </w:r>
            <w:r>
              <w:rPr>
                <w:rStyle w:val="85"/>
                <w:rFonts w:hint="eastAsia" w:cs="宋体"/>
                <w:b w:val="0"/>
                <w:bCs w:val="0"/>
                <w:color w:val="auto"/>
                <w:highlight w:val="none"/>
              </w:rPr>
              <w:t>；（取 0.01</w:t>
            </w:r>
            <w:r>
              <w:rPr>
                <w:rStyle w:val="85"/>
                <w:rFonts w:hint="eastAsia" w:cs="宋体"/>
                <w:b w:val="0"/>
                <w:bCs w:val="0"/>
                <w:color w:val="auto"/>
                <w:highlight w:val="none"/>
                <w:lang w:val="en-US"/>
              </w:rPr>
              <w:t>k</w:t>
            </w:r>
            <w:r>
              <w:rPr>
                <w:rStyle w:val="85"/>
                <w:rFonts w:hint="eastAsia" w:cs="宋体"/>
                <w:b w:val="0"/>
                <w:bCs w:val="0"/>
                <w:color w:val="auto"/>
                <w:highlight w:val="none"/>
              </w:rPr>
              <w:t>g/m</w:t>
            </w:r>
            <w:r>
              <w:rPr>
                <w:rStyle w:val="85"/>
                <w:rFonts w:hint="eastAsia" w:cs="宋体"/>
                <w:b w:val="0"/>
                <w:bCs w:val="0"/>
                <w:color w:val="auto"/>
                <w:highlight w:val="none"/>
                <w:vertAlign w:val="superscript"/>
                <w:lang w:val="en-US"/>
              </w:rPr>
              <w:t>2</w:t>
            </w:r>
            <w:r>
              <w:rPr>
                <w:rStyle w:val="85"/>
                <w:rFonts w:hint="eastAsia" w:cs="宋体"/>
                <w:b w:val="0"/>
                <w:bCs w:val="0"/>
                <w:color w:val="auto"/>
                <w:highlight w:val="none"/>
              </w:rPr>
              <w:t>）</w:t>
            </w:r>
          </w:p>
          <w:p w14:paraId="5157A6C7">
            <w:pPr>
              <w:numPr>
                <w:ilvl w:val="0"/>
                <w:numId w:val="0"/>
              </w:numPr>
              <w:spacing w:line="360" w:lineRule="auto"/>
              <w:ind w:firstLine="480" w:firstLineChars="200"/>
              <w:rPr>
                <w:rStyle w:val="85"/>
                <w:rFonts w:hint="eastAsia" w:cs="宋体"/>
                <w:b w:val="0"/>
                <w:bCs w:val="0"/>
                <w:color w:val="auto"/>
                <w:highlight w:val="none"/>
              </w:rPr>
            </w:pPr>
            <w:r>
              <w:rPr>
                <w:rStyle w:val="85"/>
                <w:rFonts w:hint="eastAsia" w:cs="宋体"/>
                <w:b w:val="0"/>
                <w:bCs w:val="0"/>
                <w:color w:val="auto"/>
                <w:highlight w:val="none"/>
              </w:rPr>
              <w:t>M——车辆载重，t/辆（取</w:t>
            </w:r>
            <w:r>
              <w:rPr>
                <w:rStyle w:val="85"/>
                <w:rFonts w:hint="eastAsia" w:cs="宋体"/>
                <w:b w:val="0"/>
                <w:bCs w:val="0"/>
                <w:color w:val="auto"/>
                <w:highlight w:val="none"/>
                <w:lang w:val="en-US"/>
              </w:rPr>
              <w:t>32</w:t>
            </w:r>
            <w:r>
              <w:rPr>
                <w:rStyle w:val="85"/>
                <w:rFonts w:hint="eastAsia" w:cs="宋体"/>
                <w:b w:val="0"/>
                <w:bCs w:val="0"/>
                <w:color w:val="auto"/>
                <w:highlight w:val="none"/>
              </w:rPr>
              <w:t>t/辆）</w:t>
            </w:r>
          </w:p>
          <w:p w14:paraId="1EF6EAA9">
            <w:pPr>
              <w:numPr>
                <w:ilvl w:val="0"/>
                <w:numId w:val="0"/>
              </w:numPr>
              <w:spacing w:line="360" w:lineRule="auto"/>
              <w:ind w:firstLine="480" w:firstLineChars="200"/>
              <w:rPr>
                <w:rStyle w:val="85"/>
                <w:rFonts w:hint="eastAsia" w:cs="宋体"/>
                <w:b w:val="0"/>
                <w:bCs w:val="0"/>
                <w:color w:val="auto"/>
                <w:highlight w:val="none"/>
              </w:rPr>
            </w:pPr>
            <w:r>
              <w:rPr>
                <w:rStyle w:val="85"/>
                <w:rFonts w:hint="eastAsia" w:cs="宋体"/>
                <w:b w:val="0"/>
                <w:bCs w:val="0"/>
                <w:color w:val="auto"/>
                <w:highlight w:val="none"/>
              </w:rPr>
              <w:t>L——运输距离，km （约</w:t>
            </w:r>
            <w:r>
              <w:rPr>
                <w:rStyle w:val="85"/>
                <w:rFonts w:hint="eastAsia" w:cs="宋体"/>
                <w:b w:val="0"/>
                <w:bCs w:val="0"/>
                <w:color w:val="auto"/>
                <w:highlight w:val="none"/>
                <w:lang w:val="en-US"/>
              </w:rPr>
              <w:t>0.1k</w:t>
            </w:r>
            <w:r>
              <w:rPr>
                <w:rStyle w:val="85"/>
                <w:rFonts w:hint="eastAsia" w:cs="宋体"/>
                <w:b w:val="0"/>
                <w:bCs w:val="0"/>
                <w:color w:val="auto"/>
                <w:highlight w:val="none"/>
              </w:rPr>
              <w:t>m）</w:t>
            </w:r>
          </w:p>
          <w:p w14:paraId="7D2264A6">
            <w:pPr>
              <w:numPr>
                <w:ilvl w:val="0"/>
                <w:numId w:val="0"/>
              </w:numPr>
              <w:spacing w:line="360" w:lineRule="auto"/>
              <w:ind w:firstLine="480" w:firstLineChars="200"/>
              <w:rPr>
                <w:rStyle w:val="85"/>
                <w:rFonts w:hint="eastAsia" w:cs="宋体"/>
                <w:b w:val="0"/>
                <w:bCs w:val="0"/>
                <w:color w:val="auto"/>
                <w:highlight w:val="none"/>
              </w:rPr>
            </w:pPr>
            <w:r>
              <w:rPr>
                <w:rStyle w:val="85"/>
                <w:rFonts w:hint="eastAsia" w:cs="宋体"/>
                <w:b w:val="0"/>
                <w:bCs w:val="0"/>
                <w:color w:val="auto"/>
                <w:highlight w:val="none"/>
              </w:rPr>
              <w:t>Q——运输量，（t/a）（总计</w:t>
            </w:r>
            <w:r>
              <w:rPr>
                <w:rStyle w:val="85"/>
                <w:rFonts w:hint="eastAsia" w:cs="宋体"/>
                <w:b w:val="0"/>
                <w:bCs w:val="0"/>
                <w:color w:val="auto"/>
                <w:highlight w:val="none"/>
                <w:lang w:val="en-US"/>
              </w:rPr>
              <w:t>20.1万</w:t>
            </w:r>
            <w:r>
              <w:rPr>
                <w:rStyle w:val="85"/>
                <w:rFonts w:hint="eastAsia" w:cs="宋体"/>
                <w:b w:val="0"/>
                <w:bCs w:val="0"/>
                <w:color w:val="auto"/>
                <w:highlight w:val="none"/>
              </w:rPr>
              <w:t>t/a）。</w:t>
            </w:r>
          </w:p>
          <w:p w14:paraId="3FF725E5">
            <w:pPr>
              <w:numPr>
                <w:ilvl w:val="0"/>
                <w:numId w:val="0"/>
              </w:numPr>
              <w:spacing w:line="360" w:lineRule="auto"/>
              <w:ind w:firstLine="480" w:firstLineChars="200"/>
              <w:rPr>
                <w:rStyle w:val="85"/>
                <w:rFonts w:hint="eastAsia" w:cs="宋体"/>
                <w:b w:val="0"/>
                <w:bCs w:val="0"/>
                <w:color w:val="auto"/>
                <w:highlight w:val="none"/>
              </w:rPr>
            </w:pPr>
            <w:r>
              <w:rPr>
                <w:rStyle w:val="85"/>
                <w:rFonts w:hint="eastAsia" w:cs="宋体"/>
                <w:b w:val="0"/>
                <w:bCs w:val="0"/>
                <w:color w:val="auto"/>
                <w:highlight w:val="none"/>
              </w:rPr>
              <w:t>经计算，交通运输扬尘起尘量为</w:t>
            </w:r>
            <w:r>
              <w:rPr>
                <w:rStyle w:val="85"/>
                <w:rFonts w:hint="eastAsia" w:cs="宋体"/>
                <w:b w:val="0"/>
                <w:bCs w:val="0"/>
                <w:color w:val="auto"/>
                <w:highlight w:val="none"/>
                <w:lang w:val="en-US"/>
              </w:rPr>
              <w:t>0.019</w:t>
            </w:r>
            <w:r>
              <w:rPr>
                <w:rStyle w:val="85"/>
                <w:rFonts w:hint="eastAsia" w:cs="宋体"/>
                <w:b w:val="0"/>
                <w:bCs w:val="0"/>
                <w:color w:val="auto"/>
                <w:highlight w:val="none"/>
              </w:rPr>
              <w:t>t/a。</w:t>
            </w:r>
          </w:p>
          <w:p w14:paraId="284407E5">
            <w:pPr>
              <w:spacing w:line="360" w:lineRule="auto"/>
              <w:ind w:firstLine="480" w:firstLineChars="200"/>
              <w:rPr>
                <w:rFonts w:cs="宋体"/>
                <w:color w:val="auto"/>
                <w:sz w:val="24"/>
                <w:highlight w:val="none"/>
              </w:rPr>
            </w:pPr>
            <w:r>
              <w:rPr>
                <w:rStyle w:val="85"/>
                <w:rFonts w:hint="eastAsia" w:cs="宋体"/>
                <w:b w:val="0"/>
                <w:bCs w:val="0"/>
                <w:color w:val="auto"/>
                <w:highlight w:val="none"/>
              </w:rPr>
              <w:t>本项目对运输车辆加盖篷布、控制汽车装载量、</w:t>
            </w:r>
            <w:r>
              <w:rPr>
                <w:rFonts w:hint="eastAsia" w:cs="宋体"/>
                <w:color w:val="auto"/>
                <w:sz w:val="24"/>
                <w:highlight w:val="none"/>
              </w:rPr>
              <w:t>设置洗车平台</w:t>
            </w:r>
            <w:r>
              <w:rPr>
                <w:rFonts w:hint="eastAsia" w:cs="宋体"/>
                <w:color w:val="auto"/>
                <w:sz w:val="24"/>
                <w:highlight w:val="none"/>
                <w:lang w:eastAsia="zh-CN"/>
              </w:rPr>
              <w:t>、</w:t>
            </w:r>
            <w:r>
              <w:rPr>
                <w:rFonts w:hint="eastAsia" w:cs="宋体"/>
                <w:color w:val="auto"/>
                <w:sz w:val="24"/>
                <w:highlight w:val="none"/>
              </w:rPr>
              <w:t>道路硬化</w:t>
            </w:r>
            <w:r>
              <w:rPr>
                <w:rFonts w:hint="eastAsia" w:cs="宋体"/>
                <w:color w:val="auto"/>
                <w:sz w:val="24"/>
                <w:highlight w:val="none"/>
                <w:lang w:eastAsia="zh-CN"/>
              </w:rPr>
              <w:t>、</w:t>
            </w:r>
            <w:r>
              <w:rPr>
                <w:rFonts w:hint="eastAsia" w:cs="宋体"/>
                <w:color w:val="auto"/>
                <w:sz w:val="24"/>
                <w:highlight w:val="none"/>
              </w:rPr>
              <w:t>及时清</w:t>
            </w:r>
            <w:r>
              <w:rPr>
                <w:rFonts w:hint="eastAsia" w:cs="宋体"/>
                <w:color w:val="auto"/>
                <w:sz w:val="24"/>
                <w:highlight w:val="none"/>
                <w:lang w:eastAsia="zh-CN"/>
              </w:rPr>
              <w:t>洗</w:t>
            </w:r>
            <w:r>
              <w:rPr>
                <w:rFonts w:hint="eastAsia" w:cs="宋体"/>
                <w:color w:val="auto"/>
                <w:sz w:val="24"/>
                <w:highlight w:val="none"/>
              </w:rPr>
              <w:t>运输道路路面，可以减少</w:t>
            </w:r>
            <w:r>
              <w:rPr>
                <w:rFonts w:cs="宋体"/>
                <w:color w:val="auto"/>
                <w:sz w:val="24"/>
                <w:highlight w:val="none"/>
              </w:rPr>
              <w:t>90%</w:t>
            </w:r>
            <w:r>
              <w:rPr>
                <w:rFonts w:hint="eastAsia" w:cs="宋体"/>
                <w:color w:val="auto"/>
                <w:sz w:val="24"/>
                <w:highlight w:val="none"/>
              </w:rPr>
              <w:t>以上的逸散性扬尘</w:t>
            </w:r>
            <w:r>
              <w:rPr>
                <w:rStyle w:val="85"/>
                <w:rFonts w:hint="eastAsia" w:cs="宋体"/>
                <w:b w:val="0"/>
                <w:bCs w:val="0"/>
                <w:color w:val="auto"/>
                <w:highlight w:val="none"/>
              </w:rPr>
              <w:t>，则无组织</w:t>
            </w:r>
            <w:r>
              <w:rPr>
                <w:rFonts w:hint="eastAsia" w:cs="宋体"/>
                <w:color w:val="auto"/>
                <w:sz w:val="24"/>
                <w:highlight w:val="none"/>
              </w:rPr>
              <w:t>运输扬尘量</w:t>
            </w:r>
            <w:r>
              <w:rPr>
                <w:rStyle w:val="85"/>
                <w:rFonts w:hint="eastAsia" w:cs="宋体"/>
                <w:b w:val="0"/>
                <w:bCs w:val="0"/>
                <w:color w:val="auto"/>
                <w:highlight w:val="none"/>
              </w:rPr>
              <w:t>为</w:t>
            </w:r>
            <w:r>
              <w:rPr>
                <w:rStyle w:val="85"/>
                <w:rFonts w:hint="eastAsia" w:cs="宋体"/>
                <w:b w:val="0"/>
                <w:bCs w:val="0"/>
                <w:color w:val="auto"/>
                <w:highlight w:val="none"/>
                <w:lang w:val="en-US"/>
              </w:rPr>
              <w:t>0.007</w:t>
            </w:r>
            <w:r>
              <w:rPr>
                <w:rStyle w:val="85"/>
                <w:rFonts w:hint="eastAsia" w:cs="宋体"/>
                <w:b w:val="0"/>
                <w:bCs w:val="0"/>
                <w:color w:val="auto"/>
                <w:highlight w:val="none"/>
              </w:rPr>
              <w:t>t/a。</w:t>
            </w:r>
          </w:p>
          <w:p w14:paraId="1C514472">
            <w:pPr>
              <w:spacing w:line="360" w:lineRule="auto"/>
              <w:ind w:firstLine="480" w:firstLineChars="200"/>
              <w:rPr>
                <w:rFonts w:cs="宋体"/>
                <w:color w:val="auto"/>
                <w:sz w:val="24"/>
                <w:highlight w:val="none"/>
              </w:rPr>
            </w:pPr>
            <w:r>
              <w:rPr>
                <w:rFonts w:hint="eastAsia" w:cs="宋体"/>
                <w:color w:val="auto"/>
                <w:sz w:val="24"/>
                <w:highlight w:val="none"/>
              </w:rPr>
              <w:t>②运输车辆尾气</w:t>
            </w:r>
          </w:p>
          <w:p w14:paraId="14DC1437">
            <w:pPr>
              <w:spacing w:line="360" w:lineRule="auto"/>
              <w:ind w:firstLine="480" w:firstLineChars="200"/>
              <w:rPr>
                <w:rFonts w:cs="宋体"/>
                <w:color w:val="auto"/>
                <w:sz w:val="24"/>
                <w:highlight w:val="none"/>
              </w:rPr>
            </w:pPr>
            <w:r>
              <w:rPr>
                <w:rFonts w:hint="eastAsia" w:cs="宋体"/>
                <w:color w:val="auto"/>
                <w:sz w:val="24"/>
                <w:highlight w:val="none"/>
              </w:rPr>
              <w:t>项目区内所使用铲车为工程机械（需符合《非道路移动工程机械管控要求》），使用的燃油为柴油，排放的尾气污染物主要污染因子为CO、NOx、HC。根据项目设计，项目建成后年消耗柴油约</w:t>
            </w:r>
            <w:r>
              <w:rPr>
                <w:rFonts w:hint="eastAsia" w:cs="宋体"/>
                <w:color w:val="auto"/>
                <w:sz w:val="24"/>
                <w:highlight w:val="none"/>
                <w:lang w:val="en-US" w:eastAsia="zh-CN"/>
              </w:rPr>
              <w:t>5</w:t>
            </w:r>
            <w:r>
              <w:rPr>
                <w:rFonts w:hint="eastAsia" w:cs="宋体"/>
                <w:color w:val="auto"/>
                <w:sz w:val="24"/>
                <w:highlight w:val="none"/>
              </w:rPr>
              <w:t>t，经计算，污染物的排放量分别为CO：0.0</w:t>
            </w:r>
            <w:r>
              <w:rPr>
                <w:rFonts w:hint="eastAsia" w:cs="宋体"/>
                <w:color w:val="auto"/>
                <w:sz w:val="24"/>
                <w:highlight w:val="none"/>
                <w:lang w:val="en-US" w:eastAsia="zh-CN"/>
              </w:rPr>
              <w:t>5375</w:t>
            </w:r>
            <w:r>
              <w:rPr>
                <w:rFonts w:hint="eastAsia" w:cs="宋体"/>
                <w:color w:val="auto"/>
                <w:sz w:val="24"/>
                <w:highlight w:val="none"/>
              </w:rPr>
              <w:t>t/a、NOx：0.</w:t>
            </w:r>
            <w:r>
              <w:rPr>
                <w:rFonts w:hint="eastAsia" w:cs="宋体"/>
                <w:color w:val="auto"/>
                <w:sz w:val="24"/>
                <w:highlight w:val="none"/>
                <w:lang w:val="en-US" w:eastAsia="zh-CN"/>
              </w:rPr>
              <w:t>16375</w:t>
            </w:r>
            <w:r>
              <w:rPr>
                <w:rFonts w:hint="eastAsia" w:cs="宋体"/>
                <w:color w:val="auto"/>
                <w:sz w:val="24"/>
                <w:highlight w:val="none"/>
              </w:rPr>
              <w:t>t/a、HC：0.01</w:t>
            </w:r>
            <w:r>
              <w:rPr>
                <w:rFonts w:hint="eastAsia" w:cs="宋体"/>
                <w:color w:val="auto"/>
                <w:sz w:val="24"/>
                <w:highlight w:val="none"/>
                <w:lang w:val="en-US" w:eastAsia="zh-CN"/>
              </w:rPr>
              <w:t>75</w:t>
            </w:r>
            <w:r>
              <w:rPr>
                <w:rFonts w:hint="eastAsia" w:cs="宋体"/>
                <w:color w:val="auto"/>
                <w:sz w:val="24"/>
                <w:highlight w:val="none"/>
              </w:rPr>
              <w:t>t/a。运输车辆尾气属间歇式、分散式无组织排放，加之施工场地开阔，扩散条件良好，对环境影响较小。</w:t>
            </w:r>
          </w:p>
          <w:p w14:paraId="417872FF">
            <w:pPr>
              <w:pStyle w:val="45"/>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jc w:val="left"/>
              <w:textAlignment w:val="auto"/>
              <w:rPr>
                <w:rFonts w:hint="eastAsia" w:asciiTheme="minorEastAsia" w:hAnsiTheme="minorEastAsia" w:eastAsiaTheme="minorEastAsia" w:cstheme="minorEastAsia"/>
                <w:bCs/>
                <w:color w:val="auto"/>
                <w:kern w:val="2"/>
                <w:sz w:val="24"/>
                <w:szCs w:val="24"/>
                <w:highlight w:val="none"/>
                <w:lang w:val="en-US" w:eastAsia="zh-CN" w:bidi="ar-SA"/>
              </w:rPr>
            </w:pPr>
            <w:r>
              <w:rPr>
                <w:rFonts w:hint="eastAsia" w:asciiTheme="minorEastAsia" w:hAnsiTheme="minorEastAsia" w:eastAsiaTheme="minorEastAsia" w:cstheme="minorEastAsia"/>
                <w:bCs/>
                <w:color w:val="auto"/>
                <w:kern w:val="2"/>
                <w:sz w:val="24"/>
                <w:szCs w:val="24"/>
                <w:highlight w:val="none"/>
                <w:lang w:val="en-US" w:eastAsia="zh-CN" w:bidi="ar-SA"/>
              </w:rPr>
              <w:t>2.2 无组织废气管控措施</w:t>
            </w:r>
          </w:p>
          <w:p w14:paraId="4D4B878B">
            <w:pPr>
              <w:pStyle w:val="45"/>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Theme="minorEastAsia" w:hAnsiTheme="minorEastAsia" w:eastAsiaTheme="minorEastAsia" w:cstheme="minorEastAsia"/>
                <w:b w:val="0"/>
                <w:bCs w:val="0"/>
                <w:color w:val="auto"/>
                <w:kern w:val="2"/>
                <w:sz w:val="24"/>
                <w:szCs w:val="24"/>
                <w:highlight w:val="none"/>
                <w:lang w:val="en-US" w:eastAsia="zh-CN" w:bidi="ar-SA"/>
              </w:rPr>
            </w:pPr>
            <w:r>
              <w:rPr>
                <w:rFonts w:hint="eastAsia" w:asciiTheme="minorEastAsia" w:hAnsiTheme="minorEastAsia" w:eastAsiaTheme="minorEastAsia" w:cstheme="minorEastAsia"/>
                <w:b w:val="0"/>
                <w:bCs w:val="0"/>
                <w:color w:val="auto"/>
                <w:kern w:val="2"/>
                <w:sz w:val="24"/>
                <w:szCs w:val="24"/>
                <w:highlight w:val="none"/>
                <w:lang w:val="en-US" w:eastAsia="zh-CN" w:bidi="ar-SA"/>
              </w:rPr>
              <w:t>为了减小本项目无组织粉尘对周边环境的影响，项目采取以下防治措施减少对周围大气环境的不利影响：</w:t>
            </w:r>
          </w:p>
          <w:p w14:paraId="686A2091">
            <w:pPr>
              <w:pStyle w:val="45"/>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Theme="minorEastAsia" w:hAnsiTheme="minorEastAsia" w:eastAsiaTheme="minorEastAsia" w:cstheme="minorEastAsia"/>
                <w:b w:val="0"/>
                <w:bCs w:val="0"/>
                <w:color w:val="auto"/>
                <w:kern w:val="2"/>
                <w:sz w:val="24"/>
                <w:szCs w:val="24"/>
                <w:highlight w:val="none"/>
                <w:lang w:val="en-US" w:eastAsia="zh-CN" w:bidi="ar-SA"/>
              </w:rPr>
            </w:pPr>
            <w:r>
              <w:rPr>
                <w:rFonts w:hint="eastAsia" w:asciiTheme="minorEastAsia" w:hAnsiTheme="minorEastAsia" w:eastAsiaTheme="minorEastAsia" w:cstheme="minorEastAsia"/>
                <w:b w:val="0"/>
                <w:bCs w:val="0"/>
                <w:color w:val="auto"/>
                <w:kern w:val="2"/>
                <w:sz w:val="24"/>
                <w:szCs w:val="24"/>
                <w:highlight w:val="none"/>
                <w:lang w:val="en-US" w:eastAsia="zh-CN" w:bidi="ar-SA"/>
              </w:rPr>
              <w:t>加强有组织废气的收集措施：采取集气罩加软帘的收集措施，加强废气收集可从源头上有效减少无组织废气的产生量；破碎、粉碎、成型工序上方设集气罩加软帘收集，收集粉尘经旋风除尘+布袋除尘处理后通过15m排气筒排放（DA001）。废气收集处理系统与生产工艺设备同步运行，当废气收集处理系统发生故障或检修时，对应的生产工艺设备应停止运行，检修完毕后同步投入使用。</w:t>
            </w:r>
          </w:p>
          <w:p w14:paraId="18A991A5">
            <w:pPr>
              <w:pStyle w:val="45"/>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Theme="minorEastAsia" w:hAnsiTheme="minorEastAsia" w:eastAsiaTheme="minorEastAsia" w:cstheme="minorEastAsia"/>
                <w:b w:val="0"/>
                <w:bCs w:val="0"/>
                <w:color w:val="auto"/>
                <w:kern w:val="2"/>
                <w:sz w:val="24"/>
                <w:szCs w:val="24"/>
                <w:highlight w:val="none"/>
                <w:lang w:val="en-US" w:eastAsia="zh-CN" w:bidi="ar-SA"/>
              </w:rPr>
            </w:pPr>
            <w:r>
              <w:rPr>
                <w:rFonts w:hint="eastAsia" w:asciiTheme="minorEastAsia" w:hAnsiTheme="minorEastAsia" w:eastAsiaTheme="minorEastAsia" w:cstheme="minorEastAsia"/>
                <w:b w:val="0"/>
                <w:bCs w:val="0"/>
                <w:color w:val="auto"/>
                <w:kern w:val="2"/>
                <w:sz w:val="24"/>
                <w:szCs w:val="24"/>
                <w:highlight w:val="none"/>
                <w:lang w:val="en-US" w:eastAsia="zh-CN" w:bidi="ar-SA"/>
              </w:rPr>
              <w:t>无组织控制措施要求：车间采取封闭、定期清扫地面；厂区道路硬化；生产工艺（装置）产尘点采用密闭、封闭或设置集气罩等措施；物料库封闭；输送带做密闭处理；车辆运输时使用篷布进行覆盖，减少扬尘的产生；设置</w:t>
            </w:r>
            <w:r>
              <w:rPr>
                <w:rFonts w:hint="default" w:asciiTheme="minorEastAsia" w:hAnsiTheme="minorEastAsia" w:eastAsiaTheme="minorEastAsia" w:cstheme="minorEastAsia"/>
                <w:b w:val="0"/>
                <w:bCs w:val="0"/>
                <w:color w:val="auto"/>
                <w:kern w:val="2"/>
                <w:sz w:val="24"/>
                <w:szCs w:val="24"/>
                <w:highlight w:val="none"/>
                <w:lang w:val="en-US" w:eastAsia="zh-CN" w:bidi="ar-SA"/>
              </w:rPr>
              <w:t>车辆洗车平台</w:t>
            </w:r>
            <w:r>
              <w:rPr>
                <w:rFonts w:hint="eastAsia" w:asciiTheme="minorEastAsia" w:hAnsiTheme="minorEastAsia" w:eastAsiaTheme="minorEastAsia" w:cstheme="minorEastAsia"/>
                <w:b w:val="0"/>
                <w:bCs w:val="0"/>
                <w:color w:val="auto"/>
                <w:kern w:val="2"/>
                <w:sz w:val="24"/>
                <w:szCs w:val="24"/>
                <w:highlight w:val="none"/>
                <w:lang w:val="en-US" w:eastAsia="zh-CN" w:bidi="ar-SA"/>
              </w:rPr>
              <w:t>对进出车辆进行</w:t>
            </w:r>
            <w:r>
              <w:rPr>
                <w:rFonts w:hint="default" w:asciiTheme="minorEastAsia" w:hAnsiTheme="minorEastAsia" w:eastAsiaTheme="minorEastAsia" w:cstheme="minorEastAsia"/>
                <w:b w:val="0"/>
                <w:bCs w:val="0"/>
                <w:color w:val="auto"/>
                <w:kern w:val="2"/>
                <w:sz w:val="24"/>
                <w:szCs w:val="24"/>
                <w:highlight w:val="none"/>
                <w:lang w:val="en-US" w:eastAsia="zh-CN" w:bidi="ar-SA"/>
              </w:rPr>
              <w:t>清洗</w:t>
            </w:r>
            <w:r>
              <w:rPr>
                <w:rFonts w:hint="eastAsia" w:asciiTheme="minorEastAsia" w:hAnsiTheme="minorEastAsia" w:eastAsiaTheme="minorEastAsia" w:cstheme="minorEastAsia"/>
                <w:b w:val="0"/>
                <w:bCs w:val="0"/>
                <w:color w:val="auto"/>
                <w:kern w:val="2"/>
                <w:sz w:val="24"/>
                <w:szCs w:val="24"/>
                <w:highlight w:val="none"/>
                <w:lang w:val="en-US" w:eastAsia="zh-CN" w:bidi="ar-SA"/>
              </w:rPr>
              <w:t>；定期清扫路面。</w:t>
            </w:r>
          </w:p>
          <w:p w14:paraId="38B23C7B">
            <w:pPr>
              <w:pStyle w:val="45"/>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Theme="minorEastAsia" w:hAnsiTheme="minorEastAsia" w:eastAsiaTheme="minorEastAsia" w:cstheme="minorEastAsia"/>
                <w:b w:val="0"/>
                <w:bCs w:val="0"/>
                <w:color w:val="auto"/>
                <w:kern w:val="2"/>
                <w:sz w:val="24"/>
                <w:szCs w:val="24"/>
                <w:highlight w:val="none"/>
                <w:lang w:val="en-US" w:eastAsia="zh-CN" w:bidi="ar-SA"/>
              </w:rPr>
            </w:pPr>
            <w:r>
              <w:rPr>
                <w:rFonts w:hint="eastAsia" w:asciiTheme="minorEastAsia" w:hAnsiTheme="minorEastAsia" w:eastAsiaTheme="minorEastAsia" w:cstheme="minorEastAsia"/>
                <w:b w:val="0"/>
                <w:bCs w:val="0"/>
                <w:color w:val="auto"/>
                <w:kern w:val="2"/>
                <w:sz w:val="24"/>
                <w:szCs w:val="24"/>
                <w:highlight w:val="none"/>
                <w:lang w:val="en-US" w:eastAsia="zh-CN" w:bidi="ar-SA"/>
              </w:rPr>
              <w:t>采取以上措施后，废气中粉尘对周围环境影响较小。</w:t>
            </w:r>
          </w:p>
          <w:p w14:paraId="1CB6221B">
            <w:pPr>
              <w:spacing w:line="360" w:lineRule="auto"/>
              <w:ind w:firstLine="480" w:firstLineChars="200"/>
              <w:rPr>
                <w:rFonts w:hint="eastAsia" w:ascii="宋体" w:hAnsi="宋体"/>
                <w:color w:val="auto"/>
                <w:sz w:val="24"/>
                <w:highlight w:val="none"/>
              </w:rPr>
            </w:pPr>
            <w:r>
              <w:rPr>
                <w:rStyle w:val="85"/>
                <w:rFonts w:hint="eastAsia" w:cs="宋体"/>
                <w:b w:val="0"/>
                <w:bCs w:val="0"/>
                <w:color w:val="auto"/>
                <w:highlight w:val="none"/>
              </w:rPr>
              <w:t>本项目废气产排污节点、污染物及污染治理设施信息见表4-</w:t>
            </w:r>
            <w:r>
              <w:rPr>
                <w:rStyle w:val="85"/>
                <w:rFonts w:hint="eastAsia" w:cs="宋体"/>
                <w:b w:val="0"/>
                <w:bCs w:val="0"/>
                <w:color w:val="auto"/>
                <w:highlight w:val="none"/>
                <w:lang w:val="en-US"/>
              </w:rPr>
              <w:t>4</w:t>
            </w:r>
            <w:r>
              <w:rPr>
                <w:rStyle w:val="85"/>
                <w:rFonts w:hint="eastAsia" w:cs="宋体"/>
                <w:b w:val="0"/>
                <w:bCs w:val="0"/>
                <w:color w:val="auto"/>
                <w:highlight w:val="none"/>
              </w:rPr>
              <w:t>，大气有组织排放基本情况见表4-</w:t>
            </w:r>
            <w:r>
              <w:rPr>
                <w:rStyle w:val="85"/>
                <w:rFonts w:hint="eastAsia" w:cs="宋体"/>
                <w:b w:val="0"/>
                <w:bCs w:val="0"/>
                <w:color w:val="auto"/>
                <w:highlight w:val="none"/>
                <w:lang w:val="en-US"/>
              </w:rPr>
              <w:t>5</w:t>
            </w:r>
            <w:r>
              <w:rPr>
                <w:rStyle w:val="85"/>
                <w:rFonts w:hint="eastAsia" w:cs="宋体"/>
                <w:b w:val="0"/>
                <w:bCs w:val="0"/>
                <w:color w:val="auto"/>
                <w:highlight w:val="none"/>
              </w:rPr>
              <w:t>，大气污染物无组织排放见表4-</w:t>
            </w:r>
            <w:r>
              <w:rPr>
                <w:rStyle w:val="85"/>
                <w:rFonts w:hint="eastAsia" w:cs="宋体"/>
                <w:b w:val="0"/>
                <w:bCs w:val="0"/>
                <w:color w:val="auto"/>
                <w:highlight w:val="none"/>
                <w:lang w:val="en-US"/>
              </w:rPr>
              <w:t>6</w:t>
            </w:r>
            <w:r>
              <w:rPr>
                <w:rStyle w:val="85"/>
                <w:rFonts w:hint="eastAsia" w:cs="宋体"/>
                <w:b w:val="0"/>
                <w:bCs w:val="0"/>
                <w:color w:val="auto"/>
                <w:highlight w:val="none"/>
              </w:rPr>
              <w:t xml:space="preserve">： </w:t>
            </w:r>
          </w:p>
        </w:tc>
      </w:tr>
    </w:tbl>
    <w:p w14:paraId="185CEFF5">
      <w:pPr>
        <w:adjustRightInd w:val="0"/>
        <w:snapToGrid w:val="0"/>
        <w:jc w:val="center"/>
        <w:rPr>
          <w:rFonts w:ascii="宋体"/>
          <w:b/>
          <w:bCs/>
          <w:color w:val="auto"/>
          <w:kern w:val="0"/>
          <w:sz w:val="28"/>
          <w:szCs w:val="28"/>
          <w:highlight w:val="none"/>
        </w:rPr>
        <w:sectPr>
          <w:pgSz w:w="11907" w:h="16840"/>
          <w:pgMar w:top="1701" w:right="1531" w:bottom="1134" w:left="1531" w:header="851" w:footer="851" w:gutter="0"/>
          <w:cols w:space="720" w:num="1"/>
          <w:docGrid w:linePitch="312" w:charSpace="0"/>
        </w:sectPr>
      </w:pP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3"/>
        <w:gridCol w:w="12646"/>
      </w:tblGrid>
      <w:tr w14:paraId="7E0EB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73" w:type="dxa"/>
          </w:tcPr>
          <w:p w14:paraId="308101EF">
            <w:pPr>
              <w:pStyle w:val="3"/>
              <w:rPr>
                <w:color w:val="auto"/>
                <w:highlight w:val="none"/>
                <w:vertAlign w:val="baseline"/>
              </w:rPr>
            </w:pPr>
          </w:p>
        </w:tc>
        <w:tc>
          <w:tcPr>
            <w:tcW w:w="12646" w:type="dxa"/>
          </w:tcPr>
          <w:p w14:paraId="479E1C45">
            <w:pPr>
              <w:keepNext w:val="0"/>
              <w:keepLines w:val="0"/>
              <w:pageBreakBefore w:val="0"/>
              <w:widowControl w:val="0"/>
              <w:kinsoku/>
              <w:wordWrap/>
              <w:overflowPunct/>
              <w:topLinePunct w:val="0"/>
              <w:autoSpaceDE/>
              <w:autoSpaceDN/>
              <w:bidi w:val="0"/>
              <w:adjustRightInd/>
              <w:snapToGrid/>
              <w:spacing w:before="313" w:beforeLines="100" w:line="480" w:lineRule="auto"/>
              <w:jc w:val="center"/>
              <w:textAlignment w:val="auto"/>
              <w:rPr>
                <w:rFonts w:hint="eastAsia" w:ascii="Times New Roman" w:hAnsi="Times New Roman" w:eastAsia="宋体" w:cs="Times New Roman"/>
                <w:b w:val="0"/>
                <w:bCs/>
                <w:color w:val="auto"/>
                <w:kern w:val="0"/>
                <w:highlight w:val="none"/>
              </w:rPr>
            </w:pPr>
            <w:r>
              <w:rPr>
                <w:rFonts w:hint="eastAsia" w:ascii="Times New Roman" w:hAnsi="Times New Roman" w:eastAsia="宋体" w:cs="Times New Roman"/>
                <w:b w:val="0"/>
                <w:bCs/>
                <w:color w:val="auto"/>
                <w:kern w:val="0"/>
                <w:highlight w:val="none"/>
              </w:rPr>
              <w:t>表4</w:t>
            </w:r>
            <w:r>
              <w:rPr>
                <w:rFonts w:hint="eastAsia" w:eastAsia="宋体" w:cs="Times New Roman"/>
                <w:b w:val="0"/>
                <w:bCs/>
                <w:color w:val="auto"/>
                <w:kern w:val="0"/>
                <w:highlight w:val="none"/>
                <w:lang w:val="en-US" w:eastAsia="zh-CN"/>
              </w:rPr>
              <w:t>-</w:t>
            </w:r>
            <w:r>
              <w:rPr>
                <w:rFonts w:hint="eastAsia" w:cs="Times New Roman"/>
                <w:b w:val="0"/>
                <w:bCs/>
                <w:color w:val="auto"/>
                <w:kern w:val="0"/>
                <w:highlight w:val="none"/>
                <w:lang w:val="en-US" w:eastAsia="zh-CN"/>
              </w:rPr>
              <w:t>4</w:t>
            </w:r>
            <w:r>
              <w:rPr>
                <w:rFonts w:hint="eastAsia" w:ascii="Times New Roman" w:hAnsi="Times New Roman" w:eastAsia="宋体" w:cs="Times New Roman"/>
                <w:b w:val="0"/>
                <w:bCs/>
                <w:color w:val="auto"/>
                <w:kern w:val="0"/>
                <w:highlight w:val="none"/>
              </w:rPr>
              <w:t xml:space="preserve">   建设项目废气产排污节点、污染物及污染治理设施信息表</w:t>
            </w:r>
          </w:p>
          <w:tbl>
            <w:tblPr>
              <w:tblStyle w:val="37"/>
              <w:tblW w:w="4998" w:type="pct"/>
              <w:tblInd w:w="0"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1054"/>
              <w:gridCol w:w="902"/>
              <w:gridCol w:w="902"/>
              <w:gridCol w:w="599"/>
              <w:gridCol w:w="410"/>
              <w:gridCol w:w="410"/>
              <w:gridCol w:w="723"/>
              <w:gridCol w:w="880"/>
              <w:gridCol w:w="865"/>
              <w:gridCol w:w="1141"/>
              <w:gridCol w:w="790"/>
              <w:gridCol w:w="599"/>
              <w:gridCol w:w="853"/>
              <w:gridCol w:w="833"/>
              <w:gridCol w:w="753"/>
              <w:gridCol w:w="702"/>
            </w:tblGrid>
            <w:tr w14:paraId="3B5AF46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621" w:hRule="atLeast"/>
                <w:tblHeader/>
              </w:trPr>
              <w:tc>
                <w:tcPr>
                  <w:tcW w:w="424" w:type="pct"/>
                  <w:vMerge w:val="restart"/>
                  <w:tcBorders>
                    <w:bottom w:val="single" w:color="000000" w:sz="4" w:space="0"/>
                    <w:right w:val="single" w:color="000000" w:sz="4" w:space="0"/>
                  </w:tcBorders>
                  <w:noWrap w:val="0"/>
                  <w:vAlign w:val="center"/>
                </w:tcPr>
                <w:p w14:paraId="78667050">
                  <w:pPr>
                    <w:jc w:val="center"/>
                    <w:rPr>
                      <w:color w:val="auto"/>
                      <w:highlight w:val="none"/>
                    </w:rPr>
                  </w:pPr>
                  <w:r>
                    <w:rPr>
                      <w:color w:val="auto"/>
                      <w:highlight w:val="none"/>
                    </w:rPr>
                    <w:t>主要</w:t>
                  </w:r>
                </w:p>
                <w:p w14:paraId="5CB20062">
                  <w:pPr>
                    <w:jc w:val="center"/>
                    <w:rPr>
                      <w:color w:val="auto"/>
                      <w:highlight w:val="none"/>
                    </w:rPr>
                  </w:pPr>
                  <w:r>
                    <w:rPr>
                      <w:color w:val="auto"/>
                      <w:highlight w:val="none"/>
                    </w:rPr>
                    <w:t>单元</w:t>
                  </w:r>
                </w:p>
                <w:p w14:paraId="72F45661">
                  <w:pPr>
                    <w:jc w:val="center"/>
                    <w:rPr>
                      <w:color w:val="auto"/>
                      <w:highlight w:val="none"/>
                    </w:rPr>
                  </w:pPr>
                  <w:r>
                    <w:rPr>
                      <w:color w:val="auto"/>
                      <w:highlight w:val="none"/>
                    </w:rPr>
                    <w:t>名称</w:t>
                  </w:r>
                </w:p>
              </w:tc>
              <w:tc>
                <w:tcPr>
                  <w:tcW w:w="363" w:type="pct"/>
                  <w:vMerge w:val="restart"/>
                  <w:tcBorders>
                    <w:left w:val="single" w:color="000000" w:sz="4" w:space="0"/>
                    <w:bottom w:val="single" w:color="000000" w:sz="4" w:space="0"/>
                    <w:right w:val="single" w:color="000000" w:sz="4" w:space="0"/>
                  </w:tcBorders>
                  <w:noWrap w:val="0"/>
                  <w:vAlign w:val="center"/>
                </w:tcPr>
                <w:p w14:paraId="1A28A4B6">
                  <w:pPr>
                    <w:jc w:val="center"/>
                    <w:rPr>
                      <w:color w:val="auto"/>
                      <w:highlight w:val="none"/>
                    </w:rPr>
                  </w:pPr>
                  <w:r>
                    <w:rPr>
                      <w:color w:val="auto"/>
                      <w:highlight w:val="none"/>
                    </w:rPr>
                    <w:t>生产</w:t>
                  </w:r>
                </w:p>
                <w:p w14:paraId="41DEA123">
                  <w:pPr>
                    <w:jc w:val="center"/>
                    <w:rPr>
                      <w:color w:val="auto"/>
                      <w:highlight w:val="none"/>
                    </w:rPr>
                  </w:pPr>
                  <w:r>
                    <w:rPr>
                      <w:color w:val="auto"/>
                      <w:highlight w:val="none"/>
                    </w:rPr>
                    <w:t>单元</w:t>
                  </w:r>
                </w:p>
                <w:p w14:paraId="0D256290">
                  <w:pPr>
                    <w:jc w:val="center"/>
                    <w:rPr>
                      <w:color w:val="auto"/>
                      <w:highlight w:val="none"/>
                    </w:rPr>
                  </w:pPr>
                  <w:r>
                    <w:rPr>
                      <w:color w:val="auto"/>
                      <w:highlight w:val="none"/>
                    </w:rPr>
                    <w:t>/设施</w:t>
                  </w:r>
                </w:p>
              </w:tc>
              <w:tc>
                <w:tcPr>
                  <w:tcW w:w="363" w:type="pct"/>
                  <w:vMerge w:val="restart"/>
                  <w:tcBorders>
                    <w:left w:val="single" w:color="000000" w:sz="4" w:space="0"/>
                    <w:bottom w:val="single" w:color="000000" w:sz="4" w:space="0"/>
                    <w:right w:val="single" w:color="000000" w:sz="4" w:space="0"/>
                  </w:tcBorders>
                  <w:noWrap w:val="0"/>
                  <w:vAlign w:val="center"/>
                </w:tcPr>
                <w:p w14:paraId="0851BA17">
                  <w:pPr>
                    <w:jc w:val="center"/>
                    <w:rPr>
                      <w:color w:val="auto"/>
                      <w:highlight w:val="none"/>
                    </w:rPr>
                  </w:pPr>
                  <w:r>
                    <w:rPr>
                      <w:color w:val="auto"/>
                      <w:highlight w:val="none"/>
                    </w:rPr>
                    <w:t>废气</w:t>
                  </w:r>
                </w:p>
                <w:p w14:paraId="50F0F9ED">
                  <w:pPr>
                    <w:jc w:val="center"/>
                    <w:rPr>
                      <w:color w:val="auto"/>
                      <w:highlight w:val="none"/>
                    </w:rPr>
                  </w:pPr>
                  <w:r>
                    <w:rPr>
                      <w:color w:val="auto"/>
                      <w:highlight w:val="none"/>
                    </w:rPr>
                    <w:t>产生</w:t>
                  </w:r>
                </w:p>
                <w:p w14:paraId="646A851A">
                  <w:pPr>
                    <w:jc w:val="center"/>
                    <w:rPr>
                      <w:color w:val="auto"/>
                      <w:highlight w:val="none"/>
                    </w:rPr>
                  </w:pPr>
                  <w:r>
                    <w:rPr>
                      <w:color w:val="auto"/>
                      <w:highlight w:val="none"/>
                    </w:rPr>
                    <w:t>环节</w:t>
                  </w:r>
                </w:p>
              </w:tc>
              <w:tc>
                <w:tcPr>
                  <w:tcW w:w="241" w:type="pct"/>
                  <w:vMerge w:val="restart"/>
                  <w:tcBorders>
                    <w:left w:val="single" w:color="000000" w:sz="4" w:space="0"/>
                    <w:bottom w:val="single" w:color="000000" w:sz="4" w:space="0"/>
                    <w:right w:val="single" w:color="auto" w:sz="4" w:space="0"/>
                  </w:tcBorders>
                  <w:noWrap w:val="0"/>
                  <w:vAlign w:val="center"/>
                </w:tcPr>
                <w:p w14:paraId="6A072F8B">
                  <w:pPr>
                    <w:jc w:val="center"/>
                    <w:rPr>
                      <w:color w:val="auto"/>
                      <w:highlight w:val="none"/>
                    </w:rPr>
                  </w:pPr>
                  <w:r>
                    <w:rPr>
                      <w:color w:val="auto"/>
                      <w:highlight w:val="none"/>
                    </w:rPr>
                    <w:t>污染物</w:t>
                  </w:r>
                </w:p>
                <w:p w14:paraId="6E6EEEE4">
                  <w:pPr>
                    <w:jc w:val="center"/>
                    <w:rPr>
                      <w:color w:val="auto"/>
                      <w:highlight w:val="none"/>
                    </w:rPr>
                  </w:pPr>
                  <w:r>
                    <w:rPr>
                      <w:color w:val="auto"/>
                      <w:highlight w:val="none"/>
                    </w:rPr>
                    <w:t>种类</w:t>
                  </w:r>
                </w:p>
              </w:tc>
              <w:tc>
                <w:tcPr>
                  <w:tcW w:w="330" w:type="pct"/>
                  <w:gridSpan w:val="2"/>
                  <w:vMerge w:val="restart"/>
                  <w:tcBorders>
                    <w:left w:val="single" w:color="auto" w:sz="4" w:space="0"/>
                    <w:bottom w:val="single" w:color="auto" w:sz="4" w:space="0"/>
                    <w:right w:val="single" w:color="auto" w:sz="4" w:space="0"/>
                  </w:tcBorders>
                  <w:noWrap w:val="0"/>
                  <w:vAlign w:val="center"/>
                </w:tcPr>
                <w:p w14:paraId="28B0BD07">
                  <w:pPr>
                    <w:jc w:val="center"/>
                    <w:rPr>
                      <w:rFonts w:hint="eastAsia"/>
                      <w:color w:val="auto"/>
                      <w:highlight w:val="none"/>
                      <w:lang w:eastAsia="zh-CN"/>
                    </w:rPr>
                  </w:pPr>
                  <w:r>
                    <w:rPr>
                      <w:rFonts w:hint="eastAsia"/>
                      <w:color w:val="auto"/>
                      <w:highlight w:val="none"/>
                      <w:lang w:eastAsia="zh-CN"/>
                    </w:rPr>
                    <w:t>产生情况</w:t>
                  </w:r>
                </w:p>
              </w:tc>
              <w:tc>
                <w:tcPr>
                  <w:tcW w:w="291" w:type="pct"/>
                  <w:vMerge w:val="restart"/>
                  <w:tcBorders>
                    <w:left w:val="single" w:color="auto" w:sz="4" w:space="0"/>
                    <w:bottom w:val="single" w:color="000000" w:sz="4" w:space="0"/>
                    <w:right w:val="single" w:color="000000" w:sz="4" w:space="0"/>
                  </w:tcBorders>
                  <w:noWrap w:val="0"/>
                  <w:vAlign w:val="center"/>
                </w:tcPr>
                <w:p w14:paraId="18CF62D0">
                  <w:pPr>
                    <w:jc w:val="center"/>
                    <w:rPr>
                      <w:color w:val="auto"/>
                      <w:highlight w:val="none"/>
                    </w:rPr>
                  </w:pPr>
                  <w:r>
                    <w:rPr>
                      <w:color w:val="auto"/>
                      <w:highlight w:val="none"/>
                    </w:rPr>
                    <w:t>排放</w:t>
                  </w:r>
                </w:p>
                <w:p w14:paraId="2A3E1D70">
                  <w:pPr>
                    <w:jc w:val="center"/>
                    <w:rPr>
                      <w:color w:val="auto"/>
                      <w:highlight w:val="none"/>
                    </w:rPr>
                  </w:pPr>
                  <w:r>
                    <w:rPr>
                      <w:color w:val="auto"/>
                      <w:highlight w:val="none"/>
                    </w:rPr>
                    <w:t>形式</w:t>
                  </w:r>
                </w:p>
              </w:tc>
              <w:tc>
                <w:tcPr>
                  <w:tcW w:w="2398" w:type="pct"/>
                  <w:gridSpan w:val="7"/>
                  <w:tcBorders>
                    <w:left w:val="single" w:color="000000" w:sz="4" w:space="0"/>
                    <w:bottom w:val="single" w:color="000000" w:sz="4" w:space="0"/>
                    <w:right w:val="single" w:color="000000" w:sz="4" w:space="0"/>
                  </w:tcBorders>
                  <w:noWrap w:val="0"/>
                  <w:vAlign w:val="center"/>
                </w:tcPr>
                <w:p w14:paraId="747B08E3">
                  <w:pPr>
                    <w:ind w:firstLine="420"/>
                    <w:jc w:val="center"/>
                    <w:rPr>
                      <w:color w:val="auto"/>
                      <w:highlight w:val="none"/>
                    </w:rPr>
                  </w:pPr>
                  <w:r>
                    <w:rPr>
                      <w:color w:val="auto"/>
                      <w:highlight w:val="none"/>
                    </w:rPr>
                    <w:t>治理设施参数</w:t>
                  </w:r>
                </w:p>
              </w:tc>
              <w:tc>
                <w:tcPr>
                  <w:tcW w:w="303" w:type="pct"/>
                  <w:vMerge w:val="restart"/>
                  <w:tcBorders>
                    <w:left w:val="single" w:color="000000" w:sz="4" w:space="0"/>
                    <w:bottom w:val="single" w:color="000000" w:sz="4" w:space="0"/>
                    <w:right w:val="single" w:color="000000" w:sz="4" w:space="0"/>
                  </w:tcBorders>
                  <w:noWrap w:val="0"/>
                  <w:vAlign w:val="center"/>
                </w:tcPr>
                <w:p w14:paraId="4CD391D9">
                  <w:pPr>
                    <w:jc w:val="center"/>
                    <w:rPr>
                      <w:color w:val="auto"/>
                      <w:highlight w:val="none"/>
                    </w:rPr>
                  </w:pPr>
                  <w:r>
                    <w:rPr>
                      <w:color w:val="auto"/>
                      <w:highlight w:val="none"/>
                    </w:rPr>
                    <w:t>排放口编号</w:t>
                  </w:r>
                </w:p>
              </w:tc>
              <w:tc>
                <w:tcPr>
                  <w:tcW w:w="282" w:type="pct"/>
                  <w:vMerge w:val="restart"/>
                  <w:tcBorders>
                    <w:left w:val="single" w:color="000000" w:sz="4" w:space="0"/>
                    <w:bottom w:val="single" w:color="000000" w:sz="4" w:space="0"/>
                  </w:tcBorders>
                  <w:noWrap w:val="0"/>
                  <w:vAlign w:val="center"/>
                </w:tcPr>
                <w:p w14:paraId="36DDC52B">
                  <w:pPr>
                    <w:jc w:val="center"/>
                    <w:rPr>
                      <w:color w:val="auto"/>
                      <w:highlight w:val="none"/>
                    </w:rPr>
                  </w:pPr>
                  <w:r>
                    <w:rPr>
                      <w:color w:val="auto"/>
                      <w:highlight w:val="none"/>
                    </w:rPr>
                    <w:t>排放口类型</w:t>
                  </w:r>
                </w:p>
              </w:tc>
            </w:tr>
            <w:tr w14:paraId="1DF95003">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663" w:hRule="atLeast"/>
                <w:tblHeader/>
              </w:trPr>
              <w:tc>
                <w:tcPr>
                  <w:tcW w:w="424" w:type="pct"/>
                  <w:vMerge w:val="continue"/>
                  <w:tcBorders>
                    <w:top w:val="single" w:color="000000" w:sz="4" w:space="0"/>
                    <w:bottom w:val="single" w:color="000000" w:sz="4" w:space="0"/>
                    <w:right w:val="single" w:color="000000" w:sz="4" w:space="0"/>
                  </w:tcBorders>
                  <w:noWrap w:val="0"/>
                  <w:vAlign w:val="center"/>
                </w:tcPr>
                <w:p w14:paraId="2B42C7EE">
                  <w:pPr>
                    <w:widowControl/>
                    <w:jc w:val="left"/>
                    <w:rPr>
                      <w:color w:val="auto"/>
                      <w:highlight w:val="none"/>
                    </w:rPr>
                  </w:pPr>
                </w:p>
              </w:tc>
              <w:tc>
                <w:tcPr>
                  <w:tcW w:w="363" w:type="pct"/>
                  <w:vMerge w:val="continue"/>
                  <w:tcBorders>
                    <w:top w:val="single" w:color="000000" w:sz="4" w:space="0"/>
                    <w:left w:val="single" w:color="000000" w:sz="4" w:space="0"/>
                    <w:bottom w:val="single" w:color="000000" w:sz="4" w:space="0"/>
                    <w:right w:val="single" w:color="000000" w:sz="4" w:space="0"/>
                  </w:tcBorders>
                  <w:noWrap w:val="0"/>
                  <w:vAlign w:val="center"/>
                </w:tcPr>
                <w:p w14:paraId="36FA8C75">
                  <w:pPr>
                    <w:widowControl/>
                    <w:jc w:val="left"/>
                    <w:rPr>
                      <w:color w:val="auto"/>
                      <w:highlight w:val="none"/>
                    </w:rPr>
                  </w:pPr>
                </w:p>
              </w:tc>
              <w:tc>
                <w:tcPr>
                  <w:tcW w:w="36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ACF4E84">
                  <w:pPr>
                    <w:widowControl/>
                    <w:jc w:val="left"/>
                    <w:rPr>
                      <w:color w:val="auto"/>
                      <w:highlight w:val="none"/>
                    </w:rPr>
                  </w:pPr>
                </w:p>
              </w:tc>
              <w:tc>
                <w:tcPr>
                  <w:tcW w:w="241" w:type="pct"/>
                  <w:vMerge w:val="continue"/>
                  <w:tcBorders>
                    <w:top w:val="single" w:color="000000" w:sz="4" w:space="0"/>
                    <w:left w:val="single" w:color="000000" w:sz="4" w:space="0"/>
                    <w:bottom w:val="single" w:color="000000" w:sz="4" w:space="0"/>
                    <w:right w:val="single" w:color="auto" w:sz="4" w:space="0"/>
                  </w:tcBorders>
                  <w:noWrap w:val="0"/>
                  <w:vAlign w:val="center"/>
                </w:tcPr>
                <w:p w14:paraId="7AFC5D38">
                  <w:pPr>
                    <w:widowControl/>
                    <w:jc w:val="left"/>
                    <w:rPr>
                      <w:color w:val="auto"/>
                      <w:highlight w:val="none"/>
                    </w:rPr>
                  </w:pPr>
                </w:p>
              </w:tc>
              <w:tc>
                <w:tcPr>
                  <w:tcW w:w="33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65E803F0">
                  <w:pPr>
                    <w:widowControl/>
                    <w:jc w:val="left"/>
                    <w:rPr>
                      <w:color w:val="auto"/>
                      <w:highlight w:val="none"/>
                    </w:rPr>
                  </w:pPr>
                </w:p>
              </w:tc>
              <w:tc>
                <w:tcPr>
                  <w:tcW w:w="291" w:type="pct"/>
                  <w:vMerge w:val="continue"/>
                  <w:tcBorders>
                    <w:top w:val="single" w:color="000000" w:sz="4" w:space="0"/>
                    <w:left w:val="single" w:color="auto" w:sz="4" w:space="0"/>
                    <w:bottom w:val="single" w:color="000000" w:sz="4" w:space="0"/>
                    <w:right w:val="single" w:color="000000" w:sz="4" w:space="0"/>
                  </w:tcBorders>
                  <w:noWrap w:val="0"/>
                  <w:vAlign w:val="center"/>
                </w:tcPr>
                <w:p w14:paraId="2D09DB89">
                  <w:pPr>
                    <w:widowControl/>
                    <w:jc w:val="left"/>
                    <w:rPr>
                      <w:color w:val="auto"/>
                      <w:highlight w:val="none"/>
                    </w:rPr>
                  </w:pPr>
                </w:p>
              </w:tc>
              <w:tc>
                <w:tcPr>
                  <w:tcW w:w="702" w:type="pct"/>
                  <w:gridSpan w:val="2"/>
                  <w:tcBorders>
                    <w:top w:val="single" w:color="000000" w:sz="4" w:space="0"/>
                    <w:left w:val="single" w:color="000000" w:sz="4" w:space="0"/>
                    <w:bottom w:val="single" w:color="000000" w:sz="4" w:space="0"/>
                    <w:right w:val="single" w:color="000000" w:sz="4" w:space="0"/>
                  </w:tcBorders>
                  <w:noWrap/>
                  <w:vAlign w:val="center"/>
                </w:tcPr>
                <w:p w14:paraId="0CC3118A">
                  <w:pPr>
                    <w:jc w:val="center"/>
                    <w:rPr>
                      <w:color w:val="auto"/>
                      <w:highlight w:val="none"/>
                    </w:rPr>
                  </w:pPr>
                  <w:r>
                    <w:rPr>
                      <w:color w:val="auto"/>
                      <w:highlight w:val="none"/>
                    </w:rPr>
                    <w:t>捕集措施</w:t>
                  </w:r>
                </w:p>
              </w:tc>
              <w:tc>
                <w:tcPr>
                  <w:tcW w:w="1696" w:type="pct"/>
                  <w:gridSpan w:val="5"/>
                  <w:tcBorders>
                    <w:top w:val="single" w:color="000000" w:sz="4" w:space="0"/>
                    <w:left w:val="single" w:color="000000" w:sz="4" w:space="0"/>
                    <w:bottom w:val="single" w:color="000000" w:sz="4" w:space="0"/>
                    <w:right w:val="single" w:color="000000" w:sz="4" w:space="0"/>
                  </w:tcBorders>
                  <w:noWrap/>
                  <w:vAlign w:val="center"/>
                </w:tcPr>
                <w:p w14:paraId="5B428C70">
                  <w:pPr>
                    <w:jc w:val="center"/>
                    <w:rPr>
                      <w:color w:val="auto"/>
                      <w:highlight w:val="none"/>
                    </w:rPr>
                  </w:pPr>
                  <w:r>
                    <w:rPr>
                      <w:color w:val="auto"/>
                      <w:highlight w:val="none"/>
                    </w:rPr>
                    <w:t>处理措施</w:t>
                  </w:r>
                </w:p>
              </w:tc>
              <w:tc>
                <w:tcPr>
                  <w:tcW w:w="303" w:type="pct"/>
                  <w:vMerge w:val="continue"/>
                  <w:tcBorders>
                    <w:top w:val="single" w:color="000000" w:sz="4" w:space="0"/>
                    <w:left w:val="single" w:color="000000" w:sz="4" w:space="0"/>
                    <w:bottom w:val="single" w:color="000000" w:sz="4" w:space="0"/>
                    <w:right w:val="single" w:color="000000" w:sz="4" w:space="0"/>
                  </w:tcBorders>
                  <w:noWrap w:val="0"/>
                  <w:vAlign w:val="center"/>
                </w:tcPr>
                <w:p w14:paraId="1AC12D66">
                  <w:pPr>
                    <w:widowControl/>
                    <w:jc w:val="left"/>
                    <w:rPr>
                      <w:color w:val="auto"/>
                      <w:highlight w:val="none"/>
                    </w:rPr>
                  </w:pPr>
                </w:p>
              </w:tc>
              <w:tc>
                <w:tcPr>
                  <w:tcW w:w="282" w:type="pct"/>
                  <w:vMerge w:val="continue"/>
                  <w:tcBorders>
                    <w:top w:val="single" w:color="000000" w:sz="4" w:space="0"/>
                    <w:left w:val="single" w:color="000000" w:sz="4" w:space="0"/>
                    <w:bottom w:val="single" w:color="000000" w:sz="4" w:space="0"/>
                  </w:tcBorders>
                  <w:noWrap w:val="0"/>
                  <w:vAlign w:val="center"/>
                </w:tcPr>
                <w:p w14:paraId="3F6449F7">
                  <w:pPr>
                    <w:widowControl/>
                    <w:jc w:val="left"/>
                    <w:rPr>
                      <w:color w:val="auto"/>
                      <w:highlight w:val="none"/>
                    </w:rPr>
                  </w:pPr>
                </w:p>
              </w:tc>
            </w:tr>
            <w:tr w14:paraId="4A7A1E87">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119" w:hRule="atLeast"/>
                <w:tblHeader/>
              </w:trPr>
              <w:tc>
                <w:tcPr>
                  <w:tcW w:w="424" w:type="pct"/>
                  <w:vMerge w:val="continue"/>
                  <w:tcBorders>
                    <w:top w:val="single" w:color="000000" w:sz="4" w:space="0"/>
                    <w:bottom w:val="single" w:color="000000" w:sz="4" w:space="0"/>
                    <w:right w:val="single" w:color="000000" w:sz="4" w:space="0"/>
                  </w:tcBorders>
                  <w:noWrap w:val="0"/>
                  <w:vAlign w:val="center"/>
                </w:tcPr>
                <w:p w14:paraId="740912B8">
                  <w:pPr>
                    <w:widowControl/>
                    <w:jc w:val="left"/>
                    <w:rPr>
                      <w:color w:val="auto"/>
                      <w:highlight w:val="none"/>
                    </w:rPr>
                  </w:pPr>
                </w:p>
              </w:tc>
              <w:tc>
                <w:tcPr>
                  <w:tcW w:w="363" w:type="pct"/>
                  <w:vMerge w:val="continue"/>
                  <w:tcBorders>
                    <w:top w:val="single" w:color="000000" w:sz="4" w:space="0"/>
                    <w:left w:val="single" w:color="000000" w:sz="4" w:space="0"/>
                    <w:bottom w:val="single" w:color="000000" w:sz="4" w:space="0"/>
                    <w:right w:val="single" w:color="000000" w:sz="4" w:space="0"/>
                  </w:tcBorders>
                  <w:noWrap w:val="0"/>
                  <w:vAlign w:val="center"/>
                </w:tcPr>
                <w:p w14:paraId="7CA1E813">
                  <w:pPr>
                    <w:widowControl/>
                    <w:jc w:val="left"/>
                    <w:rPr>
                      <w:color w:val="auto"/>
                      <w:highlight w:val="none"/>
                    </w:rPr>
                  </w:pPr>
                </w:p>
              </w:tc>
              <w:tc>
                <w:tcPr>
                  <w:tcW w:w="363" w:type="pct"/>
                  <w:vMerge w:val="continue"/>
                  <w:tcBorders>
                    <w:top w:val="single" w:color="000000" w:sz="4" w:space="0"/>
                    <w:left w:val="single" w:color="000000" w:sz="4" w:space="0"/>
                    <w:bottom w:val="single" w:color="000000" w:sz="4" w:space="0"/>
                    <w:right w:val="single" w:color="000000" w:sz="4" w:space="0"/>
                  </w:tcBorders>
                  <w:noWrap w:val="0"/>
                  <w:vAlign w:val="center"/>
                </w:tcPr>
                <w:p w14:paraId="08C957BF">
                  <w:pPr>
                    <w:widowControl/>
                    <w:jc w:val="left"/>
                    <w:rPr>
                      <w:color w:val="auto"/>
                      <w:highlight w:val="none"/>
                    </w:rPr>
                  </w:pPr>
                </w:p>
              </w:tc>
              <w:tc>
                <w:tcPr>
                  <w:tcW w:w="241" w:type="pct"/>
                  <w:vMerge w:val="continue"/>
                  <w:tcBorders>
                    <w:top w:val="single" w:color="000000" w:sz="4" w:space="0"/>
                    <w:left w:val="single" w:color="000000" w:sz="4" w:space="0"/>
                    <w:bottom w:val="single" w:color="000000" w:sz="4" w:space="0"/>
                    <w:right w:val="single" w:color="000000" w:sz="4" w:space="0"/>
                  </w:tcBorders>
                  <w:noWrap w:val="0"/>
                  <w:vAlign w:val="center"/>
                </w:tcPr>
                <w:p w14:paraId="7E51AB81">
                  <w:pPr>
                    <w:widowControl/>
                    <w:jc w:val="left"/>
                    <w:rPr>
                      <w:color w:val="auto"/>
                      <w:highlight w:val="none"/>
                    </w:rPr>
                  </w:pPr>
                </w:p>
              </w:tc>
              <w:tc>
                <w:tcPr>
                  <w:tcW w:w="165" w:type="pct"/>
                  <w:tcBorders>
                    <w:top w:val="single" w:color="auto" w:sz="4" w:space="0"/>
                    <w:left w:val="single" w:color="000000" w:sz="4" w:space="0"/>
                    <w:bottom w:val="single" w:color="000000" w:sz="4" w:space="0"/>
                    <w:right w:val="single" w:color="000000" w:sz="4" w:space="0"/>
                  </w:tcBorders>
                  <w:noWrap w:val="0"/>
                  <w:vAlign w:val="center"/>
                </w:tcPr>
                <w:p w14:paraId="11C479BC">
                  <w:pPr>
                    <w:jc w:val="center"/>
                    <w:rPr>
                      <w:rFonts w:hint="eastAsia" w:eastAsia="宋体"/>
                      <w:color w:val="auto"/>
                      <w:highlight w:val="none"/>
                      <w:lang w:eastAsia="zh-CN"/>
                    </w:rPr>
                  </w:pPr>
                  <w:r>
                    <w:rPr>
                      <w:rFonts w:hint="eastAsia"/>
                      <w:color w:val="auto"/>
                      <w:highlight w:val="none"/>
                      <w:lang w:eastAsia="zh-CN"/>
                    </w:rPr>
                    <w:t>产生</w:t>
                  </w:r>
                  <w:r>
                    <w:rPr>
                      <w:color w:val="auto"/>
                      <w:highlight w:val="none"/>
                    </w:rPr>
                    <w:br w:type="textWrapping"/>
                  </w:r>
                  <w:r>
                    <w:rPr>
                      <w:color w:val="auto"/>
                      <w:highlight w:val="none"/>
                    </w:rPr>
                    <w:t>浓度</w:t>
                  </w:r>
                  <w:r>
                    <w:rPr>
                      <w:rFonts w:hint="eastAsia"/>
                      <w:color w:val="auto"/>
                      <w:highlight w:val="none"/>
                      <w:lang w:eastAsia="zh-CN"/>
                    </w:rPr>
                    <w:t>（</w:t>
                  </w:r>
                  <w:r>
                    <w:rPr>
                      <w:color w:val="auto"/>
                      <w:highlight w:val="none"/>
                    </w:rPr>
                    <w:t>mg/m</w:t>
                  </w:r>
                  <w:r>
                    <w:rPr>
                      <w:color w:val="auto"/>
                      <w:highlight w:val="none"/>
                      <w:vertAlign w:val="superscript"/>
                    </w:rPr>
                    <w:t>3</w:t>
                  </w:r>
                  <w:r>
                    <w:rPr>
                      <w:rFonts w:hint="eastAsia"/>
                      <w:color w:val="auto"/>
                      <w:highlight w:val="none"/>
                      <w:lang w:eastAsia="zh-CN"/>
                    </w:rPr>
                    <w:t>）</w:t>
                  </w:r>
                </w:p>
              </w:tc>
              <w:tc>
                <w:tcPr>
                  <w:tcW w:w="165" w:type="pct"/>
                  <w:tcBorders>
                    <w:top w:val="single" w:color="auto" w:sz="4" w:space="0"/>
                    <w:left w:val="single" w:color="000000" w:sz="4" w:space="0"/>
                    <w:bottom w:val="single" w:color="000000" w:sz="4" w:space="0"/>
                    <w:right w:val="single" w:color="000000" w:sz="4" w:space="0"/>
                  </w:tcBorders>
                  <w:noWrap w:val="0"/>
                  <w:vAlign w:val="center"/>
                </w:tcPr>
                <w:p w14:paraId="4E63C919">
                  <w:pPr>
                    <w:jc w:val="center"/>
                    <w:rPr>
                      <w:color w:val="auto"/>
                      <w:highlight w:val="none"/>
                    </w:rPr>
                  </w:pPr>
                  <w:r>
                    <w:rPr>
                      <w:rFonts w:hint="eastAsia"/>
                      <w:color w:val="auto"/>
                      <w:highlight w:val="none"/>
                      <w:lang w:eastAsia="zh-CN"/>
                    </w:rPr>
                    <w:t>产生</w:t>
                  </w:r>
                </w:p>
                <w:p w14:paraId="6FD6954E">
                  <w:pPr>
                    <w:jc w:val="center"/>
                    <w:rPr>
                      <w:color w:val="auto"/>
                      <w:highlight w:val="none"/>
                    </w:rPr>
                  </w:pPr>
                  <w:r>
                    <w:rPr>
                      <w:color w:val="auto"/>
                      <w:highlight w:val="none"/>
                    </w:rPr>
                    <w:t>速率</w:t>
                  </w:r>
                  <w:r>
                    <w:rPr>
                      <w:rFonts w:hint="eastAsia"/>
                      <w:color w:val="auto"/>
                      <w:highlight w:val="none"/>
                      <w:lang w:eastAsia="zh-CN"/>
                    </w:rPr>
                    <w:t>（</w:t>
                  </w:r>
                  <w:r>
                    <w:rPr>
                      <w:color w:val="auto"/>
                      <w:highlight w:val="none"/>
                    </w:rPr>
                    <w:t>kg/h</w:t>
                  </w:r>
                  <w:r>
                    <w:rPr>
                      <w:rFonts w:hint="eastAsia"/>
                      <w:color w:val="auto"/>
                      <w:highlight w:val="none"/>
                      <w:lang w:eastAsia="zh-CN"/>
                    </w:rPr>
                    <w:t>）</w:t>
                  </w:r>
                </w:p>
              </w:tc>
              <w:tc>
                <w:tcPr>
                  <w:tcW w:w="291" w:type="pct"/>
                  <w:vMerge w:val="continue"/>
                  <w:tcBorders>
                    <w:top w:val="single" w:color="000000" w:sz="4" w:space="0"/>
                    <w:left w:val="single" w:color="000000" w:sz="4" w:space="0"/>
                    <w:bottom w:val="single" w:color="000000" w:sz="4" w:space="0"/>
                    <w:right w:val="single" w:color="000000" w:sz="4" w:space="0"/>
                  </w:tcBorders>
                  <w:noWrap w:val="0"/>
                  <w:vAlign w:val="center"/>
                </w:tcPr>
                <w:p w14:paraId="61492B06">
                  <w:pPr>
                    <w:widowControl/>
                    <w:jc w:val="left"/>
                    <w:rPr>
                      <w:color w:val="auto"/>
                      <w:highlight w:val="none"/>
                    </w:rPr>
                  </w:pPr>
                </w:p>
              </w:tc>
              <w:tc>
                <w:tcPr>
                  <w:tcW w:w="354" w:type="pct"/>
                  <w:tcBorders>
                    <w:top w:val="single" w:color="000000" w:sz="4" w:space="0"/>
                    <w:left w:val="single" w:color="000000" w:sz="4" w:space="0"/>
                    <w:bottom w:val="single" w:color="000000" w:sz="4" w:space="0"/>
                    <w:right w:val="single" w:color="000000" w:sz="4" w:space="0"/>
                  </w:tcBorders>
                  <w:noWrap w:val="0"/>
                  <w:vAlign w:val="center"/>
                </w:tcPr>
                <w:p w14:paraId="3F3A7D0F">
                  <w:pPr>
                    <w:jc w:val="center"/>
                    <w:rPr>
                      <w:color w:val="auto"/>
                      <w:highlight w:val="none"/>
                    </w:rPr>
                  </w:pPr>
                  <w:r>
                    <w:rPr>
                      <w:color w:val="auto"/>
                      <w:highlight w:val="none"/>
                    </w:rPr>
                    <w:t>措施</w:t>
                  </w:r>
                </w:p>
              </w:tc>
              <w:tc>
                <w:tcPr>
                  <w:tcW w:w="347" w:type="pct"/>
                  <w:tcBorders>
                    <w:top w:val="single" w:color="000000" w:sz="4" w:space="0"/>
                    <w:left w:val="single" w:color="000000" w:sz="4" w:space="0"/>
                    <w:bottom w:val="single" w:color="000000" w:sz="4" w:space="0"/>
                    <w:right w:val="single" w:color="000000" w:sz="4" w:space="0"/>
                  </w:tcBorders>
                  <w:noWrap w:val="0"/>
                  <w:vAlign w:val="center"/>
                </w:tcPr>
                <w:p w14:paraId="40B9C5B0">
                  <w:pPr>
                    <w:jc w:val="center"/>
                    <w:rPr>
                      <w:color w:val="auto"/>
                      <w:highlight w:val="none"/>
                    </w:rPr>
                  </w:pPr>
                  <w:r>
                    <w:rPr>
                      <w:color w:val="auto"/>
                      <w:highlight w:val="none"/>
                    </w:rPr>
                    <w:t>效率</w:t>
                  </w:r>
                </w:p>
              </w:tc>
              <w:tc>
                <w:tcPr>
                  <w:tcW w:w="459" w:type="pct"/>
                  <w:tcBorders>
                    <w:top w:val="single" w:color="000000" w:sz="4" w:space="0"/>
                    <w:left w:val="single" w:color="000000" w:sz="4" w:space="0"/>
                    <w:bottom w:val="single" w:color="000000" w:sz="4" w:space="0"/>
                    <w:right w:val="single" w:color="000000" w:sz="4" w:space="0"/>
                  </w:tcBorders>
                  <w:noWrap w:val="0"/>
                  <w:vAlign w:val="center"/>
                </w:tcPr>
                <w:p w14:paraId="67530382">
                  <w:pPr>
                    <w:jc w:val="center"/>
                    <w:rPr>
                      <w:color w:val="auto"/>
                      <w:highlight w:val="none"/>
                    </w:rPr>
                  </w:pPr>
                  <w:r>
                    <w:rPr>
                      <w:color w:val="auto"/>
                      <w:highlight w:val="none"/>
                    </w:rPr>
                    <w:t>编号</w:t>
                  </w:r>
                </w:p>
              </w:tc>
              <w:tc>
                <w:tcPr>
                  <w:tcW w:w="318" w:type="pct"/>
                  <w:tcBorders>
                    <w:top w:val="single" w:color="000000" w:sz="4" w:space="0"/>
                    <w:left w:val="single" w:color="000000" w:sz="4" w:space="0"/>
                    <w:bottom w:val="single" w:color="000000" w:sz="4" w:space="0"/>
                    <w:right w:val="single" w:color="000000" w:sz="4" w:space="0"/>
                  </w:tcBorders>
                  <w:noWrap w:val="0"/>
                  <w:vAlign w:val="center"/>
                </w:tcPr>
                <w:p w14:paraId="4CE4D4EB">
                  <w:pPr>
                    <w:jc w:val="center"/>
                    <w:rPr>
                      <w:color w:val="auto"/>
                      <w:highlight w:val="none"/>
                    </w:rPr>
                  </w:pPr>
                  <w:r>
                    <w:rPr>
                      <w:color w:val="auto"/>
                      <w:highlight w:val="none"/>
                    </w:rPr>
                    <w:t>名称</w:t>
                  </w:r>
                </w:p>
              </w:tc>
              <w:tc>
                <w:tcPr>
                  <w:tcW w:w="241" w:type="pct"/>
                  <w:tcBorders>
                    <w:top w:val="single" w:color="000000" w:sz="4" w:space="0"/>
                    <w:left w:val="single" w:color="000000" w:sz="4" w:space="0"/>
                    <w:bottom w:val="single" w:color="000000" w:sz="4" w:space="0"/>
                    <w:right w:val="single" w:color="000000" w:sz="4" w:space="0"/>
                  </w:tcBorders>
                  <w:noWrap w:val="0"/>
                  <w:vAlign w:val="center"/>
                </w:tcPr>
                <w:p w14:paraId="51080A75">
                  <w:pPr>
                    <w:jc w:val="center"/>
                    <w:rPr>
                      <w:color w:val="auto"/>
                      <w:highlight w:val="none"/>
                    </w:rPr>
                  </w:pPr>
                  <w:r>
                    <w:rPr>
                      <w:color w:val="auto"/>
                      <w:highlight w:val="none"/>
                    </w:rPr>
                    <w:t>工艺</w:t>
                  </w:r>
                </w:p>
              </w:tc>
              <w:tc>
                <w:tcPr>
                  <w:tcW w:w="343" w:type="pct"/>
                  <w:tcBorders>
                    <w:top w:val="single" w:color="000000" w:sz="4" w:space="0"/>
                    <w:left w:val="single" w:color="000000" w:sz="4" w:space="0"/>
                    <w:bottom w:val="single" w:color="000000" w:sz="4" w:space="0"/>
                    <w:right w:val="single" w:color="000000" w:sz="4" w:space="0"/>
                  </w:tcBorders>
                  <w:noWrap w:val="0"/>
                  <w:vAlign w:val="center"/>
                </w:tcPr>
                <w:p w14:paraId="6E85A7E1">
                  <w:pPr>
                    <w:jc w:val="center"/>
                    <w:rPr>
                      <w:color w:val="auto"/>
                      <w:highlight w:val="none"/>
                    </w:rPr>
                  </w:pPr>
                  <w:r>
                    <w:rPr>
                      <w:color w:val="auto"/>
                      <w:highlight w:val="none"/>
                    </w:rPr>
                    <w:t>效率</w:t>
                  </w:r>
                </w:p>
              </w:tc>
              <w:tc>
                <w:tcPr>
                  <w:tcW w:w="334" w:type="pct"/>
                  <w:tcBorders>
                    <w:top w:val="single" w:color="000000" w:sz="4" w:space="0"/>
                    <w:left w:val="single" w:color="000000" w:sz="4" w:space="0"/>
                    <w:bottom w:val="single" w:color="000000" w:sz="4" w:space="0"/>
                    <w:right w:val="single" w:color="000000" w:sz="4" w:space="0"/>
                  </w:tcBorders>
                  <w:noWrap w:val="0"/>
                  <w:vAlign w:val="center"/>
                </w:tcPr>
                <w:p w14:paraId="7AC207BC">
                  <w:pPr>
                    <w:jc w:val="center"/>
                    <w:rPr>
                      <w:color w:val="auto"/>
                      <w:highlight w:val="none"/>
                    </w:rPr>
                  </w:pPr>
                  <w:r>
                    <w:rPr>
                      <w:color w:val="auto"/>
                      <w:highlight w:val="none"/>
                    </w:rPr>
                    <w:t>是否可行技术</w:t>
                  </w:r>
                </w:p>
              </w:tc>
              <w:tc>
                <w:tcPr>
                  <w:tcW w:w="303" w:type="pct"/>
                  <w:vMerge w:val="continue"/>
                  <w:tcBorders>
                    <w:top w:val="single" w:color="000000" w:sz="4" w:space="0"/>
                    <w:left w:val="single" w:color="000000" w:sz="4" w:space="0"/>
                    <w:bottom w:val="single" w:color="000000" w:sz="4" w:space="0"/>
                    <w:right w:val="single" w:color="000000" w:sz="4" w:space="0"/>
                  </w:tcBorders>
                  <w:noWrap w:val="0"/>
                  <w:vAlign w:val="center"/>
                </w:tcPr>
                <w:p w14:paraId="79B99E14">
                  <w:pPr>
                    <w:widowControl/>
                    <w:jc w:val="left"/>
                    <w:rPr>
                      <w:color w:val="auto"/>
                      <w:highlight w:val="none"/>
                    </w:rPr>
                  </w:pPr>
                </w:p>
              </w:tc>
              <w:tc>
                <w:tcPr>
                  <w:tcW w:w="282" w:type="pct"/>
                  <w:vMerge w:val="continue"/>
                  <w:tcBorders>
                    <w:top w:val="single" w:color="000000" w:sz="4" w:space="0"/>
                    <w:left w:val="single" w:color="000000" w:sz="4" w:space="0"/>
                    <w:bottom w:val="single" w:color="000000" w:sz="4" w:space="0"/>
                  </w:tcBorders>
                  <w:noWrap w:val="0"/>
                  <w:vAlign w:val="center"/>
                </w:tcPr>
                <w:p w14:paraId="7223C0EB">
                  <w:pPr>
                    <w:widowControl/>
                    <w:jc w:val="left"/>
                    <w:rPr>
                      <w:color w:val="auto"/>
                      <w:highlight w:val="none"/>
                    </w:rPr>
                  </w:pPr>
                </w:p>
              </w:tc>
            </w:tr>
            <w:tr w14:paraId="10113B6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798" w:hRule="atLeast"/>
              </w:trPr>
              <w:tc>
                <w:tcPr>
                  <w:tcW w:w="424" w:type="pct"/>
                  <w:tcBorders>
                    <w:top w:val="single" w:color="000000" w:sz="4" w:space="0"/>
                    <w:right w:val="single" w:color="000000" w:sz="4" w:space="0"/>
                  </w:tcBorders>
                  <w:noWrap w:val="0"/>
                  <w:vAlign w:val="center"/>
                </w:tcPr>
                <w:p w14:paraId="0D63BE1D">
                  <w:pPr>
                    <w:jc w:val="center"/>
                    <w:rPr>
                      <w:rFonts w:hint="default"/>
                      <w:color w:val="auto"/>
                      <w:highlight w:val="none"/>
                      <w:lang w:val="en-US"/>
                    </w:rPr>
                  </w:pPr>
                  <w:r>
                    <w:rPr>
                      <w:rFonts w:hint="eastAsia" w:hAnsi="宋体"/>
                      <w:color w:val="auto"/>
                      <w:kern w:val="0"/>
                      <w:szCs w:val="21"/>
                      <w:highlight w:val="none"/>
                      <w:lang w:eastAsia="zh-CN"/>
                    </w:rPr>
                    <w:t>生物质致密成型燃料加工</w:t>
                  </w:r>
                </w:p>
              </w:tc>
              <w:tc>
                <w:tcPr>
                  <w:tcW w:w="363" w:type="pct"/>
                  <w:tcBorders>
                    <w:top w:val="single" w:color="000000" w:sz="4" w:space="0"/>
                    <w:left w:val="single" w:color="000000" w:sz="4" w:space="0"/>
                    <w:bottom w:val="single" w:color="000000" w:sz="4" w:space="0"/>
                    <w:right w:val="single" w:color="000000" w:sz="4" w:space="0"/>
                  </w:tcBorders>
                  <w:noWrap w:val="0"/>
                  <w:vAlign w:val="center"/>
                </w:tcPr>
                <w:p w14:paraId="1F979CF0">
                  <w:pPr>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破碎、粉碎、制粒成型工序</w:t>
                  </w:r>
                </w:p>
              </w:tc>
              <w:tc>
                <w:tcPr>
                  <w:tcW w:w="363" w:type="pct"/>
                  <w:tcBorders>
                    <w:top w:val="single" w:color="000000" w:sz="4" w:space="0"/>
                    <w:left w:val="single" w:color="000000" w:sz="4" w:space="0"/>
                    <w:bottom w:val="single" w:color="000000" w:sz="4" w:space="0"/>
                    <w:right w:val="single" w:color="000000" w:sz="4" w:space="0"/>
                  </w:tcBorders>
                  <w:noWrap w:val="0"/>
                  <w:vAlign w:val="center"/>
                </w:tcPr>
                <w:p w14:paraId="56678F2C">
                  <w:pPr>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破碎、粉碎、制粒成型工序</w:t>
                  </w:r>
                </w:p>
              </w:tc>
              <w:tc>
                <w:tcPr>
                  <w:tcW w:w="241" w:type="pct"/>
                  <w:tcBorders>
                    <w:top w:val="single" w:color="000000" w:sz="4" w:space="0"/>
                    <w:left w:val="single" w:color="000000" w:sz="4" w:space="0"/>
                    <w:bottom w:val="single" w:color="000000" w:sz="4" w:space="0"/>
                    <w:right w:val="single" w:color="000000" w:sz="4" w:space="0"/>
                  </w:tcBorders>
                  <w:noWrap w:val="0"/>
                  <w:vAlign w:val="center"/>
                </w:tcPr>
                <w:p w14:paraId="763C2CDA">
                  <w:pPr>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颗粒物</w:t>
                  </w:r>
                </w:p>
              </w:tc>
              <w:tc>
                <w:tcPr>
                  <w:tcW w:w="165" w:type="pct"/>
                  <w:tcBorders>
                    <w:top w:val="single" w:color="000000" w:sz="4" w:space="0"/>
                    <w:left w:val="single" w:color="000000" w:sz="4" w:space="0"/>
                    <w:bottom w:val="single" w:color="000000" w:sz="4" w:space="0"/>
                    <w:right w:val="single" w:color="000000" w:sz="4" w:space="0"/>
                  </w:tcBorders>
                  <w:noWrap w:val="0"/>
                  <w:vAlign w:val="center"/>
                </w:tcPr>
                <w:p w14:paraId="3B6AC8B2">
                  <w:pPr>
                    <w:jc w:val="center"/>
                    <w:rPr>
                      <w:rFonts w:hint="eastAsia" w:ascii="Times New Roman" w:hAnsi="Times New Roman" w:eastAsia="宋体" w:cs="Times New Roman"/>
                      <w:color w:val="auto"/>
                      <w:highlight w:val="none"/>
                      <w:lang w:val="en-US" w:eastAsia="zh-CN"/>
                    </w:rPr>
                  </w:pPr>
                  <w:r>
                    <w:rPr>
                      <w:rFonts w:hint="eastAsia" w:asciiTheme="minorEastAsia" w:hAnsiTheme="minorEastAsia" w:eastAsiaTheme="minorEastAsia" w:cstheme="minorEastAsia"/>
                      <w:bCs/>
                      <w:color w:val="auto"/>
                      <w:sz w:val="24"/>
                      <w:szCs w:val="24"/>
                      <w:highlight w:val="none"/>
                      <w:lang w:val="en-US" w:eastAsia="zh-CN"/>
                    </w:rPr>
                    <w:t>1002.75</w:t>
                  </w:r>
                </w:p>
              </w:tc>
              <w:tc>
                <w:tcPr>
                  <w:tcW w:w="165" w:type="pct"/>
                  <w:tcBorders>
                    <w:top w:val="single" w:color="000000" w:sz="4" w:space="0"/>
                    <w:left w:val="single" w:color="000000" w:sz="4" w:space="0"/>
                    <w:bottom w:val="single" w:color="000000" w:sz="4" w:space="0"/>
                    <w:right w:val="single" w:color="000000" w:sz="4" w:space="0"/>
                  </w:tcBorders>
                  <w:noWrap w:val="0"/>
                  <w:vAlign w:val="center"/>
                </w:tcPr>
                <w:p w14:paraId="529B44DF">
                  <w:pPr>
                    <w:jc w:val="center"/>
                    <w:rPr>
                      <w:rFonts w:hint="eastAsia" w:ascii="Times New Roman" w:hAnsi="Times New Roman" w:eastAsia="宋体" w:cs="Times New Roman"/>
                      <w:color w:val="auto"/>
                      <w:highlight w:val="none"/>
                      <w:lang w:val="en-US" w:eastAsia="zh-CN"/>
                    </w:rPr>
                  </w:pPr>
                  <w:r>
                    <w:rPr>
                      <w:rFonts w:hint="eastAsia" w:asciiTheme="minorEastAsia" w:hAnsiTheme="minorEastAsia" w:eastAsiaTheme="minorEastAsia" w:cstheme="minorEastAsia"/>
                      <w:bCs/>
                      <w:color w:val="auto"/>
                      <w:sz w:val="24"/>
                      <w:szCs w:val="24"/>
                      <w:highlight w:val="none"/>
                      <w:lang w:val="en-US" w:eastAsia="zh-CN"/>
                    </w:rPr>
                    <w:t>25.06875</w:t>
                  </w:r>
                </w:p>
              </w:tc>
              <w:tc>
                <w:tcPr>
                  <w:tcW w:w="291" w:type="pct"/>
                  <w:tcBorders>
                    <w:top w:val="single" w:color="000000" w:sz="4" w:space="0"/>
                    <w:left w:val="single" w:color="000000" w:sz="4" w:space="0"/>
                    <w:bottom w:val="single" w:color="000000" w:sz="4" w:space="0"/>
                    <w:right w:val="single" w:color="000000" w:sz="4" w:space="0"/>
                  </w:tcBorders>
                  <w:noWrap w:val="0"/>
                  <w:vAlign w:val="center"/>
                </w:tcPr>
                <w:p w14:paraId="0798B2AF">
                  <w:pPr>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有组织</w:t>
                  </w:r>
                </w:p>
              </w:tc>
              <w:tc>
                <w:tcPr>
                  <w:tcW w:w="354" w:type="pct"/>
                  <w:tcBorders>
                    <w:top w:val="single" w:color="000000" w:sz="4" w:space="0"/>
                    <w:left w:val="single" w:color="000000" w:sz="4" w:space="0"/>
                    <w:bottom w:val="single" w:color="000000" w:sz="4" w:space="0"/>
                    <w:right w:val="single" w:color="000000" w:sz="4" w:space="0"/>
                  </w:tcBorders>
                  <w:noWrap w:val="0"/>
                  <w:vAlign w:val="center"/>
                </w:tcPr>
                <w:p w14:paraId="08487F75">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rPr>
                    <w:t>集气罩</w:t>
                  </w:r>
                  <w:r>
                    <w:rPr>
                      <w:rFonts w:hint="eastAsia" w:cs="Times New Roman"/>
                      <w:color w:val="auto"/>
                      <w:highlight w:val="none"/>
                      <w:lang w:val="en-US" w:eastAsia="zh-CN"/>
                    </w:rPr>
                    <w:t>+软帘</w:t>
                  </w:r>
                </w:p>
              </w:tc>
              <w:tc>
                <w:tcPr>
                  <w:tcW w:w="347" w:type="pct"/>
                  <w:tcBorders>
                    <w:top w:val="single" w:color="000000" w:sz="4" w:space="0"/>
                    <w:left w:val="single" w:color="000000" w:sz="4" w:space="0"/>
                    <w:bottom w:val="single" w:color="000000" w:sz="4" w:space="0"/>
                    <w:right w:val="single" w:color="000000" w:sz="4" w:space="0"/>
                  </w:tcBorders>
                  <w:noWrap w:val="0"/>
                  <w:vAlign w:val="center"/>
                </w:tcPr>
                <w:p w14:paraId="4031092C">
                  <w:pPr>
                    <w:jc w:val="center"/>
                    <w:rPr>
                      <w:rFonts w:ascii="Times New Roman" w:hAnsi="Times New Roman" w:eastAsia="宋体" w:cs="Times New Roman"/>
                      <w:color w:val="auto"/>
                      <w:highlight w:val="none"/>
                    </w:rPr>
                  </w:pPr>
                  <w:r>
                    <w:rPr>
                      <w:rFonts w:hint="eastAsia" w:cs="Times New Roman"/>
                      <w:color w:val="auto"/>
                      <w:highlight w:val="none"/>
                      <w:lang w:val="en-US" w:eastAsia="zh-CN"/>
                    </w:rPr>
                    <w:t>90</w:t>
                  </w:r>
                  <w:r>
                    <w:rPr>
                      <w:rFonts w:ascii="Times New Roman" w:hAnsi="Times New Roman" w:eastAsia="宋体" w:cs="Times New Roman"/>
                      <w:color w:val="auto"/>
                      <w:highlight w:val="none"/>
                    </w:rPr>
                    <w:t>%</w:t>
                  </w:r>
                </w:p>
              </w:tc>
              <w:tc>
                <w:tcPr>
                  <w:tcW w:w="459" w:type="pct"/>
                  <w:tcBorders>
                    <w:top w:val="single" w:color="000000" w:sz="4" w:space="0"/>
                    <w:left w:val="single" w:color="000000" w:sz="4" w:space="0"/>
                    <w:bottom w:val="single" w:color="000000" w:sz="4" w:space="0"/>
                    <w:right w:val="single" w:color="000000" w:sz="4" w:space="0"/>
                  </w:tcBorders>
                  <w:noWrap w:val="0"/>
                  <w:vAlign w:val="center"/>
                </w:tcPr>
                <w:p w14:paraId="0BB1C065">
                  <w:pPr>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TA001</w:t>
                  </w:r>
                </w:p>
              </w:tc>
              <w:tc>
                <w:tcPr>
                  <w:tcW w:w="318" w:type="pct"/>
                  <w:tcBorders>
                    <w:top w:val="single" w:color="000000" w:sz="4" w:space="0"/>
                    <w:left w:val="single" w:color="000000" w:sz="4" w:space="0"/>
                    <w:bottom w:val="single" w:color="000000" w:sz="4" w:space="0"/>
                    <w:right w:val="single" w:color="000000" w:sz="4" w:space="0"/>
                  </w:tcBorders>
                  <w:noWrap w:val="0"/>
                  <w:vAlign w:val="center"/>
                </w:tcPr>
                <w:p w14:paraId="1E743D51">
                  <w:pPr>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旋风除尘+袋式除尘</w:t>
                  </w:r>
                </w:p>
              </w:tc>
              <w:tc>
                <w:tcPr>
                  <w:tcW w:w="241" w:type="pct"/>
                  <w:tcBorders>
                    <w:top w:val="single" w:color="000000" w:sz="4" w:space="0"/>
                    <w:left w:val="single" w:color="000000" w:sz="4" w:space="0"/>
                    <w:bottom w:val="single" w:color="000000" w:sz="4" w:space="0"/>
                    <w:right w:val="single" w:color="000000" w:sz="4" w:space="0"/>
                  </w:tcBorders>
                  <w:noWrap w:val="0"/>
                  <w:vAlign w:val="center"/>
                </w:tcPr>
                <w:p w14:paraId="02226648">
                  <w:pPr>
                    <w:jc w:val="center"/>
                    <w:rPr>
                      <w:color w:val="auto"/>
                      <w:highlight w:val="none"/>
                    </w:rPr>
                  </w:pPr>
                  <w:r>
                    <w:rPr>
                      <w:rFonts w:hint="eastAsia"/>
                      <w:color w:val="auto"/>
                      <w:highlight w:val="none"/>
                      <w:lang w:val="en-US" w:eastAsia="zh-CN"/>
                    </w:rPr>
                    <w:t>旋风除尘+袋式除尘</w:t>
                  </w:r>
                </w:p>
              </w:tc>
              <w:tc>
                <w:tcPr>
                  <w:tcW w:w="343" w:type="pct"/>
                  <w:tcBorders>
                    <w:top w:val="single" w:color="000000" w:sz="4" w:space="0"/>
                    <w:left w:val="single" w:color="000000" w:sz="4" w:space="0"/>
                    <w:bottom w:val="single" w:color="auto" w:sz="4" w:space="0"/>
                    <w:right w:val="single" w:color="000000" w:sz="4" w:space="0"/>
                  </w:tcBorders>
                  <w:noWrap w:val="0"/>
                  <w:vAlign w:val="center"/>
                </w:tcPr>
                <w:p w14:paraId="25889769">
                  <w:pPr>
                    <w:jc w:val="center"/>
                    <w:rPr>
                      <w:color w:val="auto"/>
                      <w:highlight w:val="none"/>
                    </w:rPr>
                  </w:pPr>
                  <w:r>
                    <w:rPr>
                      <w:rFonts w:hint="eastAsia"/>
                      <w:color w:val="auto"/>
                      <w:highlight w:val="none"/>
                      <w:lang w:val="en-US" w:eastAsia="zh-CN"/>
                    </w:rPr>
                    <w:t>99.5</w:t>
                  </w:r>
                  <w:r>
                    <w:rPr>
                      <w:color w:val="auto"/>
                      <w:highlight w:val="none"/>
                    </w:rPr>
                    <w:t>%</w:t>
                  </w:r>
                </w:p>
              </w:tc>
              <w:tc>
                <w:tcPr>
                  <w:tcW w:w="334" w:type="pct"/>
                  <w:tcBorders>
                    <w:top w:val="single" w:color="000000" w:sz="4" w:space="0"/>
                    <w:left w:val="single" w:color="000000" w:sz="4" w:space="0"/>
                    <w:bottom w:val="single" w:color="000000" w:sz="4" w:space="0"/>
                    <w:right w:val="single" w:color="000000" w:sz="4" w:space="0"/>
                  </w:tcBorders>
                  <w:noWrap w:val="0"/>
                  <w:vAlign w:val="center"/>
                </w:tcPr>
                <w:p w14:paraId="2EFFB294">
                  <w:pPr>
                    <w:jc w:val="center"/>
                    <w:rPr>
                      <w:color w:val="auto"/>
                      <w:highlight w:val="none"/>
                    </w:rPr>
                  </w:pPr>
                  <w:r>
                    <w:rPr>
                      <w:color w:val="auto"/>
                      <w:highlight w:val="none"/>
                    </w:rPr>
                    <w:t>是</w:t>
                  </w:r>
                </w:p>
              </w:tc>
              <w:tc>
                <w:tcPr>
                  <w:tcW w:w="303" w:type="pct"/>
                  <w:tcBorders>
                    <w:top w:val="single" w:color="000000" w:sz="4" w:space="0"/>
                    <w:left w:val="single" w:color="000000" w:sz="4" w:space="0"/>
                    <w:bottom w:val="single" w:color="000000" w:sz="4" w:space="0"/>
                    <w:right w:val="single" w:color="000000" w:sz="4" w:space="0"/>
                  </w:tcBorders>
                  <w:noWrap w:val="0"/>
                  <w:vAlign w:val="center"/>
                </w:tcPr>
                <w:p w14:paraId="628D4878">
                  <w:pPr>
                    <w:jc w:val="center"/>
                    <w:rPr>
                      <w:color w:val="auto"/>
                      <w:highlight w:val="none"/>
                    </w:rPr>
                  </w:pPr>
                  <w:r>
                    <w:rPr>
                      <w:color w:val="auto"/>
                      <w:highlight w:val="none"/>
                    </w:rPr>
                    <w:t>DA</w:t>
                  </w:r>
                </w:p>
                <w:p w14:paraId="461957A0">
                  <w:pPr>
                    <w:jc w:val="center"/>
                    <w:rPr>
                      <w:color w:val="auto"/>
                      <w:highlight w:val="none"/>
                    </w:rPr>
                  </w:pPr>
                  <w:r>
                    <w:rPr>
                      <w:color w:val="auto"/>
                      <w:highlight w:val="none"/>
                    </w:rPr>
                    <w:t>001</w:t>
                  </w:r>
                </w:p>
              </w:tc>
              <w:tc>
                <w:tcPr>
                  <w:tcW w:w="282" w:type="pct"/>
                  <w:tcBorders>
                    <w:top w:val="single" w:color="000000" w:sz="4" w:space="0"/>
                    <w:left w:val="single" w:color="000000" w:sz="4" w:space="0"/>
                    <w:bottom w:val="single" w:color="000000" w:sz="4" w:space="0"/>
                  </w:tcBorders>
                  <w:noWrap w:val="0"/>
                  <w:vAlign w:val="center"/>
                </w:tcPr>
                <w:p w14:paraId="52C5CD07">
                  <w:pPr>
                    <w:jc w:val="center"/>
                    <w:rPr>
                      <w:color w:val="auto"/>
                      <w:highlight w:val="none"/>
                    </w:rPr>
                  </w:pPr>
                  <w:r>
                    <w:rPr>
                      <w:color w:val="auto"/>
                      <w:highlight w:val="none"/>
                    </w:rPr>
                    <w:t>一般排放口</w:t>
                  </w:r>
                </w:p>
              </w:tc>
            </w:tr>
          </w:tbl>
          <w:p w14:paraId="6AD62DC2">
            <w:pPr>
              <w:bidi w:val="0"/>
              <w:rPr>
                <w:rFonts w:hint="eastAsia" w:ascii="Times New Roman" w:hAnsi="Times New Roman" w:eastAsia="宋体" w:cs="Times New Roman"/>
                <w:b/>
                <w:color w:val="auto"/>
                <w:kern w:val="0"/>
                <w:highlight w:val="none"/>
              </w:rPr>
            </w:pPr>
            <w:r>
              <w:rPr>
                <w:rFonts w:hint="eastAsia" w:ascii="Times New Roman" w:hAnsi="Times New Roman" w:eastAsia="宋体" w:cs="Times New Roman"/>
                <w:b/>
                <w:color w:val="auto"/>
                <w:kern w:val="0"/>
                <w:highlight w:val="none"/>
              </w:rPr>
              <w:br w:type="textWrapping"/>
            </w:r>
            <w:r>
              <w:rPr>
                <w:rFonts w:hint="eastAsia" w:ascii="Times New Roman" w:hAnsi="Times New Roman" w:eastAsia="宋体" w:cs="Times New Roman"/>
                <w:b/>
                <w:color w:val="auto"/>
                <w:kern w:val="0"/>
                <w:highlight w:val="none"/>
              </w:rPr>
              <w:br w:type="textWrapping"/>
            </w:r>
            <w:r>
              <w:rPr>
                <w:rFonts w:hint="eastAsia" w:ascii="Times New Roman" w:hAnsi="Times New Roman" w:eastAsia="宋体" w:cs="Times New Roman"/>
                <w:b/>
                <w:color w:val="auto"/>
                <w:kern w:val="0"/>
                <w:highlight w:val="none"/>
              </w:rPr>
              <w:br w:type="textWrapping"/>
            </w:r>
            <w:r>
              <w:rPr>
                <w:rFonts w:hint="eastAsia" w:ascii="Times New Roman" w:hAnsi="Times New Roman" w:eastAsia="宋体" w:cs="Times New Roman"/>
                <w:b/>
                <w:color w:val="auto"/>
                <w:kern w:val="0"/>
                <w:highlight w:val="none"/>
              </w:rPr>
              <w:br w:type="textWrapping"/>
            </w:r>
            <w:r>
              <w:rPr>
                <w:rFonts w:hint="eastAsia" w:ascii="Times New Roman" w:hAnsi="Times New Roman" w:eastAsia="宋体" w:cs="Times New Roman"/>
                <w:b/>
                <w:color w:val="auto"/>
                <w:kern w:val="0"/>
                <w:highlight w:val="none"/>
              </w:rPr>
              <w:br w:type="textWrapping"/>
            </w:r>
          </w:p>
          <w:p w14:paraId="0AF60FFC">
            <w:pPr>
              <w:pStyle w:val="2"/>
              <w:rPr>
                <w:rFonts w:hint="eastAsia" w:ascii="Times New Roman" w:hAnsi="Times New Roman" w:eastAsia="宋体" w:cs="Times New Roman"/>
                <w:b/>
                <w:color w:val="auto"/>
                <w:kern w:val="0"/>
                <w:highlight w:val="none"/>
              </w:rPr>
            </w:pPr>
          </w:p>
          <w:p w14:paraId="445A234A">
            <w:pPr>
              <w:rPr>
                <w:rFonts w:hint="eastAsia"/>
                <w:color w:val="auto"/>
              </w:rPr>
            </w:pPr>
          </w:p>
          <w:p w14:paraId="7B879908">
            <w:pPr>
              <w:spacing w:line="360" w:lineRule="auto"/>
              <w:ind w:firstLine="420" w:firstLineChars="200"/>
              <w:jc w:val="center"/>
              <w:rPr>
                <w:rFonts w:hint="eastAsia" w:ascii="Times New Roman" w:hAnsi="Times New Roman" w:eastAsia="宋体" w:cs="Times New Roman"/>
                <w:b w:val="0"/>
                <w:bCs/>
                <w:color w:val="auto"/>
                <w:kern w:val="0"/>
                <w:highlight w:val="none"/>
              </w:rPr>
            </w:pPr>
            <w:r>
              <w:rPr>
                <w:rFonts w:hint="eastAsia" w:ascii="Times New Roman" w:hAnsi="Times New Roman" w:eastAsia="宋体" w:cs="Times New Roman"/>
                <w:b w:val="0"/>
                <w:bCs/>
                <w:color w:val="auto"/>
                <w:kern w:val="0"/>
                <w:highlight w:val="none"/>
              </w:rPr>
              <w:t>表4</w:t>
            </w:r>
            <w:r>
              <w:rPr>
                <w:rFonts w:hint="eastAsia" w:eastAsia="宋体" w:cs="Times New Roman"/>
                <w:b w:val="0"/>
                <w:bCs/>
                <w:color w:val="auto"/>
                <w:kern w:val="0"/>
                <w:highlight w:val="none"/>
                <w:lang w:val="en-US" w:eastAsia="zh-CN"/>
              </w:rPr>
              <w:t>-</w:t>
            </w:r>
            <w:r>
              <w:rPr>
                <w:rFonts w:hint="eastAsia" w:cs="Times New Roman"/>
                <w:b w:val="0"/>
                <w:bCs/>
                <w:color w:val="auto"/>
                <w:kern w:val="0"/>
                <w:highlight w:val="none"/>
                <w:lang w:val="en-US" w:eastAsia="zh-CN"/>
              </w:rPr>
              <w:t>5</w:t>
            </w:r>
            <w:r>
              <w:rPr>
                <w:rFonts w:hint="eastAsia" w:ascii="Times New Roman" w:hAnsi="Times New Roman" w:eastAsia="宋体" w:cs="Times New Roman"/>
                <w:b w:val="0"/>
                <w:bCs/>
                <w:color w:val="auto"/>
                <w:kern w:val="0"/>
                <w:highlight w:val="none"/>
              </w:rPr>
              <w:t xml:space="preserve">     建设项目大气有组织排放基本情况表</w:t>
            </w:r>
          </w:p>
          <w:tbl>
            <w:tblPr>
              <w:tblStyle w:val="37"/>
              <w:tblW w:w="495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12"/>
              <w:gridCol w:w="716"/>
              <w:gridCol w:w="772"/>
              <w:gridCol w:w="1471"/>
              <w:gridCol w:w="1382"/>
              <w:gridCol w:w="411"/>
              <w:gridCol w:w="464"/>
              <w:gridCol w:w="508"/>
              <w:gridCol w:w="851"/>
              <w:gridCol w:w="801"/>
              <w:gridCol w:w="1262"/>
              <w:gridCol w:w="1836"/>
              <w:gridCol w:w="749"/>
              <w:gridCol w:w="579"/>
            </w:tblGrid>
            <w:tr w14:paraId="099E93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9" w:hRule="atLeast"/>
                <w:jc w:val="center"/>
              </w:trPr>
              <w:tc>
                <w:tcPr>
                  <w:tcW w:w="208" w:type="pct"/>
                  <w:vMerge w:val="restart"/>
                  <w:tcBorders>
                    <w:top w:val="single" w:color="000000" w:sz="4" w:space="0"/>
                    <w:left w:val="single" w:color="000000" w:sz="4" w:space="0"/>
                    <w:bottom w:val="single" w:color="000000" w:sz="4" w:space="0"/>
                    <w:right w:val="single" w:color="000000" w:sz="4" w:space="0"/>
                  </w:tcBorders>
                  <w:noWrap w:val="0"/>
                  <w:vAlign w:val="center"/>
                </w:tcPr>
                <w:p w14:paraId="05FC8C6D">
                  <w:pPr>
                    <w:jc w:val="center"/>
                    <w:rPr>
                      <w:color w:val="auto"/>
                      <w:highlight w:val="none"/>
                    </w:rPr>
                  </w:pPr>
                  <w:r>
                    <w:rPr>
                      <w:color w:val="auto"/>
                      <w:highlight w:val="none"/>
                    </w:rPr>
                    <w:t>排放口</w:t>
                  </w:r>
                </w:p>
                <w:p w14:paraId="6614EB42">
                  <w:pPr>
                    <w:jc w:val="center"/>
                    <w:rPr>
                      <w:color w:val="auto"/>
                      <w:highlight w:val="none"/>
                    </w:rPr>
                  </w:pPr>
                  <w:r>
                    <w:rPr>
                      <w:color w:val="auto"/>
                      <w:highlight w:val="none"/>
                    </w:rPr>
                    <w:t>编号</w:t>
                  </w:r>
                </w:p>
              </w:tc>
              <w:tc>
                <w:tcPr>
                  <w:tcW w:w="291" w:type="pct"/>
                  <w:vMerge w:val="restart"/>
                  <w:tcBorders>
                    <w:top w:val="single" w:color="000000" w:sz="4" w:space="0"/>
                    <w:left w:val="single" w:color="000000" w:sz="4" w:space="0"/>
                    <w:bottom w:val="single" w:color="000000" w:sz="4" w:space="0"/>
                    <w:right w:val="single" w:color="000000" w:sz="4" w:space="0"/>
                  </w:tcBorders>
                  <w:noWrap w:val="0"/>
                  <w:vAlign w:val="center"/>
                </w:tcPr>
                <w:p w14:paraId="5F7CD906">
                  <w:pPr>
                    <w:jc w:val="center"/>
                    <w:rPr>
                      <w:color w:val="auto"/>
                      <w:highlight w:val="none"/>
                    </w:rPr>
                  </w:pPr>
                  <w:r>
                    <w:rPr>
                      <w:color w:val="auto"/>
                      <w:highlight w:val="none"/>
                    </w:rPr>
                    <w:t>产生</w:t>
                  </w:r>
                </w:p>
                <w:p w14:paraId="34524147">
                  <w:pPr>
                    <w:jc w:val="center"/>
                    <w:rPr>
                      <w:color w:val="auto"/>
                      <w:highlight w:val="none"/>
                    </w:rPr>
                  </w:pPr>
                  <w:r>
                    <w:rPr>
                      <w:color w:val="auto"/>
                      <w:highlight w:val="none"/>
                    </w:rPr>
                    <w:t>环节</w:t>
                  </w:r>
                </w:p>
              </w:tc>
              <w:tc>
                <w:tcPr>
                  <w:tcW w:w="313" w:type="pct"/>
                  <w:vMerge w:val="restart"/>
                  <w:tcBorders>
                    <w:top w:val="single" w:color="000000" w:sz="4" w:space="0"/>
                    <w:left w:val="single" w:color="000000" w:sz="4" w:space="0"/>
                    <w:bottom w:val="single" w:color="000000" w:sz="4" w:space="0"/>
                    <w:right w:val="single" w:color="000000" w:sz="4" w:space="0"/>
                  </w:tcBorders>
                  <w:noWrap w:val="0"/>
                  <w:vAlign w:val="center"/>
                </w:tcPr>
                <w:p w14:paraId="16377D30">
                  <w:pPr>
                    <w:jc w:val="center"/>
                    <w:rPr>
                      <w:color w:val="auto"/>
                      <w:highlight w:val="none"/>
                    </w:rPr>
                  </w:pPr>
                  <w:r>
                    <w:rPr>
                      <w:color w:val="auto"/>
                      <w:highlight w:val="none"/>
                    </w:rPr>
                    <w:t>污染物</w:t>
                  </w:r>
                </w:p>
                <w:p w14:paraId="41D4678A">
                  <w:pPr>
                    <w:jc w:val="center"/>
                    <w:rPr>
                      <w:color w:val="auto"/>
                      <w:highlight w:val="none"/>
                    </w:rPr>
                  </w:pPr>
                  <w:r>
                    <w:rPr>
                      <w:color w:val="auto"/>
                      <w:highlight w:val="none"/>
                    </w:rPr>
                    <w:t>种类</w:t>
                  </w:r>
                </w:p>
              </w:tc>
              <w:tc>
                <w:tcPr>
                  <w:tcW w:w="1158" w:type="pct"/>
                  <w:gridSpan w:val="2"/>
                  <w:tcBorders>
                    <w:top w:val="single" w:color="000000" w:sz="4" w:space="0"/>
                    <w:left w:val="single" w:color="000000" w:sz="4" w:space="0"/>
                    <w:bottom w:val="single" w:color="000000" w:sz="4" w:space="0"/>
                    <w:right w:val="single" w:color="000000" w:sz="4" w:space="0"/>
                  </w:tcBorders>
                  <w:noWrap w:val="0"/>
                  <w:vAlign w:val="center"/>
                </w:tcPr>
                <w:p w14:paraId="09B80BDC">
                  <w:pPr>
                    <w:jc w:val="center"/>
                    <w:rPr>
                      <w:color w:val="auto"/>
                      <w:highlight w:val="none"/>
                    </w:rPr>
                  </w:pPr>
                  <w:r>
                    <w:rPr>
                      <w:color w:val="auto"/>
                      <w:highlight w:val="none"/>
                    </w:rPr>
                    <w:t>排放口地理坐标</w:t>
                  </w:r>
                </w:p>
              </w:tc>
              <w:tc>
                <w:tcPr>
                  <w:tcW w:w="906" w:type="pct"/>
                  <w:gridSpan w:val="4"/>
                  <w:tcBorders>
                    <w:top w:val="single" w:color="000000" w:sz="4" w:space="0"/>
                    <w:left w:val="single" w:color="000000" w:sz="4" w:space="0"/>
                    <w:bottom w:val="single" w:color="000000" w:sz="4" w:space="0"/>
                    <w:right w:val="single" w:color="000000" w:sz="4" w:space="0"/>
                  </w:tcBorders>
                  <w:noWrap w:val="0"/>
                  <w:vAlign w:val="center"/>
                </w:tcPr>
                <w:p w14:paraId="43F2E13D">
                  <w:pPr>
                    <w:jc w:val="center"/>
                    <w:rPr>
                      <w:color w:val="auto"/>
                      <w:highlight w:val="none"/>
                    </w:rPr>
                  </w:pPr>
                  <w:r>
                    <w:rPr>
                      <w:color w:val="auto"/>
                      <w:highlight w:val="none"/>
                    </w:rPr>
                    <w:t>排气筒参数</w:t>
                  </w:r>
                </w:p>
              </w:tc>
              <w:tc>
                <w:tcPr>
                  <w:tcW w:w="837" w:type="pct"/>
                  <w:gridSpan w:val="2"/>
                  <w:tcBorders>
                    <w:top w:val="single" w:color="000000" w:sz="4" w:space="0"/>
                    <w:left w:val="single" w:color="000000" w:sz="4" w:space="0"/>
                    <w:bottom w:val="single" w:color="000000" w:sz="4" w:space="0"/>
                    <w:right w:val="single" w:color="000000" w:sz="4" w:space="0"/>
                  </w:tcBorders>
                  <w:noWrap w:val="0"/>
                  <w:vAlign w:val="center"/>
                </w:tcPr>
                <w:p w14:paraId="184A2A72">
                  <w:pPr>
                    <w:jc w:val="center"/>
                    <w:rPr>
                      <w:color w:val="auto"/>
                      <w:highlight w:val="none"/>
                    </w:rPr>
                  </w:pPr>
                  <w:r>
                    <w:rPr>
                      <w:color w:val="auto"/>
                      <w:highlight w:val="none"/>
                    </w:rPr>
                    <w:t>排放情况</w:t>
                  </w:r>
                </w:p>
              </w:tc>
              <w:tc>
                <w:tcPr>
                  <w:tcW w:w="1284" w:type="pct"/>
                  <w:gridSpan w:val="3"/>
                  <w:tcBorders>
                    <w:top w:val="single" w:color="000000" w:sz="4" w:space="0"/>
                    <w:left w:val="single" w:color="000000" w:sz="4" w:space="0"/>
                    <w:bottom w:val="single" w:color="000000" w:sz="4" w:space="0"/>
                    <w:right w:val="single" w:color="000000" w:sz="4" w:space="0"/>
                  </w:tcBorders>
                  <w:noWrap w:val="0"/>
                  <w:vAlign w:val="center"/>
                </w:tcPr>
                <w:p w14:paraId="096CA9FC">
                  <w:pPr>
                    <w:jc w:val="center"/>
                    <w:rPr>
                      <w:color w:val="auto"/>
                      <w:highlight w:val="none"/>
                    </w:rPr>
                  </w:pPr>
                  <w:r>
                    <w:rPr>
                      <w:color w:val="auto"/>
                      <w:highlight w:val="none"/>
                    </w:rPr>
                    <w:t>排放标准及限值</w:t>
                  </w:r>
                </w:p>
              </w:tc>
            </w:tr>
            <w:tr w14:paraId="239562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08" w:type="pct"/>
                  <w:vMerge w:val="continue"/>
                  <w:tcBorders>
                    <w:top w:val="single" w:color="000000" w:sz="4" w:space="0"/>
                    <w:left w:val="single" w:color="000000" w:sz="4" w:space="0"/>
                    <w:bottom w:val="single" w:color="000000" w:sz="4" w:space="0"/>
                    <w:right w:val="single" w:color="000000" w:sz="4" w:space="0"/>
                  </w:tcBorders>
                  <w:noWrap w:val="0"/>
                  <w:vAlign w:val="center"/>
                </w:tcPr>
                <w:p w14:paraId="1C85C8C8">
                  <w:pPr>
                    <w:widowControl/>
                    <w:jc w:val="center"/>
                    <w:rPr>
                      <w:color w:val="auto"/>
                      <w:highlight w:val="none"/>
                    </w:rPr>
                  </w:pPr>
                </w:p>
              </w:tc>
              <w:tc>
                <w:tcPr>
                  <w:tcW w:w="291" w:type="pct"/>
                  <w:vMerge w:val="continue"/>
                  <w:tcBorders>
                    <w:top w:val="single" w:color="000000" w:sz="4" w:space="0"/>
                    <w:left w:val="single" w:color="000000" w:sz="4" w:space="0"/>
                    <w:bottom w:val="single" w:color="000000" w:sz="4" w:space="0"/>
                    <w:right w:val="single" w:color="000000" w:sz="4" w:space="0"/>
                  </w:tcBorders>
                  <w:noWrap w:val="0"/>
                  <w:vAlign w:val="center"/>
                </w:tcPr>
                <w:p w14:paraId="1F428D1A">
                  <w:pPr>
                    <w:widowControl/>
                    <w:jc w:val="center"/>
                    <w:rPr>
                      <w:color w:val="auto"/>
                      <w:highlight w:val="none"/>
                    </w:rPr>
                  </w:pPr>
                </w:p>
              </w:tc>
              <w:tc>
                <w:tcPr>
                  <w:tcW w:w="31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56492CF">
                  <w:pPr>
                    <w:widowControl/>
                    <w:jc w:val="center"/>
                    <w:rPr>
                      <w:color w:val="auto"/>
                      <w:highlight w:val="none"/>
                    </w:rPr>
                  </w:pPr>
                </w:p>
              </w:tc>
              <w:tc>
                <w:tcPr>
                  <w:tcW w:w="597" w:type="pct"/>
                  <w:vMerge w:val="restart"/>
                  <w:tcBorders>
                    <w:top w:val="single" w:color="000000" w:sz="4" w:space="0"/>
                    <w:left w:val="single" w:color="000000" w:sz="4" w:space="0"/>
                    <w:bottom w:val="single" w:color="000000" w:sz="4" w:space="0"/>
                    <w:right w:val="single" w:color="000000" w:sz="4" w:space="0"/>
                  </w:tcBorders>
                  <w:noWrap w:val="0"/>
                  <w:vAlign w:val="center"/>
                </w:tcPr>
                <w:p w14:paraId="4A79CFC3">
                  <w:pPr>
                    <w:jc w:val="center"/>
                    <w:rPr>
                      <w:color w:val="auto"/>
                      <w:highlight w:val="none"/>
                    </w:rPr>
                  </w:pPr>
                  <w:r>
                    <w:rPr>
                      <w:color w:val="auto"/>
                      <w:highlight w:val="none"/>
                    </w:rPr>
                    <w:t>经度</w:t>
                  </w:r>
                </w:p>
              </w:tc>
              <w:tc>
                <w:tcPr>
                  <w:tcW w:w="561" w:type="pct"/>
                  <w:vMerge w:val="restart"/>
                  <w:tcBorders>
                    <w:top w:val="single" w:color="000000" w:sz="4" w:space="0"/>
                    <w:left w:val="single" w:color="000000" w:sz="4" w:space="0"/>
                    <w:bottom w:val="single" w:color="000000" w:sz="4" w:space="0"/>
                    <w:right w:val="single" w:color="000000" w:sz="4" w:space="0"/>
                  </w:tcBorders>
                  <w:noWrap w:val="0"/>
                  <w:vAlign w:val="center"/>
                </w:tcPr>
                <w:p w14:paraId="4036C1D2">
                  <w:pPr>
                    <w:jc w:val="center"/>
                    <w:rPr>
                      <w:color w:val="auto"/>
                      <w:highlight w:val="none"/>
                    </w:rPr>
                  </w:pPr>
                  <w:r>
                    <w:rPr>
                      <w:color w:val="auto"/>
                      <w:highlight w:val="none"/>
                    </w:rPr>
                    <w:t>纬度</w:t>
                  </w:r>
                </w:p>
              </w:tc>
              <w:tc>
                <w:tcPr>
                  <w:tcW w:w="167" w:type="pct"/>
                  <w:tcBorders>
                    <w:top w:val="single" w:color="000000" w:sz="4" w:space="0"/>
                    <w:left w:val="single" w:color="000000" w:sz="4" w:space="0"/>
                    <w:bottom w:val="single" w:color="000000" w:sz="4" w:space="0"/>
                    <w:right w:val="single" w:color="000000" w:sz="4" w:space="0"/>
                  </w:tcBorders>
                  <w:noWrap w:val="0"/>
                  <w:vAlign w:val="center"/>
                </w:tcPr>
                <w:p w14:paraId="465EE754">
                  <w:pPr>
                    <w:jc w:val="center"/>
                    <w:rPr>
                      <w:color w:val="auto"/>
                      <w:highlight w:val="none"/>
                    </w:rPr>
                  </w:pPr>
                  <w:r>
                    <w:rPr>
                      <w:color w:val="auto"/>
                      <w:highlight w:val="none"/>
                    </w:rPr>
                    <w:t>高度</w:t>
                  </w:r>
                </w:p>
              </w:tc>
              <w:tc>
                <w:tcPr>
                  <w:tcW w:w="188" w:type="pct"/>
                  <w:tcBorders>
                    <w:top w:val="single" w:color="000000" w:sz="4" w:space="0"/>
                    <w:left w:val="single" w:color="000000" w:sz="4" w:space="0"/>
                    <w:bottom w:val="single" w:color="000000" w:sz="4" w:space="0"/>
                    <w:right w:val="single" w:color="000000" w:sz="4" w:space="0"/>
                  </w:tcBorders>
                  <w:noWrap w:val="0"/>
                  <w:vAlign w:val="center"/>
                </w:tcPr>
                <w:p w14:paraId="106C3286">
                  <w:pPr>
                    <w:jc w:val="center"/>
                    <w:rPr>
                      <w:color w:val="auto"/>
                      <w:highlight w:val="none"/>
                    </w:rPr>
                  </w:pPr>
                  <w:r>
                    <w:rPr>
                      <w:color w:val="auto"/>
                      <w:highlight w:val="none"/>
                    </w:rPr>
                    <w:t>出口内径</w:t>
                  </w:r>
                </w:p>
              </w:tc>
              <w:tc>
                <w:tcPr>
                  <w:tcW w:w="206" w:type="pct"/>
                  <w:tcBorders>
                    <w:top w:val="single" w:color="000000" w:sz="4" w:space="0"/>
                    <w:left w:val="single" w:color="000000" w:sz="4" w:space="0"/>
                    <w:bottom w:val="single" w:color="000000" w:sz="4" w:space="0"/>
                    <w:right w:val="single" w:color="000000" w:sz="4" w:space="0"/>
                  </w:tcBorders>
                  <w:noWrap w:val="0"/>
                  <w:vAlign w:val="center"/>
                </w:tcPr>
                <w:p w14:paraId="0BE267C2">
                  <w:pPr>
                    <w:jc w:val="center"/>
                    <w:rPr>
                      <w:color w:val="auto"/>
                      <w:highlight w:val="none"/>
                    </w:rPr>
                  </w:pPr>
                  <w:r>
                    <w:rPr>
                      <w:color w:val="auto"/>
                      <w:highlight w:val="none"/>
                    </w:rPr>
                    <w:t>排气温度</w:t>
                  </w:r>
                </w:p>
              </w:tc>
              <w:tc>
                <w:tcPr>
                  <w:tcW w:w="345" w:type="pct"/>
                  <w:tcBorders>
                    <w:top w:val="single" w:color="000000" w:sz="4" w:space="0"/>
                    <w:left w:val="single" w:color="000000" w:sz="4" w:space="0"/>
                    <w:bottom w:val="single" w:color="000000" w:sz="4" w:space="0"/>
                    <w:right w:val="single" w:color="000000" w:sz="4" w:space="0"/>
                  </w:tcBorders>
                  <w:noWrap w:val="0"/>
                  <w:vAlign w:val="center"/>
                </w:tcPr>
                <w:p w14:paraId="0868B6C1">
                  <w:pPr>
                    <w:jc w:val="center"/>
                    <w:rPr>
                      <w:color w:val="auto"/>
                      <w:highlight w:val="none"/>
                    </w:rPr>
                  </w:pPr>
                  <w:r>
                    <w:rPr>
                      <w:rFonts w:hint="eastAsia"/>
                      <w:color w:val="auto"/>
                      <w:highlight w:val="none"/>
                    </w:rPr>
                    <w:t>风</w:t>
                  </w:r>
                  <w:r>
                    <w:rPr>
                      <w:color w:val="auto"/>
                      <w:highlight w:val="none"/>
                    </w:rPr>
                    <w:t>量</w:t>
                  </w:r>
                </w:p>
              </w:tc>
              <w:tc>
                <w:tcPr>
                  <w:tcW w:w="325" w:type="pct"/>
                  <w:tcBorders>
                    <w:top w:val="single" w:color="000000" w:sz="4" w:space="0"/>
                    <w:left w:val="single" w:color="000000" w:sz="4" w:space="0"/>
                    <w:bottom w:val="single" w:color="000000" w:sz="4" w:space="0"/>
                    <w:right w:val="single" w:color="000000" w:sz="4" w:space="0"/>
                  </w:tcBorders>
                  <w:noWrap w:val="0"/>
                  <w:vAlign w:val="center"/>
                </w:tcPr>
                <w:p w14:paraId="1967BF00">
                  <w:pPr>
                    <w:jc w:val="center"/>
                    <w:rPr>
                      <w:color w:val="auto"/>
                      <w:highlight w:val="none"/>
                    </w:rPr>
                  </w:pPr>
                  <w:r>
                    <w:rPr>
                      <w:color w:val="auto"/>
                      <w:highlight w:val="none"/>
                    </w:rPr>
                    <w:t>排放</w:t>
                  </w:r>
                  <w:r>
                    <w:rPr>
                      <w:color w:val="auto"/>
                      <w:highlight w:val="none"/>
                    </w:rPr>
                    <w:br w:type="textWrapping"/>
                  </w:r>
                  <w:r>
                    <w:rPr>
                      <w:color w:val="auto"/>
                      <w:highlight w:val="none"/>
                    </w:rPr>
                    <w:t>浓度</w:t>
                  </w:r>
                </w:p>
              </w:tc>
              <w:tc>
                <w:tcPr>
                  <w:tcW w:w="512" w:type="pct"/>
                  <w:tcBorders>
                    <w:top w:val="single" w:color="000000" w:sz="4" w:space="0"/>
                    <w:left w:val="single" w:color="000000" w:sz="4" w:space="0"/>
                    <w:bottom w:val="single" w:color="000000" w:sz="4" w:space="0"/>
                    <w:right w:val="single" w:color="000000" w:sz="4" w:space="0"/>
                  </w:tcBorders>
                  <w:noWrap w:val="0"/>
                  <w:vAlign w:val="center"/>
                </w:tcPr>
                <w:p w14:paraId="7FCC5CFC">
                  <w:pPr>
                    <w:jc w:val="center"/>
                    <w:rPr>
                      <w:color w:val="auto"/>
                      <w:highlight w:val="none"/>
                    </w:rPr>
                  </w:pPr>
                  <w:r>
                    <w:rPr>
                      <w:color w:val="auto"/>
                      <w:highlight w:val="none"/>
                    </w:rPr>
                    <w:t>排放</w:t>
                  </w:r>
                </w:p>
                <w:p w14:paraId="08A4AA49">
                  <w:pPr>
                    <w:jc w:val="center"/>
                    <w:rPr>
                      <w:color w:val="auto"/>
                      <w:highlight w:val="none"/>
                    </w:rPr>
                  </w:pPr>
                  <w:r>
                    <w:rPr>
                      <w:color w:val="auto"/>
                      <w:highlight w:val="none"/>
                    </w:rPr>
                    <w:t>速率</w:t>
                  </w:r>
                </w:p>
              </w:tc>
              <w:tc>
                <w:tcPr>
                  <w:tcW w:w="745" w:type="pct"/>
                  <w:vMerge w:val="restart"/>
                  <w:tcBorders>
                    <w:top w:val="single" w:color="000000" w:sz="4" w:space="0"/>
                    <w:left w:val="single" w:color="000000" w:sz="4" w:space="0"/>
                    <w:bottom w:val="single" w:color="000000" w:sz="4" w:space="0"/>
                    <w:right w:val="single" w:color="000000" w:sz="4" w:space="0"/>
                  </w:tcBorders>
                  <w:noWrap w:val="0"/>
                  <w:vAlign w:val="center"/>
                </w:tcPr>
                <w:p w14:paraId="1400632F">
                  <w:pPr>
                    <w:jc w:val="center"/>
                    <w:rPr>
                      <w:color w:val="auto"/>
                      <w:highlight w:val="none"/>
                    </w:rPr>
                  </w:pPr>
                  <w:r>
                    <w:rPr>
                      <w:color w:val="auto"/>
                      <w:highlight w:val="none"/>
                    </w:rPr>
                    <w:t>标准名称</w:t>
                  </w:r>
                </w:p>
              </w:tc>
              <w:tc>
                <w:tcPr>
                  <w:tcW w:w="538" w:type="pct"/>
                  <w:gridSpan w:val="2"/>
                  <w:tcBorders>
                    <w:top w:val="single" w:color="000000" w:sz="4" w:space="0"/>
                    <w:left w:val="single" w:color="000000" w:sz="4" w:space="0"/>
                    <w:bottom w:val="single" w:color="000000" w:sz="4" w:space="0"/>
                    <w:right w:val="single" w:color="000000" w:sz="4" w:space="0"/>
                  </w:tcBorders>
                  <w:noWrap w:val="0"/>
                  <w:vAlign w:val="center"/>
                </w:tcPr>
                <w:p w14:paraId="73619006">
                  <w:pPr>
                    <w:jc w:val="center"/>
                    <w:rPr>
                      <w:color w:val="auto"/>
                      <w:highlight w:val="none"/>
                    </w:rPr>
                  </w:pPr>
                  <w:r>
                    <w:rPr>
                      <w:color w:val="auto"/>
                      <w:highlight w:val="none"/>
                    </w:rPr>
                    <w:t>限值</w:t>
                  </w:r>
                </w:p>
              </w:tc>
            </w:tr>
            <w:tr w14:paraId="4BFAA5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08" w:type="pct"/>
                  <w:vMerge w:val="continue"/>
                  <w:tcBorders>
                    <w:top w:val="single" w:color="000000" w:sz="4" w:space="0"/>
                    <w:left w:val="single" w:color="000000" w:sz="4" w:space="0"/>
                    <w:bottom w:val="single" w:color="000000" w:sz="4" w:space="0"/>
                    <w:right w:val="single" w:color="000000" w:sz="4" w:space="0"/>
                  </w:tcBorders>
                  <w:noWrap w:val="0"/>
                  <w:vAlign w:val="center"/>
                </w:tcPr>
                <w:p w14:paraId="2AAE83E4">
                  <w:pPr>
                    <w:widowControl/>
                    <w:jc w:val="left"/>
                    <w:rPr>
                      <w:color w:val="auto"/>
                      <w:highlight w:val="none"/>
                    </w:rPr>
                  </w:pPr>
                </w:p>
              </w:tc>
              <w:tc>
                <w:tcPr>
                  <w:tcW w:w="291" w:type="pct"/>
                  <w:vMerge w:val="continue"/>
                  <w:tcBorders>
                    <w:top w:val="single" w:color="000000" w:sz="4" w:space="0"/>
                    <w:left w:val="single" w:color="000000" w:sz="4" w:space="0"/>
                    <w:bottom w:val="single" w:color="000000" w:sz="4" w:space="0"/>
                    <w:right w:val="single" w:color="000000" w:sz="4" w:space="0"/>
                  </w:tcBorders>
                  <w:noWrap w:val="0"/>
                  <w:vAlign w:val="center"/>
                </w:tcPr>
                <w:p w14:paraId="42008229">
                  <w:pPr>
                    <w:widowControl/>
                    <w:jc w:val="left"/>
                    <w:rPr>
                      <w:color w:val="auto"/>
                      <w:highlight w:val="none"/>
                    </w:rPr>
                  </w:pPr>
                </w:p>
              </w:tc>
              <w:tc>
                <w:tcPr>
                  <w:tcW w:w="313" w:type="pct"/>
                  <w:vMerge w:val="continue"/>
                  <w:tcBorders>
                    <w:top w:val="single" w:color="000000" w:sz="4" w:space="0"/>
                    <w:left w:val="single" w:color="000000" w:sz="4" w:space="0"/>
                    <w:bottom w:val="single" w:color="000000" w:sz="4" w:space="0"/>
                    <w:right w:val="single" w:color="000000" w:sz="4" w:space="0"/>
                  </w:tcBorders>
                  <w:noWrap w:val="0"/>
                  <w:vAlign w:val="center"/>
                </w:tcPr>
                <w:p w14:paraId="7798ABD1">
                  <w:pPr>
                    <w:widowControl/>
                    <w:jc w:val="left"/>
                    <w:rPr>
                      <w:color w:val="auto"/>
                      <w:highlight w:val="none"/>
                    </w:rPr>
                  </w:pPr>
                </w:p>
              </w:tc>
              <w:tc>
                <w:tcPr>
                  <w:tcW w:w="597" w:type="pct"/>
                  <w:vMerge w:val="continue"/>
                  <w:tcBorders>
                    <w:top w:val="single" w:color="000000" w:sz="4" w:space="0"/>
                    <w:left w:val="single" w:color="000000" w:sz="4" w:space="0"/>
                    <w:bottom w:val="single" w:color="000000" w:sz="4" w:space="0"/>
                    <w:right w:val="single" w:color="000000" w:sz="4" w:space="0"/>
                  </w:tcBorders>
                  <w:noWrap w:val="0"/>
                  <w:vAlign w:val="center"/>
                </w:tcPr>
                <w:p w14:paraId="140BD72E">
                  <w:pPr>
                    <w:jc w:val="center"/>
                    <w:rPr>
                      <w:color w:val="auto"/>
                      <w:highlight w:val="none"/>
                    </w:rPr>
                  </w:pPr>
                </w:p>
              </w:tc>
              <w:tc>
                <w:tcPr>
                  <w:tcW w:w="561" w:type="pct"/>
                  <w:vMerge w:val="continue"/>
                  <w:tcBorders>
                    <w:top w:val="single" w:color="000000" w:sz="4" w:space="0"/>
                    <w:left w:val="single" w:color="000000" w:sz="4" w:space="0"/>
                    <w:bottom w:val="single" w:color="000000" w:sz="4" w:space="0"/>
                    <w:right w:val="single" w:color="000000" w:sz="4" w:space="0"/>
                  </w:tcBorders>
                  <w:noWrap w:val="0"/>
                  <w:vAlign w:val="center"/>
                </w:tcPr>
                <w:p w14:paraId="1E9A622F">
                  <w:pPr>
                    <w:jc w:val="center"/>
                    <w:rPr>
                      <w:color w:val="auto"/>
                      <w:highlight w:val="none"/>
                    </w:rPr>
                  </w:pPr>
                </w:p>
              </w:tc>
              <w:tc>
                <w:tcPr>
                  <w:tcW w:w="167" w:type="pct"/>
                  <w:tcBorders>
                    <w:top w:val="single" w:color="000000" w:sz="4" w:space="0"/>
                    <w:left w:val="single" w:color="000000" w:sz="4" w:space="0"/>
                    <w:bottom w:val="single" w:color="000000" w:sz="4" w:space="0"/>
                    <w:right w:val="single" w:color="000000" w:sz="4" w:space="0"/>
                  </w:tcBorders>
                  <w:noWrap w:val="0"/>
                  <w:vAlign w:val="center"/>
                </w:tcPr>
                <w:p w14:paraId="2E00683B">
                  <w:pPr>
                    <w:jc w:val="center"/>
                    <w:rPr>
                      <w:color w:val="auto"/>
                      <w:highlight w:val="none"/>
                    </w:rPr>
                  </w:pPr>
                  <w:r>
                    <w:rPr>
                      <w:color w:val="auto"/>
                      <w:highlight w:val="none"/>
                    </w:rPr>
                    <w:t>m</w:t>
                  </w:r>
                </w:p>
              </w:tc>
              <w:tc>
                <w:tcPr>
                  <w:tcW w:w="188" w:type="pct"/>
                  <w:tcBorders>
                    <w:top w:val="single" w:color="000000" w:sz="4" w:space="0"/>
                    <w:left w:val="single" w:color="000000" w:sz="4" w:space="0"/>
                    <w:bottom w:val="single" w:color="000000" w:sz="4" w:space="0"/>
                    <w:right w:val="single" w:color="000000" w:sz="4" w:space="0"/>
                  </w:tcBorders>
                  <w:noWrap w:val="0"/>
                  <w:vAlign w:val="center"/>
                </w:tcPr>
                <w:p w14:paraId="11B99840">
                  <w:pPr>
                    <w:jc w:val="center"/>
                    <w:rPr>
                      <w:color w:val="auto"/>
                      <w:highlight w:val="none"/>
                    </w:rPr>
                  </w:pPr>
                  <w:r>
                    <w:rPr>
                      <w:color w:val="auto"/>
                      <w:highlight w:val="none"/>
                    </w:rPr>
                    <w:t>m</w:t>
                  </w:r>
                </w:p>
              </w:tc>
              <w:tc>
                <w:tcPr>
                  <w:tcW w:w="206" w:type="pct"/>
                  <w:tcBorders>
                    <w:top w:val="single" w:color="000000" w:sz="4" w:space="0"/>
                    <w:left w:val="single" w:color="000000" w:sz="4" w:space="0"/>
                    <w:bottom w:val="single" w:color="000000" w:sz="4" w:space="0"/>
                    <w:right w:val="single" w:color="000000" w:sz="4" w:space="0"/>
                  </w:tcBorders>
                  <w:noWrap w:val="0"/>
                  <w:vAlign w:val="center"/>
                </w:tcPr>
                <w:p w14:paraId="46790B0A">
                  <w:pPr>
                    <w:jc w:val="center"/>
                    <w:rPr>
                      <w:color w:val="auto"/>
                      <w:highlight w:val="none"/>
                    </w:rPr>
                  </w:pPr>
                  <w:r>
                    <w:rPr>
                      <w:color w:val="auto"/>
                      <w:highlight w:val="none"/>
                    </w:rPr>
                    <w:t>℃</w:t>
                  </w:r>
                </w:p>
              </w:tc>
              <w:tc>
                <w:tcPr>
                  <w:tcW w:w="345" w:type="pct"/>
                  <w:tcBorders>
                    <w:top w:val="single" w:color="000000" w:sz="4" w:space="0"/>
                    <w:left w:val="single" w:color="000000" w:sz="4" w:space="0"/>
                    <w:bottom w:val="single" w:color="000000" w:sz="4" w:space="0"/>
                    <w:right w:val="single" w:color="000000" w:sz="4" w:space="0"/>
                  </w:tcBorders>
                  <w:noWrap w:val="0"/>
                  <w:vAlign w:val="center"/>
                </w:tcPr>
                <w:p w14:paraId="64DF5F58">
                  <w:pPr>
                    <w:jc w:val="center"/>
                    <w:rPr>
                      <w:color w:val="auto"/>
                      <w:highlight w:val="none"/>
                    </w:rPr>
                  </w:pPr>
                  <w:r>
                    <w:rPr>
                      <w:color w:val="auto"/>
                      <w:highlight w:val="none"/>
                    </w:rPr>
                    <w:t>m</w:t>
                  </w:r>
                  <w:r>
                    <w:rPr>
                      <w:color w:val="auto"/>
                      <w:highlight w:val="none"/>
                      <w:vertAlign w:val="superscript"/>
                    </w:rPr>
                    <w:t>3</w:t>
                  </w:r>
                  <w:r>
                    <w:rPr>
                      <w:color w:val="auto"/>
                      <w:highlight w:val="none"/>
                    </w:rPr>
                    <w:t>/h</w:t>
                  </w:r>
                </w:p>
              </w:tc>
              <w:tc>
                <w:tcPr>
                  <w:tcW w:w="325" w:type="pct"/>
                  <w:tcBorders>
                    <w:top w:val="single" w:color="000000" w:sz="4" w:space="0"/>
                    <w:left w:val="single" w:color="000000" w:sz="4" w:space="0"/>
                    <w:bottom w:val="single" w:color="000000" w:sz="4" w:space="0"/>
                    <w:right w:val="single" w:color="000000" w:sz="4" w:space="0"/>
                  </w:tcBorders>
                  <w:noWrap w:val="0"/>
                  <w:vAlign w:val="center"/>
                </w:tcPr>
                <w:p w14:paraId="69D1EE72">
                  <w:pPr>
                    <w:jc w:val="center"/>
                    <w:rPr>
                      <w:color w:val="auto"/>
                      <w:highlight w:val="none"/>
                    </w:rPr>
                  </w:pPr>
                  <w:r>
                    <w:rPr>
                      <w:color w:val="auto"/>
                      <w:highlight w:val="none"/>
                    </w:rPr>
                    <w:t>mg/m</w:t>
                  </w:r>
                  <w:r>
                    <w:rPr>
                      <w:color w:val="auto"/>
                      <w:highlight w:val="none"/>
                      <w:vertAlign w:val="superscript"/>
                    </w:rPr>
                    <w:t>3</w:t>
                  </w:r>
                </w:p>
              </w:tc>
              <w:tc>
                <w:tcPr>
                  <w:tcW w:w="512" w:type="pct"/>
                  <w:tcBorders>
                    <w:top w:val="single" w:color="000000" w:sz="4" w:space="0"/>
                    <w:left w:val="single" w:color="000000" w:sz="4" w:space="0"/>
                    <w:bottom w:val="single" w:color="000000" w:sz="4" w:space="0"/>
                    <w:right w:val="single" w:color="000000" w:sz="4" w:space="0"/>
                  </w:tcBorders>
                  <w:noWrap w:val="0"/>
                  <w:vAlign w:val="center"/>
                </w:tcPr>
                <w:p w14:paraId="0F7D0723">
                  <w:pPr>
                    <w:jc w:val="center"/>
                    <w:rPr>
                      <w:color w:val="auto"/>
                      <w:highlight w:val="none"/>
                    </w:rPr>
                  </w:pPr>
                  <w:r>
                    <w:rPr>
                      <w:color w:val="auto"/>
                      <w:highlight w:val="none"/>
                    </w:rPr>
                    <w:t>kg/h</w:t>
                  </w:r>
                </w:p>
              </w:tc>
              <w:tc>
                <w:tcPr>
                  <w:tcW w:w="745" w:type="pct"/>
                  <w:vMerge w:val="continue"/>
                  <w:tcBorders>
                    <w:top w:val="single" w:color="000000" w:sz="4" w:space="0"/>
                    <w:left w:val="single" w:color="000000" w:sz="4" w:space="0"/>
                    <w:bottom w:val="single" w:color="000000" w:sz="4" w:space="0"/>
                    <w:right w:val="single" w:color="000000" w:sz="4" w:space="0"/>
                  </w:tcBorders>
                  <w:noWrap w:val="0"/>
                  <w:vAlign w:val="center"/>
                </w:tcPr>
                <w:p w14:paraId="6EB694D0">
                  <w:pPr>
                    <w:jc w:val="center"/>
                    <w:rPr>
                      <w:color w:val="auto"/>
                      <w:highlight w:val="none"/>
                    </w:rPr>
                  </w:pP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596CFF5E">
                  <w:pPr>
                    <w:jc w:val="center"/>
                    <w:rPr>
                      <w:color w:val="auto"/>
                      <w:highlight w:val="none"/>
                    </w:rPr>
                  </w:pPr>
                  <w:r>
                    <w:rPr>
                      <w:color w:val="auto"/>
                      <w:highlight w:val="none"/>
                    </w:rPr>
                    <w:t>mg/m</w:t>
                  </w:r>
                  <w:r>
                    <w:rPr>
                      <w:color w:val="auto"/>
                      <w:highlight w:val="none"/>
                      <w:vertAlign w:val="superscript"/>
                    </w:rPr>
                    <w:t>3</w:t>
                  </w:r>
                </w:p>
              </w:tc>
              <w:tc>
                <w:tcPr>
                  <w:tcW w:w="234" w:type="pct"/>
                  <w:tcBorders>
                    <w:top w:val="single" w:color="000000" w:sz="4" w:space="0"/>
                    <w:left w:val="single" w:color="000000" w:sz="4" w:space="0"/>
                    <w:bottom w:val="single" w:color="000000" w:sz="4" w:space="0"/>
                    <w:right w:val="single" w:color="000000" w:sz="4" w:space="0"/>
                  </w:tcBorders>
                  <w:noWrap w:val="0"/>
                  <w:vAlign w:val="center"/>
                </w:tcPr>
                <w:p w14:paraId="38B1E357">
                  <w:pPr>
                    <w:jc w:val="center"/>
                    <w:rPr>
                      <w:color w:val="auto"/>
                      <w:highlight w:val="none"/>
                    </w:rPr>
                  </w:pPr>
                  <w:r>
                    <w:rPr>
                      <w:color w:val="auto"/>
                      <w:highlight w:val="none"/>
                    </w:rPr>
                    <w:t>kg/h</w:t>
                  </w:r>
                </w:p>
              </w:tc>
            </w:tr>
            <w:tr w14:paraId="5FEA67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81" w:hRule="atLeast"/>
                <w:jc w:val="center"/>
              </w:trPr>
              <w:tc>
                <w:tcPr>
                  <w:tcW w:w="208" w:type="pct"/>
                  <w:tcBorders>
                    <w:top w:val="single" w:color="000000" w:sz="4" w:space="0"/>
                    <w:left w:val="single" w:color="000000" w:sz="4" w:space="0"/>
                    <w:bottom w:val="single" w:color="000000" w:sz="4" w:space="0"/>
                    <w:right w:val="single" w:color="000000" w:sz="4" w:space="0"/>
                  </w:tcBorders>
                  <w:noWrap w:val="0"/>
                  <w:vAlign w:val="center"/>
                </w:tcPr>
                <w:p w14:paraId="1B517321">
                  <w:pPr>
                    <w:jc w:val="center"/>
                    <w:rPr>
                      <w:color w:val="auto"/>
                      <w:highlight w:val="none"/>
                    </w:rPr>
                  </w:pPr>
                  <w:r>
                    <w:rPr>
                      <w:color w:val="auto"/>
                      <w:highlight w:val="none"/>
                    </w:rPr>
                    <w:t>DA</w:t>
                  </w:r>
                </w:p>
                <w:p w14:paraId="512BB38D">
                  <w:pPr>
                    <w:jc w:val="center"/>
                    <w:rPr>
                      <w:color w:val="auto"/>
                      <w:highlight w:val="none"/>
                    </w:rPr>
                  </w:pPr>
                  <w:r>
                    <w:rPr>
                      <w:color w:val="auto"/>
                      <w:highlight w:val="none"/>
                    </w:rPr>
                    <w:t>001</w:t>
                  </w:r>
                </w:p>
              </w:tc>
              <w:tc>
                <w:tcPr>
                  <w:tcW w:w="291" w:type="pct"/>
                  <w:tcBorders>
                    <w:top w:val="single" w:color="000000" w:sz="4" w:space="0"/>
                    <w:left w:val="single" w:color="000000" w:sz="4" w:space="0"/>
                    <w:bottom w:val="single" w:color="000000" w:sz="4" w:space="0"/>
                    <w:right w:val="single" w:color="000000" w:sz="4" w:space="0"/>
                  </w:tcBorders>
                  <w:noWrap w:val="0"/>
                  <w:vAlign w:val="center"/>
                </w:tcPr>
                <w:p w14:paraId="7A6BE9F5">
                  <w:pPr>
                    <w:jc w:val="center"/>
                    <w:rPr>
                      <w:rFonts w:hint="eastAsia"/>
                      <w:color w:val="auto"/>
                      <w:highlight w:val="none"/>
                    </w:rPr>
                  </w:pPr>
                  <w:r>
                    <w:rPr>
                      <w:rFonts w:hint="eastAsia"/>
                      <w:color w:val="auto"/>
                      <w:highlight w:val="none"/>
                    </w:rPr>
                    <w:t>破碎、粉碎、制粒成型工序</w:t>
                  </w:r>
                </w:p>
              </w:tc>
              <w:tc>
                <w:tcPr>
                  <w:tcW w:w="313" w:type="pct"/>
                  <w:tcBorders>
                    <w:top w:val="single" w:color="000000" w:sz="4" w:space="0"/>
                    <w:left w:val="single" w:color="000000" w:sz="4" w:space="0"/>
                    <w:bottom w:val="single" w:color="000000" w:sz="4" w:space="0"/>
                    <w:right w:val="single" w:color="000000" w:sz="4" w:space="0"/>
                  </w:tcBorders>
                  <w:noWrap w:val="0"/>
                  <w:vAlign w:val="center"/>
                </w:tcPr>
                <w:p w14:paraId="2DD4008B">
                  <w:pPr>
                    <w:jc w:val="center"/>
                    <w:rPr>
                      <w:color w:val="auto"/>
                      <w:highlight w:val="none"/>
                    </w:rPr>
                  </w:pPr>
                  <w:r>
                    <w:rPr>
                      <w:rFonts w:hint="eastAsia" w:eastAsia="宋体"/>
                      <w:color w:val="auto"/>
                      <w:highlight w:val="none"/>
                      <w:lang w:val="en-US" w:eastAsia="zh-CN"/>
                    </w:rPr>
                    <w:t>颗粒物</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05AD2B43">
                  <w:pPr>
                    <w:jc w:val="center"/>
                    <w:rPr>
                      <w:rFonts w:hint="eastAsia" w:eastAsia="宋体"/>
                      <w:color w:val="auto"/>
                      <w:highlight w:val="none"/>
                      <w:lang w:val="en-US" w:eastAsia="zh-CN"/>
                    </w:rPr>
                  </w:pPr>
                  <w:r>
                    <w:rPr>
                      <w:rFonts w:hint="eastAsia"/>
                      <w:color w:val="auto"/>
                      <w:highlight w:val="none"/>
                    </w:rPr>
                    <w:t>116.85293687</w:t>
                  </w:r>
                  <w:r>
                    <w:rPr>
                      <w:rFonts w:hint="eastAsia"/>
                      <w:color w:val="auto"/>
                      <w:highlight w:val="none"/>
                      <w:lang w:val="en-US" w:eastAsia="zh-CN"/>
                    </w:rPr>
                    <w:t>3</w:t>
                  </w:r>
                </w:p>
              </w:tc>
              <w:tc>
                <w:tcPr>
                  <w:tcW w:w="561" w:type="pct"/>
                  <w:tcBorders>
                    <w:top w:val="single" w:color="000000" w:sz="4" w:space="0"/>
                    <w:left w:val="single" w:color="000000" w:sz="4" w:space="0"/>
                    <w:bottom w:val="single" w:color="000000" w:sz="4" w:space="0"/>
                    <w:right w:val="single" w:color="000000" w:sz="4" w:space="0"/>
                  </w:tcBorders>
                  <w:noWrap w:val="0"/>
                  <w:vAlign w:val="center"/>
                </w:tcPr>
                <w:p w14:paraId="04AB52C1">
                  <w:pPr>
                    <w:jc w:val="center"/>
                    <w:rPr>
                      <w:rFonts w:hint="eastAsia" w:eastAsia="宋体"/>
                      <w:color w:val="auto"/>
                      <w:highlight w:val="none"/>
                      <w:lang w:val="en-US" w:eastAsia="zh-CN"/>
                    </w:rPr>
                  </w:pPr>
                  <w:r>
                    <w:rPr>
                      <w:rFonts w:hint="eastAsia"/>
                      <w:color w:val="auto"/>
                      <w:highlight w:val="none"/>
                    </w:rPr>
                    <w:t>33.813035799</w:t>
                  </w:r>
                </w:p>
              </w:tc>
              <w:tc>
                <w:tcPr>
                  <w:tcW w:w="167" w:type="pct"/>
                  <w:tcBorders>
                    <w:top w:val="single" w:color="000000" w:sz="4" w:space="0"/>
                    <w:left w:val="single" w:color="000000" w:sz="4" w:space="0"/>
                    <w:bottom w:val="single" w:color="000000" w:sz="4" w:space="0"/>
                    <w:right w:val="single" w:color="000000" w:sz="4" w:space="0"/>
                  </w:tcBorders>
                  <w:noWrap w:val="0"/>
                  <w:vAlign w:val="center"/>
                </w:tcPr>
                <w:p w14:paraId="7FEBD58C">
                  <w:pPr>
                    <w:jc w:val="center"/>
                    <w:rPr>
                      <w:rFonts w:hint="eastAsia" w:eastAsia="宋体"/>
                      <w:color w:val="auto"/>
                      <w:highlight w:val="none"/>
                      <w:lang w:val="en-US" w:eastAsia="zh-CN"/>
                    </w:rPr>
                  </w:pPr>
                  <w:r>
                    <w:rPr>
                      <w:rFonts w:hint="eastAsia" w:eastAsia="宋体"/>
                      <w:color w:val="auto"/>
                      <w:highlight w:val="none"/>
                      <w:lang w:val="en-US" w:eastAsia="zh-CN"/>
                    </w:rPr>
                    <w:t>15</w:t>
                  </w:r>
                </w:p>
              </w:tc>
              <w:tc>
                <w:tcPr>
                  <w:tcW w:w="188" w:type="pct"/>
                  <w:tcBorders>
                    <w:top w:val="single" w:color="000000" w:sz="4" w:space="0"/>
                    <w:left w:val="single" w:color="000000" w:sz="4" w:space="0"/>
                    <w:bottom w:val="single" w:color="000000" w:sz="4" w:space="0"/>
                    <w:right w:val="single" w:color="000000" w:sz="4" w:space="0"/>
                  </w:tcBorders>
                  <w:noWrap w:val="0"/>
                  <w:vAlign w:val="center"/>
                </w:tcPr>
                <w:p w14:paraId="7019274C">
                  <w:pPr>
                    <w:jc w:val="center"/>
                    <w:rPr>
                      <w:rFonts w:hint="default" w:eastAsia="宋体"/>
                      <w:color w:val="auto"/>
                      <w:highlight w:val="none"/>
                      <w:lang w:val="en-US" w:eastAsia="zh-CN"/>
                    </w:rPr>
                  </w:pPr>
                  <w:r>
                    <w:rPr>
                      <w:rFonts w:hint="eastAsia"/>
                      <w:color w:val="auto"/>
                      <w:highlight w:val="none"/>
                      <w:lang w:val="en-US" w:eastAsia="zh-CN"/>
                    </w:rPr>
                    <w:t>0.5</w:t>
                  </w:r>
                </w:p>
              </w:tc>
              <w:tc>
                <w:tcPr>
                  <w:tcW w:w="206" w:type="pct"/>
                  <w:tcBorders>
                    <w:top w:val="single" w:color="000000" w:sz="4" w:space="0"/>
                    <w:left w:val="single" w:color="000000" w:sz="4" w:space="0"/>
                    <w:bottom w:val="single" w:color="000000" w:sz="4" w:space="0"/>
                    <w:right w:val="single" w:color="000000" w:sz="4" w:space="0"/>
                  </w:tcBorders>
                  <w:noWrap w:val="0"/>
                  <w:vAlign w:val="center"/>
                </w:tcPr>
                <w:p w14:paraId="3746A672">
                  <w:pPr>
                    <w:jc w:val="center"/>
                    <w:rPr>
                      <w:rFonts w:hint="eastAsia" w:eastAsia="宋体"/>
                      <w:color w:val="auto"/>
                      <w:highlight w:val="none"/>
                      <w:lang w:eastAsia="zh-CN"/>
                    </w:rPr>
                  </w:pPr>
                  <w:r>
                    <w:rPr>
                      <w:rFonts w:hint="eastAsia"/>
                      <w:color w:val="auto"/>
                      <w:highlight w:val="none"/>
                      <w:lang w:eastAsia="zh-CN"/>
                    </w:rPr>
                    <w:t>常温</w:t>
                  </w:r>
                </w:p>
              </w:tc>
              <w:tc>
                <w:tcPr>
                  <w:tcW w:w="345" w:type="pct"/>
                  <w:tcBorders>
                    <w:top w:val="single" w:color="000000" w:sz="4" w:space="0"/>
                    <w:left w:val="single" w:color="000000" w:sz="4" w:space="0"/>
                    <w:bottom w:val="single" w:color="000000" w:sz="4" w:space="0"/>
                    <w:right w:val="single" w:color="000000" w:sz="4" w:space="0"/>
                  </w:tcBorders>
                  <w:noWrap w:val="0"/>
                  <w:vAlign w:val="center"/>
                </w:tcPr>
                <w:p w14:paraId="763EEF63">
                  <w:pPr>
                    <w:jc w:val="center"/>
                    <w:rPr>
                      <w:rFonts w:hint="default"/>
                      <w:color w:val="auto"/>
                      <w:highlight w:val="none"/>
                      <w:lang w:val="en-US" w:eastAsia="zh-CN"/>
                    </w:rPr>
                  </w:pPr>
                  <w:r>
                    <w:rPr>
                      <w:rFonts w:hint="eastAsia"/>
                      <w:color w:val="auto"/>
                      <w:highlight w:val="none"/>
                      <w:lang w:val="en-US" w:eastAsia="zh-CN"/>
                    </w:rPr>
                    <w:t>25000</w:t>
                  </w:r>
                </w:p>
              </w:tc>
              <w:tc>
                <w:tcPr>
                  <w:tcW w:w="325" w:type="pct"/>
                  <w:tcBorders>
                    <w:top w:val="single" w:color="000000" w:sz="4" w:space="0"/>
                    <w:left w:val="single" w:color="000000" w:sz="4" w:space="0"/>
                    <w:bottom w:val="single" w:color="000000" w:sz="4" w:space="0"/>
                    <w:right w:val="single" w:color="000000" w:sz="4" w:space="0"/>
                  </w:tcBorders>
                  <w:noWrap w:val="0"/>
                  <w:vAlign w:val="center"/>
                </w:tcPr>
                <w:p w14:paraId="64182748">
                  <w:pPr>
                    <w:jc w:val="center"/>
                    <w:rPr>
                      <w:rFonts w:hint="eastAsia" w:eastAsia="宋体"/>
                      <w:color w:val="auto"/>
                      <w:highlight w:val="none"/>
                      <w:lang w:val="en-US" w:eastAsia="zh-CN"/>
                    </w:rPr>
                  </w:pPr>
                  <w:r>
                    <w:rPr>
                      <w:rFonts w:hint="eastAsia" w:asciiTheme="minorEastAsia" w:hAnsiTheme="minorEastAsia" w:eastAsiaTheme="minorEastAsia" w:cstheme="minorEastAsia"/>
                      <w:bCs/>
                      <w:color w:val="auto"/>
                      <w:sz w:val="24"/>
                      <w:szCs w:val="24"/>
                      <w:highlight w:val="none"/>
                      <w:lang w:val="en-US" w:eastAsia="zh-CN"/>
                    </w:rPr>
                    <w:t>5.018</w:t>
                  </w:r>
                </w:p>
              </w:tc>
              <w:tc>
                <w:tcPr>
                  <w:tcW w:w="512" w:type="pct"/>
                  <w:tcBorders>
                    <w:top w:val="single" w:color="000000" w:sz="4" w:space="0"/>
                    <w:left w:val="single" w:color="000000" w:sz="4" w:space="0"/>
                    <w:bottom w:val="single" w:color="000000" w:sz="4" w:space="0"/>
                    <w:right w:val="single" w:color="000000" w:sz="4" w:space="0"/>
                  </w:tcBorders>
                  <w:noWrap w:val="0"/>
                  <w:vAlign w:val="center"/>
                </w:tcPr>
                <w:p w14:paraId="249B41E2">
                  <w:pPr>
                    <w:jc w:val="center"/>
                    <w:rPr>
                      <w:rFonts w:hint="eastAsia" w:eastAsia="宋体"/>
                      <w:color w:val="auto"/>
                      <w:highlight w:val="none"/>
                      <w:lang w:val="en-US" w:eastAsia="zh-CN"/>
                    </w:rPr>
                  </w:pPr>
                  <w:r>
                    <w:rPr>
                      <w:rFonts w:hint="eastAsia" w:asciiTheme="minorEastAsia" w:hAnsiTheme="minorEastAsia" w:eastAsiaTheme="minorEastAsia" w:cstheme="minorEastAsia"/>
                      <w:bCs/>
                      <w:color w:val="auto"/>
                      <w:sz w:val="24"/>
                      <w:szCs w:val="24"/>
                      <w:highlight w:val="none"/>
                      <w:lang w:val="en-US" w:eastAsia="zh-CN"/>
                    </w:rPr>
                    <w:t>0.12544</w:t>
                  </w:r>
                </w:p>
              </w:tc>
              <w:tc>
                <w:tcPr>
                  <w:tcW w:w="745" w:type="pct"/>
                  <w:tcBorders>
                    <w:top w:val="single" w:color="000000" w:sz="4" w:space="0"/>
                    <w:left w:val="single" w:color="000000" w:sz="4" w:space="0"/>
                    <w:right w:val="single" w:color="000000" w:sz="4" w:space="0"/>
                  </w:tcBorders>
                  <w:noWrap w:val="0"/>
                  <w:vAlign w:val="center"/>
                </w:tcPr>
                <w:p w14:paraId="0E9755DD">
                  <w:pPr>
                    <w:jc w:val="center"/>
                    <w:rPr>
                      <w:rFonts w:hint="eastAsia" w:ascii="Times New Roman" w:hAnsi="Times New Roman" w:eastAsia="宋体" w:cs="Times New Roman"/>
                      <w:color w:val="auto"/>
                      <w:highlight w:val="none"/>
                      <w:lang w:val="en-US" w:eastAsia="zh-CN"/>
                    </w:rPr>
                  </w:pPr>
                  <w:r>
                    <w:rPr>
                      <w:rFonts w:hint="eastAsia" w:ascii="宋体" w:hAnsi="宋体" w:cs="宋体"/>
                      <w:color w:val="auto"/>
                      <w:highlight w:val="none"/>
                    </w:rPr>
                    <w:t>《大气污染物综合排放标准》（</w:t>
                  </w:r>
                  <w:r>
                    <w:rPr>
                      <w:rFonts w:ascii="宋体" w:hAnsi="宋体" w:cs="宋体"/>
                      <w:color w:val="auto"/>
                      <w:highlight w:val="none"/>
                    </w:rPr>
                    <w:t>GB16297-1996</w:t>
                  </w:r>
                  <w:r>
                    <w:rPr>
                      <w:rFonts w:hint="eastAsia" w:ascii="宋体" w:hAnsi="宋体" w:cs="宋体"/>
                      <w:color w:val="auto"/>
                      <w:highlight w:val="none"/>
                    </w:rPr>
                    <w:t>）</w:t>
                  </w:r>
                </w:p>
              </w:tc>
              <w:tc>
                <w:tcPr>
                  <w:tcW w:w="304" w:type="pct"/>
                  <w:tcBorders>
                    <w:top w:val="single" w:color="000000" w:sz="4" w:space="0"/>
                    <w:left w:val="single" w:color="000000" w:sz="4" w:space="0"/>
                    <w:bottom w:val="single" w:color="000000" w:sz="4" w:space="0"/>
                    <w:right w:val="single" w:color="000000" w:sz="4" w:space="0"/>
                  </w:tcBorders>
                  <w:noWrap w:val="0"/>
                  <w:vAlign w:val="center"/>
                </w:tcPr>
                <w:p w14:paraId="17B0B3E6">
                  <w:pPr>
                    <w:jc w:val="center"/>
                    <w:rPr>
                      <w:rFonts w:hint="default" w:eastAsia="宋体"/>
                      <w:color w:val="auto"/>
                      <w:highlight w:val="none"/>
                      <w:lang w:val="en-US" w:eastAsia="zh-CN"/>
                    </w:rPr>
                  </w:pPr>
                  <w:r>
                    <w:rPr>
                      <w:rFonts w:hint="eastAsia"/>
                      <w:color w:val="auto"/>
                      <w:highlight w:val="none"/>
                      <w:lang w:val="en-US" w:eastAsia="zh-CN"/>
                    </w:rPr>
                    <w:t>120</w:t>
                  </w:r>
                </w:p>
              </w:tc>
              <w:tc>
                <w:tcPr>
                  <w:tcW w:w="234" w:type="pct"/>
                  <w:tcBorders>
                    <w:top w:val="single" w:color="000000" w:sz="4" w:space="0"/>
                    <w:left w:val="single" w:color="000000" w:sz="4" w:space="0"/>
                    <w:bottom w:val="single" w:color="000000" w:sz="4" w:space="0"/>
                    <w:right w:val="single" w:color="000000" w:sz="4" w:space="0"/>
                  </w:tcBorders>
                  <w:noWrap w:val="0"/>
                  <w:vAlign w:val="center"/>
                </w:tcPr>
                <w:p w14:paraId="41FFEAD1">
                  <w:pPr>
                    <w:jc w:val="center"/>
                    <w:rPr>
                      <w:rFonts w:hint="default" w:eastAsia="宋体"/>
                      <w:color w:val="auto"/>
                      <w:highlight w:val="none"/>
                      <w:lang w:val="en-US" w:eastAsia="zh-CN"/>
                    </w:rPr>
                  </w:pPr>
                  <w:r>
                    <w:rPr>
                      <w:rFonts w:hint="eastAsia"/>
                      <w:color w:val="auto"/>
                      <w:highlight w:val="none"/>
                      <w:lang w:val="en-US" w:eastAsia="zh-CN"/>
                    </w:rPr>
                    <w:t>3.5</w:t>
                  </w:r>
                </w:p>
              </w:tc>
            </w:tr>
          </w:tbl>
          <w:p w14:paraId="5B8A7A53">
            <w:pPr>
              <w:spacing w:line="360" w:lineRule="auto"/>
              <w:ind w:firstLine="480" w:firstLineChars="200"/>
              <w:jc w:val="center"/>
              <w:rPr>
                <w:rFonts w:hint="eastAsia"/>
                <w:color w:val="auto"/>
                <w:sz w:val="24"/>
                <w:highlight w:val="none"/>
              </w:rPr>
            </w:pPr>
          </w:p>
          <w:p w14:paraId="13412788">
            <w:pPr>
              <w:spacing w:line="360" w:lineRule="auto"/>
              <w:ind w:firstLine="480" w:firstLineChars="200"/>
              <w:jc w:val="center"/>
              <w:rPr>
                <w:rFonts w:hint="eastAsia" w:ascii="Times New Roman" w:hAnsi="Times New Roman" w:eastAsia="宋体" w:cs="Times New Roman"/>
                <w:b w:val="0"/>
                <w:bCs/>
                <w:color w:val="auto"/>
                <w:kern w:val="0"/>
                <w:highlight w:val="none"/>
              </w:rPr>
            </w:pPr>
            <w:r>
              <w:rPr>
                <w:rFonts w:hint="eastAsia"/>
                <w:color w:val="auto"/>
                <w:sz w:val="24"/>
                <w:highlight w:val="none"/>
              </w:rPr>
              <w:br w:type="textWrapping"/>
            </w:r>
            <w:r>
              <w:rPr>
                <w:rFonts w:hint="eastAsia"/>
                <w:color w:val="auto"/>
                <w:sz w:val="24"/>
                <w:highlight w:val="none"/>
              </w:rPr>
              <w:br w:type="textWrapping"/>
            </w:r>
            <w:r>
              <w:rPr>
                <w:rFonts w:hint="eastAsia"/>
                <w:color w:val="auto"/>
                <w:sz w:val="24"/>
                <w:highlight w:val="none"/>
              </w:rPr>
              <w:br w:type="textWrapping"/>
            </w:r>
            <w:r>
              <w:rPr>
                <w:rFonts w:hint="eastAsia"/>
                <w:color w:val="auto"/>
                <w:sz w:val="24"/>
                <w:highlight w:val="none"/>
              </w:rPr>
              <w:br w:type="textWrapping"/>
            </w:r>
            <w:r>
              <w:rPr>
                <w:rFonts w:hint="eastAsia"/>
                <w:color w:val="auto"/>
                <w:sz w:val="24"/>
                <w:highlight w:val="none"/>
              </w:rPr>
              <w:br w:type="textWrapping"/>
            </w:r>
            <w:r>
              <w:rPr>
                <w:rFonts w:hint="eastAsia" w:ascii="Times New Roman" w:hAnsi="Times New Roman" w:eastAsia="宋体" w:cs="Times New Roman"/>
                <w:b w:val="0"/>
                <w:bCs/>
                <w:color w:val="auto"/>
                <w:kern w:val="0"/>
                <w:highlight w:val="none"/>
              </w:rPr>
              <w:t>表4</w:t>
            </w:r>
            <w:r>
              <w:rPr>
                <w:rFonts w:hint="eastAsia" w:eastAsia="宋体" w:cs="Times New Roman"/>
                <w:b w:val="0"/>
                <w:bCs/>
                <w:color w:val="auto"/>
                <w:kern w:val="0"/>
                <w:highlight w:val="none"/>
                <w:lang w:val="en-US" w:eastAsia="zh-CN"/>
              </w:rPr>
              <w:t>-</w:t>
            </w:r>
            <w:r>
              <w:rPr>
                <w:rFonts w:hint="eastAsia" w:cs="Times New Roman"/>
                <w:b w:val="0"/>
                <w:bCs/>
                <w:color w:val="auto"/>
                <w:kern w:val="0"/>
                <w:highlight w:val="none"/>
                <w:lang w:val="en-US" w:eastAsia="zh-CN"/>
              </w:rPr>
              <w:t>6</w:t>
            </w:r>
            <w:r>
              <w:rPr>
                <w:rFonts w:hint="eastAsia" w:ascii="Times New Roman" w:hAnsi="Times New Roman" w:eastAsia="宋体" w:cs="Times New Roman"/>
                <w:b w:val="0"/>
                <w:bCs/>
                <w:color w:val="auto"/>
                <w:kern w:val="0"/>
                <w:highlight w:val="none"/>
              </w:rPr>
              <w:t xml:space="preserve">  建设项目大气污染物无组织排放表</w:t>
            </w:r>
          </w:p>
          <w:tbl>
            <w:tblPr>
              <w:tblStyle w:val="37"/>
              <w:tblW w:w="1269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29"/>
              <w:gridCol w:w="941"/>
              <w:gridCol w:w="827"/>
              <w:gridCol w:w="1465"/>
              <w:gridCol w:w="1297"/>
              <w:gridCol w:w="823"/>
              <w:gridCol w:w="635"/>
              <w:gridCol w:w="788"/>
              <w:gridCol w:w="703"/>
              <w:gridCol w:w="2452"/>
              <w:gridCol w:w="2137"/>
            </w:tblGrid>
            <w:tr w14:paraId="7E8B99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9" w:hRule="atLeast"/>
                <w:jc w:val="center"/>
              </w:trPr>
              <w:tc>
                <w:tcPr>
                  <w:tcW w:w="629" w:type="dxa"/>
                  <w:vMerge w:val="restart"/>
                  <w:tcBorders>
                    <w:top w:val="single" w:color="000000" w:sz="4" w:space="0"/>
                    <w:left w:val="single" w:color="000000" w:sz="4" w:space="0"/>
                    <w:right w:val="single" w:color="000000" w:sz="4" w:space="0"/>
                  </w:tcBorders>
                  <w:noWrap w:val="0"/>
                  <w:vAlign w:val="center"/>
                </w:tcPr>
                <w:p w14:paraId="0A073217">
                  <w:pPr>
                    <w:jc w:val="center"/>
                    <w:rPr>
                      <w:color w:val="auto"/>
                      <w:highlight w:val="none"/>
                    </w:rPr>
                  </w:pPr>
                  <w:r>
                    <w:rPr>
                      <w:color w:val="auto"/>
                      <w:highlight w:val="none"/>
                    </w:rPr>
                    <w:t>主要生产单元名称</w:t>
                  </w:r>
                </w:p>
              </w:tc>
              <w:tc>
                <w:tcPr>
                  <w:tcW w:w="941" w:type="dxa"/>
                  <w:vMerge w:val="restart"/>
                  <w:tcBorders>
                    <w:top w:val="single" w:color="000000" w:sz="4" w:space="0"/>
                    <w:left w:val="single" w:color="000000" w:sz="4" w:space="0"/>
                    <w:bottom w:val="single" w:color="000000" w:sz="4" w:space="0"/>
                    <w:right w:val="single" w:color="000000" w:sz="4" w:space="0"/>
                  </w:tcBorders>
                  <w:noWrap w:val="0"/>
                  <w:vAlign w:val="center"/>
                </w:tcPr>
                <w:p w14:paraId="04922AF8">
                  <w:pPr>
                    <w:jc w:val="center"/>
                    <w:rPr>
                      <w:rFonts w:eastAsia="宋体"/>
                      <w:color w:val="auto"/>
                      <w:highlight w:val="none"/>
                    </w:rPr>
                  </w:pPr>
                  <w:r>
                    <w:rPr>
                      <w:rFonts w:eastAsia="宋体"/>
                      <w:color w:val="auto"/>
                      <w:highlight w:val="none"/>
                    </w:rPr>
                    <w:t>产污环节</w:t>
                  </w:r>
                </w:p>
                <w:p w14:paraId="4DA1411B">
                  <w:pPr>
                    <w:jc w:val="center"/>
                    <w:rPr>
                      <w:rFonts w:eastAsia="宋体"/>
                      <w:color w:val="auto"/>
                      <w:highlight w:val="none"/>
                    </w:rPr>
                  </w:pPr>
                  <w:r>
                    <w:rPr>
                      <w:rFonts w:eastAsia="宋体"/>
                      <w:color w:val="auto"/>
                      <w:highlight w:val="none"/>
                    </w:rPr>
                    <w:t>名称</w:t>
                  </w:r>
                </w:p>
              </w:tc>
              <w:tc>
                <w:tcPr>
                  <w:tcW w:w="827" w:type="dxa"/>
                  <w:vMerge w:val="restart"/>
                  <w:tcBorders>
                    <w:top w:val="single" w:color="000000" w:sz="4" w:space="0"/>
                    <w:left w:val="single" w:color="000000" w:sz="4" w:space="0"/>
                    <w:bottom w:val="single" w:color="000000" w:sz="4" w:space="0"/>
                    <w:right w:val="single" w:color="000000" w:sz="4" w:space="0"/>
                  </w:tcBorders>
                  <w:noWrap w:val="0"/>
                  <w:vAlign w:val="center"/>
                </w:tcPr>
                <w:p w14:paraId="67745DBB">
                  <w:pPr>
                    <w:jc w:val="center"/>
                    <w:rPr>
                      <w:rFonts w:eastAsia="宋体"/>
                      <w:color w:val="auto"/>
                      <w:highlight w:val="none"/>
                    </w:rPr>
                  </w:pPr>
                  <w:r>
                    <w:rPr>
                      <w:rFonts w:eastAsia="宋体"/>
                      <w:color w:val="auto"/>
                      <w:highlight w:val="none"/>
                    </w:rPr>
                    <w:t>污染物种类</w:t>
                  </w:r>
                </w:p>
              </w:tc>
              <w:tc>
                <w:tcPr>
                  <w:tcW w:w="1465" w:type="dxa"/>
                  <w:vMerge w:val="restart"/>
                  <w:tcBorders>
                    <w:top w:val="single" w:color="000000" w:sz="4" w:space="0"/>
                    <w:left w:val="single" w:color="000000" w:sz="4" w:space="0"/>
                    <w:bottom w:val="single" w:color="000000" w:sz="4" w:space="0"/>
                    <w:right w:val="single" w:color="000000" w:sz="4" w:space="0"/>
                  </w:tcBorders>
                  <w:noWrap w:val="0"/>
                  <w:vAlign w:val="center"/>
                </w:tcPr>
                <w:p w14:paraId="631D42C2">
                  <w:pPr>
                    <w:jc w:val="center"/>
                    <w:rPr>
                      <w:rFonts w:eastAsia="宋体"/>
                      <w:color w:val="auto"/>
                      <w:highlight w:val="none"/>
                    </w:rPr>
                  </w:pPr>
                  <w:r>
                    <w:rPr>
                      <w:rFonts w:eastAsia="宋体"/>
                      <w:color w:val="auto"/>
                      <w:highlight w:val="none"/>
                    </w:rPr>
                    <w:t>产生量</w:t>
                  </w:r>
                </w:p>
                <w:p w14:paraId="40C51CEC">
                  <w:pPr>
                    <w:jc w:val="center"/>
                    <w:rPr>
                      <w:rFonts w:eastAsia="宋体"/>
                      <w:color w:val="auto"/>
                      <w:highlight w:val="none"/>
                    </w:rPr>
                  </w:pPr>
                  <w:r>
                    <w:rPr>
                      <w:rFonts w:eastAsia="宋体"/>
                      <w:color w:val="auto"/>
                      <w:highlight w:val="none"/>
                    </w:rPr>
                    <w:t>t/a</w:t>
                  </w:r>
                </w:p>
              </w:tc>
              <w:tc>
                <w:tcPr>
                  <w:tcW w:w="1297" w:type="dxa"/>
                  <w:vMerge w:val="restart"/>
                  <w:tcBorders>
                    <w:top w:val="single" w:color="000000" w:sz="4" w:space="0"/>
                    <w:left w:val="single" w:color="000000" w:sz="4" w:space="0"/>
                    <w:bottom w:val="single" w:color="000000" w:sz="4" w:space="0"/>
                    <w:right w:val="single" w:color="000000" w:sz="4" w:space="0"/>
                  </w:tcBorders>
                  <w:noWrap w:val="0"/>
                  <w:vAlign w:val="center"/>
                </w:tcPr>
                <w:p w14:paraId="632D3924">
                  <w:pPr>
                    <w:jc w:val="center"/>
                    <w:rPr>
                      <w:rFonts w:eastAsia="宋体"/>
                      <w:color w:val="auto"/>
                      <w:highlight w:val="none"/>
                    </w:rPr>
                  </w:pPr>
                  <w:r>
                    <w:rPr>
                      <w:rFonts w:eastAsia="宋体"/>
                      <w:color w:val="auto"/>
                      <w:highlight w:val="none"/>
                    </w:rPr>
                    <w:t>主要污染防治措施</w:t>
                  </w:r>
                </w:p>
              </w:tc>
              <w:tc>
                <w:tcPr>
                  <w:tcW w:w="823" w:type="dxa"/>
                  <w:vMerge w:val="restart"/>
                  <w:tcBorders>
                    <w:top w:val="single" w:color="000000" w:sz="4" w:space="0"/>
                    <w:left w:val="single" w:color="000000" w:sz="4" w:space="0"/>
                    <w:right w:val="single" w:color="auto" w:sz="4" w:space="0"/>
                  </w:tcBorders>
                  <w:noWrap w:val="0"/>
                  <w:vAlign w:val="center"/>
                </w:tcPr>
                <w:p w14:paraId="3C4BBFBA">
                  <w:pPr>
                    <w:jc w:val="center"/>
                    <w:rPr>
                      <w:rFonts w:eastAsia="宋体"/>
                      <w:color w:val="auto"/>
                      <w:highlight w:val="none"/>
                    </w:rPr>
                  </w:pPr>
                  <w:r>
                    <w:rPr>
                      <w:rFonts w:hint="eastAsia" w:eastAsia="宋体"/>
                      <w:color w:val="auto"/>
                      <w:highlight w:val="none"/>
                    </w:rPr>
                    <w:t>排放量</w:t>
                  </w:r>
                  <w:r>
                    <w:rPr>
                      <w:rFonts w:eastAsia="宋体"/>
                      <w:color w:val="auto"/>
                      <w:highlight w:val="none"/>
                    </w:rPr>
                    <w:t>t/a</w:t>
                  </w:r>
                </w:p>
              </w:tc>
              <w:tc>
                <w:tcPr>
                  <w:tcW w:w="2126" w:type="dxa"/>
                  <w:gridSpan w:val="3"/>
                  <w:vMerge w:val="restart"/>
                  <w:tcBorders>
                    <w:top w:val="single" w:color="000000" w:sz="4" w:space="0"/>
                    <w:left w:val="single" w:color="auto" w:sz="4" w:space="0"/>
                    <w:bottom w:val="single" w:color="000000" w:sz="4" w:space="0"/>
                    <w:right w:val="single" w:color="000000" w:sz="4" w:space="0"/>
                  </w:tcBorders>
                  <w:noWrap w:val="0"/>
                  <w:vAlign w:val="center"/>
                </w:tcPr>
                <w:p w14:paraId="41EC7161">
                  <w:pPr>
                    <w:jc w:val="center"/>
                    <w:rPr>
                      <w:color w:val="auto"/>
                      <w:highlight w:val="none"/>
                    </w:rPr>
                  </w:pPr>
                  <w:r>
                    <w:rPr>
                      <w:color w:val="auto"/>
                      <w:highlight w:val="none"/>
                    </w:rPr>
                    <w:t>排放源参数</w:t>
                  </w:r>
                </w:p>
              </w:tc>
              <w:tc>
                <w:tcPr>
                  <w:tcW w:w="4589" w:type="dxa"/>
                  <w:gridSpan w:val="2"/>
                  <w:tcBorders>
                    <w:top w:val="single" w:color="000000" w:sz="4" w:space="0"/>
                    <w:left w:val="single" w:color="000000" w:sz="4" w:space="0"/>
                    <w:bottom w:val="single" w:color="000000" w:sz="4" w:space="0"/>
                    <w:right w:val="single" w:color="000000" w:sz="4" w:space="0"/>
                  </w:tcBorders>
                  <w:noWrap w:val="0"/>
                  <w:vAlign w:val="center"/>
                </w:tcPr>
                <w:p w14:paraId="07CC21CD">
                  <w:pPr>
                    <w:jc w:val="center"/>
                    <w:rPr>
                      <w:color w:val="auto"/>
                      <w:highlight w:val="none"/>
                    </w:rPr>
                  </w:pPr>
                  <w:r>
                    <w:rPr>
                      <w:color w:val="auto"/>
                      <w:highlight w:val="none"/>
                    </w:rPr>
                    <w:t>国家或地方污染物排放标准</w:t>
                  </w:r>
                </w:p>
              </w:tc>
            </w:tr>
            <w:tr w14:paraId="2212C8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9" w:hRule="atLeast"/>
                <w:jc w:val="center"/>
              </w:trPr>
              <w:tc>
                <w:tcPr>
                  <w:tcW w:w="629" w:type="dxa"/>
                  <w:vMerge w:val="continue"/>
                  <w:tcBorders>
                    <w:left w:val="single" w:color="000000" w:sz="4" w:space="0"/>
                    <w:right w:val="single" w:color="000000" w:sz="4" w:space="0"/>
                  </w:tcBorders>
                  <w:noWrap w:val="0"/>
                  <w:vAlign w:val="center"/>
                </w:tcPr>
                <w:p w14:paraId="58043388">
                  <w:pPr>
                    <w:widowControl/>
                    <w:jc w:val="left"/>
                    <w:rPr>
                      <w:color w:val="auto"/>
                      <w:highlight w:val="none"/>
                    </w:rPr>
                  </w:pPr>
                </w:p>
              </w:tc>
              <w:tc>
                <w:tcPr>
                  <w:tcW w:w="941" w:type="dxa"/>
                  <w:vMerge w:val="continue"/>
                  <w:tcBorders>
                    <w:top w:val="single" w:color="000000" w:sz="4" w:space="0"/>
                    <w:left w:val="single" w:color="000000" w:sz="4" w:space="0"/>
                    <w:bottom w:val="single" w:color="000000" w:sz="4" w:space="0"/>
                    <w:right w:val="single" w:color="000000" w:sz="4" w:space="0"/>
                  </w:tcBorders>
                  <w:noWrap w:val="0"/>
                  <w:vAlign w:val="center"/>
                </w:tcPr>
                <w:p w14:paraId="75C772C7">
                  <w:pPr>
                    <w:jc w:val="center"/>
                    <w:rPr>
                      <w:rFonts w:eastAsia="宋体"/>
                      <w:color w:val="auto"/>
                      <w:highlight w:val="none"/>
                    </w:rPr>
                  </w:pPr>
                </w:p>
              </w:tc>
              <w:tc>
                <w:tcPr>
                  <w:tcW w:w="82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82D13D4">
                  <w:pPr>
                    <w:jc w:val="center"/>
                    <w:rPr>
                      <w:rFonts w:eastAsia="宋体"/>
                      <w:color w:val="auto"/>
                      <w:highlight w:val="none"/>
                    </w:rPr>
                  </w:pPr>
                </w:p>
              </w:tc>
              <w:tc>
                <w:tcPr>
                  <w:tcW w:w="146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7613654">
                  <w:pPr>
                    <w:jc w:val="center"/>
                    <w:rPr>
                      <w:rFonts w:eastAsia="宋体"/>
                      <w:color w:val="auto"/>
                      <w:highlight w:val="none"/>
                    </w:rPr>
                  </w:pPr>
                </w:p>
              </w:tc>
              <w:tc>
                <w:tcPr>
                  <w:tcW w:w="12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72ADD02">
                  <w:pPr>
                    <w:jc w:val="center"/>
                    <w:rPr>
                      <w:rFonts w:eastAsia="宋体"/>
                      <w:color w:val="auto"/>
                      <w:highlight w:val="none"/>
                    </w:rPr>
                  </w:pPr>
                </w:p>
              </w:tc>
              <w:tc>
                <w:tcPr>
                  <w:tcW w:w="823" w:type="dxa"/>
                  <w:vMerge w:val="continue"/>
                  <w:tcBorders>
                    <w:left w:val="single" w:color="000000" w:sz="4" w:space="0"/>
                    <w:right w:val="single" w:color="auto" w:sz="4" w:space="0"/>
                  </w:tcBorders>
                  <w:noWrap w:val="0"/>
                  <w:vAlign w:val="center"/>
                </w:tcPr>
                <w:p w14:paraId="6322F93C">
                  <w:pPr>
                    <w:jc w:val="center"/>
                    <w:rPr>
                      <w:rFonts w:eastAsia="宋体"/>
                      <w:color w:val="auto"/>
                      <w:highlight w:val="none"/>
                    </w:rPr>
                  </w:pPr>
                </w:p>
              </w:tc>
              <w:tc>
                <w:tcPr>
                  <w:tcW w:w="2126" w:type="dxa"/>
                  <w:gridSpan w:val="3"/>
                  <w:vMerge w:val="continue"/>
                  <w:tcBorders>
                    <w:top w:val="single" w:color="000000" w:sz="4" w:space="0"/>
                    <w:left w:val="single" w:color="auto" w:sz="4" w:space="0"/>
                    <w:bottom w:val="single" w:color="000000" w:sz="4" w:space="0"/>
                    <w:right w:val="single" w:color="000000" w:sz="4" w:space="0"/>
                  </w:tcBorders>
                  <w:noWrap w:val="0"/>
                  <w:vAlign w:val="center"/>
                </w:tcPr>
                <w:p w14:paraId="24C05CBA">
                  <w:pPr>
                    <w:widowControl/>
                    <w:jc w:val="left"/>
                    <w:rPr>
                      <w:color w:val="auto"/>
                      <w:highlight w:val="none"/>
                    </w:rPr>
                  </w:pPr>
                </w:p>
              </w:tc>
              <w:tc>
                <w:tcPr>
                  <w:tcW w:w="2452" w:type="dxa"/>
                  <w:vMerge w:val="restart"/>
                  <w:tcBorders>
                    <w:top w:val="single" w:color="000000" w:sz="4" w:space="0"/>
                    <w:left w:val="single" w:color="000000" w:sz="4" w:space="0"/>
                    <w:bottom w:val="single" w:color="000000" w:sz="4" w:space="0"/>
                    <w:right w:val="single" w:color="000000" w:sz="4" w:space="0"/>
                  </w:tcBorders>
                  <w:noWrap w:val="0"/>
                  <w:vAlign w:val="center"/>
                </w:tcPr>
                <w:p w14:paraId="0877AC9D">
                  <w:pPr>
                    <w:jc w:val="center"/>
                    <w:rPr>
                      <w:color w:val="auto"/>
                      <w:highlight w:val="none"/>
                    </w:rPr>
                  </w:pPr>
                  <w:r>
                    <w:rPr>
                      <w:color w:val="auto"/>
                      <w:highlight w:val="none"/>
                    </w:rPr>
                    <w:t>标准名称</w:t>
                  </w:r>
                </w:p>
              </w:tc>
              <w:tc>
                <w:tcPr>
                  <w:tcW w:w="2137" w:type="dxa"/>
                  <w:tcBorders>
                    <w:top w:val="single" w:color="000000" w:sz="4" w:space="0"/>
                    <w:left w:val="single" w:color="000000" w:sz="4" w:space="0"/>
                    <w:bottom w:val="single" w:color="000000" w:sz="4" w:space="0"/>
                    <w:right w:val="single" w:color="000000" w:sz="4" w:space="0"/>
                  </w:tcBorders>
                  <w:noWrap w:val="0"/>
                  <w:vAlign w:val="center"/>
                </w:tcPr>
                <w:p w14:paraId="549EA8B2">
                  <w:pPr>
                    <w:jc w:val="center"/>
                    <w:rPr>
                      <w:color w:val="auto"/>
                      <w:highlight w:val="none"/>
                    </w:rPr>
                  </w:pPr>
                  <w:r>
                    <w:rPr>
                      <w:color w:val="auto"/>
                      <w:highlight w:val="none"/>
                    </w:rPr>
                    <w:t>浓度限值</w:t>
                  </w:r>
                </w:p>
              </w:tc>
            </w:tr>
            <w:tr w14:paraId="417A57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3" w:hRule="atLeast"/>
                <w:jc w:val="center"/>
              </w:trPr>
              <w:tc>
                <w:tcPr>
                  <w:tcW w:w="629" w:type="dxa"/>
                  <w:vMerge w:val="continue"/>
                  <w:tcBorders>
                    <w:left w:val="single" w:color="000000" w:sz="4" w:space="0"/>
                    <w:right w:val="single" w:color="000000" w:sz="4" w:space="0"/>
                  </w:tcBorders>
                  <w:noWrap w:val="0"/>
                  <w:vAlign w:val="center"/>
                </w:tcPr>
                <w:p w14:paraId="739CBB5D">
                  <w:pPr>
                    <w:widowControl/>
                    <w:jc w:val="left"/>
                    <w:rPr>
                      <w:color w:val="auto"/>
                      <w:highlight w:val="none"/>
                    </w:rPr>
                  </w:pPr>
                </w:p>
              </w:tc>
              <w:tc>
                <w:tcPr>
                  <w:tcW w:w="941"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214212">
                  <w:pPr>
                    <w:jc w:val="center"/>
                    <w:rPr>
                      <w:rFonts w:eastAsia="宋体"/>
                      <w:color w:val="auto"/>
                      <w:highlight w:val="none"/>
                    </w:rPr>
                  </w:pPr>
                </w:p>
              </w:tc>
              <w:tc>
                <w:tcPr>
                  <w:tcW w:w="82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F1B81A5">
                  <w:pPr>
                    <w:jc w:val="center"/>
                    <w:rPr>
                      <w:rFonts w:eastAsia="宋体"/>
                      <w:color w:val="auto"/>
                      <w:highlight w:val="none"/>
                    </w:rPr>
                  </w:pPr>
                </w:p>
              </w:tc>
              <w:tc>
                <w:tcPr>
                  <w:tcW w:w="146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B2608C1">
                  <w:pPr>
                    <w:jc w:val="center"/>
                    <w:rPr>
                      <w:rFonts w:eastAsia="宋体"/>
                      <w:color w:val="auto"/>
                      <w:highlight w:val="none"/>
                    </w:rPr>
                  </w:pPr>
                </w:p>
              </w:tc>
              <w:tc>
                <w:tcPr>
                  <w:tcW w:w="12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A7114F3">
                  <w:pPr>
                    <w:jc w:val="center"/>
                    <w:rPr>
                      <w:rFonts w:eastAsia="宋体"/>
                      <w:color w:val="auto"/>
                      <w:highlight w:val="none"/>
                    </w:rPr>
                  </w:pPr>
                </w:p>
              </w:tc>
              <w:tc>
                <w:tcPr>
                  <w:tcW w:w="823" w:type="dxa"/>
                  <w:vMerge w:val="continue"/>
                  <w:tcBorders>
                    <w:left w:val="single" w:color="000000" w:sz="4" w:space="0"/>
                    <w:right w:val="single" w:color="auto" w:sz="4" w:space="0"/>
                  </w:tcBorders>
                  <w:noWrap w:val="0"/>
                  <w:vAlign w:val="center"/>
                </w:tcPr>
                <w:p w14:paraId="4A87250F">
                  <w:pPr>
                    <w:jc w:val="center"/>
                    <w:rPr>
                      <w:rFonts w:eastAsia="宋体"/>
                      <w:color w:val="auto"/>
                      <w:highlight w:val="none"/>
                    </w:rPr>
                  </w:pPr>
                </w:p>
              </w:tc>
              <w:tc>
                <w:tcPr>
                  <w:tcW w:w="635" w:type="dxa"/>
                  <w:tcBorders>
                    <w:top w:val="single" w:color="000000" w:sz="4" w:space="0"/>
                    <w:left w:val="single" w:color="auto" w:sz="4" w:space="0"/>
                    <w:bottom w:val="single" w:color="000000" w:sz="4" w:space="0"/>
                    <w:right w:val="single" w:color="000000" w:sz="4" w:space="0"/>
                  </w:tcBorders>
                  <w:noWrap w:val="0"/>
                  <w:vAlign w:val="center"/>
                </w:tcPr>
                <w:p w14:paraId="3ABC32FD">
                  <w:pPr>
                    <w:jc w:val="center"/>
                    <w:rPr>
                      <w:color w:val="auto"/>
                      <w:highlight w:val="none"/>
                    </w:rPr>
                  </w:pPr>
                  <w:r>
                    <w:rPr>
                      <w:color w:val="auto"/>
                      <w:highlight w:val="none"/>
                    </w:rPr>
                    <w:t>长</w:t>
                  </w:r>
                </w:p>
              </w:tc>
              <w:tc>
                <w:tcPr>
                  <w:tcW w:w="788" w:type="dxa"/>
                  <w:tcBorders>
                    <w:top w:val="single" w:color="000000" w:sz="4" w:space="0"/>
                    <w:left w:val="single" w:color="000000" w:sz="4" w:space="0"/>
                    <w:bottom w:val="single" w:color="000000" w:sz="4" w:space="0"/>
                    <w:right w:val="single" w:color="000000" w:sz="4" w:space="0"/>
                  </w:tcBorders>
                  <w:noWrap w:val="0"/>
                  <w:vAlign w:val="center"/>
                </w:tcPr>
                <w:p w14:paraId="00BC781B">
                  <w:pPr>
                    <w:jc w:val="center"/>
                    <w:rPr>
                      <w:color w:val="auto"/>
                      <w:highlight w:val="none"/>
                    </w:rPr>
                  </w:pPr>
                  <w:r>
                    <w:rPr>
                      <w:color w:val="auto"/>
                      <w:highlight w:val="none"/>
                    </w:rPr>
                    <w:t>宽</w:t>
                  </w:r>
                </w:p>
              </w:tc>
              <w:tc>
                <w:tcPr>
                  <w:tcW w:w="703" w:type="dxa"/>
                  <w:tcBorders>
                    <w:top w:val="single" w:color="000000" w:sz="4" w:space="0"/>
                    <w:left w:val="single" w:color="000000" w:sz="4" w:space="0"/>
                    <w:bottom w:val="single" w:color="000000" w:sz="4" w:space="0"/>
                    <w:right w:val="single" w:color="000000" w:sz="4" w:space="0"/>
                  </w:tcBorders>
                  <w:noWrap w:val="0"/>
                  <w:vAlign w:val="center"/>
                </w:tcPr>
                <w:p w14:paraId="391B814A">
                  <w:pPr>
                    <w:jc w:val="center"/>
                    <w:rPr>
                      <w:color w:val="auto"/>
                      <w:highlight w:val="none"/>
                    </w:rPr>
                  </w:pPr>
                  <w:r>
                    <w:rPr>
                      <w:color w:val="auto"/>
                      <w:highlight w:val="none"/>
                    </w:rPr>
                    <w:t>高</w:t>
                  </w:r>
                </w:p>
              </w:tc>
              <w:tc>
                <w:tcPr>
                  <w:tcW w:w="24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58004561">
                  <w:pPr>
                    <w:widowControl/>
                    <w:jc w:val="left"/>
                    <w:rPr>
                      <w:color w:val="auto"/>
                      <w:highlight w:val="none"/>
                    </w:rPr>
                  </w:pPr>
                </w:p>
              </w:tc>
              <w:tc>
                <w:tcPr>
                  <w:tcW w:w="2137" w:type="dxa"/>
                  <w:tcBorders>
                    <w:top w:val="single" w:color="000000" w:sz="4" w:space="0"/>
                    <w:left w:val="single" w:color="000000" w:sz="4" w:space="0"/>
                    <w:bottom w:val="single" w:color="000000" w:sz="4" w:space="0"/>
                    <w:right w:val="single" w:color="000000" w:sz="4" w:space="0"/>
                  </w:tcBorders>
                  <w:noWrap w:val="0"/>
                  <w:vAlign w:val="center"/>
                </w:tcPr>
                <w:p w14:paraId="3F1C7048">
                  <w:pPr>
                    <w:jc w:val="center"/>
                    <w:rPr>
                      <w:color w:val="auto"/>
                      <w:highlight w:val="none"/>
                    </w:rPr>
                  </w:pPr>
                  <w:r>
                    <w:rPr>
                      <w:color w:val="auto"/>
                      <w:highlight w:val="none"/>
                    </w:rPr>
                    <w:t>厂界</w:t>
                  </w:r>
                </w:p>
              </w:tc>
            </w:tr>
            <w:tr w14:paraId="72A94E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9" w:hRule="atLeast"/>
                <w:jc w:val="center"/>
              </w:trPr>
              <w:tc>
                <w:tcPr>
                  <w:tcW w:w="629" w:type="dxa"/>
                  <w:vMerge w:val="continue"/>
                  <w:tcBorders>
                    <w:left w:val="single" w:color="000000" w:sz="4" w:space="0"/>
                    <w:right w:val="single" w:color="000000" w:sz="4" w:space="0"/>
                  </w:tcBorders>
                  <w:noWrap w:val="0"/>
                  <w:vAlign w:val="center"/>
                </w:tcPr>
                <w:p w14:paraId="6560DC36">
                  <w:pPr>
                    <w:widowControl/>
                    <w:jc w:val="left"/>
                    <w:rPr>
                      <w:color w:val="auto"/>
                      <w:highlight w:val="none"/>
                    </w:rPr>
                  </w:pPr>
                </w:p>
              </w:tc>
              <w:tc>
                <w:tcPr>
                  <w:tcW w:w="941" w:type="dxa"/>
                  <w:vMerge w:val="continue"/>
                  <w:tcBorders>
                    <w:top w:val="single" w:color="000000" w:sz="4" w:space="0"/>
                    <w:left w:val="single" w:color="000000" w:sz="4" w:space="0"/>
                    <w:bottom w:val="single" w:color="000000" w:sz="4" w:space="0"/>
                    <w:right w:val="single" w:color="000000" w:sz="4" w:space="0"/>
                  </w:tcBorders>
                  <w:noWrap w:val="0"/>
                  <w:vAlign w:val="center"/>
                </w:tcPr>
                <w:p w14:paraId="740C2DAA">
                  <w:pPr>
                    <w:jc w:val="center"/>
                    <w:rPr>
                      <w:rFonts w:eastAsia="宋体"/>
                      <w:color w:val="auto"/>
                      <w:highlight w:val="none"/>
                    </w:rPr>
                  </w:pPr>
                </w:p>
              </w:tc>
              <w:tc>
                <w:tcPr>
                  <w:tcW w:w="82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14EDDAF">
                  <w:pPr>
                    <w:jc w:val="center"/>
                    <w:rPr>
                      <w:rFonts w:eastAsia="宋体"/>
                      <w:color w:val="auto"/>
                      <w:highlight w:val="none"/>
                    </w:rPr>
                  </w:pPr>
                </w:p>
              </w:tc>
              <w:tc>
                <w:tcPr>
                  <w:tcW w:w="146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54C1B88">
                  <w:pPr>
                    <w:jc w:val="center"/>
                    <w:rPr>
                      <w:rFonts w:eastAsia="宋体"/>
                      <w:color w:val="auto"/>
                      <w:highlight w:val="none"/>
                    </w:rPr>
                  </w:pPr>
                </w:p>
              </w:tc>
              <w:tc>
                <w:tcPr>
                  <w:tcW w:w="129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C439175">
                  <w:pPr>
                    <w:jc w:val="center"/>
                    <w:rPr>
                      <w:rFonts w:eastAsia="宋体"/>
                      <w:color w:val="auto"/>
                      <w:highlight w:val="none"/>
                    </w:rPr>
                  </w:pPr>
                </w:p>
              </w:tc>
              <w:tc>
                <w:tcPr>
                  <w:tcW w:w="823" w:type="dxa"/>
                  <w:vMerge w:val="continue"/>
                  <w:tcBorders>
                    <w:left w:val="single" w:color="000000" w:sz="4" w:space="0"/>
                    <w:bottom w:val="single" w:color="000000" w:sz="4" w:space="0"/>
                    <w:right w:val="single" w:color="auto" w:sz="4" w:space="0"/>
                  </w:tcBorders>
                  <w:noWrap w:val="0"/>
                  <w:vAlign w:val="center"/>
                </w:tcPr>
                <w:p w14:paraId="0B245A07">
                  <w:pPr>
                    <w:jc w:val="center"/>
                    <w:rPr>
                      <w:rFonts w:eastAsia="宋体"/>
                      <w:color w:val="auto"/>
                      <w:highlight w:val="none"/>
                    </w:rPr>
                  </w:pPr>
                </w:p>
              </w:tc>
              <w:tc>
                <w:tcPr>
                  <w:tcW w:w="635" w:type="dxa"/>
                  <w:tcBorders>
                    <w:top w:val="single" w:color="000000" w:sz="4" w:space="0"/>
                    <w:left w:val="single" w:color="auto" w:sz="4" w:space="0"/>
                    <w:bottom w:val="single" w:color="000000" w:sz="4" w:space="0"/>
                    <w:right w:val="single" w:color="000000" w:sz="4" w:space="0"/>
                  </w:tcBorders>
                  <w:noWrap w:val="0"/>
                  <w:vAlign w:val="center"/>
                </w:tcPr>
                <w:p w14:paraId="470C769C">
                  <w:pPr>
                    <w:jc w:val="center"/>
                    <w:rPr>
                      <w:color w:val="auto"/>
                      <w:highlight w:val="none"/>
                    </w:rPr>
                  </w:pPr>
                  <w:r>
                    <w:rPr>
                      <w:color w:val="auto"/>
                      <w:highlight w:val="none"/>
                    </w:rPr>
                    <w:t>m</w:t>
                  </w:r>
                </w:p>
              </w:tc>
              <w:tc>
                <w:tcPr>
                  <w:tcW w:w="788" w:type="dxa"/>
                  <w:tcBorders>
                    <w:top w:val="single" w:color="000000" w:sz="4" w:space="0"/>
                    <w:left w:val="single" w:color="000000" w:sz="4" w:space="0"/>
                    <w:bottom w:val="single" w:color="000000" w:sz="4" w:space="0"/>
                    <w:right w:val="single" w:color="000000" w:sz="4" w:space="0"/>
                  </w:tcBorders>
                  <w:noWrap w:val="0"/>
                  <w:vAlign w:val="center"/>
                </w:tcPr>
                <w:p w14:paraId="133FBCEB">
                  <w:pPr>
                    <w:jc w:val="center"/>
                    <w:rPr>
                      <w:color w:val="auto"/>
                      <w:highlight w:val="none"/>
                    </w:rPr>
                  </w:pPr>
                  <w:r>
                    <w:rPr>
                      <w:color w:val="auto"/>
                      <w:highlight w:val="none"/>
                    </w:rPr>
                    <w:t>m</w:t>
                  </w:r>
                </w:p>
              </w:tc>
              <w:tc>
                <w:tcPr>
                  <w:tcW w:w="703" w:type="dxa"/>
                  <w:tcBorders>
                    <w:top w:val="single" w:color="000000" w:sz="4" w:space="0"/>
                    <w:left w:val="single" w:color="000000" w:sz="4" w:space="0"/>
                    <w:bottom w:val="single" w:color="000000" w:sz="4" w:space="0"/>
                    <w:right w:val="single" w:color="000000" w:sz="4" w:space="0"/>
                  </w:tcBorders>
                  <w:noWrap w:val="0"/>
                  <w:vAlign w:val="center"/>
                </w:tcPr>
                <w:p w14:paraId="1FF7BCF4">
                  <w:pPr>
                    <w:jc w:val="center"/>
                    <w:rPr>
                      <w:color w:val="auto"/>
                      <w:highlight w:val="none"/>
                    </w:rPr>
                  </w:pPr>
                  <w:r>
                    <w:rPr>
                      <w:color w:val="auto"/>
                      <w:highlight w:val="none"/>
                    </w:rPr>
                    <w:t>m</w:t>
                  </w:r>
                </w:p>
              </w:tc>
              <w:tc>
                <w:tcPr>
                  <w:tcW w:w="24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7DEAB33B">
                  <w:pPr>
                    <w:widowControl/>
                    <w:jc w:val="left"/>
                    <w:rPr>
                      <w:color w:val="auto"/>
                      <w:highlight w:val="none"/>
                    </w:rPr>
                  </w:pPr>
                </w:p>
              </w:tc>
              <w:tc>
                <w:tcPr>
                  <w:tcW w:w="2137" w:type="dxa"/>
                  <w:tcBorders>
                    <w:top w:val="single" w:color="000000" w:sz="4" w:space="0"/>
                    <w:left w:val="single" w:color="000000" w:sz="4" w:space="0"/>
                    <w:bottom w:val="single" w:color="000000" w:sz="4" w:space="0"/>
                    <w:right w:val="single" w:color="000000" w:sz="4" w:space="0"/>
                  </w:tcBorders>
                  <w:noWrap w:val="0"/>
                  <w:vAlign w:val="center"/>
                </w:tcPr>
                <w:p w14:paraId="50ECE6C2">
                  <w:pPr>
                    <w:jc w:val="center"/>
                    <w:rPr>
                      <w:color w:val="auto"/>
                      <w:highlight w:val="none"/>
                    </w:rPr>
                  </w:pPr>
                  <w:r>
                    <w:rPr>
                      <w:color w:val="auto"/>
                      <w:highlight w:val="none"/>
                    </w:rPr>
                    <w:t>mg/m³</w:t>
                  </w:r>
                </w:p>
              </w:tc>
            </w:tr>
            <w:tr w14:paraId="7085EE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8" w:hRule="atLeast"/>
                <w:jc w:val="center"/>
              </w:trPr>
              <w:tc>
                <w:tcPr>
                  <w:tcW w:w="629" w:type="dxa"/>
                  <w:vMerge w:val="restart"/>
                  <w:tcBorders>
                    <w:left w:val="single" w:color="000000" w:sz="4" w:space="0"/>
                    <w:right w:val="single" w:color="000000" w:sz="4" w:space="0"/>
                  </w:tcBorders>
                  <w:noWrap w:val="0"/>
                  <w:vAlign w:val="center"/>
                </w:tcPr>
                <w:p w14:paraId="1DE202DA">
                  <w:pPr>
                    <w:widowControl/>
                    <w:jc w:val="left"/>
                    <w:rPr>
                      <w:rFonts w:hint="eastAsia" w:eastAsia="宋体"/>
                      <w:color w:val="auto"/>
                      <w:highlight w:val="none"/>
                      <w:lang w:eastAsia="zh-CN"/>
                    </w:rPr>
                  </w:pPr>
                  <w:r>
                    <w:rPr>
                      <w:rFonts w:hint="eastAsia"/>
                      <w:color w:val="auto"/>
                      <w:highlight w:val="none"/>
                      <w:lang w:eastAsia="zh-CN"/>
                    </w:rPr>
                    <w:t>生物质颗粒生产</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14:paraId="09F68035">
                  <w:pPr>
                    <w:adjustRightInd w:val="0"/>
                    <w:snapToGrid w:val="0"/>
                    <w:jc w:val="center"/>
                    <w:rPr>
                      <w:rFonts w:hint="eastAsia" w:cs="Times New Roman"/>
                      <w:color w:val="auto"/>
                      <w:highlight w:val="none"/>
                      <w:lang w:val="en-US" w:eastAsia="zh-CN"/>
                    </w:rPr>
                  </w:pPr>
                  <w:r>
                    <w:rPr>
                      <w:rFonts w:hint="eastAsia"/>
                      <w:color w:val="auto"/>
                      <w:highlight w:val="none"/>
                    </w:rPr>
                    <w:t>破碎、粉碎、制粒成型工序</w:t>
                  </w:r>
                </w:p>
              </w:tc>
              <w:tc>
                <w:tcPr>
                  <w:tcW w:w="827" w:type="dxa"/>
                  <w:tcBorders>
                    <w:top w:val="single" w:color="000000" w:sz="4" w:space="0"/>
                    <w:left w:val="single" w:color="000000" w:sz="4" w:space="0"/>
                    <w:bottom w:val="single" w:color="000000" w:sz="4" w:space="0"/>
                    <w:right w:val="single" w:color="000000" w:sz="4" w:space="0"/>
                  </w:tcBorders>
                  <w:noWrap w:val="0"/>
                  <w:vAlign w:val="center"/>
                </w:tcPr>
                <w:p w14:paraId="7BF24A0D">
                  <w:pPr>
                    <w:jc w:val="center"/>
                    <w:rPr>
                      <w:rFonts w:hint="eastAsia" w:eastAsia="宋体"/>
                      <w:color w:val="auto"/>
                      <w:highlight w:val="none"/>
                      <w:lang w:val="en-US" w:eastAsia="zh-CN"/>
                    </w:rPr>
                  </w:pPr>
                  <w:r>
                    <w:rPr>
                      <w:rFonts w:hint="eastAsia" w:eastAsia="宋体"/>
                      <w:color w:val="auto"/>
                      <w:highlight w:val="none"/>
                      <w:lang w:val="en-US" w:eastAsia="zh-CN"/>
                    </w:rPr>
                    <w:t>颗粒物</w:t>
                  </w:r>
                </w:p>
              </w:tc>
              <w:tc>
                <w:tcPr>
                  <w:tcW w:w="1465" w:type="dxa"/>
                  <w:tcBorders>
                    <w:top w:val="single" w:color="000000" w:sz="4" w:space="0"/>
                    <w:left w:val="single" w:color="000000" w:sz="4" w:space="0"/>
                    <w:bottom w:val="single" w:color="000000" w:sz="4" w:space="0"/>
                    <w:right w:val="single" w:color="000000" w:sz="4" w:space="0"/>
                  </w:tcBorders>
                  <w:noWrap w:val="0"/>
                  <w:vAlign w:val="center"/>
                </w:tcPr>
                <w:p w14:paraId="21CEF1D9">
                  <w:pPr>
                    <w:jc w:val="center"/>
                    <w:rPr>
                      <w:rFonts w:hint="default" w:cs="Times New Roman"/>
                      <w:color w:val="auto"/>
                      <w:highlight w:val="none"/>
                      <w:lang w:val="en-US" w:eastAsia="zh-CN"/>
                    </w:rPr>
                  </w:pPr>
                  <w:r>
                    <w:rPr>
                      <w:rFonts w:hint="eastAsia" w:cs="Times New Roman"/>
                      <w:color w:val="auto"/>
                      <w:highlight w:val="none"/>
                      <w:lang w:val="en-US" w:eastAsia="zh-CN"/>
                    </w:rPr>
                    <w:t>13.38</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14:paraId="0D0C86BC">
                  <w:pPr>
                    <w:jc w:val="center"/>
                    <w:rPr>
                      <w:rFonts w:hint="eastAsia" w:eastAsia="宋体"/>
                      <w:color w:val="auto"/>
                      <w:highlight w:val="none"/>
                    </w:rPr>
                  </w:pPr>
                  <w:r>
                    <w:rPr>
                      <w:rFonts w:hint="eastAsia"/>
                      <w:color w:val="auto"/>
                      <w:highlight w:val="none"/>
                      <w:lang w:eastAsia="zh-CN"/>
                    </w:rPr>
                    <w:t>加强车间通风</w:t>
                  </w:r>
                </w:p>
              </w:tc>
              <w:tc>
                <w:tcPr>
                  <w:tcW w:w="823" w:type="dxa"/>
                  <w:tcBorders>
                    <w:top w:val="single" w:color="000000" w:sz="4" w:space="0"/>
                    <w:left w:val="single" w:color="000000" w:sz="4" w:space="0"/>
                    <w:bottom w:val="single" w:color="000000" w:sz="4" w:space="0"/>
                    <w:right w:val="single" w:color="auto" w:sz="4" w:space="0"/>
                  </w:tcBorders>
                  <w:noWrap w:val="0"/>
                  <w:vAlign w:val="center"/>
                </w:tcPr>
                <w:p w14:paraId="28E6B5BB">
                  <w:pPr>
                    <w:jc w:val="center"/>
                    <w:rPr>
                      <w:rFonts w:hint="default" w:cs="Times New Roman"/>
                      <w:color w:val="auto"/>
                      <w:highlight w:val="none"/>
                      <w:lang w:val="en-US" w:eastAsia="zh-CN"/>
                    </w:rPr>
                  </w:pPr>
                  <w:r>
                    <w:rPr>
                      <w:rFonts w:hint="eastAsia" w:cs="Times New Roman"/>
                      <w:color w:val="auto"/>
                      <w:highlight w:val="none"/>
                      <w:lang w:val="en-US" w:eastAsia="zh-CN"/>
                    </w:rPr>
                    <w:t>13.38</w:t>
                  </w:r>
                </w:p>
              </w:tc>
              <w:tc>
                <w:tcPr>
                  <w:tcW w:w="635" w:type="dxa"/>
                  <w:tcBorders>
                    <w:top w:val="single" w:color="000000" w:sz="4" w:space="0"/>
                    <w:left w:val="single" w:color="auto" w:sz="4" w:space="0"/>
                    <w:bottom w:val="single" w:color="000000" w:sz="4" w:space="0"/>
                    <w:right w:val="single" w:color="000000" w:sz="4" w:space="0"/>
                  </w:tcBorders>
                  <w:noWrap w:val="0"/>
                  <w:vAlign w:val="center"/>
                </w:tcPr>
                <w:p w14:paraId="16367309">
                  <w:pPr>
                    <w:jc w:val="center"/>
                    <w:rPr>
                      <w:rFonts w:hint="default"/>
                      <w:color w:val="auto"/>
                      <w:highlight w:val="none"/>
                      <w:lang w:val="en-US" w:eastAsia="zh-CN"/>
                    </w:rPr>
                  </w:pPr>
                  <w:r>
                    <w:rPr>
                      <w:rFonts w:hint="eastAsia"/>
                      <w:color w:val="auto"/>
                      <w:highlight w:val="none"/>
                      <w:lang w:val="en-US" w:eastAsia="zh-CN"/>
                    </w:rPr>
                    <w:t>85</w:t>
                  </w:r>
                </w:p>
              </w:tc>
              <w:tc>
                <w:tcPr>
                  <w:tcW w:w="788" w:type="dxa"/>
                  <w:tcBorders>
                    <w:top w:val="single" w:color="000000" w:sz="4" w:space="0"/>
                    <w:left w:val="single" w:color="000000" w:sz="4" w:space="0"/>
                    <w:bottom w:val="single" w:color="000000" w:sz="4" w:space="0"/>
                    <w:right w:val="single" w:color="000000" w:sz="4" w:space="0"/>
                  </w:tcBorders>
                  <w:noWrap w:val="0"/>
                  <w:vAlign w:val="center"/>
                </w:tcPr>
                <w:p w14:paraId="6301A82D">
                  <w:pPr>
                    <w:jc w:val="center"/>
                    <w:rPr>
                      <w:rFonts w:hint="default"/>
                      <w:color w:val="auto"/>
                      <w:highlight w:val="none"/>
                      <w:lang w:val="en-US" w:eastAsia="zh-CN"/>
                    </w:rPr>
                  </w:pPr>
                  <w:r>
                    <w:rPr>
                      <w:rFonts w:hint="eastAsia"/>
                      <w:color w:val="auto"/>
                      <w:highlight w:val="none"/>
                      <w:lang w:val="en-US" w:eastAsia="zh-CN"/>
                    </w:rPr>
                    <w:t>47</w:t>
                  </w:r>
                </w:p>
              </w:tc>
              <w:tc>
                <w:tcPr>
                  <w:tcW w:w="703" w:type="dxa"/>
                  <w:tcBorders>
                    <w:top w:val="single" w:color="000000" w:sz="4" w:space="0"/>
                    <w:left w:val="single" w:color="000000" w:sz="4" w:space="0"/>
                    <w:bottom w:val="single" w:color="000000" w:sz="4" w:space="0"/>
                    <w:right w:val="single" w:color="000000" w:sz="4" w:space="0"/>
                  </w:tcBorders>
                  <w:noWrap w:val="0"/>
                  <w:vAlign w:val="center"/>
                </w:tcPr>
                <w:p w14:paraId="3FB0063B">
                  <w:pPr>
                    <w:jc w:val="center"/>
                    <w:rPr>
                      <w:rFonts w:hint="default"/>
                      <w:color w:val="auto"/>
                      <w:highlight w:val="none"/>
                      <w:lang w:val="en-US" w:eastAsia="zh-CN"/>
                    </w:rPr>
                  </w:pPr>
                  <w:r>
                    <w:rPr>
                      <w:rFonts w:hint="eastAsia"/>
                      <w:color w:val="auto"/>
                      <w:highlight w:val="none"/>
                      <w:lang w:val="en-US" w:eastAsia="zh-CN"/>
                    </w:rPr>
                    <w:t>10</w:t>
                  </w:r>
                </w:p>
              </w:tc>
              <w:tc>
                <w:tcPr>
                  <w:tcW w:w="2452" w:type="dxa"/>
                  <w:tcBorders>
                    <w:top w:val="single" w:color="000000" w:sz="4" w:space="0"/>
                    <w:left w:val="single" w:color="000000" w:sz="4" w:space="0"/>
                    <w:bottom w:val="single" w:color="000000" w:sz="4" w:space="0"/>
                    <w:right w:val="single" w:color="000000" w:sz="4" w:space="0"/>
                  </w:tcBorders>
                  <w:noWrap w:val="0"/>
                  <w:vAlign w:val="center"/>
                </w:tcPr>
                <w:p w14:paraId="6134127C">
                  <w:pPr>
                    <w:jc w:val="center"/>
                    <w:rPr>
                      <w:rFonts w:hint="eastAsia" w:eastAsia="宋体"/>
                      <w:color w:val="auto"/>
                      <w:highlight w:val="none"/>
                      <w:lang w:val="en-US" w:eastAsia="zh-CN"/>
                    </w:rPr>
                  </w:pPr>
                  <w:r>
                    <w:rPr>
                      <w:rFonts w:hint="eastAsia" w:ascii="宋体" w:hAnsi="宋体" w:cs="宋体"/>
                      <w:color w:val="auto"/>
                      <w:highlight w:val="none"/>
                    </w:rPr>
                    <w:t>《大气污染物综合排放标准》（</w:t>
                  </w:r>
                  <w:r>
                    <w:rPr>
                      <w:rFonts w:ascii="宋体" w:hAnsi="宋体" w:cs="宋体"/>
                      <w:color w:val="auto"/>
                      <w:highlight w:val="none"/>
                    </w:rPr>
                    <w:t>GB16297-1996</w:t>
                  </w:r>
                  <w:r>
                    <w:rPr>
                      <w:rFonts w:hint="eastAsia" w:ascii="宋体" w:hAnsi="宋体" w:cs="宋体"/>
                      <w:color w:val="auto"/>
                      <w:highlight w:val="none"/>
                    </w:rPr>
                    <w:t>）</w:t>
                  </w:r>
                </w:p>
              </w:tc>
              <w:tc>
                <w:tcPr>
                  <w:tcW w:w="2137" w:type="dxa"/>
                  <w:tcBorders>
                    <w:top w:val="single" w:color="000000" w:sz="4" w:space="0"/>
                    <w:left w:val="single" w:color="000000" w:sz="4" w:space="0"/>
                    <w:bottom w:val="single" w:color="000000" w:sz="4" w:space="0"/>
                    <w:right w:val="single" w:color="000000" w:sz="4" w:space="0"/>
                  </w:tcBorders>
                  <w:noWrap w:val="0"/>
                  <w:vAlign w:val="center"/>
                </w:tcPr>
                <w:p w14:paraId="4FCEFC8F">
                  <w:pPr>
                    <w:jc w:val="center"/>
                    <w:rPr>
                      <w:color w:val="auto"/>
                      <w:highlight w:val="none"/>
                    </w:rPr>
                  </w:pPr>
                  <w:r>
                    <w:rPr>
                      <w:rFonts w:hint="eastAsia"/>
                      <w:color w:val="auto"/>
                      <w:highlight w:val="none"/>
                      <w:lang w:val="en-US" w:eastAsia="zh-CN"/>
                    </w:rPr>
                    <w:t>1</w:t>
                  </w:r>
                  <w:r>
                    <w:rPr>
                      <w:color w:val="auto"/>
                      <w:highlight w:val="none"/>
                    </w:rPr>
                    <w:t>.0</w:t>
                  </w:r>
                </w:p>
              </w:tc>
            </w:tr>
            <w:tr w14:paraId="0F9CEF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1" w:hRule="atLeast"/>
                <w:jc w:val="center"/>
              </w:trPr>
              <w:tc>
                <w:tcPr>
                  <w:tcW w:w="629" w:type="dxa"/>
                  <w:vMerge w:val="continue"/>
                  <w:tcBorders>
                    <w:left w:val="single" w:color="000000" w:sz="4" w:space="0"/>
                    <w:right w:val="single" w:color="000000" w:sz="4" w:space="0"/>
                  </w:tcBorders>
                  <w:noWrap w:val="0"/>
                  <w:vAlign w:val="center"/>
                </w:tcPr>
                <w:p w14:paraId="7F792400">
                  <w:pPr>
                    <w:widowControl/>
                    <w:jc w:val="left"/>
                    <w:rPr>
                      <w:rFonts w:hint="eastAsia" w:eastAsia="宋体"/>
                      <w:color w:val="auto"/>
                      <w:highlight w:val="none"/>
                      <w:lang w:eastAsia="zh-CN"/>
                    </w:rPr>
                  </w:pPr>
                </w:p>
              </w:tc>
              <w:tc>
                <w:tcPr>
                  <w:tcW w:w="941" w:type="dxa"/>
                  <w:tcBorders>
                    <w:top w:val="single" w:color="000000" w:sz="4" w:space="0"/>
                    <w:left w:val="single" w:color="000000" w:sz="4" w:space="0"/>
                    <w:bottom w:val="single" w:color="000000" w:sz="4" w:space="0"/>
                    <w:right w:val="single" w:color="000000" w:sz="4" w:space="0"/>
                  </w:tcBorders>
                  <w:noWrap w:val="0"/>
                  <w:vAlign w:val="center"/>
                </w:tcPr>
                <w:p w14:paraId="6F9CB1E2">
                  <w:pPr>
                    <w:adjustRightInd w:val="0"/>
                    <w:snapToGrid w:val="0"/>
                    <w:jc w:val="center"/>
                    <w:rPr>
                      <w:rFonts w:hint="eastAsia" w:eastAsia="宋体"/>
                      <w:color w:val="auto"/>
                      <w:highlight w:val="none"/>
                      <w:lang w:eastAsia="zh-CN"/>
                    </w:rPr>
                  </w:pPr>
                  <w:r>
                    <w:rPr>
                      <w:rFonts w:hint="eastAsia"/>
                      <w:color w:val="auto"/>
                      <w:highlight w:val="none"/>
                      <w:lang w:eastAsia="zh-CN"/>
                    </w:rPr>
                    <w:t>原料装卸、输送</w:t>
                  </w:r>
                </w:p>
              </w:tc>
              <w:tc>
                <w:tcPr>
                  <w:tcW w:w="827" w:type="dxa"/>
                  <w:tcBorders>
                    <w:top w:val="single" w:color="000000" w:sz="4" w:space="0"/>
                    <w:left w:val="single" w:color="000000" w:sz="4" w:space="0"/>
                    <w:bottom w:val="single" w:color="000000" w:sz="4" w:space="0"/>
                    <w:right w:val="single" w:color="000000" w:sz="4" w:space="0"/>
                  </w:tcBorders>
                  <w:noWrap w:val="0"/>
                  <w:vAlign w:val="center"/>
                </w:tcPr>
                <w:p w14:paraId="421683A1">
                  <w:pPr>
                    <w:jc w:val="center"/>
                    <w:rPr>
                      <w:rFonts w:hint="eastAsia" w:eastAsia="宋体"/>
                      <w:color w:val="auto"/>
                      <w:highlight w:val="none"/>
                      <w:lang w:val="en-US" w:eastAsia="zh-CN"/>
                    </w:rPr>
                  </w:pPr>
                  <w:r>
                    <w:rPr>
                      <w:rFonts w:hint="eastAsia" w:eastAsia="宋体"/>
                      <w:color w:val="auto"/>
                      <w:highlight w:val="none"/>
                      <w:lang w:val="en-US" w:eastAsia="zh-CN"/>
                    </w:rPr>
                    <w:t>颗粒物</w:t>
                  </w:r>
                </w:p>
              </w:tc>
              <w:tc>
                <w:tcPr>
                  <w:tcW w:w="1465" w:type="dxa"/>
                  <w:tcBorders>
                    <w:top w:val="single" w:color="000000" w:sz="4" w:space="0"/>
                    <w:left w:val="single" w:color="000000" w:sz="4" w:space="0"/>
                    <w:bottom w:val="single" w:color="000000" w:sz="4" w:space="0"/>
                    <w:right w:val="single" w:color="000000" w:sz="4" w:space="0"/>
                  </w:tcBorders>
                  <w:noWrap w:val="0"/>
                  <w:vAlign w:val="center"/>
                </w:tcPr>
                <w:p w14:paraId="32A070B4">
                  <w:pPr>
                    <w:jc w:val="center"/>
                    <w:rPr>
                      <w:rFonts w:hint="default" w:cs="Times New Roman"/>
                      <w:color w:val="auto"/>
                      <w:highlight w:val="none"/>
                      <w:lang w:val="en-US" w:eastAsia="zh-CN"/>
                    </w:rPr>
                  </w:pPr>
                  <w:r>
                    <w:rPr>
                      <w:rFonts w:hint="eastAsia" w:cs="Times New Roman"/>
                      <w:color w:val="auto"/>
                      <w:highlight w:val="none"/>
                      <w:lang w:val="en-US" w:eastAsia="zh-CN"/>
                    </w:rPr>
                    <w:t>2.01</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14:paraId="5857A24F">
                  <w:pPr>
                    <w:jc w:val="center"/>
                    <w:rPr>
                      <w:rFonts w:hint="eastAsia"/>
                      <w:color w:val="auto"/>
                      <w:highlight w:val="none"/>
                      <w:lang w:eastAsia="zh-CN"/>
                    </w:rPr>
                  </w:pPr>
                  <w:r>
                    <w:rPr>
                      <w:rFonts w:hint="eastAsia"/>
                      <w:color w:val="auto"/>
                      <w:highlight w:val="none"/>
                      <w:lang w:eastAsia="zh-CN"/>
                    </w:rPr>
                    <w:t>物料库封闭；输送带做密闭处理</w:t>
                  </w:r>
                </w:p>
              </w:tc>
              <w:tc>
                <w:tcPr>
                  <w:tcW w:w="823" w:type="dxa"/>
                  <w:tcBorders>
                    <w:top w:val="single" w:color="000000" w:sz="4" w:space="0"/>
                    <w:left w:val="single" w:color="000000" w:sz="4" w:space="0"/>
                    <w:bottom w:val="single" w:color="000000" w:sz="4" w:space="0"/>
                    <w:right w:val="single" w:color="auto" w:sz="4" w:space="0"/>
                  </w:tcBorders>
                  <w:noWrap w:val="0"/>
                  <w:vAlign w:val="center"/>
                </w:tcPr>
                <w:p w14:paraId="0CF74677">
                  <w:pPr>
                    <w:jc w:val="center"/>
                    <w:rPr>
                      <w:rFonts w:hint="default" w:cs="Times New Roman"/>
                      <w:color w:val="auto"/>
                      <w:highlight w:val="none"/>
                      <w:lang w:val="en-US" w:eastAsia="zh-CN"/>
                    </w:rPr>
                  </w:pPr>
                  <w:r>
                    <w:rPr>
                      <w:rFonts w:hint="eastAsia" w:cs="Times New Roman"/>
                      <w:color w:val="auto"/>
                      <w:highlight w:val="none"/>
                      <w:lang w:val="en-US" w:eastAsia="zh-CN"/>
                    </w:rPr>
                    <w:t xml:space="preserve"> 0.402</w:t>
                  </w:r>
                </w:p>
              </w:tc>
              <w:tc>
                <w:tcPr>
                  <w:tcW w:w="635" w:type="dxa"/>
                  <w:tcBorders>
                    <w:top w:val="single" w:color="000000" w:sz="4" w:space="0"/>
                    <w:left w:val="single" w:color="auto" w:sz="4" w:space="0"/>
                    <w:bottom w:val="single" w:color="000000" w:sz="4" w:space="0"/>
                    <w:right w:val="single" w:color="000000" w:sz="4" w:space="0"/>
                  </w:tcBorders>
                  <w:noWrap w:val="0"/>
                  <w:vAlign w:val="center"/>
                </w:tcPr>
                <w:p w14:paraId="5C3E2621">
                  <w:pPr>
                    <w:jc w:val="center"/>
                    <w:rPr>
                      <w:rFonts w:hint="default"/>
                      <w:color w:val="auto"/>
                      <w:highlight w:val="none"/>
                      <w:lang w:val="en-US" w:eastAsia="zh-CN"/>
                    </w:rPr>
                  </w:pPr>
                  <w:r>
                    <w:rPr>
                      <w:rFonts w:hint="eastAsia"/>
                      <w:color w:val="auto"/>
                      <w:highlight w:val="none"/>
                      <w:lang w:val="en-US" w:eastAsia="zh-CN"/>
                    </w:rPr>
                    <w:t>133</w:t>
                  </w:r>
                </w:p>
              </w:tc>
              <w:tc>
                <w:tcPr>
                  <w:tcW w:w="788" w:type="dxa"/>
                  <w:tcBorders>
                    <w:top w:val="single" w:color="000000" w:sz="4" w:space="0"/>
                    <w:left w:val="single" w:color="000000" w:sz="4" w:space="0"/>
                    <w:bottom w:val="single" w:color="000000" w:sz="4" w:space="0"/>
                    <w:right w:val="single" w:color="000000" w:sz="4" w:space="0"/>
                  </w:tcBorders>
                  <w:noWrap w:val="0"/>
                  <w:vAlign w:val="center"/>
                </w:tcPr>
                <w:p w14:paraId="1AFDDE8C">
                  <w:pPr>
                    <w:jc w:val="center"/>
                    <w:rPr>
                      <w:rFonts w:hint="default"/>
                      <w:color w:val="auto"/>
                      <w:highlight w:val="none"/>
                      <w:lang w:val="en-US" w:eastAsia="zh-CN"/>
                    </w:rPr>
                  </w:pPr>
                  <w:r>
                    <w:rPr>
                      <w:rFonts w:hint="eastAsia"/>
                      <w:color w:val="auto"/>
                      <w:highlight w:val="none"/>
                      <w:lang w:val="en-US" w:eastAsia="zh-CN"/>
                    </w:rPr>
                    <w:t>75</w:t>
                  </w:r>
                </w:p>
              </w:tc>
              <w:tc>
                <w:tcPr>
                  <w:tcW w:w="703" w:type="dxa"/>
                  <w:tcBorders>
                    <w:top w:val="single" w:color="000000" w:sz="4" w:space="0"/>
                    <w:left w:val="single" w:color="000000" w:sz="4" w:space="0"/>
                    <w:bottom w:val="single" w:color="000000" w:sz="4" w:space="0"/>
                    <w:right w:val="single" w:color="000000" w:sz="4" w:space="0"/>
                  </w:tcBorders>
                  <w:noWrap w:val="0"/>
                  <w:vAlign w:val="center"/>
                </w:tcPr>
                <w:p w14:paraId="43E38CB4">
                  <w:pPr>
                    <w:jc w:val="center"/>
                    <w:rPr>
                      <w:rFonts w:hint="default"/>
                      <w:color w:val="auto"/>
                      <w:highlight w:val="none"/>
                      <w:lang w:val="en-US" w:eastAsia="zh-CN"/>
                    </w:rPr>
                  </w:pPr>
                  <w:r>
                    <w:rPr>
                      <w:rFonts w:hint="eastAsia"/>
                      <w:color w:val="auto"/>
                      <w:highlight w:val="none"/>
                      <w:lang w:val="en-US" w:eastAsia="zh-CN"/>
                    </w:rPr>
                    <w:t>10</w:t>
                  </w:r>
                </w:p>
              </w:tc>
              <w:tc>
                <w:tcPr>
                  <w:tcW w:w="2452" w:type="dxa"/>
                  <w:tcBorders>
                    <w:top w:val="single" w:color="000000" w:sz="4" w:space="0"/>
                    <w:left w:val="single" w:color="000000" w:sz="4" w:space="0"/>
                    <w:bottom w:val="single" w:color="000000" w:sz="4" w:space="0"/>
                    <w:right w:val="single" w:color="000000" w:sz="4" w:space="0"/>
                  </w:tcBorders>
                  <w:noWrap w:val="0"/>
                  <w:vAlign w:val="center"/>
                </w:tcPr>
                <w:p w14:paraId="17458968">
                  <w:pPr>
                    <w:jc w:val="center"/>
                    <w:rPr>
                      <w:rFonts w:hint="eastAsia" w:ascii="宋体" w:hAnsi="宋体" w:cs="宋体"/>
                      <w:color w:val="auto"/>
                      <w:highlight w:val="none"/>
                    </w:rPr>
                  </w:pPr>
                  <w:r>
                    <w:rPr>
                      <w:rFonts w:hint="eastAsia" w:ascii="宋体" w:hAnsi="宋体" w:cs="宋体"/>
                      <w:color w:val="auto"/>
                      <w:highlight w:val="none"/>
                    </w:rPr>
                    <w:t>《大气污染物综合排放标准》（</w:t>
                  </w:r>
                  <w:r>
                    <w:rPr>
                      <w:rFonts w:ascii="宋体" w:hAnsi="宋体" w:cs="宋体"/>
                      <w:color w:val="auto"/>
                      <w:highlight w:val="none"/>
                    </w:rPr>
                    <w:t>GB16297-1996</w:t>
                  </w:r>
                  <w:r>
                    <w:rPr>
                      <w:rFonts w:hint="eastAsia" w:ascii="宋体" w:hAnsi="宋体" w:cs="宋体"/>
                      <w:color w:val="auto"/>
                      <w:highlight w:val="none"/>
                    </w:rPr>
                    <w:t>）</w:t>
                  </w:r>
                </w:p>
              </w:tc>
              <w:tc>
                <w:tcPr>
                  <w:tcW w:w="2137" w:type="dxa"/>
                  <w:tcBorders>
                    <w:top w:val="single" w:color="000000" w:sz="4" w:space="0"/>
                    <w:left w:val="single" w:color="000000" w:sz="4" w:space="0"/>
                    <w:bottom w:val="single" w:color="000000" w:sz="4" w:space="0"/>
                    <w:right w:val="single" w:color="000000" w:sz="4" w:space="0"/>
                  </w:tcBorders>
                  <w:noWrap w:val="0"/>
                  <w:vAlign w:val="center"/>
                </w:tcPr>
                <w:p w14:paraId="6DF74C5D">
                  <w:pPr>
                    <w:jc w:val="center"/>
                    <w:rPr>
                      <w:rFonts w:hint="eastAsia"/>
                      <w:color w:val="auto"/>
                      <w:highlight w:val="none"/>
                      <w:lang w:val="en-US" w:eastAsia="zh-CN"/>
                    </w:rPr>
                  </w:pPr>
                  <w:r>
                    <w:rPr>
                      <w:rFonts w:hint="eastAsia"/>
                      <w:color w:val="auto"/>
                      <w:highlight w:val="none"/>
                      <w:lang w:val="en-US" w:eastAsia="zh-CN"/>
                    </w:rPr>
                    <w:t>1</w:t>
                  </w:r>
                  <w:r>
                    <w:rPr>
                      <w:color w:val="auto"/>
                      <w:highlight w:val="none"/>
                    </w:rPr>
                    <w:t>.0</w:t>
                  </w:r>
                </w:p>
              </w:tc>
            </w:tr>
            <w:tr w14:paraId="636CC7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9" w:hRule="atLeast"/>
                <w:jc w:val="center"/>
              </w:trPr>
              <w:tc>
                <w:tcPr>
                  <w:tcW w:w="629" w:type="dxa"/>
                  <w:vMerge w:val="continue"/>
                  <w:tcBorders>
                    <w:left w:val="single" w:color="000000" w:sz="4" w:space="0"/>
                    <w:right w:val="single" w:color="000000" w:sz="4" w:space="0"/>
                  </w:tcBorders>
                  <w:noWrap w:val="0"/>
                  <w:vAlign w:val="center"/>
                </w:tcPr>
                <w:p w14:paraId="054946B3">
                  <w:pPr>
                    <w:widowControl/>
                    <w:jc w:val="left"/>
                    <w:rPr>
                      <w:rFonts w:hint="eastAsia"/>
                      <w:color w:val="auto"/>
                      <w:highlight w:val="none"/>
                      <w:lang w:eastAsia="zh-CN"/>
                    </w:rPr>
                  </w:pPr>
                </w:p>
              </w:tc>
              <w:tc>
                <w:tcPr>
                  <w:tcW w:w="941" w:type="dxa"/>
                  <w:vMerge w:val="restart"/>
                  <w:tcBorders>
                    <w:top w:val="single" w:color="000000" w:sz="4" w:space="0"/>
                    <w:left w:val="single" w:color="000000" w:sz="4" w:space="0"/>
                    <w:right w:val="single" w:color="000000" w:sz="4" w:space="0"/>
                  </w:tcBorders>
                  <w:noWrap w:val="0"/>
                  <w:vAlign w:val="center"/>
                </w:tcPr>
                <w:p w14:paraId="788A49F0">
                  <w:pPr>
                    <w:adjustRightInd w:val="0"/>
                    <w:snapToGrid w:val="0"/>
                    <w:jc w:val="center"/>
                    <w:rPr>
                      <w:rFonts w:hint="eastAsia"/>
                      <w:color w:val="auto"/>
                      <w:highlight w:val="none"/>
                      <w:lang w:eastAsia="zh-CN"/>
                    </w:rPr>
                  </w:pPr>
                  <w:r>
                    <w:rPr>
                      <w:rFonts w:hint="eastAsia"/>
                      <w:color w:val="auto"/>
                      <w:highlight w:val="none"/>
                      <w:lang w:eastAsia="zh-CN"/>
                    </w:rPr>
                    <w:t>车辆运输</w:t>
                  </w:r>
                </w:p>
              </w:tc>
              <w:tc>
                <w:tcPr>
                  <w:tcW w:w="827" w:type="dxa"/>
                  <w:tcBorders>
                    <w:top w:val="single" w:color="000000" w:sz="4" w:space="0"/>
                    <w:left w:val="single" w:color="000000" w:sz="4" w:space="0"/>
                    <w:bottom w:val="single" w:color="000000" w:sz="4" w:space="0"/>
                    <w:right w:val="single" w:color="000000" w:sz="4" w:space="0"/>
                  </w:tcBorders>
                  <w:noWrap w:val="0"/>
                  <w:vAlign w:val="center"/>
                </w:tcPr>
                <w:p w14:paraId="7B34291E">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扬尘</w:t>
                  </w:r>
                </w:p>
              </w:tc>
              <w:tc>
                <w:tcPr>
                  <w:tcW w:w="1465" w:type="dxa"/>
                  <w:tcBorders>
                    <w:top w:val="single" w:color="000000" w:sz="4" w:space="0"/>
                    <w:left w:val="single" w:color="000000" w:sz="4" w:space="0"/>
                    <w:right w:val="single" w:color="000000" w:sz="4" w:space="0"/>
                  </w:tcBorders>
                  <w:noWrap w:val="0"/>
                  <w:vAlign w:val="center"/>
                </w:tcPr>
                <w:p w14:paraId="156673F0">
                  <w:pPr>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0.07</w:t>
                  </w:r>
                </w:p>
              </w:tc>
              <w:tc>
                <w:tcPr>
                  <w:tcW w:w="1297" w:type="dxa"/>
                  <w:vMerge w:val="restart"/>
                  <w:tcBorders>
                    <w:top w:val="single" w:color="000000" w:sz="4" w:space="0"/>
                    <w:left w:val="single" w:color="000000" w:sz="4" w:space="0"/>
                    <w:right w:val="single" w:color="000000" w:sz="4" w:space="0"/>
                  </w:tcBorders>
                  <w:noWrap w:val="0"/>
                  <w:vAlign w:val="center"/>
                </w:tcPr>
                <w:p w14:paraId="4AC3C6CF">
                  <w:pPr>
                    <w:jc w:val="center"/>
                    <w:rPr>
                      <w:rFonts w:hint="eastAsia"/>
                      <w:color w:val="auto"/>
                      <w:highlight w:val="none"/>
                      <w:lang w:eastAsia="zh-CN"/>
                    </w:rPr>
                  </w:pPr>
                  <w:r>
                    <w:rPr>
                      <w:rFonts w:hint="eastAsia"/>
                      <w:color w:val="auto"/>
                      <w:highlight w:val="none"/>
                      <w:lang w:eastAsia="zh-CN"/>
                    </w:rPr>
                    <w:t>设置车辆洗车平台，厂区内道路路面硬化、定期清扫</w:t>
                  </w:r>
                </w:p>
              </w:tc>
              <w:tc>
                <w:tcPr>
                  <w:tcW w:w="823" w:type="dxa"/>
                  <w:tcBorders>
                    <w:top w:val="single" w:color="000000" w:sz="4" w:space="0"/>
                    <w:left w:val="single" w:color="000000" w:sz="4" w:space="0"/>
                    <w:right w:val="single" w:color="auto" w:sz="4" w:space="0"/>
                  </w:tcBorders>
                  <w:noWrap w:val="0"/>
                  <w:vAlign w:val="center"/>
                </w:tcPr>
                <w:p w14:paraId="1F19FB6B">
                  <w:pPr>
                    <w:jc w:val="center"/>
                    <w:rPr>
                      <w:rFonts w:hint="default" w:cs="Times New Roman"/>
                      <w:color w:val="auto"/>
                      <w:highlight w:val="none"/>
                      <w:lang w:val="en-US" w:eastAsia="zh-CN"/>
                    </w:rPr>
                  </w:pPr>
                  <w:r>
                    <w:rPr>
                      <w:rFonts w:hint="eastAsia" w:cs="Times New Roman"/>
                      <w:color w:val="auto"/>
                      <w:highlight w:val="none"/>
                      <w:lang w:val="en-US" w:eastAsia="zh-CN"/>
                    </w:rPr>
                    <w:t>0.007</w:t>
                  </w:r>
                </w:p>
              </w:tc>
              <w:tc>
                <w:tcPr>
                  <w:tcW w:w="635" w:type="dxa"/>
                  <w:tcBorders>
                    <w:top w:val="single" w:color="000000" w:sz="4" w:space="0"/>
                    <w:left w:val="single" w:color="auto" w:sz="4" w:space="0"/>
                    <w:right w:val="single" w:color="000000" w:sz="4" w:space="0"/>
                  </w:tcBorders>
                  <w:noWrap w:val="0"/>
                  <w:vAlign w:val="center"/>
                </w:tcPr>
                <w:p w14:paraId="00CBCAFB">
                  <w:pPr>
                    <w:jc w:val="center"/>
                    <w:rPr>
                      <w:rFonts w:hint="default"/>
                      <w:color w:val="auto"/>
                      <w:highlight w:val="none"/>
                      <w:lang w:val="en-US" w:eastAsia="zh-CN"/>
                    </w:rPr>
                  </w:pPr>
                  <w:r>
                    <w:rPr>
                      <w:rFonts w:hint="eastAsia"/>
                      <w:color w:val="auto"/>
                      <w:highlight w:val="none"/>
                      <w:lang w:val="en-US" w:eastAsia="zh-CN"/>
                    </w:rPr>
                    <w:t>/</w:t>
                  </w:r>
                </w:p>
              </w:tc>
              <w:tc>
                <w:tcPr>
                  <w:tcW w:w="788" w:type="dxa"/>
                  <w:tcBorders>
                    <w:top w:val="single" w:color="000000" w:sz="4" w:space="0"/>
                    <w:left w:val="single" w:color="000000" w:sz="4" w:space="0"/>
                    <w:right w:val="single" w:color="000000" w:sz="4" w:space="0"/>
                  </w:tcBorders>
                  <w:noWrap w:val="0"/>
                  <w:vAlign w:val="center"/>
                </w:tcPr>
                <w:p w14:paraId="56CC8A36">
                  <w:pPr>
                    <w:jc w:val="center"/>
                    <w:rPr>
                      <w:rFonts w:hint="default"/>
                      <w:color w:val="auto"/>
                      <w:highlight w:val="none"/>
                      <w:lang w:val="en-US" w:eastAsia="zh-CN"/>
                    </w:rPr>
                  </w:pPr>
                  <w:r>
                    <w:rPr>
                      <w:rFonts w:hint="eastAsia"/>
                      <w:color w:val="auto"/>
                      <w:highlight w:val="none"/>
                      <w:lang w:val="en-US" w:eastAsia="zh-CN"/>
                    </w:rPr>
                    <w:t>/</w:t>
                  </w:r>
                </w:p>
              </w:tc>
              <w:tc>
                <w:tcPr>
                  <w:tcW w:w="703" w:type="dxa"/>
                  <w:tcBorders>
                    <w:top w:val="single" w:color="000000" w:sz="4" w:space="0"/>
                    <w:left w:val="single" w:color="000000" w:sz="4" w:space="0"/>
                    <w:right w:val="single" w:color="000000" w:sz="4" w:space="0"/>
                  </w:tcBorders>
                  <w:noWrap w:val="0"/>
                  <w:vAlign w:val="center"/>
                </w:tcPr>
                <w:p w14:paraId="01458706">
                  <w:pPr>
                    <w:jc w:val="center"/>
                    <w:rPr>
                      <w:rFonts w:hint="default"/>
                      <w:color w:val="auto"/>
                      <w:highlight w:val="none"/>
                      <w:lang w:val="en-US" w:eastAsia="zh-CN"/>
                    </w:rPr>
                  </w:pPr>
                  <w:r>
                    <w:rPr>
                      <w:rFonts w:hint="eastAsia"/>
                      <w:color w:val="auto"/>
                      <w:highlight w:val="none"/>
                      <w:lang w:val="en-US" w:eastAsia="zh-CN"/>
                    </w:rPr>
                    <w:t>/</w:t>
                  </w:r>
                </w:p>
              </w:tc>
              <w:tc>
                <w:tcPr>
                  <w:tcW w:w="2452" w:type="dxa"/>
                  <w:tcBorders>
                    <w:top w:val="single" w:color="000000" w:sz="4" w:space="0"/>
                    <w:left w:val="single" w:color="000000" w:sz="4" w:space="0"/>
                    <w:right w:val="single" w:color="000000" w:sz="4" w:space="0"/>
                  </w:tcBorders>
                  <w:noWrap w:val="0"/>
                  <w:vAlign w:val="center"/>
                </w:tcPr>
                <w:p w14:paraId="7CF50C50">
                  <w:pPr>
                    <w:jc w:val="center"/>
                    <w:rPr>
                      <w:rFonts w:hint="eastAsia" w:ascii="宋体" w:hAnsi="宋体" w:cs="宋体"/>
                      <w:color w:val="auto"/>
                      <w:highlight w:val="none"/>
                    </w:rPr>
                  </w:pPr>
                  <w:r>
                    <w:rPr>
                      <w:rFonts w:hint="eastAsia"/>
                      <w:color w:val="auto"/>
                      <w:highlight w:val="none"/>
                      <w:lang w:val="en-US" w:eastAsia="zh-CN"/>
                    </w:rPr>
                    <w:t>/</w:t>
                  </w:r>
                </w:p>
              </w:tc>
              <w:tc>
                <w:tcPr>
                  <w:tcW w:w="2137" w:type="dxa"/>
                  <w:tcBorders>
                    <w:top w:val="single" w:color="000000" w:sz="4" w:space="0"/>
                    <w:left w:val="single" w:color="000000" w:sz="4" w:space="0"/>
                    <w:right w:val="single" w:color="000000" w:sz="4" w:space="0"/>
                  </w:tcBorders>
                  <w:noWrap w:val="0"/>
                  <w:vAlign w:val="center"/>
                </w:tcPr>
                <w:p w14:paraId="6CE5F619">
                  <w:pPr>
                    <w:jc w:val="center"/>
                    <w:rPr>
                      <w:rFonts w:hint="eastAsia"/>
                      <w:color w:val="auto"/>
                      <w:highlight w:val="none"/>
                      <w:lang w:val="en-US" w:eastAsia="zh-CN"/>
                    </w:rPr>
                  </w:pPr>
                  <w:r>
                    <w:rPr>
                      <w:rFonts w:hint="eastAsia"/>
                      <w:color w:val="auto"/>
                      <w:highlight w:val="none"/>
                      <w:lang w:val="en-US" w:eastAsia="zh-CN"/>
                    </w:rPr>
                    <w:t>/</w:t>
                  </w:r>
                </w:p>
              </w:tc>
            </w:tr>
            <w:tr w14:paraId="2289A1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9" w:hRule="atLeast"/>
                <w:jc w:val="center"/>
              </w:trPr>
              <w:tc>
                <w:tcPr>
                  <w:tcW w:w="629" w:type="dxa"/>
                  <w:vMerge w:val="continue"/>
                  <w:tcBorders>
                    <w:left w:val="single" w:color="000000" w:sz="4" w:space="0"/>
                    <w:right w:val="single" w:color="000000" w:sz="4" w:space="0"/>
                  </w:tcBorders>
                  <w:noWrap w:val="0"/>
                  <w:vAlign w:val="center"/>
                </w:tcPr>
                <w:p w14:paraId="7674B347">
                  <w:pPr>
                    <w:jc w:val="center"/>
                    <w:rPr>
                      <w:color w:val="auto"/>
                    </w:rPr>
                  </w:pPr>
                </w:p>
              </w:tc>
              <w:tc>
                <w:tcPr>
                  <w:tcW w:w="941" w:type="dxa"/>
                  <w:vMerge w:val="continue"/>
                  <w:tcBorders>
                    <w:left w:val="single" w:color="000000" w:sz="4" w:space="0"/>
                    <w:right w:val="single" w:color="000000" w:sz="4" w:space="0"/>
                  </w:tcBorders>
                  <w:noWrap w:val="0"/>
                  <w:vAlign w:val="center"/>
                </w:tcPr>
                <w:p w14:paraId="111116E9">
                  <w:pPr>
                    <w:jc w:val="center"/>
                    <w:rPr>
                      <w:color w:val="auto"/>
                    </w:rPr>
                  </w:pPr>
                </w:p>
              </w:tc>
              <w:tc>
                <w:tcPr>
                  <w:tcW w:w="827" w:type="dxa"/>
                  <w:tcBorders>
                    <w:top w:val="single" w:color="000000" w:sz="4" w:space="0"/>
                    <w:left w:val="single" w:color="000000" w:sz="4" w:space="0"/>
                    <w:bottom w:val="single" w:color="000000" w:sz="4" w:space="0"/>
                    <w:right w:val="single" w:color="000000" w:sz="4" w:space="0"/>
                  </w:tcBorders>
                  <w:noWrap w:val="0"/>
                  <w:vAlign w:val="center"/>
                </w:tcPr>
                <w:p w14:paraId="613A5F21">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CO</w:t>
                  </w:r>
                </w:p>
              </w:tc>
              <w:tc>
                <w:tcPr>
                  <w:tcW w:w="1465" w:type="dxa"/>
                  <w:tcBorders>
                    <w:left w:val="single" w:color="000000" w:sz="4" w:space="0"/>
                    <w:right w:val="single" w:color="000000" w:sz="4" w:space="0"/>
                  </w:tcBorders>
                  <w:noWrap w:val="0"/>
                  <w:vAlign w:val="center"/>
                </w:tcPr>
                <w:p w14:paraId="2F495CDC">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0.05375</w:t>
                  </w:r>
                </w:p>
              </w:tc>
              <w:tc>
                <w:tcPr>
                  <w:tcW w:w="1297" w:type="dxa"/>
                  <w:vMerge w:val="continue"/>
                  <w:tcBorders>
                    <w:left w:val="single" w:color="000000" w:sz="4" w:space="0"/>
                    <w:right w:val="single" w:color="000000" w:sz="4" w:space="0"/>
                  </w:tcBorders>
                  <w:noWrap w:val="0"/>
                  <w:vAlign w:val="center"/>
                </w:tcPr>
                <w:p w14:paraId="3005D189">
                  <w:pPr>
                    <w:jc w:val="center"/>
                    <w:rPr>
                      <w:rFonts w:hint="eastAsia"/>
                      <w:color w:val="auto"/>
                      <w:highlight w:val="none"/>
                      <w:lang w:val="en-US" w:eastAsia="zh-CN"/>
                    </w:rPr>
                  </w:pPr>
                </w:p>
              </w:tc>
              <w:tc>
                <w:tcPr>
                  <w:tcW w:w="823" w:type="dxa"/>
                  <w:tcBorders>
                    <w:left w:val="single" w:color="000000" w:sz="4" w:space="0"/>
                    <w:right w:val="single" w:color="auto" w:sz="4" w:space="0"/>
                  </w:tcBorders>
                  <w:noWrap w:val="0"/>
                  <w:vAlign w:val="center"/>
                </w:tcPr>
                <w:p w14:paraId="75F4A60C">
                  <w:pPr>
                    <w:jc w:val="center"/>
                    <w:rPr>
                      <w:rFonts w:hint="eastAsia"/>
                      <w:color w:val="auto"/>
                      <w:highlight w:val="none"/>
                      <w:lang w:val="en-US" w:eastAsia="zh-CN"/>
                    </w:rPr>
                  </w:pPr>
                  <w:r>
                    <w:rPr>
                      <w:rFonts w:hint="eastAsia" w:ascii="Times New Roman" w:hAnsi="Times New Roman" w:eastAsia="宋体" w:cs="Times New Roman"/>
                      <w:color w:val="auto"/>
                      <w:highlight w:val="none"/>
                      <w:lang w:val="en-US" w:eastAsia="zh-CN"/>
                    </w:rPr>
                    <w:t>0.05375</w:t>
                  </w:r>
                </w:p>
              </w:tc>
              <w:tc>
                <w:tcPr>
                  <w:tcW w:w="635" w:type="dxa"/>
                  <w:tcBorders>
                    <w:left w:val="single" w:color="auto" w:sz="4" w:space="0"/>
                    <w:right w:val="single" w:color="000000" w:sz="4" w:space="0"/>
                  </w:tcBorders>
                  <w:noWrap w:val="0"/>
                  <w:vAlign w:val="center"/>
                </w:tcPr>
                <w:p w14:paraId="55CCC959">
                  <w:pPr>
                    <w:jc w:val="center"/>
                    <w:rPr>
                      <w:rFonts w:hint="default"/>
                      <w:color w:val="auto"/>
                      <w:highlight w:val="none"/>
                      <w:lang w:val="en-US" w:eastAsia="zh-CN"/>
                    </w:rPr>
                  </w:pPr>
                  <w:r>
                    <w:rPr>
                      <w:rFonts w:hint="eastAsia"/>
                      <w:color w:val="auto"/>
                      <w:highlight w:val="none"/>
                      <w:lang w:val="en-US" w:eastAsia="zh-CN"/>
                    </w:rPr>
                    <w:t>/</w:t>
                  </w:r>
                </w:p>
              </w:tc>
              <w:tc>
                <w:tcPr>
                  <w:tcW w:w="788" w:type="dxa"/>
                  <w:tcBorders>
                    <w:left w:val="single" w:color="000000" w:sz="4" w:space="0"/>
                    <w:right w:val="single" w:color="000000" w:sz="4" w:space="0"/>
                  </w:tcBorders>
                  <w:noWrap w:val="0"/>
                  <w:vAlign w:val="center"/>
                </w:tcPr>
                <w:p w14:paraId="5E40572A">
                  <w:pPr>
                    <w:jc w:val="center"/>
                    <w:rPr>
                      <w:rFonts w:hint="default"/>
                      <w:color w:val="auto"/>
                      <w:highlight w:val="none"/>
                      <w:lang w:val="en-US" w:eastAsia="zh-CN"/>
                    </w:rPr>
                  </w:pPr>
                  <w:r>
                    <w:rPr>
                      <w:rFonts w:hint="eastAsia"/>
                      <w:color w:val="auto"/>
                      <w:highlight w:val="none"/>
                      <w:lang w:val="en-US" w:eastAsia="zh-CN"/>
                    </w:rPr>
                    <w:t>/</w:t>
                  </w:r>
                </w:p>
              </w:tc>
              <w:tc>
                <w:tcPr>
                  <w:tcW w:w="703" w:type="dxa"/>
                  <w:tcBorders>
                    <w:left w:val="single" w:color="000000" w:sz="4" w:space="0"/>
                    <w:right w:val="single" w:color="000000" w:sz="4" w:space="0"/>
                  </w:tcBorders>
                  <w:noWrap w:val="0"/>
                  <w:vAlign w:val="center"/>
                </w:tcPr>
                <w:p w14:paraId="77A83E35">
                  <w:pPr>
                    <w:jc w:val="center"/>
                    <w:rPr>
                      <w:rFonts w:hint="default"/>
                      <w:color w:val="auto"/>
                      <w:highlight w:val="none"/>
                      <w:lang w:val="en-US" w:eastAsia="zh-CN"/>
                    </w:rPr>
                  </w:pPr>
                  <w:r>
                    <w:rPr>
                      <w:rFonts w:hint="eastAsia"/>
                      <w:color w:val="auto"/>
                      <w:highlight w:val="none"/>
                      <w:lang w:val="en-US" w:eastAsia="zh-CN"/>
                    </w:rPr>
                    <w:t>/</w:t>
                  </w:r>
                </w:p>
              </w:tc>
              <w:tc>
                <w:tcPr>
                  <w:tcW w:w="2452" w:type="dxa"/>
                  <w:tcBorders>
                    <w:left w:val="single" w:color="000000" w:sz="4" w:space="0"/>
                    <w:right w:val="single" w:color="000000" w:sz="4" w:space="0"/>
                  </w:tcBorders>
                  <w:noWrap w:val="0"/>
                  <w:vAlign w:val="center"/>
                </w:tcPr>
                <w:p w14:paraId="53DB3C01">
                  <w:pPr>
                    <w:jc w:val="center"/>
                    <w:rPr>
                      <w:rFonts w:hint="eastAsia"/>
                      <w:color w:val="auto"/>
                      <w:highlight w:val="none"/>
                      <w:lang w:val="en-US" w:eastAsia="zh-CN"/>
                    </w:rPr>
                  </w:pPr>
                  <w:r>
                    <w:rPr>
                      <w:rFonts w:hint="eastAsia"/>
                      <w:color w:val="auto"/>
                      <w:highlight w:val="none"/>
                      <w:lang w:val="en-US" w:eastAsia="zh-CN"/>
                    </w:rPr>
                    <w:t>/</w:t>
                  </w:r>
                </w:p>
              </w:tc>
              <w:tc>
                <w:tcPr>
                  <w:tcW w:w="2137" w:type="dxa"/>
                  <w:tcBorders>
                    <w:left w:val="single" w:color="000000" w:sz="4" w:space="0"/>
                    <w:right w:val="single" w:color="000000" w:sz="4" w:space="0"/>
                  </w:tcBorders>
                  <w:noWrap w:val="0"/>
                  <w:vAlign w:val="center"/>
                </w:tcPr>
                <w:p w14:paraId="13DCE262">
                  <w:pPr>
                    <w:jc w:val="center"/>
                    <w:rPr>
                      <w:rFonts w:hint="eastAsia"/>
                      <w:color w:val="auto"/>
                      <w:highlight w:val="none"/>
                      <w:lang w:val="en-US" w:eastAsia="zh-CN"/>
                    </w:rPr>
                  </w:pPr>
                  <w:r>
                    <w:rPr>
                      <w:rFonts w:hint="eastAsia"/>
                      <w:color w:val="auto"/>
                      <w:highlight w:val="none"/>
                      <w:lang w:val="en-US" w:eastAsia="zh-CN"/>
                    </w:rPr>
                    <w:t>/</w:t>
                  </w:r>
                </w:p>
              </w:tc>
            </w:tr>
            <w:tr w14:paraId="013B44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9" w:hRule="atLeast"/>
                <w:jc w:val="center"/>
              </w:trPr>
              <w:tc>
                <w:tcPr>
                  <w:tcW w:w="629" w:type="dxa"/>
                  <w:vMerge w:val="continue"/>
                  <w:tcBorders>
                    <w:left w:val="single" w:color="000000" w:sz="4" w:space="0"/>
                    <w:right w:val="single" w:color="000000" w:sz="4" w:space="0"/>
                  </w:tcBorders>
                  <w:noWrap w:val="0"/>
                  <w:vAlign w:val="center"/>
                </w:tcPr>
                <w:p w14:paraId="6C1286B4">
                  <w:pPr>
                    <w:jc w:val="center"/>
                    <w:rPr>
                      <w:rFonts w:hint="eastAsia"/>
                      <w:color w:val="auto"/>
                      <w:highlight w:val="none"/>
                      <w:lang w:val="en-US" w:eastAsia="zh-CN"/>
                    </w:rPr>
                  </w:pPr>
                </w:p>
              </w:tc>
              <w:tc>
                <w:tcPr>
                  <w:tcW w:w="941" w:type="dxa"/>
                  <w:vMerge w:val="continue"/>
                  <w:tcBorders>
                    <w:left w:val="single" w:color="000000" w:sz="4" w:space="0"/>
                    <w:right w:val="single" w:color="000000" w:sz="4" w:space="0"/>
                  </w:tcBorders>
                  <w:noWrap w:val="0"/>
                  <w:vAlign w:val="center"/>
                </w:tcPr>
                <w:p w14:paraId="15560910">
                  <w:pPr>
                    <w:jc w:val="center"/>
                    <w:rPr>
                      <w:rFonts w:hint="eastAsia"/>
                      <w:color w:val="auto"/>
                      <w:highlight w:val="none"/>
                      <w:lang w:val="en-US" w:eastAsia="zh-CN"/>
                    </w:rPr>
                  </w:pPr>
                </w:p>
              </w:tc>
              <w:tc>
                <w:tcPr>
                  <w:tcW w:w="827" w:type="dxa"/>
                  <w:tcBorders>
                    <w:top w:val="single" w:color="000000" w:sz="4" w:space="0"/>
                    <w:left w:val="single" w:color="000000" w:sz="4" w:space="0"/>
                    <w:bottom w:val="single" w:color="000000" w:sz="4" w:space="0"/>
                    <w:right w:val="single" w:color="000000" w:sz="4" w:space="0"/>
                  </w:tcBorders>
                  <w:noWrap w:val="0"/>
                  <w:vAlign w:val="center"/>
                </w:tcPr>
                <w:p w14:paraId="06C62E7D">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NOx</w:t>
                  </w:r>
                </w:p>
              </w:tc>
              <w:tc>
                <w:tcPr>
                  <w:tcW w:w="1465" w:type="dxa"/>
                  <w:tcBorders>
                    <w:left w:val="single" w:color="000000" w:sz="4" w:space="0"/>
                    <w:right w:val="single" w:color="000000" w:sz="4" w:space="0"/>
                  </w:tcBorders>
                  <w:noWrap w:val="0"/>
                  <w:vAlign w:val="center"/>
                </w:tcPr>
                <w:p w14:paraId="1F4FDD01">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0.16375</w:t>
                  </w:r>
                </w:p>
              </w:tc>
              <w:tc>
                <w:tcPr>
                  <w:tcW w:w="1297" w:type="dxa"/>
                  <w:vMerge w:val="continue"/>
                  <w:tcBorders>
                    <w:left w:val="single" w:color="000000" w:sz="4" w:space="0"/>
                    <w:right w:val="single" w:color="000000" w:sz="4" w:space="0"/>
                  </w:tcBorders>
                  <w:noWrap w:val="0"/>
                  <w:vAlign w:val="center"/>
                </w:tcPr>
                <w:p w14:paraId="5058C27D">
                  <w:pPr>
                    <w:jc w:val="center"/>
                    <w:rPr>
                      <w:rFonts w:hint="eastAsia"/>
                      <w:color w:val="auto"/>
                      <w:highlight w:val="none"/>
                      <w:lang w:val="en-US" w:eastAsia="zh-CN"/>
                    </w:rPr>
                  </w:pPr>
                </w:p>
              </w:tc>
              <w:tc>
                <w:tcPr>
                  <w:tcW w:w="823" w:type="dxa"/>
                  <w:tcBorders>
                    <w:left w:val="single" w:color="000000" w:sz="4" w:space="0"/>
                    <w:right w:val="single" w:color="auto" w:sz="4" w:space="0"/>
                  </w:tcBorders>
                  <w:noWrap w:val="0"/>
                  <w:vAlign w:val="center"/>
                </w:tcPr>
                <w:p w14:paraId="3511685F">
                  <w:pPr>
                    <w:jc w:val="center"/>
                    <w:rPr>
                      <w:rFonts w:hint="eastAsia"/>
                      <w:color w:val="auto"/>
                      <w:highlight w:val="none"/>
                      <w:lang w:val="en-US" w:eastAsia="zh-CN"/>
                    </w:rPr>
                  </w:pPr>
                  <w:r>
                    <w:rPr>
                      <w:rFonts w:hint="eastAsia" w:ascii="Times New Roman" w:hAnsi="Times New Roman" w:eastAsia="宋体" w:cs="Times New Roman"/>
                      <w:color w:val="auto"/>
                      <w:highlight w:val="none"/>
                      <w:lang w:val="en-US" w:eastAsia="zh-CN"/>
                    </w:rPr>
                    <w:t>0.16375</w:t>
                  </w:r>
                </w:p>
              </w:tc>
              <w:tc>
                <w:tcPr>
                  <w:tcW w:w="635" w:type="dxa"/>
                  <w:tcBorders>
                    <w:left w:val="single" w:color="auto" w:sz="4" w:space="0"/>
                    <w:right w:val="single" w:color="000000" w:sz="4" w:space="0"/>
                  </w:tcBorders>
                  <w:noWrap w:val="0"/>
                  <w:vAlign w:val="center"/>
                </w:tcPr>
                <w:p w14:paraId="29747438">
                  <w:pPr>
                    <w:jc w:val="center"/>
                    <w:rPr>
                      <w:rFonts w:hint="default"/>
                      <w:color w:val="auto"/>
                      <w:highlight w:val="none"/>
                      <w:lang w:val="en-US" w:eastAsia="zh-CN"/>
                    </w:rPr>
                  </w:pPr>
                  <w:r>
                    <w:rPr>
                      <w:rFonts w:hint="eastAsia"/>
                      <w:color w:val="auto"/>
                      <w:highlight w:val="none"/>
                      <w:lang w:val="en-US" w:eastAsia="zh-CN"/>
                    </w:rPr>
                    <w:t>/</w:t>
                  </w:r>
                </w:p>
              </w:tc>
              <w:tc>
                <w:tcPr>
                  <w:tcW w:w="788" w:type="dxa"/>
                  <w:tcBorders>
                    <w:left w:val="single" w:color="000000" w:sz="4" w:space="0"/>
                    <w:right w:val="single" w:color="000000" w:sz="4" w:space="0"/>
                  </w:tcBorders>
                  <w:noWrap w:val="0"/>
                  <w:vAlign w:val="center"/>
                </w:tcPr>
                <w:p w14:paraId="3C3D5B08">
                  <w:pPr>
                    <w:jc w:val="center"/>
                    <w:rPr>
                      <w:rFonts w:hint="default"/>
                      <w:color w:val="auto"/>
                      <w:highlight w:val="none"/>
                      <w:lang w:val="en-US" w:eastAsia="zh-CN"/>
                    </w:rPr>
                  </w:pPr>
                  <w:r>
                    <w:rPr>
                      <w:rFonts w:hint="eastAsia"/>
                      <w:color w:val="auto"/>
                      <w:highlight w:val="none"/>
                      <w:lang w:val="en-US" w:eastAsia="zh-CN"/>
                    </w:rPr>
                    <w:t>/</w:t>
                  </w:r>
                </w:p>
              </w:tc>
              <w:tc>
                <w:tcPr>
                  <w:tcW w:w="703" w:type="dxa"/>
                  <w:tcBorders>
                    <w:left w:val="single" w:color="000000" w:sz="4" w:space="0"/>
                    <w:right w:val="single" w:color="000000" w:sz="4" w:space="0"/>
                  </w:tcBorders>
                  <w:noWrap w:val="0"/>
                  <w:vAlign w:val="center"/>
                </w:tcPr>
                <w:p w14:paraId="0858842E">
                  <w:pPr>
                    <w:jc w:val="center"/>
                    <w:rPr>
                      <w:rFonts w:hint="default"/>
                      <w:color w:val="auto"/>
                      <w:highlight w:val="none"/>
                      <w:lang w:val="en-US" w:eastAsia="zh-CN"/>
                    </w:rPr>
                  </w:pPr>
                  <w:r>
                    <w:rPr>
                      <w:rFonts w:hint="eastAsia"/>
                      <w:color w:val="auto"/>
                      <w:highlight w:val="none"/>
                      <w:lang w:val="en-US" w:eastAsia="zh-CN"/>
                    </w:rPr>
                    <w:t>/</w:t>
                  </w:r>
                </w:p>
              </w:tc>
              <w:tc>
                <w:tcPr>
                  <w:tcW w:w="2452" w:type="dxa"/>
                  <w:tcBorders>
                    <w:left w:val="single" w:color="000000" w:sz="4" w:space="0"/>
                    <w:right w:val="single" w:color="000000" w:sz="4" w:space="0"/>
                  </w:tcBorders>
                  <w:noWrap w:val="0"/>
                  <w:vAlign w:val="center"/>
                </w:tcPr>
                <w:p w14:paraId="793C1317">
                  <w:pPr>
                    <w:jc w:val="center"/>
                    <w:rPr>
                      <w:rFonts w:hint="eastAsia"/>
                      <w:color w:val="auto"/>
                      <w:highlight w:val="none"/>
                      <w:lang w:val="en-US" w:eastAsia="zh-CN"/>
                    </w:rPr>
                  </w:pPr>
                  <w:r>
                    <w:rPr>
                      <w:rFonts w:hint="eastAsia"/>
                      <w:color w:val="auto"/>
                      <w:highlight w:val="none"/>
                      <w:lang w:val="en-US" w:eastAsia="zh-CN"/>
                    </w:rPr>
                    <w:t>/</w:t>
                  </w:r>
                </w:p>
              </w:tc>
              <w:tc>
                <w:tcPr>
                  <w:tcW w:w="2137" w:type="dxa"/>
                  <w:tcBorders>
                    <w:left w:val="single" w:color="000000" w:sz="4" w:space="0"/>
                    <w:right w:val="single" w:color="000000" w:sz="4" w:space="0"/>
                  </w:tcBorders>
                  <w:noWrap w:val="0"/>
                  <w:vAlign w:val="center"/>
                </w:tcPr>
                <w:p w14:paraId="438F8B45">
                  <w:pPr>
                    <w:jc w:val="center"/>
                    <w:rPr>
                      <w:rFonts w:hint="eastAsia"/>
                      <w:color w:val="auto"/>
                      <w:highlight w:val="none"/>
                      <w:lang w:val="en-US" w:eastAsia="zh-CN"/>
                    </w:rPr>
                  </w:pPr>
                  <w:r>
                    <w:rPr>
                      <w:rFonts w:hint="eastAsia"/>
                      <w:color w:val="auto"/>
                      <w:highlight w:val="none"/>
                      <w:lang w:val="en-US" w:eastAsia="zh-CN"/>
                    </w:rPr>
                    <w:t>/</w:t>
                  </w:r>
                </w:p>
              </w:tc>
            </w:tr>
            <w:tr w14:paraId="0E2215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8" w:hRule="atLeast"/>
                <w:jc w:val="center"/>
              </w:trPr>
              <w:tc>
                <w:tcPr>
                  <w:tcW w:w="629" w:type="dxa"/>
                  <w:vMerge w:val="continue"/>
                  <w:tcBorders>
                    <w:left w:val="single" w:color="000000" w:sz="4" w:space="0"/>
                    <w:right w:val="single" w:color="000000" w:sz="4" w:space="0"/>
                  </w:tcBorders>
                  <w:noWrap w:val="0"/>
                  <w:vAlign w:val="center"/>
                </w:tcPr>
                <w:p w14:paraId="01517D66">
                  <w:pPr>
                    <w:jc w:val="center"/>
                    <w:rPr>
                      <w:rFonts w:hint="eastAsia"/>
                      <w:color w:val="auto"/>
                      <w:highlight w:val="none"/>
                      <w:lang w:val="en-US" w:eastAsia="zh-CN"/>
                    </w:rPr>
                  </w:pPr>
                </w:p>
              </w:tc>
              <w:tc>
                <w:tcPr>
                  <w:tcW w:w="941" w:type="dxa"/>
                  <w:vMerge w:val="continue"/>
                  <w:tcBorders>
                    <w:left w:val="single" w:color="000000" w:sz="4" w:space="0"/>
                    <w:bottom w:val="single" w:color="000000" w:sz="4" w:space="0"/>
                    <w:right w:val="single" w:color="000000" w:sz="4" w:space="0"/>
                  </w:tcBorders>
                  <w:noWrap w:val="0"/>
                  <w:vAlign w:val="center"/>
                </w:tcPr>
                <w:p w14:paraId="25CE95D9">
                  <w:pPr>
                    <w:jc w:val="center"/>
                    <w:rPr>
                      <w:rFonts w:hint="eastAsia"/>
                      <w:color w:val="auto"/>
                      <w:highlight w:val="none"/>
                      <w:lang w:val="en-US" w:eastAsia="zh-CN"/>
                    </w:rPr>
                  </w:pPr>
                </w:p>
              </w:tc>
              <w:tc>
                <w:tcPr>
                  <w:tcW w:w="827" w:type="dxa"/>
                  <w:tcBorders>
                    <w:top w:val="single" w:color="000000" w:sz="4" w:space="0"/>
                    <w:left w:val="single" w:color="000000" w:sz="4" w:space="0"/>
                    <w:bottom w:val="single" w:color="000000" w:sz="4" w:space="0"/>
                    <w:right w:val="single" w:color="000000" w:sz="4" w:space="0"/>
                  </w:tcBorders>
                  <w:noWrap w:val="0"/>
                  <w:vAlign w:val="center"/>
                </w:tcPr>
                <w:p w14:paraId="7AEBEC3A">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HC</w:t>
                  </w:r>
                </w:p>
              </w:tc>
              <w:tc>
                <w:tcPr>
                  <w:tcW w:w="1465" w:type="dxa"/>
                  <w:tcBorders>
                    <w:left w:val="single" w:color="000000" w:sz="4" w:space="0"/>
                    <w:bottom w:val="single" w:color="000000" w:sz="4" w:space="0"/>
                    <w:right w:val="single" w:color="000000" w:sz="4" w:space="0"/>
                  </w:tcBorders>
                  <w:noWrap w:val="0"/>
                  <w:vAlign w:val="center"/>
                </w:tcPr>
                <w:p w14:paraId="51B9030E">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0.0175</w:t>
                  </w:r>
                </w:p>
              </w:tc>
              <w:tc>
                <w:tcPr>
                  <w:tcW w:w="1297" w:type="dxa"/>
                  <w:vMerge w:val="continue"/>
                  <w:tcBorders>
                    <w:left w:val="single" w:color="000000" w:sz="4" w:space="0"/>
                    <w:bottom w:val="single" w:color="auto" w:sz="4" w:space="0"/>
                    <w:right w:val="single" w:color="000000" w:sz="4" w:space="0"/>
                  </w:tcBorders>
                  <w:noWrap w:val="0"/>
                  <w:vAlign w:val="center"/>
                </w:tcPr>
                <w:p w14:paraId="5640E86B">
                  <w:pPr>
                    <w:jc w:val="center"/>
                    <w:rPr>
                      <w:rFonts w:hint="eastAsia"/>
                      <w:color w:val="auto"/>
                      <w:highlight w:val="none"/>
                      <w:lang w:val="en-US" w:eastAsia="zh-CN"/>
                    </w:rPr>
                  </w:pPr>
                </w:p>
              </w:tc>
              <w:tc>
                <w:tcPr>
                  <w:tcW w:w="823" w:type="dxa"/>
                  <w:tcBorders>
                    <w:left w:val="single" w:color="000000" w:sz="4" w:space="0"/>
                    <w:bottom w:val="single" w:color="auto" w:sz="4" w:space="0"/>
                    <w:right w:val="single" w:color="auto" w:sz="4" w:space="0"/>
                  </w:tcBorders>
                  <w:noWrap w:val="0"/>
                  <w:vAlign w:val="center"/>
                </w:tcPr>
                <w:p w14:paraId="3C527326">
                  <w:pPr>
                    <w:jc w:val="center"/>
                    <w:rPr>
                      <w:rFonts w:hint="eastAsia"/>
                      <w:color w:val="auto"/>
                      <w:highlight w:val="none"/>
                      <w:lang w:val="en-US" w:eastAsia="zh-CN"/>
                    </w:rPr>
                  </w:pPr>
                  <w:r>
                    <w:rPr>
                      <w:rFonts w:hint="eastAsia" w:ascii="Times New Roman" w:hAnsi="Times New Roman" w:eastAsia="宋体" w:cs="Times New Roman"/>
                      <w:color w:val="auto"/>
                      <w:highlight w:val="none"/>
                      <w:lang w:val="en-US" w:eastAsia="zh-CN"/>
                    </w:rPr>
                    <w:t>0.0175</w:t>
                  </w:r>
                </w:p>
              </w:tc>
              <w:tc>
                <w:tcPr>
                  <w:tcW w:w="635" w:type="dxa"/>
                  <w:tcBorders>
                    <w:left w:val="single" w:color="auto" w:sz="4" w:space="0"/>
                    <w:right w:val="single" w:color="000000" w:sz="4" w:space="0"/>
                  </w:tcBorders>
                  <w:noWrap w:val="0"/>
                  <w:vAlign w:val="center"/>
                </w:tcPr>
                <w:p w14:paraId="6AA6D94E">
                  <w:pPr>
                    <w:jc w:val="center"/>
                    <w:rPr>
                      <w:rFonts w:hint="default"/>
                      <w:color w:val="auto"/>
                      <w:highlight w:val="none"/>
                      <w:lang w:val="en-US" w:eastAsia="zh-CN"/>
                    </w:rPr>
                  </w:pPr>
                  <w:r>
                    <w:rPr>
                      <w:rFonts w:hint="eastAsia"/>
                      <w:color w:val="auto"/>
                      <w:highlight w:val="none"/>
                      <w:lang w:val="en-US" w:eastAsia="zh-CN"/>
                    </w:rPr>
                    <w:t>/</w:t>
                  </w:r>
                </w:p>
              </w:tc>
              <w:tc>
                <w:tcPr>
                  <w:tcW w:w="788" w:type="dxa"/>
                  <w:tcBorders>
                    <w:left w:val="single" w:color="000000" w:sz="4" w:space="0"/>
                    <w:right w:val="single" w:color="000000" w:sz="4" w:space="0"/>
                  </w:tcBorders>
                  <w:noWrap w:val="0"/>
                  <w:vAlign w:val="center"/>
                </w:tcPr>
                <w:p w14:paraId="5F22773C">
                  <w:pPr>
                    <w:jc w:val="center"/>
                    <w:rPr>
                      <w:rFonts w:hint="default"/>
                      <w:color w:val="auto"/>
                      <w:highlight w:val="none"/>
                      <w:lang w:val="en-US" w:eastAsia="zh-CN"/>
                    </w:rPr>
                  </w:pPr>
                  <w:r>
                    <w:rPr>
                      <w:rFonts w:hint="eastAsia"/>
                      <w:color w:val="auto"/>
                      <w:highlight w:val="none"/>
                      <w:lang w:val="en-US" w:eastAsia="zh-CN"/>
                    </w:rPr>
                    <w:t>/</w:t>
                  </w:r>
                </w:p>
              </w:tc>
              <w:tc>
                <w:tcPr>
                  <w:tcW w:w="703" w:type="dxa"/>
                  <w:tcBorders>
                    <w:left w:val="single" w:color="000000" w:sz="4" w:space="0"/>
                    <w:right w:val="single" w:color="000000" w:sz="4" w:space="0"/>
                  </w:tcBorders>
                  <w:noWrap w:val="0"/>
                  <w:vAlign w:val="center"/>
                </w:tcPr>
                <w:p w14:paraId="66A403CB">
                  <w:pPr>
                    <w:jc w:val="center"/>
                    <w:rPr>
                      <w:rFonts w:hint="default"/>
                      <w:color w:val="auto"/>
                      <w:highlight w:val="none"/>
                      <w:lang w:val="en-US" w:eastAsia="zh-CN"/>
                    </w:rPr>
                  </w:pPr>
                  <w:r>
                    <w:rPr>
                      <w:rFonts w:hint="eastAsia"/>
                      <w:color w:val="auto"/>
                      <w:highlight w:val="none"/>
                      <w:lang w:val="en-US" w:eastAsia="zh-CN"/>
                    </w:rPr>
                    <w:t>/</w:t>
                  </w:r>
                </w:p>
              </w:tc>
              <w:tc>
                <w:tcPr>
                  <w:tcW w:w="2452" w:type="dxa"/>
                  <w:tcBorders>
                    <w:left w:val="single" w:color="000000" w:sz="4" w:space="0"/>
                    <w:right w:val="single" w:color="000000" w:sz="4" w:space="0"/>
                  </w:tcBorders>
                  <w:noWrap w:val="0"/>
                  <w:vAlign w:val="center"/>
                </w:tcPr>
                <w:p w14:paraId="79301CED">
                  <w:pPr>
                    <w:jc w:val="center"/>
                    <w:rPr>
                      <w:rFonts w:hint="eastAsia"/>
                      <w:color w:val="auto"/>
                      <w:highlight w:val="none"/>
                      <w:lang w:val="en-US" w:eastAsia="zh-CN"/>
                    </w:rPr>
                  </w:pPr>
                  <w:r>
                    <w:rPr>
                      <w:rFonts w:hint="eastAsia"/>
                      <w:color w:val="auto"/>
                      <w:highlight w:val="none"/>
                      <w:lang w:val="en-US" w:eastAsia="zh-CN"/>
                    </w:rPr>
                    <w:t>/</w:t>
                  </w:r>
                </w:p>
              </w:tc>
              <w:tc>
                <w:tcPr>
                  <w:tcW w:w="2137" w:type="dxa"/>
                  <w:tcBorders>
                    <w:left w:val="single" w:color="000000" w:sz="4" w:space="0"/>
                    <w:right w:val="single" w:color="000000" w:sz="4" w:space="0"/>
                  </w:tcBorders>
                  <w:noWrap w:val="0"/>
                  <w:vAlign w:val="center"/>
                </w:tcPr>
                <w:p w14:paraId="0C1E9A54">
                  <w:pPr>
                    <w:jc w:val="center"/>
                    <w:rPr>
                      <w:rFonts w:hint="eastAsia"/>
                      <w:color w:val="auto"/>
                      <w:highlight w:val="none"/>
                      <w:lang w:val="en-US" w:eastAsia="zh-CN"/>
                    </w:rPr>
                  </w:pPr>
                  <w:r>
                    <w:rPr>
                      <w:rFonts w:hint="eastAsia"/>
                      <w:color w:val="auto"/>
                      <w:highlight w:val="none"/>
                      <w:lang w:val="en-US" w:eastAsia="zh-CN"/>
                    </w:rPr>
                    <w:t>/</w:t>
                  </w:r>
                </w:p>
              </w:tc>
            </w:tr>
          </w:tbl>
          <w:p w14:paraId="39DDA387">
            <w:pPr>
              <w:pStyle w:val="3"/>
              <w:ind w:left="0" w:leftChars="0" w:firstLine="0" w:firstLineChars="0"/>
              <w:rPr>
                <w:color w:val="auto"/>
                <w:highlight w:val="none"/>
                <w:vertAlign w:val="baseline"/>
              </w:rPr>
            </w:pPr>
          </w:p>
        </w:tc>
      </w:tr>
    </w:tbl>
    <w:p w14:paraId="3608C8BD">
      <w:pPr>
        <w:pStyle w:val="5"/>
        <w:rPr>
          <w:color w:val="auto"/>
          <w:highlight w:val="none"/>
        </w:rPr>
        <w:sectPr>
          <w:pgSz w:w="16840" w:h="11907" w:orient="landscape"/>
          <w:pgMar w:top="1531" w:right="1701" w:bottom="1531" w:left="1134" w:header="851" w:footer="851" w:gutter="0"/>
          <w:cols w:space="720" w:num="1"/>
          <w:docGrid w:linePitch="312" w:charSpace="0"/>
        </w:sectPr>
      </w:pP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0"/>
        <w:gridCol w:w="8481"/>
      </w:tblGrid>
      <w:tr w14:paraId="667C6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 w:type="dxa"/>
          </w:tcPr>
          <w:p w14:paraId="2E2607BE">
            <w:pPr>
              <w:rPr>
                <w:color w:val="auto"/>
                <w:highlight w:val="none"/>
                <w:vertAlign w:val="baseline"/>
              </w:rPr>
            </w:pPr>
          </w:p>
        </w:tc>
        <w:tc>
          <w:tcPr>
            <w:tcW w:w="8133" w:type="dxa"/>
          </w:tcPr>
          <w:p w14:paraId="6712AF9E">
            <w:pPr>
              <w:rPr>
                <w:color w:val="auto"/>
                <w:highlight w:val="none"/>
                <w:vertAlign w:val="baseline"/>
              </w:rPr>
            </w:pPr>
          </w:p>
          <w:p w14:paraId="04ACE124">
            <w:pPr>
              <w:adjustRightInd w:val="0"/>
              <w:snapToGrid w:val="0"/>
              <w:spacing w:before="240" w:beforeLines="100" w:line="360" w:lineRule="auto"/>
              <w:ind w:firstLine="482" w:firstLineChars="200"/>
              <w:rPr>
                <w:b/>
                <w:bCs/>
                <w:color w:val="auto"/>
                <w:sz w:val="24"/>
                <w:szCs w:val="24"/>
                <w:highlight w:val="none"/>
              </w:rPr>
            </w:pPr>
            <w:r>
              <w:rPr>
                <w:rFonts w:hint="eastAsia" w:cs="宋体"/>
                <w:b/>
                <w:bCs/>
                <w:color w:val="auto"/>
                <w:sz w:val="24"/>
                <w:szCs w:val="24"/>
                <w:highlight w:val="none"/>
              </w:rPr>
              <w:t>2.</w:t>
            </w:r>
            <w:r>
              <w:rPr>
                <w:rFonts w:hint="eastAsia" w:cs="宋体"/>
                <w:b/>
                <w:bCs/>
                <w:color w:val="auto"/>
                <w:sz w:val="24"/>
                <w:szCs w:val="24"/>
                <w:highlight w:val="none"/>
                <w:lang w:val="en-US" w:eastAsia="zh-CN"/>
              </w:rPr>
              <w:t>3</w:t>
            </w:r>
            <w:r>
              <w:rPr>
                <w:rFonts w:hint="eastAsia" w:cs="宋体"/>
                <w:b/>
                <w:bCs/>
                <w:color w:val="auto"/>
                <w:sz w:val="24"/>
                <w:szCs w:val="24"/>
                <w:highlight w:val="none"/>
              </w:rPr>
              <w:t xml:space="preserve"> 废气治理措施可行性分析</w:t>
            </w:r>
          </w:p>
          <w:p w14:paraId="3A3127CC">
            <w:pPr>
              <w:widowControl/>
              <w:spacing w:line="360" w:lineRule="auto"/>
              <w:ind w:firstLine="480" w:firstLineChars="200"/>
              <w:jc w:val="left"/>
              <w:rPr>
                <w:rFonts w:cs="宋体"/>
                <w:color w:val="auto"/>
                <w:sz w:val="24"/>
                <w:szCs w:val="24"/>
                <w:highlight w:val="none"/>
              </w:rPr>
            </w:pPr>
            <w:r>
              <w:rPr>
                <w:rFonts w:hint="eastAsia"/>
                <w:bCs/>
                <w:color w:val="auto"/>
                <w:sz w:val="24"/>
                <w:szCs w:val="24"/>
                <w:highlight w:val="none"/>
              </w:rPr>
              <w:t>参照</w:t>
            </w:r>
            <w:r>
              <w:rPr>
                <w:rStyle w:val="85"/>
                <w:rFonts w:hint="eastAsia" w:cs="宋体"/>
                <w:b w:val="0"/>
                <w:bCs w:val="0"/>
                <w:color w:val="auto"/>
                <w:highlight w:val="none"/>
              </w:rPr>
              <w:t>《</w:t>
            </w:r>
            <w:r>
              <w:rPr>
                <w:color w:val="auto"/>
                <w:highlight w:val="none"/>
              </w:rPr>
              <w:fldChar w:fldCharType="begin"/>
            </w:r>
            <w:r>
              <w:rPr>
                <w:color w:val="auto"/>
                <w:highlight w:val="none"/>
              </w:rPr>
              <w:instrText xml:space="preserve"> HYPERLINK "http://www.mee.gov.cn/xxgk2018/xxgk/xxgk01/202106/W020210624327149500026.pdf" </w:instrText>
            </w:r>
            <w:r>
              <w:rPr>
                <w:color w:val="auto"/>
                <w:highlight w:val="none"/>
              </w:rPr>
              <w:fldChar w:fldCharType="separate"/>
            </w:r>
            <w:r>
              <w:rPr>
                <w:rStyle w:val="85"/>
                <w:rFonts w:hint="eastAsia" w:cs="宋体"/>
                <w:b w:val="0"/>
                <w:bCs w:val="0"/>
                <w:color w:val="auto"/>
                <w:highlight w:val="none"/>
              </w:rPr>
              <w:t>排放源统计调查产排污核算方法和系数手册</w:t>
            </w:r>
            <w:r>
              <w:rPr>
                <w:rStyle w:val="85"/>
                <w:rFonts w:hint="eastAsia" w:cs="宋体"/>
                <w:b w:val="0"/>
                <w:bCs w:val="0"/>
                <w:color w:val="auto"/>
                <w:highlight w:val="none"/>
              </w:rPr>
              <w:fldChar w:fldCharType="end"/>
            </w:r>
            <w:r>
              <w:rPr>
                <w:rStyle w:val="85"/>
                <w:rFonts w:hint="eastAsia" w:cs="宋体"/>
                <w:b w:val="0"/>
                <w:bCs w:val="0"/>
                <w:color w:val="auto"/>
                <w:highlight w:val="none"/>
              </w:rPr>
              <w:t>》中的《</w:t>
            </w:r>
            <w:r>
              <w:rPr>
                <w:rStyle w:val="85"/>
                <w:rFonts w:cs="宋体"/>
                <w:b w:val="0"/>
                <w:bCs w:val="0"/>
                <w:color w:val="auto"/>
                <w:highlight w:val="none"/>
              </w:rPr>
              <w:t>2542 生物质致密成型燃料加工行业系数手册</w:t>
            </w:r>
            <w:r>
              <w:rPr>
                <w:rStyle w:val="85"/>
                <w:rFonts w:hint="eastAsia" w:cs="宋体"/>
                <w:b w:val="0"/>
                <w:bCs w:val="0"/>
                <w:color w:val="auto"/>
                <w:highlight w:val="none"/>
              </w:rPr>
              <w:t>》中显示“剪切、破碎、筛分、造粒”工序中末端治理技术名称</w:t>
            </w:r>
            <w:r>
              <w:rPr>
                <w:rFonts w:hint="eastAsia" w:cs="宋体"/>
                <w:color w:val="auto"/>
                <w:sz w:val="24"/>
                <w:szCs w:val="24"/>
                <w:highlight w:val="none"/>
                <w:lang w:val="en-GB"/>
              </w:rPr>
              <w:t>为</w:t>
            </w:r>
            <w:r>
              <w:rPr>
                <w:rFonts w:hint="eastAsia" w:cs="宋体"/>
                <w:color w:val="auto"/>
                <w:sz w:val="24"/>
                <w:szCs w:val="24"/>
                <w:highlight w:val="none"/>
                <w:lang w:val="en-GB" w:eastAsia="zh-CN"/>
              </w:rPr>
              <w:t>“</w:t>
            </w:r>
            <w:r>
              <w:rPr>
                <w:rFonts w:hint="eastAsia" w:cs="宋体"/>
                <w:color w:val="auto"/>
                <w:sz w:val="24"/>
                <w:szCs w:val="24"/>
                <w:highlight w:val="none"/>
                <w:lang w:val="en-GB"/>
              </w:rPr>
              <w:t>旋风除尘、袋式除尘</w:t>
            </w:r>
            <w:r>
              <w:rPr>
                <w:rFonts w:hint="eastAsia" w:cs="宋体"/>
                <w:color w:val="auto"/>
                <w:sz w:val="24"/>
                <w:szCs w:val="24"/>
                <w:highlight w:val="none"/>
                <w:lang w:val="en-GB" w:eastAsia="zh-CN"/>
              </w:rPr>
              <w:t>”</w:t>
            </w:r>
            <w:r>
              <w:rPr>
                <w:rFonts w:hint="eastAsia" w:cs="宋体"/>
                <w:color w:val="auto"/>
                <w:sz w:val="24"/>
                <w:szCs w:val="24"/>
                <w:highlight w:val="none"/>
              </w:rPr>
              <w:t>，可知本项目的</w:t>
            </w:r>
            <w:r>
              <w:rPr>
                <w:rStyle w:val="85"/>
                <w:rFonts w:hint="eastAsia" w:cs="宋体"/>
                <w:b w:val="0"/>
                <w:bCs w:val="0"/>
                <w:color w:val="auto"/>
                <w:highlight w:val="none"/>
              </w:rPr>
              <w:t>破碎、粉碎、筛分、制粒成型</w:t>
            </w:r>
            <w:r>
              <w:rPr>
                <w:rFonts w:hint="eastAsia" w:cs="宋体"/>
                <w:color w:val="auto"/>
                <w:sz w:val="24"/>
                <w:szCs w:val="24"/>
                <w:highlight w:val="none"/>
              </w:rPr>
              <w:t>等工序的治理技术与其显示的治理技术基本一致，表明处理技术可行。</w:t>
            </w:r>
          </w:p>
          <w:p w14:paraId="7857136D">
            <w:pPr>
              <w:autoSpaceDE w:val="0"/>
              <w:autoSpaceDN w:val="0"/>
              <w:adjustRightInd w:val="0"/>
              <w:snapToGrid w:val="0"/>
              <w:spacing w:line="360" w:lineRule="auto"/>
              <w:ind w:firstLine="440" w:firstLineChars="200"/>
              <w:jc w:val="center"/>
              <w:rPr>
                <w:color w:val="auto"/>
                <w:kern w:val="24"/>
                <w:sz w:val="24"/>
                <w:highlight w:val="none"/>
              </w:rPr>
            </w:pPr>
            <w:r>
              <w:rPr>
                <w:rFonts w:hint="eastAsia"/>
                <w:color w:val="auto"/>
                <w:sz w:val="22"/>
                <w:szCs w:val="22"/>
                <w:highlight w:val="none"/>
              </w:rPr>
              <w:t>表</w:t>
            </w:r>
            <w:r>
              <w:rPr>
                <w:rFonts w:hint="eastAsia"/>
                <w:color w:val="auto"/>
                <w:sz w:val="22"/>
                <w:szCs w:val="22"/>
                <w:highlight w:val="none"/>
                <w:lang w:val="en-US" w:eastAsia="zh-CN"/>
              </w:rPr>
              <w:t>4-7</w:t>
            </w:r>
            <w:r>
              <w:rPr>
                <w:rFonts w:hint="eastAsia"/>
                <w:color w:val="auto"/>
                <w:sz w:val="22"/>
                <w:szCs w:val="22"/>
                <w:highlight w:val="none"/>
              </w:rPr>
              <w:t xml:space="preserve"> 污染防治可行技术对比分析</w:t>
            </w:r>
          </w:p>
          <w:tbl>
            <w:tblPr>
              <w:tblStyle w:val="37"/>
              <w:tblW w:w="821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42"/>
              <w:gridCol w:w="1038"/>
              <w:gridCol w:w="1582"/>
              <w:gridCol w:w="1358"/>
              <w:gridCol w:w="2512"/>
              <w:gridCol w:w="885"/>
            </w:tblGrid>
            <w:tr w14:paraId="2DF0DF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2" w:hRule="atLeast"/>
                <w:jc w:val="center"/>
              </w:trPr>
              <w:tc>
                <w:tcPr>
                  <w:tcW w:w="842" w:type="dxa"/>
                  <w:vAlign w:val="center"/>
                </w:tcPr>
                <w:p w14:paraId="02451720">
                  <w:pPr>
                    <w:jc w:val="center"/>
                    <w:rPr>
                      <w:color w:val="auto"/>
                      <w:highlight w:val="none"/>
                    </w:rPr>
                  </w:pPr>
                  <w:r>
                    <w:rPr>
                      <w:color w:val="auto"/>
                      <w:highlight w:val="none"/>
                    </w:rPr>
                    <w:t>排污单位类别</w:t>
                  </w:r>
                </w:p>
              </w:tc>
              <w:tc>
                <w:tcPr>
                  <w:tcW w:w="1038" w:type="dxa"/>
                  <w:vAlign w:val="center"/>
                </w:tcPr>
                <w:p w14:paraId="2BF33472">
                  <w:pPr>
                    <w:jc w:val="center"/>
                    <w:rPr>
                      <w:color w:val="auto"/>
                      <w:highlight w:val="none"/>
                    </w:rPr>
                  </w:pPr>
                  <w:r>
                    <w:rPr>
                      <w:rFonts w:hint="eastAsia"/>
                      <w:color w:val="auto"/>
                      <w:highlight w:val="none"/>
                    </w:rPr>
                    <w:t>生产单元</w:t>
                  </w:r>
                </w:p>
              </w:tc>
              <w:tc>
                <w:tcPr>
                  <w:tcW w:w="1582" w:type="dxa"/>
                  <w:vAlign w:val="center"/>
                </w:tcPr>
                <w:p w14:paraId="14E4854A">
                  <w:pPr>
                    <w:jc w:val="center"/>
                    <w:rPr>
                      <w:color w:val="auto"/>
                      <w:highlight w:val="none"/>
                    </w:rPr>
                  </w:pPr>
                  <w:r>
                    <w:rPr>
                      <w:rFonts w:hint="eastAsia"/>
                      <w:color w:val="auto"/>
                      <w:highlight w:val="none"/>
                    </w:rPr>
                    <w:t>废气产污</w:t>
                  </w:r>
                </w:p>
                <w:p w14:paraId="4DA191F6">
                  <w:pPr>
                    <w:jc w:val="center"/>
                    <w:rPr>
                      <w:color w:val="auto"/>
                      <w:highlight w:val="none"/>
                    </w:rPr>
                  </w:pPr>
                  <w:r>
                    <w:rPr>
                      <w:rFonts w:hint="eastAsia"/>
                      <w:color w:val="auto"/>
                      <w:highlight w:val="none"/>
                    </w:rPr>
                    <w:t>环节</w:t>
                  </w:r>
                </w:p>
              </w:tc>
              <w:tc>
                <w:tcPr>
                  <w:tcW w:w="1358" w:type="dxa"/>
                  <w:vAlign w:val="center"/>
                </w:tcPr>
                <w:p w14:paraId="61A9990E">
                  <w:pPr>
                    <w:jc w:val="center"/>
                    <w:rPr>
                      <w:color w:val="auto"/>
                      <w:highlight w:val="none"/>
                    </w:rPr>
                  </w:pPr>
                  <w:r>
                    <w:rPr>
                      <w:rFonts w:hint="eastAsia"/>
                      <w:color w:val="auto"/>
                      <w:highlight w:val="none"/>
                    </w:rPr>
                    <w:t xml:space="preserve">末端治理 </w:t>
                  </w:r>
                </w:p>
                <w:p w14:paraId="2414B9E2">
                  <w:pPr>
                    <w:jc w:val="center"/>
                    <w:rPr>
                      <w:color w:val="auto"/>
                      <w:highlight w:val="none"/>
                    </w:rPr>
                  </w:pPr>
                  <w:r>
                    <w:rPr>
                      <w:rFonts w:hint="eastAsia"/>
                      <w:color w:val="auto"/>
                      <w:highlight w:val="none"/>
                    </w:rPr>
                    <w:t xml:space="preserve">技术名称 </w:t>
                  </w:r>
                </w:p>
              </w:tc>
              <w:tc>
                <w:tcPr>
                  <w:tcW w:w="2512" w:type="dxa"/>
                  <w:vAlign w:val="center"/>
                </w:tcPr>
                <w:p w14:paraId="7B37278E">
                  <w:pPr>
                    <w:spacing w:before="120" w:beforeLines="50"/>
                    <w:jc w:val="center"/>
                    <w:rPr>
                      <w:color w:val="auto"/>
                      <w:highlight w:val="none"/>
                    </w:rPr>
                  </w:pPr>
                  <w:r>
                    <w:rPr>
                      <w:color w:val="auto"/>
                      <w:highlight w:val="none"/>
                    </w:rPr>
                    <w:t>本项目</w:t>
                  </w:r>
                  <w:r>
                    <w:rPr>
                      <w:rFonts w:hint="eastAsia"/>
                      <w:color w:val="auto"/>
                      <w:highlight w:val="none"/>
                    </w:rPr>
                    <w:t>内容</w:t>
                  </w:r>
                </w:p>
              </w:tc>
              <w:tc>
                <w:tcPr>
                  <w:tcW w:w="885" w:type="dxa"/>
                  <w:vAlign w:val="center"/>
                </w:tcPr>
                <w:p w14:paraId="39E60750">
                  <w:pPr>
                    <w:jc w:val="center"/>
                    <w:rPr>
                      <w:color w:val="auto"/>
                      <w:highlight w:val="none"/>
                    </w:rPr>
                  </w:pPr>
                  <w:r>
                    <w:rPr>
                      <w:rFonts w:hint="eastAsia"/>
                      <w:color w:val="auto"/>
                      <w:highlight w:val="none"/>
                    </w:rPr>
                    <w:t>是否可行</w:t>
                  </w:r>
                </w:p>
              </w:tc>
            </w:tr>
            <w:tr w14:paraId="20B6DC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21" w:hRule="atLeast"/>
                <w:jc w:val="center"/>
              </w:trPr>
              <w:tc>
                <w:tcPr>
                  <w:tcW w:w="842" w:type="dxa"/>
                  <w:vAlign w:val="center"/>
                </w:tcPr>
                <w:p w14:paraId="1851A3B9">
                  <w:pPr>
                    <w:spacing w:before="120" w:beforeLines="50"/>
                    <w:jc w:val="center"/>
                    <w:rPr>
                      <w:color w:val="auto"/>
                      <w:highlight w:val="none"/>
                    </w:rPr>
                  </w:pPr>
                  <w:r>
                    <w:rPr>
                      <w:color w:val="auto"/>
                      <w:highlight w:val="none"/>
                    </w:rPr>
                    <w:t>生物质致密成型燃料加工</w:t>
                  </w:r>
                </w:p>
              </w:tc>
              <w:tc>
                <w:tcPr>
                  <w:tcW w:w="1038" w:type="dxa"/>
                  <w:vAlign w:val="center"/>
                </w:tcPr>
                <w:p w14:paraId="6F694553">
                  <w:pPr>
                    <w:spacing w:before="120" w:beforeLines="50"/>
                    <w:jc w:val="center"/>
                    <w:rPr>
                      <w:color w:val="auto"/>
                      <w:highlight w:val="none"/>
                    </w:rPr>
                  </w:pPr>
                  <w:r>
                    <w:rPr>
                      <w:rFonts w:hint="eastAsia"/>
                      <w:color w:val="auto"/>
                      <w:highlight w:val="none"/>
                    </w:rPr>
                    <w:t>破碎、粉碎、制粒成型工序</w:t>
                  </w:r>
                </w:p>
              </w:tc>
              <w:tc>
                <w:tcPr>
                  <w:tcW w:w="1582" w:type="dxa"/>
                  <w:vAlign w:val="center"/>
                </w:tcPr>
                <w:p w14:paraId="45A6B5D1">
                  <w:pPr>
                    <w:spacing w:before="120" w:beforeLines="50"/>
                    <w:jc w:val="center"/>
                    <w:rPr>
                      <w:color w:val="auto"/>
                      <w:highlight w:val="none"/>
                    </w:rPr>
                  </w:pPr>
                  <w:r>
                    <w:rPr>
                      <w:rFonts w:hint="eastAsia"/>
                      <w:color w:val="auto"/>
                      <w:highlight w:val="none"/>
                    </w:rPr>
                    <w:t>剪切、破碎、造粒工序产生的废气</w:t>
                  </w:r>
                </w:p>
              </w:tc>
              <w:tc>
                <w:tcPr>
                  <w:tcW w:w="1358" w:type="dxa"/>
                  <w:vAlign w:val="center"/>
                </w:tcPr>
                <w:p w14:paraId="3F69F32E">
                  <w:pPr>
                    <w:spacing w:before="120" w:beforeLines="50"/>
                    <w:jc w:val="center"/>
                    <w:rPr>
                      <w:color w:val="auto"/>
                      <w:highlight w:val="none"/>
                    </w:rPr>
                  </w:pPr>
                  <w:r>
                    <w:rPr>
                      <w:rFonts w:hint="eastAsia"/>
                      <w:color w:val="auto"/>
                      <w:highlight w:val="none"/>
                    </w:rPr>
                    <w:t>旋风除尘</w:t>
                  </w:r>
                  <w:r>
                    <w:rPr>
                      <w:rFonts w:hint="eastAsia"/>
                      <w:color w:val="auto"/>
                      <w:highlight w:val="none"/>
                    </w:rPr>
                    <w:br w:type="textWrapping"/>
                  </w:r>
                  <w:r>
                    <w:rPr>
                      <w:rFonts w:hint="eastAsia"/>
                      <w:color w:val="auto"/>
                      <w:highlight w:val="none"/>
                    </w:rPr>
                    <w:t>袋式除尘</w:t>
                  </w:r>
                </w:p>
              </w:tc>
              <w:tc>
                <w:tcPr>
                  <w:tcW w:w="2512" w:type="dxa"/>
                  <w:vAlign w:val="center"/>
                </w:tcPr>
                <w:p w14:paraId="39F443EC">
                  <w:pPr>
                    <w:spacing w:before="120" w:beforeLines="50"/>
                    <w:jc w:val="center"/>
                    <w:rPr>
                      <w:color w:val="auto"/>
                      <w:highlight w:val="none"/>
                    </w:rPr>
                  </w:pPr>
                  <w:r>
                    <w:rPr>
                      <w:rFonts w:hint="eastAsia"/>
                      <w:color w:val="auto"/>
                      <w:highlight w:val="none"/>
                    </w:rPr>
                    <w:t>集气装置+</w:t>
                  </w:r>
                  <w:r>
                    <w:rPr>
                      <w:rFonts w:hint="eastAsia"/>
                      <w:color w:val="auto"/>
                      <w:highlight w:val="none"/>
                      <w:lang w:eastAsia="zh-CN"/>
                    </w:rPr>
                    <w:t>“</w:t>
                  </w:r>
                  <w:r>
                    <w:rPr>
                      <w:rFonts w:hint="eastAsia"/>
                      <w:color w:val="auto"/>
                      <w:highlight w:val="none"/>
                    </w:rPr>
                    <w:t>旋风除尘+布袋除尘</w:t>
                  </w:r>
                  <w:r>
                    <w:rPr>
                      <w:rFonts w:hint="eastAsia"/>
                      <w:color w:val="auto"/>
                      <w:highlight w:val="none"/>
                      <w:lang w:eastAsia="zh-CN"/>
                    </w:rPr>
                    <w:t>”</w:t>
                  </w:r>
                  <w:r>
                    <w:rPr>
                      <w:rFonts w:hint="eastAsia"/>
                      <w:color w:val="auto"/>
                      <w:highlight w:val="none"/>
                    </w:rPr>
                    <w:t>+15米高</w:t>
                  </w:r>
                  <w:r>
                    <w:rPr>
                      <w:color w:val="auto"/>
                      <w:highlight w:val="none"/>
                    </w:rPr>
                    <w:t>排气筒排放</w:t>
                  </w:r>
                </w:p>
              </w:tc>
              <w:tc>
                <w:tcPr>
                  <w:tcW w:w="885" w:type="dxa"/>
                  <w:vAlign w:val="center"/>
                </w:tcPr>
                <w:p w14:paraId="48E22873">
                  <w:pPr>
                    <w:jc w:val="center"/>
                    <w:rPr>
                      <w:color w:val="auto"/>
                      <w:highlight w:val="none"/>
                    </w:rPr>
                  </w:pPr>
                  <w:r>
                    <w:rPr>
                      <w:rFonts w:hint="eastAsia"/>
                      <w:color w:val="auto"/>
                      <w:highlight w:val="none"/>
                    </w:rPr>
                    <w:t>可行</w:t>
                  </w:r>
                </w:p>
              </w:tc>
            </w:tr>
          </w:tbl>
          <w:p w14:paraId="72DC5E99">
            <w:pPr>
              <w:autoSpaceDE w:val="0"/>
              <w:autoSpaceDN w:val="0"/>
              <w:adjustRightInd w:val="0"/>
              <w:snapToGrid w:val="0"/>
              <w:spacing w:line="360" w:lineRule="auto"/>
              <w:ind w:firstLine="480" w:firstLineChars="200"/>
              <w:rPr>
                <w:color w:val="auto"/>
                <w:kern w:val="24"/>
                <w:sz w:val="24"/>
                <w:highlight w:val="none"/>
              </w:rPr>
            </w:pPr>
          </w:p>
          <w:p w14:paraId="70316A1C">
            <w:pPr>
              <w:autoSpaceDE w:val="0"/>
              <w:autoSpaceDN w:val="0"/>
              <w:adjustRightInd w:val="0"/>
              <w:snapToGrid w:val="0"/>
              <w:spacing w:line="360" w:lineRule="auto"/>
              <w:ind w:firstLine="480" w:firstLineChars="200"/>
              <w:rPr>
                <w:color w:val="auto"/>
                <w:kern w:val="24"/>
                <w:sz w:val="24"/>
                <w:highlight w:val="none"/>
              </w:rPr>
            </w:pPr>
            <w:r>
              <w:rPr>
                <w:rFonts w:hint="eastAsia"/>
                <w:color w:val="auto"/>
                <w:kern w:val="24"/>
                <w:sz w:val="24"/>
                <w:highlight w:val="none"/>
              </w:rPr>
              <w:t>本项目采用上述措施后能够有效地处理废气，保证废气可达标排放，能有效减轻对周边大气环境的影响。</w:t>
            </w:r>
          </w:p>
          <w:p w14:paraId="443288B7">
            <w:pPr>
              <w:autoSpaceDE w:val="0"/>
              <w:autoSpaceDN w:val="0"/>
              <w:adjustRightInd w:val="0"/>
              <w:snapToGrid w:val="0"/>
              <w:spacing w:line="360" w:lineRule="auto"/>
              <w:ind w:firstLine="482" w:firstLineChars="200"/>
              <w:rPr>
                <w:b/>
                <w:bCs/>
                <w:color w:val="auto"/>
                <w:highlight w:val="none"/>
              </w:rPr>
            </w:pPr>
            <w:r>
              <w:rPr>
                <w:rFonts w:hint="eastAsia" w:cs="宋体"/>
                <w:b/>
                <w:bCs/>
                <w:color w:val="auto"/>
                <w:sz w:val="24"/>
                <w:szCs w:val="24"/>
                <w:highlight w:val="none"/>
              </w:rPr>
              <w:t>2.</w:t>
            </w:r>
            <w:r>
              <w:rPr>
                <w:rFonts w:hint="eastAsia" w:cs="宋体"/>
                <w:b/>
                <w:bCs/>
                <w:color w:val="auto"/>
                <w:sz w:val="24"/>
                <w:szCs w:val="24"/>
                <w:highlight w:val="none"/>
                <w:lang w:val="en-US" w:eastAsia="zh-CN"/>
              </w:rPr>
              <w:t>4</w:t>
            </w:r>
            <w:r>
              <w:rPr>
                <w:rFonts w:hint="eastAsia" w:cs="宋体"/>
                <w:b/>
                <w:bCs/>
                <w:color w:val="auto"/>
                <w:sz w:val="24"/>
                <w:szCs w:val="24"/>
                <w:highlight w:val="none"/>
              </w:rPr>
              <w:t xml:space="preserve"> 非正常工况污染物排放情况</w:t>
            </w:r>
          </w:p>
          <w:p w14:paraId="64C7163A">
            <w:pPr>
              <w:spacing w:line="360" w:lineRule="auto"/>
              <w:ind w:firstLine="480" w:firstLineChars="200"/>
              <w:rPr>
                <w:rStyle w:val="85"/>
                <w:b w:val="0"/>
                <w:bCs w:val="0"/>
                <w:color w:val="auto"/>
                <w:highlight w:val="none"/>
              </w:rPr>
            </w:pPr>
            <w:r>
              <w:rPr>
                <w:rStyle w:val="85"/>
                <w:rFonts w:hint="eastAsia" w:cs="宋体"/>
                <w:b w:val="0"/>
                <w:bCs w:val="0"/>
                <w:color w:val="auto"/>
                <w:highlight w:val="none"/>
              </w:rPr>
              <w:t>非正常工况是指车间废气处理设施运行出现事故，达不到设计要求时的处理效率。通过对该项目废气产生环节及主要污染物识别，综合考虑废气的环境影响和事故可能发生的概率，本次环评非正常工况考虑废气治理设施全部失效。废气处理系统出现故障，一般有</w:t>
            </w:r>
            <w:r>
              <w:rPr>
                <w:rStyle w:val="85"/>
                <w:b w:val="0"/>
                <w:bCs w:val="0"/>
                <w:color w:val="auto"/>
                <w:highlight w:val="none"/>
              </w:rPr>
              <w:t>3</w:t>
            </w:r>
            <w:r>
              <w:rPr>
                <w:rStyle w:val="85"/>
                <w:rFonts w:hint="eastAsia" w:cs="宋体"/>
                <w:b w:val="0"/>
                <w:bCs w:val="0"/>
                <w:color w:val="auto"/>
                <w:highlight w:val="none"/>
              </w:rPr>
              <w:t>种情况：停电、净化装置和风机出现故障，对生产异常情况，采取以下措施：</w:t>
            </w:r>
          </w:p>
          <w:p w14:paraId="652DFCCF">
            <w:pPr>
              <w:spacing w:line="360" w:lineRule="auto"/>
              <w:ind w:firstLine="480" w:firstLineChars="200"/>
              <w:rPr>
                <w:rStyle w:val="85"/>
                <w:b w:val="0"/>
                <w:bCs w:val="0"/>
                <w:color w:val="auto"/>
                <w:highlight w:val="none"/>
              </w:rPr>
            </w:pPr>
            <w:r>
              <w:rPr>
                <w:rStyle w:val="85"/>
                <w:rFonts w:hint="eastAsia" w:cs="宋体"/>
                <w:b w:val="0"/>
                <w:bCs w:val="0"/>
                <w:color w:val="auto"/>
                <w:highlight w:val="none"/>
              </w:rPr>
              <w:t>①如果全厂停电，停止生产，无污染物产生。为确保安全，立即疏散工作人员。</w:t>
            </w:r>
          </w:p>
          <w:p w14:paraId="5D784867">
            <w:pPr>
              <w:spacing w:line="360" w:lineRule="auto"/>
              <w:ind w:firstLine="480" w:firstLineChars="200"/>
              <w:rPr>
                <w:rStyle w:val="85"/>
                <w:b w:val="0"/>
                <w:bCs w:val="0"/>
                <w:color w:val="auto"/>
                <w:highlight w:val="none"/>
              </w:rPr>
            </w:pPr>
            <w:r>
              <w:rPr>
                <w:rStyle w:val="85"/>
                <w:rFonts w:hint="eastAsia" w:cs="宋体"/>
                <w:b w:val="0"/>
                <w:bCs w:val="0"/>
                <w:color w:val="auto"/>
                <w:highlight w:val="none"/>
              </w:rPr>
              <w:t>②风机出现故障时，立即停止污染源工序的生产，并及时维修风机。</w:t>
            </w:r>
          </w:p>
          <w:p w14:paraId="541F05F2">
            <w:pPr>
              <w:spacing w:line="360" w:lineRule="auto"/>
              <w:ind w:firstLine="480" w:firstLineChars="200"/>
              <w:rPr>
                <w:rStyle w:val="85"/>
                <w:b w:val="0"/>
                <w:bCs w:val="0"/>
                <w:color w:val="auto"/>
                <w:highlight w:val="none"/>
              </w:rPr>
            </w:pPr>
            <w:r>
              <w:rPr>
                <w:rStyle w:val="85"/>
                <w:rFonts w:hint="eastAsia" w:cs="宋体"/>
                <w:b w:val="0"/>
                <w:bCs w:val="0"/>
                <w:color w:val="auto"/>
                <w:highlight w:val="none"/>
              </w:rPr>
              <w:t>③当废气处理设施出现故障时，应立即进行维修，并停止产污设备的生产。</w:t>
            </w:r>
          </w:p>
          <w:p w14:paraId="11C8A246">
            <w:pPr>
              <w:spacing w:line="360" w:lineRule="auto"/>
              <w:ind w:firstLine="480" w:firstLineChars="200"/>
              <w:rPr>
                <w:rStyle w:val="85"/>
                <w:b w:val="0"/>
                <w:bCs w:val="0"/>
                <w:color w:val="auto"/>
                <w:highlight w:val="none"/>
              </w:rPr>
            </w:pPr>
            <w:r>
              <w:rPr>
                <w:rStyle w:val="85"/>
                <w:rFonts w:hint="eastAsia" w:cs="宋体"/>
                <w:b w:val="0"/>
                <w:bCs w:val="0"/>
                <w:color w:val="auto"/>
                <w:highlight w:val="none"/>
              </w:rPr>
              <w:t>本报告废气非正常排放考虑装置处理效率为</w:t>
            </w:r>
            <w:r>
              <w:rPr>
                <w:rStyle w:val="85"/>
                <w:rFonts w:hint="eastAsia"/>
                <w:b w:val="0"/>
                <w:bCs w:val="0"/>
                <w:color w:val="auto"/>
                <w:highlight w:val="none"/>
                <w:lang w:val="en-US"/>
              </w:rPr>
              <w:t>20%</w:t>
            </w:r>
            <w:r>
              <w:rPr>
                <w:rStyle w:val="85"/>
                <w:rFonts w:hint="eastAsia" w:cs="宋体"/>
                <w:b w:val="0"/>
                <w:bCs w:val="0"/>
                <w:color w:val="auto"/>
                <w:highlight w:val="none"/>
              </w:rPr>
              <w:t>的情况，非正常排放情况及概率下表。</w:t>
            </w:r>
          </w:p>
          <w:p w14:paraId="22F3F5B2">
            <w:pPr>
              <w:spacing w:line="360" w:lineRule="auto"/>
              <w:jc w:val="center"/>
              <w:rPr>
                <w:color w:val="auto"/>
                <w:sz w:val="24"/>
                <w:szCs w:val="24"/>
                <w:highlight w:val="none"/>
              </w:rPr>
            </w:pPr>
            <w:r>
              <w:rPr>
                <w:rFonts w:hint="eastAsia" w:hAnsi="宋体" w:cs="宋体"/>
                <w:color w:val="auto"/>
                <w:sz w:val="22"/>
                <w:szCs w:val="22"/>
                <w:highlight w:val="none"/>
              </w:rPr>
              <w:t>表</w:t>
            </w:r>
            <w:r>
              <w:rPr>
                <w:rFonts w:hAnsi="宋体"/>
                <w:color w:val="auto"/>
                <w:sz w:val="22"/>
                <w:szCs w:val="22"/>
                <w:highlight w:val="none"/>
              </w:rPr>
              <w:t xml:space="preserve">4-8  </w:t>
            </w:r>
            <w:r>
              <w:rPr>
                <w:rFonts w:hint="eastAsia" w:hAnsi="宋体" w:cs="宋体"/>
                <w:color w:val="auto"/>
                <w:sz w:val="22"/>
                <w:szCs w:val="22"/>
                <w:highlight w:val="none"/>
              </w:rPr>
              <w:t>废气非正常排放参数表</w:t>
            </w:r>
          </w:p>
          <w:tbl>
            <w:tblPr>
              <w:tblStyle w:val="37"/>
              <w:tblW w:w="8255"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2"/>
              <w:gridCol w:w="900"/>
              <w:gridCol w:w="692"/>
              <w:gridCol w:w="843"/>
              <w:gridCol w:w="905"/>
              <w:gridCol w:w="958"/>
              <w:gridCol w:w="1289"/>
              <w:gridCol w:w="1087"/>
              <w:gridCol w:w="889"/>
            </w:tblGrid>
            <w:tr w14:paraId="68688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trPr>
              <w:tc>
                <w:tcPr>
                  <w:tcW w:w="419" w:type="pct"/>
                  <w:tcBorders>
                    <w:top w:val="single" w:color="auto" w:sz="4" w:space="0"/>
                    <w:left w:val="single" w:color="auto" w:sz="4" w:space="0"/>
                    <w:bottom w:val="single" w:color="auto" w:sz="4" w:space="0"/>
                    <w:right w:val="single" w:color="auto" w:sz="4" w:space="0"/>
                  </w:tcBorders>
                  <w:vAlign w:val="center"/>
                </w:tcPr>
                <w:p w14:paraId="31D7FE29">
                  <w:pPr>
                    <w:jc w:val="center"/>
                    <w:rPr>
                      <w:rFonts w:hAnsi="宋体"/>
                      <w:color w:val="auto"/>
                      <w:sz w:val="22"/>
                      <w:szCs w:val="22"/>
                      <w:highlight w:val="none"/>
                    </w:rPr>
                  </w:pPr>
                  <w:r>
                    <w:rPr>
                      <w:rFonts w:hint="eastAsia" w:hAnsi="宋体" w:cs="宋体"/>
                      <w:color w:val="auto"/>
                      <w:sz w:val="22"/>
                      <w:szCs w:val="22"/>
                      <w:highlight w:val="none"/>
                    </w:rPr>
                    <w:t>所在车间</w:t>
                  </w:r>
                </w:p>
              </w:tc>
              <w:tc>
                <w:tcPr>
                  <w:tcW w:w="545" w:type="pct"/>
                  <w:tcBorders>
                    <w:top w:val="single" w:color="auto" w:sz="4" w:space="0"/>
                    <w:left w:val="single" w:color="auto" w:sz="4" w:space="0"/>
                    <w:bottom w:val="single" w:color="auto" w:sz="4" w:space="0"/>
                    <w:right w:val="single" w:color="auto" w:sz="4" w:space="0"/>
                  </w:tcBorders>
                  <w:vAlign w:val="center"/>
                </w:tcPr>
                <w:p w14:paraId="36564701">
                  <w:pPr>
                    <w:jc w:val="center"/>
                    <w:rPr>
                      <w:rFonts w:hAnsi="宋体"/>
                      <w:color w:val="auto"/>
                      <w:sz w:val="22"/>
                      <w:szCs w:val="22"/>
                      <w:highlight w:val="none"/>
                    </w:rPr>
                  </w:pPr>
                  <w:r>
                    <w:rPr>
                      <w:rFonts w:hint="eastAsia" w:hAnsi="宋体" w:cs="宋体"/>
                      <w:color w:val="auto"/>
                      <w:sz w:val="22"/>
                      <w:szCs w:val="22"/>
                      <w:highlight w:val="none"/>
                    </w:rPr>
                    <w:t>产生工段</w:t>
                  </w:r>
                </w:p>
              </w:tc>
              <w:tc>
                <w:tcPr>
                  <w:tcW w:w="419" w:type="pct"/>
                  <w:tcBorders>
                    <w:top w:val="single" w:color="auto" w:sz="4" w:space="0"/>
                    <w:left w:val="single" w:color="auto" w:sz="4" w:space="0"/>
                    <w:bottom w:val="single" w:color="auto" w:sz="4" w:space="0"/>
                    <w:right w:val="single" w:color="auto" w:sz="4" w:space="0"/>
                  </w:tcBorders>
                  <w:vAlign w:val="center"/>
                </w:tcPr>
                <w:p w14:paraId="22C51A63">
                  <w:pPr>
                    <w:jc w:val="center"/>
                    <w:rPr>
                      <w:rFonts w:hAnsi="宋体"/>
                      <w:color w:val="auto"/>
                      <w:sz w:val="22"/>
                      <w:szCs w:val="22"/>
                      <w:highlight w:val="none"/>
                    </w:rPr>
                  </w:pPr>
                  <w:r>
                    <w:rPr>
                      <w:rFonts w:hint="eastAsia" w:hAnsi="宋体" w:cs="宋体"/>
                      <w:color w:val="auto"/>
                      <w:sz w:val="22"/>
                      <w:szCs w:val="22"/>
                      <w:highlight w:val="none"/>
                    </w:rPr>
                    <w:t>频次</w:t>
                  </w:r>
                </w:p>
              </w:tc>
              <w:tc>
                <w:tcPr>
                  <w:tcW w:w="510" w:type="pct"/>
                  <w:tcBorders>
                    <w:top w:val="single" w:color="auto" w:sz="4" w:space="0"/>
                    <w:left w:val="single" w:color="auto" w:sz="4" w:space="0"/>
                    <w:bottom w:val="single" w:color="auto" w:sz="4" w:space="0"/>
                    <w:right w:val="single" w:color="auto" w:sz="4" w:space="0"/>
                  </w:tcBorders>
                  <w:vAlign w:val="center"/>
                </w:tcPr>
                <w:p w14:paraId="5A4CB31F">
                  <w:pPr>
                    <w:jc w:val="center"/>
                    <w:rPr>
                      <w:rFonts w:hAnsi="宋体"/>
                      <w:color w:val="auto"/>
                      <w:sz w:val="22"/>
                      <w:szCs w:val="22"/>
                      <w:highlight w:val="none"/>
                    </w:rPr>
                  </w:pPr>
                  <w:r>
                    <w:rPr>
                      <w:rFonts w:hint="eastAsia" w:hAnsi="宋体" w:cs="宋体"/>
                      <w:color w:val="auto"/>
                      <w:sz w:val="22"/>
                      <w:szCs w:val="22"/>
                      <w:highlight w:val="none"/>
                    </w:rPr>
                    <w:t>持续时间</w:t>
                  </w:r>
                </w:p>
              </w:tc>
              <w:tc>
                <w:tcPr>
                  <w:tcW w:w="548" w:type="pct"/>
                  <w:tcBorders>
                    <w:top w:val="single" w:color="auto" w:sz="4" w:space="0"/>
                    <w:left w:val="single" w:color="auto" w:sz="4" w:space="0"/>
                    <w:bottom w:val="single" w:color="auto" w:sz="4" w:space="0"/>
                    <w:right w:val="single" w:color="auto" w:sz="4" w:space="0"/>
                  </w:tcBorders>
                  <w:vAlign w:val="center"/>
                </w:tcPr>
                <w:p w14:paraId="334A6044">
                  <w:pPr>
                    <w:jc w:val="center"/>
                    <w:rPr>
                      <w:rFonts w:hAnsi="宋体"/>
                      <w:color w:val="auto"/>
                      <w:sz w:val="22"/>
                      <w:szCs w:val="22"/>
                      <w:highlight w:val="none"/>
                    </w:rPr>
                  </w:pPr>
                  <w:r>
                    <w:rPr>
                      <w:rFonts w:hint="eastAsia" w:hAnsi="宋体" w:cs="宋体"/>
                      <w:color w:val="auto"/>
                      <w:sz w:val="22"/>
                      <w:szCs w:val="22"/>
                      <w:highlight w:val="none"/>
                    </w:rPr>
                    <w:t>污染物</w:t>
                  </w:r>
                </w:p>
              </w:tc>
              <w:tc>
                <w:tcPr>
                  <w:tcW w:w="580" w:type="pct"/>
                  <w:tcBorders>
                    <w:top w:val="single" w:color="auto" w:sz="4" w:space="0"/>
                    <w:left w:val="single" w:color="auto" w:sz="4" w:space="0"/>
                    <w:bottom w:val="single" w:color="auto" w:sz="4" w:space="0"/>
                    <w:right w:val="single" w:color="auto" w:sz="4" w:space="0"/>
                  </w:tcBorders>
                  <w:vAlign w:val="center"/>
                </w:tcPr>
                <w:p w14:paraId="610BB107">
                  <w:pPr>
                    <w:jc w:val="center"/>
                    <w:rPr>
                      <w:rFonts w:hAnsi="宋体"/>
                      <w:color w:val="auto"/>
                      <w:sz w:val="22"/>
                      <w:szCs w:val="22"/>
                      <w:highlight w:val="none"/>
                    </w:rPr>
                  </w:pPr>
                  <w:r>
                    <w:rPr>
                      <w:rFonts w:hint="eastAsia" w:hAnsi="宋体" w:cs="宋体"/>
                      <w:color w:val="auto"/>
                      <w:sz w:val="22"/>
                      <w:szCs w:val="22"/>
                      <w:highlight w:val="none"/>
                    </w:rPr>
                    <w:t>产生量</w:t>
                  </w:r>
                </w:p>
                <w:p w14:paraId="1C453280">
                  <w:pPr>
                    <w:jc w:val="center"/>
                    <w:rPr>
                      <w:rFonts w:hAnsi="宋体"/>
                      <w:color w:val="auto"/>
                      <w:sz w:val="22"/>
                      <w:szCs w:val="22"/>
                      <w:highlight w:val="none"/>
                    </w:rPr>
                  </w:pPr>
                  <w:r>
                    <w:rPr>
                      <w:rFonts w:hint="eastAsia" w:hAnsi="宋体" w:cs="宋体"/>
                      <w:color w:val="auto"/>
                      <w:sz w:val="22"/>
                      <w:szCs w:val="22"/>
                      <w:highlight w:val="none"/>
                    </w:rPr>
                    <w:t>（</w:t>
                  </w:r>
                  <w:r>
                    <w:rPr>
                      <w:rFonts w:hAnsi="宋体"/>
                      <w:color w:val="auto"/>
                      <w:sz w:val="22"/>
                      <w:szCs w:val="22"/>
                      <w:highlight w:val="none"/>
                    </w:rPr>
                    <w:t>kg</w:t>
                  </w:r>
                  <w:r>
                    <w:rPr>
                      <w:rFonts w:hint="eastAsia" w:hAnsi="宋体" w:cs="宋体"/>
                      <w:color w:val="auto"/>
                      <w:sz w:val="22"/>
                      <w:szCs w:val="22"/>
                      <w:highlight w:val="none"/>
                    </w:rPr>
                    <w:t>）</w:t>
                  </w:r>
                </w:p>
              </w:tc>
              <w:tc>
                <w:tcPr>
                  <w:tcW w:w="780" w:type="pct"/>
                  <w:tcBorders>
                    <w:top w:val="single" w:color="auto" w:sz="4" w:space="0"/>
                    <w:left w:val="single" w:color="auto" w:sz="4" w:space="0"/>
                    <w:bottom w:val="single" w:color="auto" w:sz="4" w:space="0"/>
                    <w:right w:val="single" w:color="auto" w:sz="4" w:space="0"/>
                  </w:tcBorders>
                  <w:vAlign w:val="center"/>
                </w:tcPr>
                <w:p w14:paraId="6E3A3B7B">
                  <w:pPr>
                    <w:jc w:val="center"/>
                    <w:rPr>
                      <w:rFonts w:hAnsi="宋体"/>
                      <w:color w:val="auto"/>
                      <w:sz w:val="22"/>
                      <w:szCs w:val="22"/>
                      <w:highlight w:val="none"/>
                    </w:rPr>
                  </w:pPr>
                  <w:r>
                    <w:rPr>
                      <w:rFonts w:hint="eastAsia" w:hAnsi="宋体" w:cs="宋体"/>
                      <w:color w:val="auto"/>
                      <w:sz w:val="22"/>
                      <w:szCs w:val="22"/>
                      <w:highlight w:val="none"/>
                    </w:rPr>
                    <w:t>非正常排放浓度（</w:t>
                  </w:r>
                  <w:r>
                    <w:rPr>
                      <w:rFonts w:hAnsi="宋体"/>
                      <w:color w:val="auto"/>
                      <w:sz w:val="22"/>
                      <w:szCs w:val="22"/>
                      <w:highlight w:val="none"/>
                    </w:rPr>
                    <w:t>mg/m</w:t>
                  </w:r>
                  <w:r>
                    <w:rPr>
                      <w:rFonts w:hAnsi="宋体"/>
                      <w:color w:val="auto"/>
                      <w:sz w:val="22"/>
                      <w:szCs w:val="22"/>
                      <w:highlight w:val="none"/>
                      <w:vertAlign w:val="superscript"/>
                    </w:rPr>
                    <w:t>3</w:t>
                  </w:r>
                  <w:r>
                    <w:rPr>
                      <w:rFonts w:hint="eastAsia" w:hAnsi="宋体" w:cs="宋体"/>
                      <w:color w:val="auto"/>
                      <w:sz w:val="22"/>
                      <w:szCs w:val="22"/>
                      <w:highlight w:val="none"/>
                    </w:rPr>
                    <w:t>）</w:t>
                  </w:r>
                </w:p>
              </w:tc>
              <w:tc>
                <w:tcPr>
                  <w:tcW w:w="658" w:type="pct"/>
                  <w:tcBorders>
                    <w:top w:val="single" w:color="auto" w:sz="4" w:space="0"/>
                    <w:left w:val="single" w:color="auto" w:sz="4" w:space="0"/>
                    <w:bottom w:val="single" w:color="auto" w:sz="4" w:space="0"/>
                    <w:right w:val="single" w:color="auto" w:sz="4" w:space="0"/>
                  </w:tcBorders>
                  <w:vAlign w:val="center"/>
                </w:tcPr>
                <w:p w14:paraId="02398E56">
                  <w:pPr>
                    <w:jc w:val="center"/>
                    <w:rPr>
                      <w:rFonts w:hAnsi="宋体"/>
                      <w:color w:val="auto"/>
                      <w:sz w:val="22"/>
                      <w:szCs w:val="22"/>
                      <w:highlight w:val="none"/>
                    </w:rPr>
                  </w:pPr>
                  <w:r>
                    <w:rPr>
                      <w:rFonts w:hint="eastAsia" w:hAnsi="宋体" w:cs="宋体"/>
                      <w:color w:val="auto"/>
                      <w:sz w:val="22"/>
                      <w:szCs w:val="22"/>
                      <w:highlight w:val="none"/>
                    </w:rPr>
                    <w:t>非正常排放速率（</w:t>
                  </w:r>
                  <w:r>
                    <w:rPr>
                      <w:rFonts w:hAnsi="宋体"/>
                      <w:color w:val="auto"/>
                      <w:sz w:val="22"/>
                      <w:szCs w:val="22"/>
                      <w:highlight w:val="none"/>
                    </w:rPr>
                    <w:t>kg/h</w:t>
                  </w:r>
                  <w:r>
                    <w:rPr>
                      <w:rFonts w:hint="eastAsia" w:hAnsi="宋体" w:cs="宋体"/>
                      <w:color w:val="auto"/>
                      <w:sz w:val="22"/>
                      <w:szCs w:val="22"/>
                      <w:highlight w:val="none"/>
                    </w:rPr>
                    <w:t>）</w:t>
                  </w:r>
                </w:p>
              </w:tc>
              <w:tc>
                <w:tcPr>
                  <w:tcW w:w="538" w:type="pct"/>
                  <w:tcBorders>
                    <w:top w:val="single" w:color="auto" w:sz="4" w:space="0"/>
                    <w:left w:val="single" w:color="auto" w:sz="4" w:space="0"/>
                    <w:bottom w:val="single" w:color="auto" w:sz="4" w:space="0"/>
                    <w:right w:val="single" w:color="auto" w:sz="4" w:space="0"/>
                  </w:tcBorders>
                  <w:vAlign w:val="center"/>
                </w:tcPr>
                <w:p w14:paraId="357719A2">
                  <w:pPr>
                    <w:jc w:val="center"/>
                    <w:rPr>
                      <w:rFonts w:hAnsi="宋体"/>
                      <w:color w:val="auto"/>
                      <w:sz w:val="22"/>
                      <w:szCs w:val="22"/>
                      <w:highlight w:val="none"/>
                    </w:rPr>
                  </w:pPr>
                  <w:r>
                    <w:rPr>
                      <w:rFonts w:hint="eastAsia" w:hAnsi="宋体" w:cs="宋体"/>
                      <w:color w:val="auto"/>
                      <w:sz w:val="22"/>
                      <w:szCs w:val="22"/>
                      <w:highlight w:val="none"/>
                    </w:rPr>
                    <w:t>排放量</w:t>
                  </w:r>
                </w:p>
                <w:p w14:paraId="0B7DE863">
                  <w:pPr>
                    <w:jc w:val="center"/>
                    <w:rPr>
                      <w:rFonts w:hAnsi="宋体"/>
                      <w:color w:val="auto"/>
                      <w:sz w:val="22"/>
                      <w:szCs w:val="22"/>
                      <w:highlight w:val="none"/>
                    </w:rPr>
                  </w:pPr>
                  <w:r>
                    <w:rPr>
                      <w:rFonts w:hint="eastAsia" w:hAnsi="宋体" w:cs="宋体"/>
                      <w:color w:val="auto"/>
                      <w:sz w:val="22"/>
                      <w:szCs w:val="22"/>
                      <w:highlight w:val="none"/>
                    </w:rPr>
                    <w:t>（</w:t>
                  </w:r>
                  <w:r>
                    <w:rPr>
                      <w:rFonts w:hAnsi="宋体"/>
                      <w:color w:val="auto"/>
                      <w:sz w:val="22"/>
                      <w:szCs w:val="22"/>
                      <w:highlight w:val="none"/>
                    </w:rPr>
                    <w:t>kg/</w:t>
                  </w:r>
                  <w:r>
                    <w:rPr>
                      <w:rFonts w:hint="eastAsia" w:hAnsi="宋体" w:cs="宋体"/>
                      <w:color w:val="auto"/>
                      <w:sz w:val="22"/>
                      <w:szCs w:val="22"/>
                      <w:highlight w:val="none"/>
                    </w:rPr>
                    <w:t>次）</w:t>
                  </w:r>
                </w:p>
              </w:tc>
            </w:tr>
            <w:tr w14:paraId="2A27F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8" w:hRule="atLeast"/>
              </w:trPr>
              <w:tc>
                <w:tcPr>
                  <w:tcW w:w="419" w:type="pct"/>
                  <w:tcBorders>
                    <w:top w:val="single" w:color="auto" w:sz="4" w:space="0"/>
                    <w:left w:val="single" w:color="auto" w:sz="4" w:space="0"/>
                    <w:bottom w:val="single" w:color="auto" w:sz="4" w:space="0"/>
                    <w:right w:val="single" w:color="auto" w:sz="4" w:space="0"/>
                  </w:tcBorders>
                  <w:vAlign w:val="center"/>
                </w:tcPr>
                <w:p w14:paraId="6D018FBB">
                  <w:pPr>
                    <w:jc w:val="center"/>
                    <w:rPr>
                      <w:color w:val="auto"/>
                      <w:highlight w:val="none"/>
                    </w:rPr>
                  </w:pPr>
                  <w:r>
                    <w:rPr>
                      <w:rFonts w:hint="eastAsia"/>
                      <w:color w:val="auto"/>
                      <w:highlight w:val="none"/>
                    </w:rPr>
                    <w:t>生产车间</w:t>
                  </w:r>
                </w:p>
              </w:tc>
              <w:tc>
                <w:tcPr>
                  <w:tcW w:w="545" w:type="pct"/>
                  <w:tcBorders>
                    <w:top w:val="single" w:color="auto" w:sz="4" w:space="0"/>
                    <w:left w:val="single" w:color="auto" w:sz="4" w:space="0"/>
                    <w:bottom w:val="single" w:color="auto" w:sz="4" w:space="0"/>
                    <w:right w:val="single" w:color="auto" w:sz="4" w:space="0"/>
                  </w:tcBorders>
                  <w:vAlign w:val="center"/>
                </w:tcPr>
                <w:p w14:paraId="7DB8DC3B">
                  <w:pPr>
                    <w:jc w:val="center"/>
                    <w:rPr>
                      <w:color w:val="auto"/>
                      <w:highlight w:val="none"/>
                    </w:rPr>
                  </w:pPr>
                  <w:r>
                    <w:rPr>
                      <w:rFonts w:hint="eastAsia"/>
                      <w:color w:val="auto"/>
                      <w:highlight w:val="none"/>
                    </w:rPr>
                    <w:t>破碎、粉碎、制粒工序</w:t>
                  </w:r>
                </w:p>
              </w:tc>
              <w:tc>
                <w:tcPr>
                  <w:tcW w:w="419" w:type="pct"/>
                  <w:tcBorders>
                    <w:top w:val="single" w:color="auto" w:sz="4" w:space="0"/>
                    <w:left w:val="single" w:color="auto" w:sz="4" w:space="0"/>
                    <w:bottom w:val="single" w:color="auto" w:sz="4" w:space="0"/>
                    <w:right w:val="single" w:color="auto" w:sz="4" w:space="0"/>
                  </w:tcBorders>
                  <w:vAlign w:val="center"/>
                </w:tcPr>
                <w:p w14:paraId="655A6D76">
                  <w:pPr>
                    <w:jc w:val="center"/>
                    <w:rPr>
                      <w:color w:val="auto"/>
                      <w:highlight w:val="none"/>
                    </w:rPr>
                  </w:pPr>
                  <w:r>
                    <w:rPr>
                      <w:rFonts w:hint="eastAsia"/>
                      <w:color w:val="auto"/>
                      <w:highlight w:val="none"/>
                    </w:rPr>
                    <w:t>2次/年</w:t>
                  </w:r>
                </w:p>
              </w:tc>
              <w:tc>
                <w:tcPr>
                  <w:tcW w:w="510" w:type="pct"/>
                  <w:tcBorders>
                    <w:top w:val="single" w:color="auto" w:sz="4" w:space="0"/>
                    <w:left w:val="single" w:color="auto" w:sz="4" w:space="0"/>
                    <w:bottom w:val="single" w:color="auto" w:sz="4" w:space="0"/>
                    <w:right w:val="single" w:color="auto" w:sz="4" w:space="0"/>
                  </w:tcBorders>
                  <w:vAlign w:val="center"/>
                </w:tcPr>
                <w:p w14:paraId="1C3CC99B">
                  <w:pPr>
                    <w:jc w:val="center"/>
                    <w:rPr>
                      <w:color w:val="auto"/>
                      <w:highlight w:val="none"/>
                    </w:rPr>
                  </w:pPr>
                  <w:r>
                    <w:rPr>
                      <w:rFonts w:hint="eastAsia"/>
                      <w:color w:val="auto"/>
                      <w:highlight w:val="none"/>
                    </w:rPr>
                    <w:t>20min/次</w:t>
                  </w:r>
                </w:p>
              </w:tc>
              <w:tc>
                <w:tcPr>
                  <w:tcW w:w="548" w:type="pct"/>
                  <w:tcBorders>
                    <w:top w:val="single" w:color="auto" w:sz="4" w:space="0"/>
                    <w:left w:val="single" w:color="auto" w:sz="4" w:space="0"/>
                    <w:bottom w:val="single" w:color="auto" w:sz="4" w:space="0"/>
                    <w:right w:val="single" w:color="auto" w:sz="4" w:space="0"/>
                  </w:tcBorders>
                  <w:vAlign w:val="center"/>
                </w:tcPr>
                <w:p w14:paraId="7DEC8193">
                  <w:pPr>
                    <w:jc w:val="center"/>
                    <w:rPr>
                      <w:color w:val="auto"/>
                      <w:highlight w:val="none"/>
                    </w:rPr>
                  </w:pPr>
                  <w:r>
                    <w:rPr>
                      <w:rFonts w:hint="eastAsia"/>
                      <w:color w:val="auto"/>
                      <w:highlight w:val="none"/>
                    </w:rPr>
                    <w:t>颗粒物</w:t>
                  </w:r>
                </w:p>
              </w:tc>
              <w:tc>
                <w:tcPr>
                  <w:tcW w:w="580" w:type="pct"/>
                  <w:tcBorders>
                    <w:top w:val="single" w:color="auto" w:sz="4" w:space="0"/>
                    <w:left w:val="single" w:color="auto" w:sz="4" w:space="0"/>
                    <w:bottom w:val="single" w:color="auto" w:sz="4" w:space="0"/>
                    <w:right w:val="single" w:color="auto" w:sz="4" w:space="0"/>
                  </w:tcBorders>
                  <w:vAlign w:val="center"/>
                </w:tcPr>
                <w:p w14:paraId="0F50BB7F">
                  <w:pPr>
                    <w:jc w:val="center"/>
                    <w:rPr>
                      <w:rFonts w:hint="default"/>
                      <w:color w:val="auto"/>
                      <w:highlight w:val="none"/>
                      <w:lang w:val="en-US" w:eastAsia="zh-CN"/>
                    </w:rPr>
                  </w:pPr>
                  <w:r>
                    <w:rPr>
                      <w:rFonts w:hint="eastAsia"/>
                      <w:color w:val="auto"/>
                      <w:highlight w:val="none"/>
                      <w:lang w:val="en-US" w:eastAsia="zh-CN"/>
                    </w:rPr>
                    <w:t>6.69</w:t>
                  </w:r>
                </w:p>
              </w:tc>
              <w:tc>
                <w:tcPr>
                  <w:tcW w:w="780" w:type="pct"/>
                  <w:tcBorders>
                    <w:top w:val="single" w:color="auto" w:sz="4" w:space="0"/>
                    <w:left w:val="single" w:color="auto" w:sz="4" w:space="0"/>
                    <w:bottom w:val="single" w:color="auto" w:sz="4" w:space="0"/>
                    <w:right w:val="single" w:color="auto" w:sz="4" w:space="0"/>
                  </w:tcBorders>
                  <w:vAlign w:val="center"/>
                </w:tcPr>
                <w:p w14:paraId="37E19FFE">
                  <w:pPr>
                    <w:jc w:val="center"/>
                    <w:rPr>
                      <w:rFonts w:hint="default"/>
                      <w:color w:val="auto"/>
                      <w:highlight w:val="none"/>
                      <w:lang w:val="en-US" w:eastAsia="zh-CN"/>
                    </w:rPr>
                  </w:pPr>
                  <w:r>
                    <w:rPr>
                      <w:rFonts w:hint="eastAsia"/>
                      <w:color w:val="auto"/>
                      <w:highlight w:val="none"/>
                      <w:lang w:val="en-US" w:eastAsia="zh-CN"/>
                    </w:rPr>
                    <w:t>802.8</w:t>
                  </w:r>
                </w:p>
              </w:tc>
              <w:tc>
                <w:tcPr>
                  <w:tcW w:w="658" w:type="pct"/>
                  <w:tcBorders>
                    <w:top w:val="single" w:color="auto" w:sz="4" w:space="0"/>
                    <w:left w:val="single" w:color="auto" w:sz="4" w:space="0"/>
                    <w:bottom w:val="single" w:color="auto" w:sz="4" w:space="0"/>
                    <w:right w:val="single" w:color="auto" w:sz="4" w:space="0"/>
                  </w:tcBorders>
                  <w:vAlign w:val="center"/>
                </w:tcPr>
                <w:p w14:paraId="2F0D4F27">
                  <w:pPr>
                    <w:jc w:val="center"/>
                    <w:rPr>
                      <w:rFonts w:hint="default"/>
                      <w:color w:val="auto"/>
                      <w:highlight w:val="none"/>
                      <w:lang w:val="en-US" w:eastAsia="zh-CN"/>
                    </w:rPr>
                  </w:pPr>
                  <w:r>
                    <w:rPr>
                      <w:rFonts w:hint="eastAsia"/>
                      <w:color w:val="auto"/>
                      <w:highlight w:val="none"/>
                      <w:lang w:val="en-US" w:eastAsia="zh-CN"/>
                    </w:rPr>
                    <w:t>20.07</w:t>
                  </w:r>
                </w:p>
              </w:tc>
              <w:tc>
                <w:tcPr>
                  <w:tcW w:w="538" w:type="pct"/>
                  <w:tcBorders>
                    <w:top w:val="single" w:color="auto" w:sz="4" w:space="0"/>
                    <w:left w:val="single" w:color="auto" w:sz="4" w:space="0"/>
                    <w:bottom w:val="single" w:color="auto" w:sz="4" w:space="0"/>
                    <w:right w:val="single" w:color="auto" w:sz="4" w:space="0"/>
                  </w:tcBorders>
                  <w:vAlign w:val="center"/>
                </w:tcPr>
                <w:p w14:paraId="65AEB209">
                  <w:pPr>
                    <w:jc w:val="center"/>
                    <w:rPr>
                      <w:rFonts w:hint="default"/>
                      <w:color w:val="auto"/>
                      <w:highlight w:val="none"/>
                      <w:lang w:val="en-US" w:eastAsia="zh-CN"/>
                    </w:rPr>
                  </w:pPr>
                  <w:r>
                    <w:rPr>
                      <w:rFonts w:hint="eastAsia"/>
                      <w:color w:val="auto"/>
                      <w:highlight w:val="none"/>
                      <w:lang w:val="en-US" w:eastAsia="zh-CN"/>
                    </w:rPr>
                    <w:t>6.69</w:t>
                  </w:r>
                </w:p>
              </w:tc>
            </w:tr>
          </w:tbl>
          <w:p w14:paraId="69B5AEA8">
            <w:pPr>
              <w:spacing w:before="240" w:beforeLines="100" w:line="360" w:lineRule="auto"/>
              <w:ind w:firstLine="480" w:firstLineChars="200"/>
              <w:rPr>
                <w:rStyle w:val="85"/>
                <w:b w:val="0"/>
                <w:bCs w:val="0"/>
                <w:color w:val="auto"/>
                <w:highlight w:val="none"/>
              </w:rPr>
            </w:pPr>
            <w:r>
              <w:rPr>
                <w:rStyle w:val="85"/>
                <w:rFonts w:hint="eastAsia" w:cs="宋体"/>
                <w:b w:val="0"/>
                <w:bCs w:val="0"/>
                <w:color w:val="auto"/>
                <w:highlight w:val="none"/>
              </w:rPr>
              <w:t>本项目在生产时应先运行废气治理设施，待设施正常运转后再启动生产设备，确保废气的达标排放。另生产设施与废气治理设施设置联动装置，即废气治理设施一旦故障，生产设备应立刻停机，以确保废气不会超标排放。</w:t>
            </w:r>
          </w:p>
          <w:p w14:paraId="20A90707">
            <w:pPr>
              <w:spacing w:line="360" w:lineRule="auto"/>
              <w:ind w:firstLine="480" w:firstLineChars="200"/>
              <w:rPr>
                <w:rStyle w:val="85"/>
                <w:b w:val="0"/>
                <w:bCs w:val="0"/>
                <w:color w:val="auto"/>
                <w:highlight w:val="none"/>
              </w:rPr>
            </w:pPr>
            <w:r>
              <w:rPr>
                <w:rStyle w:val="85"/>
                <w:rFonts w:hint="eastAsia" w:cs="宋体"/>
                <w:b w:val="0"/>
                <w:bCs w:val="0"/>
                <w:color w:val="auto"/>
                <w:highlight w:val="none"/>
              </w:rPr>
              <w:t>综上所述，项目废气满足《大气污染物综合排放标准》（</w:t>
            </w:r>
            <w:r>
              <w:rPr>
                <w:rStyle w:val="85"/>
                <w:b w:val="0"/>
                <w:bCs w:val="0"/>
                <w:color w:val="auto"/>
                <w:highlight w:val="none"/>
              </w:rPr>
              <w:t>GB16297-1996</w:t>
            </w:r>
            <w:r>
              <w:rPr>
                <w:rStyle w:val="85"/>
                <w:rFonts w:hint="eastAsia" w:cs="宋体"/>
                <w:b w:val="0"/>
                <w:bCs w:val="0"/>
                <w:color w:val="auto"/>
                <w:highlight w:val="none"/>
              </w:rPr>
              <w:t>）中相关限值。在各项大气污染防治措施落实良好情况下，本项目产生大气污染物对周围环境空气质量影响较小。</w:t>
            </w:r>
          </w:p>
          <w:p w14:paraId="66E34F03">
            <w:pPr>
              <w:spacing w:line="360" w:lineRule="auto"/>
              <w:ind w:firstLine="482" w:firstLineChars="200"/>
              <w:rPr>
                <w:rStyle w:val="85"/>
                <w:b/>
                <w:bCs/>
                <w:color w:val="auto"/>
                <w:highlight w:val="none"/>
              </w:rPr>
            </w:pPr>
            <w:r>
              <w:rPr>
                <w:rStyle w:val="85"/>
                <w:rFonts w:hint="eastAsia"/>
                <w:b/>
                <w:bCs/>
                <w:color w:val="auto"/>
                <w:highlight w:val="none"/>
              </w:rPr>
              <w:t>2.</w:t>
            </w:r>
            <w:r>
              <w:rPr>
                <w:rStyle w:val="85"/>
                <w:rFonts w:hint="eastAsia"/>
                <w:b/>
                <w:bCs/>
                <w:color w:val="auto"/>
                <w:highlight w:val="none"/>
                <w:lang w:val="en-US"/>
              </w:rPr>
              <w:t>5</w:t>
            </w:r>
            <w:r>
              <w:rPr>
                <w:rStyle w:val="85"/>
                <w:rFonts w:hint="eastAsia"/>
                <w:b/>
                <w:bCs/>
                <w:color w:val="auto"/>
                <w:highlight w:val="none"/>
              </w:rPr>
              <w:t xml:space="preserve"> </w:t>
            </w:r>
            <w:r>
              <w:rPr>
                <w:rStyle w:val="85"/>
                <w:rFonts w:hint="eastAsia" w:cs="宋体"/>
                <w:b/>
                <w:bCs/>
                <w:color w:val="auto"/>
                <w:highlight w:val="none"/>
              </w:rPr>
              <w:t>废气检测计划</w:t>
            </w:r>
          </w:p>
          <w:p w14:paraId="3FE21348">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参照</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排污单位自行监测技术指南 总则</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（HJ</w:t>
            </w:r>
            <w:r>
              <w:rPr>
                <w:rFonts w:hint="eastAsia" w:asciiTheme="minorEastAsia" w:hAnsiTheme="minorEastAsia" w:eastAsiaTheme="minorEastAsia" w:cstheme="minorEastAsia"/>
                <w:color w:val="auto"/>
                <w:sz w:val="24"/>
                <w:szCs w:val="24"/>
                <w:highlight w:val="none"/>
                <w:lang w:val="en-US" w:eastAsia="zh-CN"/>
              </w:rPr>
              <w:t>819-2017</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表1及</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排污许可证申请与核发技术规范</w:t>
            </w:r>
            <w:r>
              <w:rPr>
                <w:rFonts w:hint="eastAsia" w:asciiTheme="minorEastAsia" w:hAnsiTheme="minorEastAsia" w:eastAsiaTheme="minorEastAsia" w:cstheme="minorEastAsia"/>
                <w:color w:val="auto"/>
                <w:sz w:val="24"/>
                <w:szCs w:val="24"/>
                <w:highlight w:val="none"/>
                <w:lang w:val="en-US" w:eastAsia="zh-CN"/>
              </w:rPr>
              <w:t xml:space="preserve"> 废弃资源加工工业</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（HJ1</w:t>
            </w:r>
            <w:r>
              <w:rPr>
                <w:rFonts w:hint="eastAsia" w:asciiTheme="minorEastAsia" w:hAnsiTheme="minorEastAsia" w:eastAsiaTheme="minorEastAsia" w:cstheme="minorEastAsia"/>
                <w:color w:val="auto"/>
                <w:sz w:val="24"/>
                <w:szCs w:val="24"/>
                <w:highlight w:val="none"/>
                <w:lang w:val="en-US" w:eastAsia="zh-CN"/>
              </w:rPr>
              <w:t>034</w:t>
            </w:r>
            <w:r>
              <w:rPr>
                <w:rFonts w:hint="eastAsia" w:asciiTheme="minorEastAsia" w:hAnsiTheme="minorEastAsia" w:eastAsiaTheme="minorEastAsia" w:cstheme="minorEastAsia"/>
                <w:color w:val="auto"/>
                <w:sz w:val="24"/>
                <w:szCs w:val="24"/>
                <w:highlight w:val="none"/>
              </w:rPr>
              <w:t>—20</w:t>
            </w:r>
            <w:r>
              <w:rPr>
                <w:rFonts w:hint="eastAsia" w:asciiTheme="minorEastAsia" w:hAnsiTheme="minorEastAsia" w:eastAsiaTheme="minorEastAsia" w:cstheme="minorEastAsia"/>
                <w:color w:val="auto"/>
                <w:sz w:val="24"/>
                <w:szCs w:val="24"/>
                <w:highlight w:val="none"/>
                <w:lang w:val="en-US" w:eastAsia="zh-CN"/>
              </w:rPr>
              <w:t>19</w:t>
            </w:r>
            <w:r>
              <w:rPr>
                <w:rFonts w:hint="eastAsia" w:asciiTheme="minorEastAsia" w:hAnsiTheme="minorEastAsia" w:eastAsiaTheme="minorEastAsia" w:cstheme="minorEastAsia"/>
                <w:color w:val="auto"/>
                <w:sz w:val="24"/>
                <w:szCs w:val="24"/>
                <w:highlight w:val="none"/>
              </w:rPr>
              <w:t>）制定污染源监测计划。若企业不具备监测条件，可委托有资质的监测单位进行监测，监测结果以报表形式上报当地生态环境主管部门。</w:t>
            </w:r>
          </w:p>
          <w:p w14:paraId="7BBFEC05">
            <w:pPr>
              <w:pStyle w:val="10"/>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Theme="minorEastAsia" w:hAnsiTheme="minorEastAsia" w:eastAsiaTheme="minorEastAsia" w:cstheme="minorEastAsia"/>
                <w:b w:val="0"/>
                <w:bCs w:val="0"/>
                <w:color w:val="auto"/>
                <w:kern w:val="2"/>
                <w:sz w:val="21"/>
                <w:szCs w:val="21"/>
                <w:highlight w:val="none"/>
                <w:lang w:val="en-US" w:eastAsia="zh-CN" w:bidi="ar-SA"/>
              </w:rPr>
            </w:pPr>
            <w:r>
              <w:rPr>
                <w:rFonts w:hint="eastAsia" w:asciiTheme="minorEastAsia" w:hAnsiTheme="minorEastAsia" w:eastAsiaTheme="minorEastAsia" w:cstheme="minorEastAsia"/>
                <w:b w:val="0"/>
                <w:bCs w:val="0"/>
                <w:color w:val="auto"/>
                <w:kern w:val="2"/>
                <w:sz w:val="21"/>
                <w:szCs w:val="21"/>
                <w:highlight w:val="none"/>
                <w:lang w:val="en-US" w:eastAsia="zh-CN" w:bidi="ar-SA"/>
              </w:rPr>
              <w:t xml:space="preserve">表4-9 </w:t>
            </w:r>
            <w:r>
              <w:rPr>
                <w:rFonts w:hint="eastAsia" w:asciiTheme="minorEastAsia" w:hAnsiTheme="minorEastAsia" w:eastAsiaTheme="minorEastAsia" w:cstheme="minorEastAsia"/>
                <w:b w:val="0"/>
                <w:bCs w:val="0"/>
                <w:color w:val="auto"/>
                <w:sz w:val="21"/>
                <w:szCs w:val="21"/>
                <w:highlight w:val="none"/>
              </w:rPr>
              <w:t>建设项目污染源监测计划表</w:t>
            </w:r>
          </w:p>
          <w:tbl>
            <w:tblPr>
              <w:tblStyle w:val="37"/>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37"/>
              <w:gridCol w:w="522"/>
              <w:gridCol w:w="897"/>
              <w:gridCol w:w="1780"/>
              <w:gridCol w:w="946"/>
              <w:gridCol w:w="2068"/>
              <w:gridCol w:w="1105"/>
            </w:tblGrid>
            <w:tr w14:paraId="3A9238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37" w:type="dxa"/>
                  <w:noWrap w:val="0"/>
                  <w:vAlign w:val="center"/>
                </w:tcPr>
                <w:p w14:paraId="4F61CB72">
                  <w:pPr>
                    <w:pStyle w:val="2"/>
                    <w:adjustRightInd/>
                    <w:snapToGrid/>
                    <w:spacing w:line="240" w:lineRule="auto"/>
                    <w:ind w:firstLine="0" w:firstLineChars="0"/>
                    <w:jc w:val="center"/>
                    <w:outlineLvl w:val="1"/>
                    <w:rPr>
                      <w:rFonts w:hint="eastAsia" w:asciiTheme="minorEastAsia" w:hAnsiTheme="minorEastAsia" w:eastAsiaTheme="minorEastAsia" w:cstheme="minorEastAsia"/>
                      <w:b w:val="0"/>
                      <w:bCs/>
                      <w:color w:val="auto"/>
                      <w:kern w:val="2"/>
                      <w:sz w:val="21"/>
                      <w:szCs w:val="21"/>
                      <w:highlight w:val="none"/>
                      <w:lang w:val="en-US" w:eastAsia="zh-CN"/>
                    </w:rPr>
                  </w:pPr>
                  <w:bookmarkStart w:id="2" w:name="_Toc12761"/>
                  <w:bookmarkStart w:id="3" w:name="_Toc27370"/>
                  <w:r>
                    <w:rPr>
                      <w:rFonts w:hint="eastAsia" w:asciiTheme="minorEastAsia" w:hAnsiTheme="minorEastAsia" w:eastAsiaTheme="minorEastAsia" w:cstheme="minorEastAsia"/>
                      <w:b w:val="0"/>
                      <w:bCs/>
                      <w:color w:val="auto"/>
                      <w:kern w:val="2"/>
                      <w:sz w:val="21"/>
                      <w:szCs w:val="21"/>
                      <w:highlight w:val="none"/>
                      <w:lang w:val="en-US" w:eastAsia="zh-CN"/>
                    </w:rPr>
                    <w:t>装置编号</w:t>
                  </w:r>
                  <w:bookmarkEnd w:id="2"/>
                  <w:bookmarkEnd w:id="3"/>
                </w:p>
              </w:tc>
              <w:tc>
                <w:tcPr>
                  <w:tcW w:w="1419" w:type="dxa"/>
                  <w:gridSpan w:val="2"/>
                  <w:noWrap w:val="0"/>
                  <w:vAlign w:val="center"/>
                </w:tcPr>
                <w:p w14:paraId="327CB97F">
                  <w:pPr>
                    <w:pStyle w:val="2"/>
                    <w:adjustRightInd/>
                    <w:snapToGrid/>
                    <w:spacing w:line="240" w:lineRule="auto"/>
                    <w:ind w:firstLine="0" w:firstLineChars="0"/>
                    <w:jc w:val="center"/>
                    <w:outlineLvl w:val="1"/>
                    <w:rPr>
                      <w:rFonts w:hint="eastAsia" w:asciiTheme="minorEastAsia" w:hAnsiTheme="minorEastAsia" w:eastAsiaTheme="minorEastAsia" w:cstheme="minorEastAsia"/>
                      <w:b w:val="0"/>
                      <w:bCs/>
                      <w:color w:val="auto"/>
                      <w:kern w:val="2"/>
                      <w:sz w:val="21"/>
                      <w:szCs w:val="21"/>
                      <w:highlight w:val="none"/>
                      <w:lang w:val="en-US" w:eastAsia="zh-CN"/>
                    </w:rPr>
                  </w:pPr>
                  <w:bookmarkStart w:id="4" w:name="_Toc9025"/>
                  <w:bookmarkStart w:id="5" w:name="_Toc5731"/>
                  <w:r>
                    <w:rPr>
                      <w:rFonts w:hint="eastAsia" w:asciiTheme="minorEastAsia" w:hAnsiTheme="minorEastAsia" w:eastAsiaTheme="minorEastAsia" w:cstheme="minorEastAsia"/>
                      <w:b w:val="0"/>
                      <w:bCs/>
                      <w:color w:val="auto"/>
                      <w:kern w:val="2"/>
                      <w:sz w:val="21"/>
                      <w:szCs w:val="21"/>
                      <w:highlight w:val="none"/>
                      <w:lang w:val="en-US" w:eastAsia="zh-CN"/>
                    </w:rPr>
                    <w:t>监测</w:t>
                  </w:r>
                  <w:bookmarkEnd w:id="4"/>
                  <w:r>
                    <w:rPr>
                      <w:rFonts w:hint="eastAsia" w:asciiTheme="minorEastAsia" w:hAnsiTheme="minorEastAsia" w:eastAsiaTheme="minorEastAsia" w:cstheme="minorEastAsia"/>
                      <w:b w:val="0"/>
                      <w:bCs/>
                      <w:color w:val="auto"/>
                      <w:kern w:val="2"/>
                      <w:sz w:val="21"/>
                      <w:szCs w:val="21"/>
                      <w:highlight w:val="none"/>
                      <w:lang w:val="en-US" w:eastAsia="zh-CN"/>
                    </w:rPr>
                    <w:t>因子</w:t>
                  </w:r>
                  <w:bookmarkEnd w:id="5"/>
                </w:p>
              </w:tc>
              <w:tc>
                <w:tcPr>
                  <w:tcW w:w="1780" w:type="dxa"/>
                  <w:noWrap w:val="0"/>
                  <w:vAlign w:val="center"/>
                </w:tcPr>
                <w:p w14:paraId="7A6B0A5E">
                  <w:pPr>
                    <w:pStyle w:val="2"/>
                    <w:adjustRightInd/>
                    <w:snapToGrid/>
                    <w:spacing w:line="240" w:lineRule="auto"/>
                    <w:ind w:firstLine="0" w:firstLineChars="0"/>
                    <w:jc w:val="center"/>
                    <w:outlineLvl w:val="1"/>
                    <w:rPr>
                      <w:rFonts w:hint="eastAsia" w:asciiTheme="minorEastAsia" w:hAnsiTheme="minorEastAsia" w:eastAsiaTheme="minorEastAsia" w:cstheme="minorEastAsia"/>
                      <w:b w:val="0"/>
                      <w:bCs/>
                      <w:color w:val="auto"/>
                      <w:kern w:val="2"/>
                      <w:sz w:val="21"/>
                      <w:szCs w:val="21"/>
                      <w:highlight w:val="none"/>
                      <w:lang w:val="en-US" w:eastAsia="zh-CN"/>
                    </w:rPr>
                  </w:pPr>
                  <w:bookmarkStart w:id="6" w:name="_Toc4664"/>
                  <w:bookmarkStart w:id="7" w:name="_Toc7594"/>
                  <w:r>
                    <w:rPr>
                      <w:rFonts w:hint="eastAsia" w:asciiTheme="minorEastAsia" w:hAnsiTheme="minorEastAsia" w:eastAsiaTheme="minorEastAsia" w:cstheme="minorEastAsia"/>
                      <w:b w:val="0"/>
                      <w:bCs/>
                      <w:color w:val="auto"/>
                      <w:kern w:val="2"/>
                      <w:sz w:val="21"/>
                      <w:szCs w:val="21"/>
                      <w:highlight w:val="none"/>
                      <w:lang w:val="en-US" w:eastAsia="zh-CN"/>
                    </w:rPr>
                    <w:t>监测点</w:t>
                  </w:r>
                  <w:bookmarkEnd w:id="6"/>
                </w:p>
                <w:bookmarkEnd w:id="7"/>
              </w:tc>
              <w:tc>
                <w:tcPr>
                  <w:tcW w:w="946" w:type="dxa"/>
                  <w:noWrap w:val="0"/>
                  <w:vAlign w:val="center"/>
                </w:tcPr>
                <w:p w14:paraId="189E52E4">
                  <w:pPr>
                    <w:pStyle w:val="2"/>
                    <w:adjustRightInd/>
                    <w:snapToGrid/>
                    <w:spacing w:line="240" w:lineRule="auto"/>
                    <w:ind w:firstLine="0" w:firstLineChars="0"/>
                    <w:jc w:val="center"/>
                    <w:outlineLvl w:val="1"/>
                    <w:rPr>
                      <w:rFonts w:hint="eastAsia" w:asciiTheme="minorEastAsia" w:hAnsiTheme="minorEastAsia" w:eastAsiaTheme="minorEastAsia" w:cstheme="minorEastAsia"/>
                      <w:b w:val="0"/>
                      <w:bCs/>
                      <w:color w:val="auto"/>
                      <w:kern w:val="2"/>
                      <w:sz w:val="21"/>
                      <w:szCs w:val="21"/>
                      <w:highlight w:val="none"/>
                      <w:lang w:val="en-US" w:eastAsia="zh-CN"/>
                    </w:rPr>
                  </w:pPr>
                  <w:bookmarkStart w:id="8" w:name="_Toc9227"/>
                  <w:r>
                    <w:rPr>
                      <w:rFonts w:hint="eastAsia" w:asciiTheme="minorEastAsia" w:hAnsiTheme="minorEastAsia" w:eastAsiaTheme="minorEastAsia" w:cstheme="minorEastAsia"/>
                      <w:b w:val="0"/>
                      <w:bCs/>
                      <w:color w:val="auto"/>
                      <w:kern w:val="2"/>
                      <w:sz w:val="21"/>
                      <w:szCs w:val="21"/>
                      <w:highlight w:val="none"/>
                      <w:lang w:val="en-US" w:eastAsia="zh-CN"/>
                    </w:rPr>
                    <w:t>监测频次</w:t>
                  </w:r>
                  <w:bookmarkEnd w:id="8"/>
                </w:p>
              </w:tc>
              <w:tc>
                <w:tcPr>
                  <w:tcW w:w="2068" w:type="dxa"/>
                  <w:noWrap w:val="0"/>
                  <w:vAlign w:val="center"/>
                </w:tcPr>
                <w:p w14:paraId="5C0AB5AF">
                  <w:pPr>
                    <w:pStyle w:val="34"/>
                    <w:widowControl/>
                    <w:adjustRightInd w:val="0"/>
                    <w:snapToGrid w:val="0"/>
                    <w:spacing w:before="0" w:beforeAutospacing="0" w:after="0" w:afterAutospacing="0" w:line="240" w:lineRule="auto"/>
                    <w:jc w:val="center"/>
                    <w:rPr>
                      <w:rFonts w:hint="eastAsia" w:asciiTheme="minorEastAsia" w:hAnsiTheme="minorEastAsia" w:eastAsiaTheme="minorEastAsia" w:cstheme="minorEastAsia"/>
                      <w:b w:val="0"/>
                      <w:bCs/>
                      <w:color w:val="auto"/>
                      <w:kern w:val="2"/>
                      <w:sz w:val="21"/>
                      <w:szCs w:val="21"/>
                      <w:highlight w:val="none"/>
                      <w:lang w:bidi="ar-SA"/>
                    </w:rPr>
                  </w:pPr>
                  <w:r>
                    <w:rPr>
                      <w:rFonts w:hint="eastAsia" w:asciiTheme="minorEastAsia" w:hAnsiTheme="minorEastAsia" w:eastAsiaTheme="minorEastAsia" w:cstheme="minorEastAsia"/>
                      <w:b w:val="0"/>
                      <w:bCs/>
                      <w:color w:val="auto"/>
                      <w:kern w:val="2"/>
                      <w:sz w:val="21"/>
                      <w:szCs w:val="21"/>
                      <w:highlight w:val="none"/>
                      <w:lang w:bidi="ar-SA"/>
                    </w:rPr>
                    <w:t>监测分析方法</w:t>
                  </w:r>
                </w:p>
              </w:tc>
              <w:tc>
                <w:tcPr>
                  <w:tcW w:w="1105" w:type="dxa"/>
                  <w:noWrap w:val="0"/>
                  <w:vAlign w:val="center"/>
                </w:tcPr>
                <w:p w14:paraId="039DA318">
                  <w:pPr>
                    <w:pStyle w:val="34"/>
                    <w:widowControl/>
                    <w:adjustRightInd w:val="0"/>
                    <w:snapToGrid w:val="0"/>
                    <w:spacing w:before="0" w:beforeAutospacing="0" w:after="0" w:afterAutospacing="0" w:line="240" w:lineRule="auto"/>
                    <w:jc w:val="center"/>
                    <w:rPr>
                      <w:rFonts w:hint="eastAsia" w:asciiTheme="minorEastAsia" w:hAnsiTheme="minorEastAsia" w:eastAsiaTheme="minorEastAsia" w:cstheme="minorEastAsia"/>
                      <w:b w:val="0"/>
                      <w:bCs/>
                      <w:color w:val="auto"/>
                      <w:kern w:val="2"/>
                      <w:sz w:val="21"/>
                      <w:szCs w:val="21"/>
                      <w:highlight w:val="none"/>
                      <w:lang w:bidi="ar-SA"/>
                    </w:rPr>
                  </w:pPr>
                  <w:r>
                    <w:rPr>
                      <w:rFonts w:hint="eastAsia" w:asciiTheme="minorEastAsia" w:hAnsiTheme="minorEastAsia" w:eastAsiaTheme="minorEastAsia" w:cstheme="minorEastAsia"/>
                      <w:b w:val="0"/>
                      <w:bCs/>
                      <w:color w:val="auto"/>
                      <w:kern w:val="2"/>
                      <w:sz w:val="21"/>
                      <w:szCs w:val="21"/>
                      <w:highlight w:val="none"/>
                      <w:lang w:bidi="ar-SA"/>
                    </w:rPr>
                    <w:t>监测要求</w:t>
                  </w:r>
                </w:p>
              </w:tc>
            </w:tr>
            <w:tr w14:paraId="3AA5E5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7" w:hRule="atLeast"/>
              </w:trPr>
              <w:tc>
                <w:tcPr>
                  <w:tcW w:w="937" w:type="dxa"/>
                  <w:noWrap w:val="0"/>
                  <w:vAlign w:val="center"/>
                </w:tcPr>
                <w:p w14:paraId="12881AAA">
                  <w:pPr>
                    <w:pStyle w:val="2"/>
                    <w:adjustRightInd/>
                    <w:snapToGrid/>
                    <w:spacing w:line="240" w:lineRule="auto"/>
                    <w:ind w:firstLine="0" w:firstLineChars="0"/>
                    <w:jc w:val="center"/>
                    <w:outlineLvl w:val="1"/>
                    <w:rPr>
                      <w:rFonts w:hint="eastAsia" w:asciiTheme="minorEastAsia" w:hAnsiTheme="minorEastAsia" w:eastAsiaTheme="minorEastAsia" w:cstheme="minorEastAsia"/>
                      <w:b w:val="0"/>
                      <w:bCs/>
                      <w:color w:val="auto"/>
                      <w:kern w:val="2"/>
                      <w:sz w:val="21"/>
                      <w:szCs w:val="21"/>
                      <w:highlight w:val="none"/>
                      <w:lang w:val="en-US" w:eastAsia="zh-CN"/>
                    </w:rPr>
                  </w:pPr>
                  <w:r>
                    <w:rPr>
                      <w:rFonts w:hint="eastAsia" w:asciiTheme="minorEastAsia" w:hAnsiTheme="minorEastAsia" w:eastAsiaTheme="minorEastAsia" w:cstheme="minorEastAsia"/>
                      <w:b w:val="0"/>
                      <w:bCs/>
                      <w:color w:val="auto"/>
                      <w:kern w:val="2"/>
                      <w:sz w:val="21"/>
                      <w:szCs w:val="21"/>
                      <w:highlight w:val="none"/>
                      <w:lang w:val="en-US" w:eastAsia="zh-CN"/>
                    </w:rPr>
                    <w:t>DA001</w:t>
                  </w:r>
                </w:p>
              </w:tc>
              <w:tc>
                <w:tcPr>
                  <w:tcW w:w="522" w:type="dxa"/>
                  <w:noWrap w:val="0"/>
                  <w:vAlign w:val="center"/>
                </w:tcPr>
                <w:p w14:paraId="0D4AB7D0">
                  <w:pPr>
                    <w:pStyle w:val="2"/>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outlineLvl w:val="1"/>
                    <w:rPr>
                      <w:rFonts w:hint="eastAsia" w:asciiTheme="minorEastAsia" w:hAnsiTheme="minorEastAsia" w:eastAsiaTheme="minorEastAsia" w:cstheme="minorEastAsia"/>
                      <w:b w:val="0"/>
                      <w:bCs/>
                      <w:color w:val="auto"/>
                      <w:kern w:val="2"/>
                      <w:sz w:val="21"/>
                      <w:szCs w:val="21"/>
                      <w:highlight w:val="none"/>
                      <w:lang w:val="en-US" w:eastAsia="zh-CN"/>
                    </w:rPr>
                  </w:pPr>
                  <w:r>
                    <w:rPr>
                      <w:rFonts w:hint="eastAsia" w:asciiTheme="minorEastAsia" w:hAnsiTheme="minorEastAsia" w:eastAsiaTheme="minorEastAsia" w:cstheme="minorEastAsia"/>
                      <w:b w:val="0"/>
                      <w:bCs/>
                      <w:color w:val="auto"/>
                      <w:kern w:val="2"/>
                      <w:sz w:val="21"/>
                      <w:szCs w:val="21"/>
                      <w:highlight w:val="none"/>
                      <w:lang w:val="en-US" w:eastAsia="zh-CN"/>
                    </w:rPr>
                    <w:t>有组织</w:t>
                  </w:r>
                </w:p>
              </w:tc>
              <w:tc>
                <w:tcPr>
                  <w:tcW w:w="897" w:type="dxa"/>
                  <w:noWrap w:val="0"/>
                  <w:vAlign w:val="center"/>
                </w:tcPr>
                <w:p w14:paraId="21FF46C6">
                  <w:pPr>
                    <w:pStyle w:val="34"/>
                    <w:widowControl/>
                    <w:adjustRightInd w:val="0"/>
                    <w:snapToGrid w:val="0"/>
                    <w:spacing w:before="0" w:beforeAutospacing="0" w:after="0" w:afterAutospacing="0" w:line="240" w:lineRule="auto"/>
                    <w:jc w:val="center"/>
                    <w:rPr>
                      <w:rFonts w:hint="eastAsia" w:asciiTheme="minorEastAsia" w:hAnsiTheme="minorEastAsia" w:eastAsiaTheme="minorEastAsia" w:cstheme="minorEastAsia"/>
                      <w:b w:val="0"/>
                      <w:bCs/>
                      <w:color w:val="auto"/>
                      <w:kern w:val="2"/>
                      <w:sz w:val="21"/>
                      <w:szCs w:val="21"/>
                      <w:highlight w:val="none"/>
                      <w:lang w:bidi="ar-SA"/>
                    </w:rPr>
                  </w:pPr>
                  <w:r>
                    <w:rPr>
                      <w:rFonts w:hint="eastAsia" w:asciiTheme="minorEastAsia" w:hAnsiTheme="minorEastAsia" w:eastAsiaTheme="minorEastAsia" w:cstheme="minorEastAsia"/>
                      <w:b w:val="0"/>
                      <w:bCs/>
                      <w:color w:val="auto"/>
                      <w:kern w:val="2"/>
                      <w:sz w:val="21"/>
                      <w:szCs w:val="21"/>
                      <w:highlight w:val="none"/>
                      <w:lang w:bidi="ar-SA"/>
                    </w:rPr>
                    <w:t>颗粒物</w:t>
                  </w:r>
                </w:p>
              </w:tc>
              <w:tc>
                <w:tcPr>
                  <w:tcW w:w="1780" w:type="dxa"/>
                  <w:noWrap w:val="0"/>
                  <w:vAlign w:val="center"/>
                </w:tcPr>
                <w:p w14:paraId="01C4806F">
                  <w:pPr>
                    <w:pStyle w:val="34"/>
                    <w:widowControl/>
                    <w:adjustRightInd w:val="0"/>
                    <w:snapToGrid w:val="0"/>
                    <w:spacing w:before="0" w:beforeAutospacing="0" w:after="0" w:afterAutospacing="0" w:line="240" w:lineRule="auto"/>
                    <w:jc w:val="center"/>
                    <w:rPr>
                      <w:rFonts w:hint="eastAsia" w:asciiTheme="minorEastAsia" w:hAnsiTheme="minorEastAsia" w:eastAsiaTheme="minorEastAsia" w:cstheme="minorEastAsia"/>
                      <w:b w:val="0"/>
                      <w:bCs/>
                      <w:color w:val="auto"/>
                      <w:kern w:val="2"/>
                      <w:sz w:val="21"/>
                      <w:szCs w:val="21"/>
                      <w:highlight w:val="none"/>
                      <w:lang w:bidi="ar-SA"/>
                    </w:rPr>
                  </w:pPr>
                  <w:r>
                    <w:rPr>
                      <w:rFonts w:hint="eastAsia" w:asciiTheme="minorEastAsia" w:hAnsiTheme="minorEastAsia" w:eastAsiaTheme="minorEastAsia" w:cstheme="minorEastAsia"/>
                      <w:b w:val="0"/>
                      <w:bCs/>
                      <w:color w:val="auto"/>
                      <w:kern w:val="2"/>
                      <w:sz w:val="21"/>
                      <w:szCs w:val="21"/>
                      <w:highlight w:val="none"/>
                      <w:lang w:bidi="ar-SA"/>
                    </w:rPr>
                    <w:t>DA001排气筒</w:t>
                  </w:r>
                </w:p>
              </w:tc>
              <w:tc>
                <w:tcPr>
                  <w:tcW w:w="946" w:type="dxa"/>
                  <w:noWrap w:val="0"/>
                  <w:vAlign w:val="center"/>
                </w:tcPr>
                <w:p w14:paraId="448363B7">
                  <w:pPr>
                    <w:pStyle w:val="2"/>
                    <w:adjustRightInd/>
                    <w:snapToGrid/>
                    <w:spacing w:line="240" w:lineRule="auto"/>
                    <w:ind w:firstLine="0" w:firstLineChars="0"/>
                    <w:jc w:val="center"/>
                    <w:outlineLvl w:val="1"/>
                    <w:rPr>
                      <w:rFonts w:hint="eastAsia" w:asciiTheme="minorEastAsia" w:hAnsiTheme="minorEastAsia" w:eastAsiaTheme="minorEastAsia" w:cstheme="minorEastAsia"/>
                      <w:b w:val="0"/>
                      <w:bCs/>
                      <w:color w:val="auto"/>
                      <w:kern w:val="2"/>
                      <w:sz w:val="21"/>
                      <w:szCs w:val="21"/>
                      <w:highlight w:val="none"/>
                      <w:lang w:val="en-US" w:eastAsia="zh-CN"/>
                    </w:rPr>
                  </w:pPr>
                  <w:r>
                    <w:rPr>
                      <w:rFonts w:hint="eastAsia" w:asciiTheme="minorEastAsia" w:hAnsiTheme="minorEastAsia" w:eastAsiaTheme="minorEastAsia" w:cstheme="minorEastAsia"/>
                      <w:b w:val="0"/>
                      <w:bCs/>
                      <w:color w:val="auto"/>
                      <w:kern w:val="2"/>
                      <w:sz w:val="21"/>
                      <w:szCs w:val="21"/>
                      <w:highlight w:val="none"/>
                      <w:lang w:val="en-US" w:eastAsia="zh-CN"/>
                    </w:rPr>
                    <w:t>1次/年</w:t>
                  </w:r>
                </w:p>
              </w:tc>
              <w:tc>
                <w:tcPr>
                  <w:tcW w:w="2068" w:type="dxa"/>
                  <w:vMerge w:val="restart"/>
                  <w:noWrap w:val="0"/>
                  <w:vAlign w:val="center"/>
                </w:tcPr>
                <w:p w14:paraId="429E824F">
                  <w:pPr>
                    <w:pStyle w:val="34"/>
                    <w:widowControl/>
                    <w:adjustRightInd w:val="0"/>
                    <w:snapToGrid w:val="0"/>
                    <w:spacing w:before="0" w:beforeAutospacing="0" w:after="0" w:afterAutospacing="0" w:line="240" w:lineRule="auto"/>
                    <w:jc w:val="center"/>
                    <w:rPr>
                      <w:rFonts w:hint="eastAsia" w:asciiTheme="minorEastAsia" w:hAnsiTheme="minorEastAsia" w:eastAsiaTheme="minorEastAsia" w:cstheme="minorEastAsia"/>
                      <w:b w:val="0"/>
                      <w:bCs/>
                      <w:color w:val="auto"/>
                      <w:kern w:val="2"/>
                      <w:sz w:val="21"/>
                      <w:szCs w:val="21"/>
                      <w:highlight w:val="none"/>
                      <w:lang w:bidi="ar-SA"/>
                    </w:rPr>
                  </w:pPr>
                  <w:r>
                    <w:rPr>
                      <w:rFonts w:hint="eastAsia" w:asciiTheme="minorEastAsia" w:hAnsiTheme="minorEastAsia" w:eastAsiaTheme="minorEastAsia" w:cstheme="minorEastAsia"/>
                      <w:b w:val="0"/>
                      <w:bCs/>
                      <w:color w:val="auto"/>
                      <w:kern w:val="2"/>
                      <w:sz w:val="21"/>
                      <w:szCs w:val="21"/>
                      <w:highlight w:val="none"/>
                      <w:lang w:bidi="ar-SA"/>
                    </w:rPr>
                    <w:t>手工采样方法的选择参照GB/T16157 、 HJ 836、 HJ/T 397执行，无组织排放采样方法参照HJ/T55执行，测定方法按照相应排放标准中规定的污染物浓度测定方法标准执行</w:t>
                  </w:r>
                </w:p>
              </w:tc>
              <w:tc>
                <w:tcPr>
                  <w:tcW w:w="1105" w:type="dxa"/>
                  <w:vMerge w:val="restart"/>
                  <w:noWrap w:val="0"/>
                  <w:vAlign w:val="center"/>
                </w:tcPr>
                <w:p w14:paraId="5CE44C89">
                  <w:pPr>
                    <w:pStyle w:val="34"/>
                    <w:widowControl/>
                    <w:adjustRightInd w:val="0"/>
                    <w:snapToGrid w:val="0"/>
                    <w:spacing w:before="0" w:beforeAutospacing="0" w:after="0" w:afterAutospacing="0" w:line="240" w:lineRule="auto"/>
                    <w:jc w:val="center"/>
                    <w:rPr>
                      <w:rFonts w:hint="eastAsia" w:asciiTheme="minorEastAsia" w:hAnsiTheme="minorEastAsia" w:eastAsiaTheme="minorEastAsia" w:cstheme="minorEastAsia"/>
                      <w:b w:val="0"/>
                      <w:bCs/>
                      <w:color w:val="auto"/>
                      <w:kern w:val="2"/>
                      <w:sz w:val="21"/>
                      <w:szCs w:val="21"/>
                      <w:highlight w:val="none"/>
                      <w:lang w:bidi="ar-SA"/>
                    </w:rPr>
                  </w:pPr>
                  <w:r>
                    <w:rPr>
                      <w:rFonts w:hint="eastAsia" w:asciiTheme="minorEastAsia" w:hAnsiTheme="minorEastAsia" w:eastAsiaTheme="minorEastAsia" w:cstheme="minorEastAsia"/>
                      <w:b w:val="0"/>
                      <w:bCs/>
                      <w:color w:val="auto"/>
                      <w:kern w:val="2"/>
                      <w:sz w:val="21"/>
                      <w:szCs w:val="21"/>
                      <w:highlight w:val="none"/>
                      <w:lang w:bidi="ar-SA"/>
                    </w:rPr>
                    <w:t>委托有资质单位监 测，建立监测数据库，记录存档</w:t>
                  </w:r>
                </w:p>
              </w:tc>
            </w:tr>
            <w:tr w14:paraId="0760D6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19" w:hRule="atLeast"/>
              </w:trPr>
              <w:tc>
                <w:tcPr>
                  <w:tcW w:w="937" w:type="dxa"/>
                  <w:noWrap w:val="0"/>
                  <w:vAlign w:val="center"/>
                </w:tcPr>
                <w:p w14:paraId="6AB31F27">
                  <w:pPr>
                    <w:pStyle w:val="2"/>
                    <w:adjustRightInd/>
                    <w:snapToGrid/>
                    <w:spacing w:line="240" w:lineRule="auto"/>
                    <w:ind w:firstLine="0" w:firstLineChars="0"/>
                    <w:jc w:val="center"/>
                    <w:outlineLvl w:val="1"/>
                    <w:rPr>
                      <w:rFonts w:hint="eastAsia" w:asciiTheme="minorEastAsia" w:hAnsiTheme="minorEastAsia" w:eastAsiaTheme="minorEastAsia" w:cstheme="minorEastAsia"/>
                      <w:b w:val="0"/>
                      <w:bCs/>
                      <w:color w:val="auto"/>
                      <w:kern w:val="2"/>
                      <w:sz w:val="21"/>
                      <w:szCs w:val="21"/>
                      <w:highlight w:val="none"/>
                      <w:lang w:val="en-US" w:eastAsia="zh-CN"/>
                    </w:rPr>
                  </w:pPr>
                  <w:r>
                    <w:rPr>
                      <w:rFonts w:hint="eastAsia" w:asciiTheme="minorEastAsia" w:hAnsiTheme="minorEastAsia" w:eastAsiaTheme="minorEastAsia" w:cstheme="minorEastAsia"/>
                      <w:b w:val="0"/>
                      <w:bCs/>
                      <w:color w:val="auto"/>
                      <w:kern w:val="2"/>
                      <w:sz w:val="21"/>
                      <w:szCs w:val="21"/>
                      <w:highlight w:val="none"/>
                      <w:lang w:val="en-US" w:eastAsia="zh-CN"/>
                    </w:rPr>
                    <w:t>/</w:t>
                  </w:r>
                </w:p>
              </w:tc>
              <w:tc>
                <w:tcPr>
                  <w:tcW w:w="522" w:type="dxa"/>
                  <w:noWrap w:val="0"/>
                  <w:vAlign w:val="center"/>
                </w:tcPr>
                <w:p w14:paraId="202FEEAF">
                  <w:pPr>
                    <w:pStyle w:val="2"/>
                    <w:adjustRightInd/>
                    <w:snapToGrid/>
                    <w:spacing w:line="240" w:lineRule="auto"/>
                    <w:ind w:firstLine="0" w:firstLineChars="0"/>
                    <w:jc w:val="center"/>
                    <w:outlineLvl w:val="1"/>
                    <w:rPr>
                      <w:rFonts w:hint="eastAsia" w:asciiTheme="minorEastAsia" w:hAnsiTheme="minorEastAsia" w:eastAsiaTheme="minorEastAsia" w:cstheme="minorEastAsia"/>
                      <w:b w:val="0"/>
                      <w:bCs/>
                      <w:color w:val="auto"/>
                      <w:kern w:val="2"/>
                      <w:sz w:val="21"/>
                      <w:szCs w:val="21"/>
                      <w:highlight w:val="none"/>
                      <w:lang w:val="en-US" w:eastAsia="zh-CN"/>
                    </w:rPr>
                  </w:pPr>
                  <w:r>
                    <w:rPr>
                      <w:rFonts w:hint="eastAsia" w:asciiTheme="minorEastAsia" w:hAnsiTheme="minorEastAsia" w:eastAsiaTheme="minorEastAsia" w:cstheme="minorEastAsia"/>
                      <w:b w:val="0"/>
                      <w:bCs/>
                      <w:color w:val="auto"/>
                      <w:kern w:val="2"/>
                      <w:sz w:val="21"/>
                      <w:szCs w:val="21"/>
                      <w:highlight w:val="none"/>
                      <w:lang w:val="en-US" w:eastAsia="zh-CN"/>
                    </w:rPr>
                    <w:t>无组织</w:t>
                  </w:r>
                </w:p>
              </w:tc>
              <w:tc>
                <w:tcPr>
                  <w:tcW w:w="897" w:type="dxa"/>
                  <w:noWrap w:val="0"/>
                  <w:vAlign w:val="center"/>
                </w:tcPr>
                <w:p w14:paraId="4DFC9AC3">
                  <w:pPr>
                    <w:pStyle w:val="34"/>
                    <w:widowControl/>
                    <w:adjustRightInd w:val="0"/>
                    <w:snapToGrid w:val="0"/>
                    <w:spacing w:before="0" w:beforeAutospacing="0" w:after="0" w:afterAutospacing="0" w:line="240" w:lineRule="auto"/>
                    <w:jc w:val="center"/>
                    <w:rPr>
                      <w:rFonts w:hint="eastAsia" w:asciiTheme="minorEastAsia" w:hAnsiTheme="minorEastAsia" w:eastAsiaTheme="minorEastAsia" w:cstheme="minorEastAsia"/>
                      <w:b w:val="0"/>
                      <w:bCs/>
                      <w:color w:val="auto"/>
                      <w:kern w:val="2"/>
                      <w:sz w:val="21"/>
                      <w:szCs w:val="21"/>
                      <w:highlight w:val="none"/>
                      <w:lang w:bidi="ar-SA"/>
                    </w:rPr>
                  </w:pPr>
                  <w:r>
                    <w:rPr>
                      <w:rFonts w:hint="eastAsia" w:asciiTheme="minorEastAsia" w:hAnsiTheme="minorEastAsia" w:eastAsiaTheme="minorEastAsia" w:cstheme="minorEastAsia"/>
                      <w:b w:val="0"/>
                      <w:bCs/>
                      <w:color w:val="auto"/>
                      <w:kern w:val="2"/>
                      <w:sz w:val="21"/>
                      <w:szCs w:val="21"/>
                      <w:highlight w:val="none"/>
                      <w:lang w:bidi="ar-SA"/>
                    </w:rPr>
                    <w:t>颗粒物</w:t>
                  </w:r>
                </w:p>
              </w:tc>
              <w:tc>
                <w:tcPr>
                  <w:tcW w:w="1780" w:type="dxa"/>
                  <w:noWrap w:val="0"/>
                  <w:vAlign w:val="center"/>
                </w:tcPr>
                <w:p w14:paraId="1C387243">
                  <w:pPr>
                    <w:pStyle w:val="34"/>
                    <w:widowControl/>
                    <w:adjustRightInd w:val="0"/>
                    <w:snapToGrid w:val="0"/>
                    <w:spacing w:before="0" w:beforeAutospacing="0" w:after="0" w:afterAutospacing="0" w:line="240" w:lineRule="auto"/>
                    <w:jc w:val="center"/>
                    <w:rPr>
                      <w:rFonts w:hint="eastAsia" w:asciiTheme="minorEastAsia" w:hAnsiTheme="minorEastAsia" w:eastAsiaTheme="minorEastAsia" w:cstheme="minorEastAsia"/>
                      <w:b w:val="0"/>
                      <w:bCs/>
                      <w:color w:val="auto"/>
                      <w:kern w:val="2"/>
                      <w:sz w:val="21"/>
                      <w:szCs w:val="21"/>
                      <w:highlight w:val="none"/>
                      <w:lang w:eastAsia="zh-CN" w:bidi="ar-SA"/>
                    </w:rPr>
                  </w:pPr>
                  <w:r>
                    <w:rPr>
                      <w:rFonts w:hint="eastAsia" w:asciiTheme="minorEastAsia" w:hAnsiTheme="minorEastAsia" w:eastAsiaTheme="minorEastAsia" w:cstheme="minorEastAsia"/>
                      <w:b w:val="0"/>
                      <w:bCs/>
                      <w:color w:val="auto"/>
                      <w:kern w:val="2"/>
                      <w:sz w:val="21"/>
                      <w:szCs w:val="21"/>
                      <w:highlight w:val="none"/>
                      <w:lang w:bidi="ar-SA"/>
                    </w:rPr>
                    <w:t>厂界</w:t>
                  </w:r>
                  <w:r>
                    <w:rPr>
                      <w:rFonts w:hint="eastAsia" w:asciiTheme="minorEastAsia" w:hAnsiTheme="minorEastAsia" w:eastAsiaTheme="minorEastAsia" w:cstheme="minorEastAsia"/>
                      <w:b w:val="0"/>
                      <w:bCs/>
                      <w:color w:val="auto"/>
                      <w:kern w:val="2"/>
                      <w:sz w:val="21"/>
                      <w:szCs w:val="21"/>
                      <w:highlight w:val="none"/>
                      <w:lang w:eastAsia="zh-CN" w:bidi="ar-SA"/>
                    </w:rPr>
                    <w:t>（</w:t>
                  </w:r>
                  <w:r>
                    <w:rPr>
                      <w:rFonts w:hint="eastAsia" w:asciiTheme="minorEastAsia" w:hAnsiTheme="minorEastAsia" w:eastAsiaTheme="minorEastAsia" w:cstheme="minorEastAsia"/>
                      <w:b w:val="0"/>
                      <w:bCs/>
                      <w:color w:val="auto"/>
                      <w:kern w:val="2"/>
                      <w:sz w:val="21"/>
                      <w:szCs w:val="21"/>
                      <w:highlight w:val="none"/>
                      <w:lang w:val="en-US" w:eastAsia="zh-CN" w:bidi="ar-SA"/>
                    </w:rPr>
                    <w:t>上向风1个点、下向风三个点</w:t>
                  </w:r>
                  <w:r>
                    <w:rPr>
                      <w:rFonts w:hint="eastAsia" w:asciiTheme="minorEastAsia" w:hAnsiTheme="minorEastAsia" w:eastAsiaTheme="minorEastAsia" w:cstheme="minorEastAsia"/>
                      <w:b w:val="0"/>
                      <w:bCs/>
                      <w:color w:val="auto"/>
                      <w:kern w:val="2"/>
                      <w:sz w:val="21"/>
                      <w:szCs w:val="21"/>
                      <w:highlight w:val="none"/>
                      <w:lang w:eastAsia="zh-CN" w:bidi="ar-SA"/>
                    </w:rPr>
                    <w:t>）</w:t>
                  </w:r>
                </w:p>
              </w:tc>
              <w:tc>
                <w:tcPr>
                  <w:tcW w:w="946" w:type="dxa"/>
                  <w:noWrap w:val="0"/>
                  <w:vAlign w:val="center"/>
                </w:tcPr>
                <w:p w14:paraId="7A1AFCD9">
                  <w:pPr>
                    <w:pStyle w:val="2"/>
                    <w:adjustRightInd/>
                    <w:snapToGrid/>
                    <w:spacing w:line="240" w:lineRule="auto"/>
                    <w:ind w:firstLine="0" w:firstLineChars="0"/>
                    <w:jc w:val="center"/>
                    <w:outlineLvl w:val="1"/>
                    <w:rPr>
                      <w:rFonts w:hint="eastAsia" w:asciiTheme="minorEastAsia" w:hAnsiTheme="minorEastAsia" w:eastAsiaTheme="minorEastAsia" w:cstheme="minorEastAsia"/>
                      <w:b w:val="0"/>
                      <w:bCs/>
                      <w:color w:val="auto"/>
                      <w:kern w:val="2"/>
                      <w:sz w:val="21"/>
                      <w:szCs w:val="21"/>
                      <w:highlight w:val="none"/>
                      <w:lang w:val="en-US" w:eastAsia="zh-CN"/>
                    </w:rPr>
                  </w:pPr>
                  <w:r>
                    <w:rPr>
                      <w:rFonts w:hint="eastAsia" w:asciiTheme="minorEastAsia" w:hAnsiTheme="minorEastAsia" w:eastAsiaTheme="minorEastAsia" w:cstheme="minorEastAsia"/>
                      <w:b w:val="0"/>
                      <w:bCs/>
                      <w:color w:val="auto"/>
                      <w:kern w:val="2"/>
                      <w:sz w:val="21"/>
                      <w:szCs w:val="21"/>
                      <w:highlight w:val="none"/>
                      <w:lang w:val="en-US" w:eastAsia="zh-CN"/>
                    </w:rPr>
                    <w:t>1次/年</w:t>
                  </w:r>
                </w:p>
              </w:tc>
              <w:tc>
                <w:tcPr>
                  <w:tcW w:w="2068" w:type="dxa"/>
                  <w:vMerge w:val="continue"/>
                  <w:noWrap w:val="0"/>
                  <w:vAlign w:val="center"/>
                </w:tcPr>
                <w:p w14:paraId="119B32A8">
                  <w:pPr>
                    <w:pStyle w:val="2"/>
                    <w:adjustRightInd/>
                    <w:snapToGrid/>
                    <w:spacing w:line="240" w:lineRule="auto"/>
                    <w:ind w:firstLine="0" w:firstLineChars="0"/>
                    <w:jc w:val="center"/>
                    <w:outlineLvl w:val="1"/>
                    <w:rPr>
                      <w:rFonts w:hint="eastAsia" w:asciiTheme="minorEastAsia" w:hAnsiTheme="minorEastAsia" w:eastAsiaTheme="minorEastAsia" w:cstheme="minorEastAsia"/>
                      <w:b w:val="0"/>
                      <w:bCs/>
                      <w:color w:val="auto"/>
                      <w:kern w:val="2"/>
                      <w:sz w:val="21"/>
                      <w:szCs w:val="21"/>
                      <w:highlight w:val="none"/>
                      <w:lang w:val="en-US" w:eastAsia="zh-CN"/>
                    </w:rPr>
                  </w:pPr>
                </w:p>
              </w:tc>
              <w:tc>
                <w:tcPr>
                  <w:tcW w:w="1105" w:type="dxa"/>
                  <w:vMerge w:val="continue"/>
                  <w:noWrap w:val="0"/>
                  <w:vAlign w:val="center"/>
                </w:tcPr>
                <w:p w14:paraId="659C0376">
                  <w:pPr>
                    <w:pStyle w:val="2"/>
                    <w:adjustRightInd/>
                    <w:snapToGrid/>
                    <w:spacing w:line="240" w:lineRule="auto"/>
                    <w:ind w:firstLine="0" w:firstLineChars="0"/>
                    <w:jc w:val="center"/>
                    <w:outlineLvl w:val="1"/>
                    <w:rPr>
                      <w:rFonts w:hint="eastAsia" w:asciiTheme="minorEastAsia" w:hAnsiTheme="minorEastAsia" w:eastAsiaTheme="minorEastAsia" w:cstheme="minorEastAsia"/>
                      <w:b w:val="0"/>
                      <w:bCs/>
                      <w:color w:val="auto"/>
                      <w:kern w:val="2"/>
                      <w:sz w:val="21"/>
                      <w:szCs w:val="21"/>
                      <w:highlight w:val="none"/>
                      <w:lang w:val="en-US" w:eastAsia="zh-CN"/>
                    </w:rPr>
                  </w:pPr>
                </w:p>
              </w:tc>
            </w:tr>
          </w:tbl>
          <w:p w14:paraId="629B06F5">
            <w:pPr>
              <w:pStyle w:val="10"/>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heme="minorEastAsia" w:hAnsiTheme="minorEastAsia" w:eastAsiaTheme="minorEastAsia" w:cstheme="minorEastAsia"/>
                <w:b/>
                <w:bCs/>
                <w:color w:val="auto"/>
                <w:kern w:val="2"/>
                <w:sz w:val="24"/>
                <w:szCs w:val="24"/>
                <w:highlight w:val="none"/>
                <w:lang w:val="en-US" w:eastAsia="zh-CN" w:bidi="ar-SA"/>
              </w:rPr>
            </w:pPr>
          </w:p>
          <w:p w14:paraId="1FE4226A">
            <w:pPr>
              <w:rPr>
                <w:rFonts w:hint="eastAsia" w:asciiTheme="minorEastAsia" w:hAnsiTheme="minorEastAsia" w:eastAsiaTheme="minorEastAsia" w:cstheme="minorEastAsia"/>
                <w:color w:val="auto"/>
                <w:sz w:val="24"/>
                <w:szCs w:val="24"/>
                <w:highlight w:val="none"/>
                <w:lang w:val="en-US" w:eastAsia="zh-CN"/>
              </w:rPr>
            </w:pPr>
          </w:p>
          <w:p w14:paraId="0C0B18D9">
            <w:pPr>
              <w:pStyle w:val="10"/>
              <w:rPr>
                <w:color w:val="auto"/>
                <w:highlight w:val="none"/>
              </w:rPr>
            </w:pPr>
          </w:p>
        </w:tc>
      </w:tr>
    </w:tbl>
    <w:p w14:paraId="4619F124">
      <w:pPr>
        <w:rPr>
          <w:color w:val="auto"/>
          <w:highlight w:val="none"/>
        </w:rPr>
        <w:sectPr>
          <w:pgSz w:w="11907" w:h="16840"/>
          <w:pgMar w:top="1701" w:right="1531" w:bottom="1134" w:left="1531" w:header="851" w:footer="851" w:gutter="0"/>
          <w:cols w:space="720" w:num="1"/>
          <w:docGrid w:linePitch="312" w:charSpace="0"/>
        </w:sectPr>
      </w:pP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2"/>
        <w:gridCol w:w="12607"/>
      </w:tblGrid>
      <w:tr w14:paraId="067F3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572" w:type="dxa"/>
          </w:tcPr>
          <w:p w14:paraId="116E159F">
            <w:pPr>
              <w:adjustRightInd w:val="0"/>
              <w:snapToGrid w:val="0"/>
              <w:spacing w:line="360" w:lineRule="auto"/>
              <w:rPr>
                <w:rFonts w:ascii="宋体"/>
                <w:b/>
                <w:bCs/>
                <w:color w:val="auto"/>
                <w:kern w:val="0"/>
                <w:sz w:val="28"/>
                <w:szCs w:val="28"/>
                <w:highlight w:val="none"/>
                <w:vertAlign w:val="baseline"/>
              </w:rPr>
            </w:pPr>
          </w:p>
        </w:tc>
        <w:tc>
          <w:tcPr>
            <w:tcW w:w="12607" w:type="dxa"/>
          </w:tcPr>
          <w:p w14:paraId="72797C04">
            <w:pPr>
              <w:spacing w:before="240" w:beforeLines="100" w:line="360" w:lineRule="auto"/>
              <w:ind w:firstLine="482" w:firstLineChars="200"/>
              <w:rPr>
                <w:rStyle w:val="85"/>
                <w:b/>
                <w:bCs/>
                <w:color w:val="auto"/>
                <w:highlight w:val="none"/>
              </w:rPr>
            </w:pPr>
            <w:r>
              <w:rPr>
                <w:rStyle w:val="85"/>
                <w:b/>
                <w:bCs/>
                <w:color w:val="auto"/>
                <w:highlight w:val="none"/>
              </w:rPr>
              <w:t>3</w:t>
            </w:r>
            <w:r>
              <w:rPr>
                <w:rStyle w:val="85"/>
                <w:rFonts w:hint="eastAsia"/>
                <w:b/>
                <w:bCs/>
                <w:color w:val="auto"/>
                <w:highlight w:val="none"/>
              </w:rPr>
              <w:t xml:space="preserve"> </w:t>
            </w:r>
            <w:r>
              <w:rPr>
                <w:rStyle w:val="85"/>
                <w:rFonts w:hint="eastAsia" w:cs="宋体"/>
                <w:b/>
                <w:bCs/>
                <w:color w:val="auto"/>
                <w:highlight w:val="none"/>
              </w:rPr>
              <w:t>声环境影响及保护措施</w:t>
            </w:r>
          </w:p>
          <w:p w14:paraId="0C5AB958">
            <w:pPr>
              <w:spacing w:line="360" w:lineRule="auto"/>
              <w:ind w:firstLine="482" w:firstLineChars="200"/>
              <w:rPr>
                <w:rStyle w:val="85"/>
                <w:rFonts w:cs="宋体"/>
                <w:b/>
                <w:bCs/>
                <w:color w:val="auto"/>
                <w:highlight w:val="none"/>
              </w:rPr>
            </w:pPr>
            <w:r>
              <w:rPr>
                <w:rStyle w:val="85"/>
                <w:b/>
                <w:bCs/>
                <w:color w:val="auto"/>
                <w:highlight w:val="none"/>
              </w:rPr>
              <w:t>3.1</w:t>
            </w:r>
            <w:r>
              <w:rPr>
                <w:rStyle w:val="85"/>
                <w:rFonts w:hint="eastAsia" w:cs="宋体"/>
                <w:b/>
                <w:bCs/>
                <w:color w:val="auto"/>
                <w:highlight w:val="none"/>
              </w:rPr>
              <w:t>噪声源强</w:t>
            </w:r>
          </w:p>
          <w:p w14:paraId="3FE29EBF">
            <w:pPr>
              <w:spacing w:line="360" w:lineRule="auto"/>
              <w:ind w:firstLine="480" w:firstLineChars="200"/>
              <w:rPr>
                <w:rStyle w:val="85"/>
                <w:b w:val="0"/>
                <w:bCs w:val="0"/>
                <w:color w:val="auto"/>
                <w:highlight w:val="none"/>
              </w:rPr>
            </w:pPr>
            <w:r>
              <w:rPr>
                <w:rStyle w:val="85"/>
                <w:rFonts w:hint="eastAsia" w:cs="宋体"/>
                <w:b w:val="0"/>
                <w:bCs w:val="0"/>
                <w:color w:val="auto"/>
                <w:highlight w:val="none"/>
              </w:rPr>
              <w:t>本项目噪声主要</w:t>
            </w:r>
            <w:bookmarkStart w:id="9" w:name="_Hlk525050712"/>
            <w:r>
              <w:rPr>
                <w:rStyle w:val="85"/>
                <w:rFonts w:hint="eastAsia" w:cs="宋体"/>
                <w:b w:val="0"/>
                <w:bCs w:val="0"/>
                <w:color w:val="auto"/>
                <w:highlight w:val="none"/>
              </w:rPr>
              <w:t>来源于粉碎机、进料输送机、出料输送机、粉碎机和进料皮带机等机械设备运行过程产生的机械噪声，单台设备产生的噪声值约为</w:t>
            </w:r>
            <w:r>
              <w:rPr>
                <w:rStyle w:val="85"/>
                <w:b w:val="0"/>
                <w:bCs w:val="0"/>
                <w:color w:val="auto"/>
                <w:highlight w:val="none"/>
              </w:rPr>
              <w:t xml:space="preserve"> 75~80 GB(A)</w:t>
            </w:r>
            <w:r>
              <w:rPr>
                <w:rStyle w:val="85"/>
                <w:rFonts w:hint="eastAsia" w:cs="宋体"/>
                <w:b w:val="0"/>
                <w:bCs w:val="0"/>
                <w:color w:val="auto"/>
                <w:highlight w:val="none"/>
              </w:rPr>
              <w:t>。</w:t>
            </w:r>
          </w:p>
          <w:p w14:paraId="44B7E8FA">
            <w:pPr>
              <w:spacing w:line="360" w:lineRule="auto"/>
              <w:ind w:firstLine="480" w:firstLineChars="200"/>
              <w:rPr>
                <w:rStyle w:val="85"/>
                <w:b w:val="0"/>
                <w:bCs w:val="0"/>
                <w:color w:val="auto"/>
                <w:highlight w:val="none"/>
              </w:rPr>
            </w:pPr>
            <w:r>
              <w:rPr>
                <w:rStyle w:val="85"/>
                <w:rFonts w:hint="eastAsia" w:cs="宋体"/>
                <w:b w:val="0"/>
                <w:bCs w:val="0"/>
                <w:color w:val="auto"/>
                <w:highlight w:val="none"/>
              </w:rPr>
              <w:t>生产设备均放置于生产区域内，钢混结构厂房，综合隔声量可达</w:t>
            </w:r>
            <w:r>
              <w:rPr>
                <w:rStyle w:val="85"/>
                <w:b w:val="0"/>
                <w:bCs w:val="0"/>
                <w:color w:val="auto"/>
                <w:highlight w:val="none"/>
              </w:rPr>
              <w:t xml:space="preserve"> 25 GB(A)</w:t>
            </w:r>
            <w:r>
              <w:rPr>
                <w:rStyle w:val="85"/>
                <w:rFonts w:hint="eastAsia" w:cs="宋体"/>
                <w:b w:val="0"/>
                <w:bCs w:val="0"/>
                <w:color w:val="auto"/>
                <w:highlight w:val="none"/>
              </w:rPr>
              <w:t>以上，各设备噪声值见下。</w:t>
            </w:r>
          </w:p>
          <w:p w14:paraId="43D8870F">
            <w:pPr>
              <w:widowControl/>
              <w:spacing w:line="360" w:lineRule="auto"/>
              <w:ind w:firstLine="30" w:firstLineChars="14"/>
              <w:jc w:val="center"/>
              <w:rPr>
                <w:color w:val="auto"/>
                <w:kern w:val="0"/>
                <w:sz w:val="22"/>
                <w:szCs w:val="22"/>
                <w:highlight w:val="none"/>
              </w:rPr>
            </w:pPr>
            <w:r>
              <w:rPr>
                <w:rFonts w:hint="eastAsia" w:cs="宋体"/>
                <w:color w:val="auto"/>
                <w:kern w:val="0"/>
                <w:sz w:val="22"/>
                <w:szCs w:val="22"/>
                <w:highlight w:val="none"/>
              </w:rPr>
              <w:t>表</w:t>
            </w:r>
            <w:r>
              <w:rPr>
                <w:color w:val="auto"/>
                <w:kern w:val="0"/>
                <w:sz w:val="22"/>
                <w:szCs w:val="22"/>
                <w:highlight w:val="none"/>
              </w:rPr>
              <w:t xml:space="preserve">4-10  </w:t>
            </w:r>
            <w:r>
              <w:rPr>
                <w:rFonts w:hint="eastAsia" w:cs="宋体"/>
                <w:color w:val="auto"/>
                <w:kern w:val="0"/>
                <w:sz w:val="22"/>
                <w:szCs w:val="22"/>
                <w:highlight w:val="none"/>
              </w:rPr>
              <w:t>项目主要设备噪声一览表</w:t>
            </w:r>
            <w:r>
              <w:rPr>
                <w:rFonts w:hint="eastAsia" w:cs="宋体"/>
                <w:color w:val="auto"/>
                <w:kern w:val="0"/>
                <w:sz w:val="22"/>
                <w:szCs w:val="22"/>
                <w:highlight w:val="none"/>
                <w:lang w:eastAsia="zh-CN"/>
              </w:rPr>
              <w:t>（室内声源）</w:t>
            </w:r>
            <w:r>
              <w:rPr>
                <w:color w:val="auto"/>
                <w:kern w:val="0"/>
                <w:sz w:val="22"/>
                <w:szCs w:val="22"/>
                <w:highlight w:val="none"/>
              </w:rPr>
              <w:t xml:space="preserve">  </w:t>
            </w:r>
            <w:r>
              <w:rPr>
                <w:rFonts w:hint="eastAsia" w:cs="宋体"/>
                <w:color w:val="auto"/>
                <w:kern w:val="0"/>
                <w:sz w:val="22"/>
                <w:szCs w:val="22"/>
                <w:highlight w:val="none"/>
              </w:rPr>
              <w:t>单位：</w:t>
            </w:r>
            <w:r>
              <w:rPr>
                <w:color w:val="auto"/>
                <w:kern w:val="0"/>
                <w:sz w:val="22"/>
                <w:szCs w:val="22"/>
                <w:highlight w:val="none"/>
              </w:rPr>
              <w:t>GB</w:t>
            </w:r>
            <w:r>
              <w:rPr>
                <w:rFonts w:hint="eastAsia" w:cs="宋体"/>
                <w:color w:val="auto"/>
                <w:kern w:val="0"/>
                <w:sz w:val="22"/>
                <w:szCs w:val="22"/>
                <w:highlight w:val="none"/>
              </w:rPr>
              <w:t>（</w:t>
            </w:r>
            <w:r>
              <w:rPr>
                <w:color w:val="auto"/>
                <w:kern w:val="0"/>
                <w:sz w:val="22"/>
                <w:szCs w:val="22"/>
                <w:highlight w:val="none"/>
              </w:rPr>
              <w:t>A</w:t>
            </w:r>
            <w:r>
              <w:rPr>
                <w:rFonts w:hint="eastAsia" w:cs="宋体"/>
                <w:color w:val="auto"/>
                <w:kern w:val="0"/>
                <w:sz w:val="22"/>
                <w:szCs w:val="22"/>
                <w:highlight w:val="none"/>
              </w:rPr>
              <w:t>）</w:t>
            </w:r>
          </w:p>
          <w:bookmarkEnd w:id="9"/>
          <w:tbl>
            <w:tblPr>
              <w:tblStyle w:val="37"/>
              <w:tblW w:w="1245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
              <w:gridCol w:w="773"/>
              <w:gridCol w:w="1722"/>
              <w:gridCol w:w="1212"/>
              <w:gridCol w:w="733"/>
              <w:gridCol w:w="761"/>
              <w:gridCol w:w="638"/>
              <w:gridCol w:w="501"/>
              <w:gridCol w:w="623"/>
              <w:gridCol w:w="520"/>
              <w:gridCol w:w="625"/>
              <w:gridCol w:w="773"/>
              <w:gridCol w:w="674"/>
              <w:gridCol w:w="844"/>
              <w:gridCol w:w="843"/>
              <w:gridCol w:w="764"/>
            </w:tblGrid>
            <w:tr w14:paraId="080D7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blHeader/>
              </w:trPr>
              <w:tc>
                <w:tcPr>
                  <w:tcW w:w="450" w:type="dxa"/>
                  <w:vMerge w:val="restart"/>
                  <w:noWrap w:val="0"/>
                  <w:vAlign w:val="center"/>
                </w:tcPr>
                <w:p w14:paraId="0C69E973">
                  <w:pPr>
                    <w:snapToGrid w:val="0"/>
                    <w:jc w:val="center"/>
                    <w:rPr>
                      <w:rFonts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rPr>
                    <w:t>序号</w:t>
                  </w:r>
                </w:p>
              </w:tc>
              <w:tc>
                <w:tcPr>
                  <w:tcW w:w="773" w:type="dxa"/>
                  <w:vMerge w:val="restart"/>
                  <w:noWrap w:val="0"/>
                  <w:vAlign w:val="center"/>
                </w:tcPr>
                <w:p w14:paraId="14BA6EFA">
                  <w:pPr>
                    <w:snapToGrid w:val="0"/>
                    <w:jc w:val="center"/>
                    <w:rPr>
                      <w:rFonts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rPr>
                    <w:t>建筑物名称</w:t>
                  </w:r>
                </w:p>
              </w:tc>
              <w:tc>
                <w:tcPr>
                  <w:tcW w:w="1722" w:type="dxa"/>
                  <w:vMerge w:val="restart"/>
                  <w:noWrap w:val="0"/>
                  <w:vAlign w:val="center"/>
                </w:tcPr>
                <w:p w14:paraId="76E4B622">
                  <w:pPr>
                    <w:snapToGrid w:val="0"/>
                    <w:jc w:val="center"/>
                    <w:rPr>
                      <w:rFonts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eastAsia="zh-CN"/>
                    </w:rPr>
                    <w:t>声源</w:t>
                  </w:r>
                  <w:r>
                    <w:rPr>
                      <w:rFonts w:hint="eastAsia" w:ascii="Times New Roman" w:hAnsi="Times New Roman" w:eastAsia="宋体" w:cs="Times New Roman"/>
                      <w:b w:val="0"/>
                      <w:bCs w:val="0"/>
                      <w:color w:val="auto"/>
                      <w:sz w:val="18"/>
                      <w:szCs w:val="18"/>
                      <w:highlight w:val="none"/>
                    </w:rPr>
                    <w:t>名称</w:t>
                  </w:r>
                </w:p>
              </w:tc>
              <w:tc>
                <w:tcPr>
                  <w:tcW w:w="1212" w:type="dxa"/>
                  <w:vMerge w:val="restart"/>
                  <w:noWrap w:val="0"/>
                  <w:vAlign w:val="center"/>
                </w:tcPr>
                <w:p w14:paraId="2C6C307E">
                  <w:pPr>
                    <w:snapToGrid w:val="0"/>
                    <w:jc w:val="center"/>
                    <w:rPr>
                      <w:rFonts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rPr>
                    <w:t>型号</w:t>
                  </w:r>
                </w:p>
              </w:tc>
              <w:tc>
                <w:tcPr>
                  <w:tcW w:w="1494" w:type="dxa"/>
                  <w:gridSpan w:val="2"/>
                  <w:noWrap w:val="0"/>
                  <w:vAlign w:val="center"/>
                </w:tcPr>
                <w:p w14:paraId="38182D91">
                  <w:pPr>
                    <w:snapToGrid w:val="0"/>
                    <w:jc w:val="center"/>
                    <w:rPr>
                      <w:rFonts w:hint="eastAsia"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rPr>
                    <w:t>声源源强（任选一种）</w:t>
                  </w:r>
                </w:p>
              </w:tc>
              <w:tc>
                <w:tcPr>
                  <w:tcW w:w="638" w:type="dxa"/>
                  <w:vMerge w:val="restart"/>
                  <w:noWrap w:val="0"/>
                  <w:vAlign w:val="center"/>
                </w:tcPr>
                <w:p w14:paraId="2D778A83">
                  <w:pPr>
                    <w:snapToGrid w:val="0"/>
                    <w:jc w:val="center"/>
                    <w:rPr>
                      <w:rFonts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rPr>
                    <w:t>声源控制措施</w:t>
                  </w:r>
                </w:p>
              </w:tc>
              <w:tc>
                <w:tcPr>
                  <w:tcW w:w="1644" w:type="dxa"/>
                  <w:gridSpan w:val="3"/>
                  <w:noWrap w:val="0"/>
                  <w:vAlign w:val="center"/>
                </w:tcPr>
                <w:p w14:paraId="7AE3A9BF">
                  <w:pPr>
                    <w:snapToGrid w:val="0"/>
                    <w:jc w:val="center"/>
                    <w:rPr>
                      <w:rFonts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rPr>
                    <w:t>空间相对位置</w:t>
                  </w:r>
                  <w:r>
                    <w:rPr>
                      <w:rFonts w:ascii="Times New Roman" w:hAnsi="Times New Roman" w:eastAsia="宋体" w:cs="Times New Roman"/>
                      <w:b w:val="0"/>
                      <w:bCs w:val="0"/>
                      <w:color w:val="auto"/>
                      <w:sz w:val="18"/>
                      <w:szCs w:val="18"/>
                      <w:highlight w:val="none"/>
                    </w:rPr>
                    <w:t>/m</w:t>
                  </w:r>
                </w:p>
              </w:tc>
              <w:tc>
                <w:tcPr>
                  <w:tcW w:w="625" w:type="dxa"/>
                  <w:vMerge w:val="restart"/>
                  <w:noWrap w:val="0"/>
                  <w:vAlign w:val="center"/>
                </w:tcPr>
                <w:p w14:paraId="373DE715">
                  <w:pPr>
                    <w:snapToGrid w:val="0"/>
                    <w:jc w:val="center"/>
                    <w:rPr>
                      <w:rFonts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rPr>
                    <w:t>距室内边界距离</w:t>
                  </w:r>
                  <w:r>
                    <w:rPr>
                      <w:rFonts w:ascii="Times New Roman" w:hAnsi="Times New Roman" w:eastAsia="宋体" w:cs="Times New Roman"/>
                      <w:b w:val="0"/>
                      <w:bCs w:val="0"/>
                      <w:color w:val="auto"/>
                      <w:sz w:val="18"/>
                      <w:szCs w:val="18"/>
                      <w:highlight w:val="none"/>
                    </w:rPr>
                    <w:t>/m</w:t>
                  </w:r>
                </w:p>
              </w:tc>
              <w:tc>
                <w:tcPr>
                  <w:tcW w:w="773" w:type="dxa"/>
                  <w:vMerge w:val="restart"/>
                  <w:noWrap w:val="0"/>
                  <w:vAlign w:val="center"/>
                </w:tcPr>
                <w:p w14:paraId="670F228C">
                  <w:pPr>
                    <w:snapToGrid w:val="0"/>
                    <w:jc w:val="center"/>
                    <w:rPr>
                      <w:rFonts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rPr>
                    <w:t>室内边界声级/</w:t>
                  </w:r>
                  <w:r>
                    <w:rPr>
                      <w:rFonts w:ascii="Times New Roman" w:hAnsi="Times New Roman" w:eastAsia="宋体" w:cs="Times New Roman"/>
                      <w:b w:val="0"/>
                      <w:bCs w:val="0"/>
                      <w:color w:val="auto"/>
                      <w:sz w:val="18"/>
                      <w:szCs w:val="18"/>
                      <w:highlight w:val="none"/>
                    </w:rPr>
                    <w:t>dB(A)</w:t>
                  </w:r>
                </w:p>
              </w:tc>
              <w:tc>
                <w:tcPr>
                  <w:tcW w:w="674" w:type="dxa"/>
                  <w:vMerge w:val="restart"/>
                  <w:noWrap w:val="0"/>
                  <w:vAlign w:val="center"/>
                </w:tcPr>
                <w:p w14:paraId="1DFE4D62">
                  <w:pPr>
                    <w:snapToGrid w:val="0"/>
                    <w:jc w:val="center"/>
                    <w:rPr>
                      <w:rFonts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rPr>
                    <w:t>运行时段</w:t>
                  </w:r>
                </w:p>
              </w:tc>
              <w:tc>
                <w:tcPr>
                  <w:tcW w:w="844" w:type="dxa"/>
                  <w:vMerge w:val="restart"/>
                  <w:noWrap w:val="0"/>
                  <w:vAlign w:val="center"/>
                </w:tcPr>
                <w:p w14:paraId="03100AEA">
                  <w:pPr>
                    <w:snapToGrid w:val="0"/>
                    <w:jc w:val="center"/>
                    <w:rPr>
                      <w:rFonts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rPr>
                    <w:t>建筑物插入损失</w:t>
                  </w:r>
                  <w:r>
                    <w:rPr>
                      <w:rFonts w:ascii="Times New Roman" w:hAnsi="Times New Roman" w:eastAsia="宋体" w:cs="Times New Roman"/>
                      <w:b w:val="0"/>
                      <w:bCs w:val="0"/>
                      <w:color w:val="auto"/>
                      <w:sz w:val="18"/>
                      <w:szCs w:val="18"/>
                      <w:highlight w:val="none"/>
                    </w:rPr>
                    <w:t>/dB(A)</w:t>
                  </w:r>
                </w:p>
              </w:tc>
              <w:tc>
                <w:tcPr>
                  <w:tcW w:w="1607" w:type="dxa"/>
                  <w:gridSpan w:val="2"/>
                  <w:noWrap w:val="0"/>
                  <w:vAlign w:val="center"/>
                </w:tcPr>
                <w:p w14:paraId="56513992">
                  <w:pPr>
                    <w:snapToGrid w:val="0"/>
                    <w:jc w:val="center"/>
                    <w:rPr>
                      <w:rFonts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rPr>
                    <w:t>建筑外噪声</w:t>
                  </w:r>
                </w:p>
              </w:tc>
            </w:tr>
            <w:tr w14:paraId="3433E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6" w:hRule="atLeast"/>
                <w:tblHeader/>
              </w:trPr>
              <w:tc>
                <w:tcPr>
                  <w:tcW w:w="450" w:type="dxa"/>
                  <w:vMerge w:val="continue"/>
                  <w:noWrap w:val="0"/>
                  <w:vAlign w:val="center"/>
                </w:tcPr>
                <w:p w14:paraId="3AD5547B">
                  <w:pPr>
                    <w:widowControl/>
                    <w:snapToGrid w:val="0"/>
                    <w:jc w:val="center"/>
                    <w:rPr>
                      <w:rFonts w:ascii="Times New Roman" w:hAnsi="Times New Roman" w:eastAsia="宋体" w:cs="Times New Roman"/>
                      <w:b w:val="0"/>
                      <w:bCs w:val="0"/>
                      <w:color w:val="auto"/>
                      <w:sz w:val="18"/>
                      <w:szCs w:val="18"/>
                      <w:highlight w:val="none"/>
                    </w:rPr>
                  </w:pPr>
                </w:p>
              </w:tc>
              <w:tc>
                <w:tcPr>
                  <w:tcW w:w="773" w:type="dxa"/>
                  <w:vMerge w:val="continue"/>
                  <w:noWrap w:val="0"/>
                  <w:vAlign w:val="center"/>
                </w:tcPr>
                <w:p w14:paraId="54D994CD">
                  <w:pPr>
                    <w:widowControl/>
                    <w:snapToGrid w:val="0"/>
                    <w:jc w:val="center"/>
                    <w:rPr>
                      <w:rFonts w:ascii="Times New Roman" w:hAnsi="Times New Roman" w:eastAsia="宋体" w:cs="Times New Roman"/>
                      <w:b w:val="0"/>
                      <w:bCs w:val="0"/>
                      <w:color w:val="auto"/>
                      <w:sz w:val="18"/>
                      <w:szCs w:val="18"/>
                      <w:highlight w:val="none"/>
                    </w:rPr>
                  </w:pPr>
                </w:p>
              </w:tc>
              <w:tc>
                <w:tcPr>
                  <w:tcW w:w="1722" w:type="dxa"/>
                  <w:vMerge w:val="continue"/>
                  <w:noWrap w:val="0"/>
                  <w:vAlign w:val="center"/>
                </w:tcPr>
                <w:p w14:paraId="107D4295">
                  <w:pPr>
                    <w:widowControl/>
                    <w:snapToGrid w:val="0"/>
                    <w:jc w:val="center"/>
                    <w:rPr>
                      <w:rFonts w:ascii="Times New Roman" w:hAnsi="Times New Roman" w:eastAsia="宋体" w:cs="Times New Roman"/>
                      <w:b w:val="0"/>
                      <w:bCs w:val="0"/>
                      <w:color w:val="auto"/>
                      <w:sz w:val="18"/>
                      <w:szCs w:val="18"/>
                      <w:highlight w:val="none"/>
                    </w:rPr>
                  </w:pPr>
                </w:p>
              </w:tc>
              <w:tc>
                <w:tcPr>
                  <w:tcW w:w="1212" w:type="dxa"/>
                  <w:vMerge w:val="continue"/>
                  <w:noWrap w:val="0"/>
                  <w:vAlign w:val="center"/>
                </w:tcPr>
                <w:p w14:paraId="0A7E6914">
                  <w:pPr>
                    <w:widowControl/>
                    <w:snapToGrid w:val="0"/>
                    <w:jc w:val="center"/>
                    <w:rPr>
                      <w:rFonts w:ascii="Times New Roman" w:hAnsi="Times New Roman" w:eastAsia="宋体" w:cs="Times New Roman"/>
                      <w:b w:val="0"/>
                      <w:bCs w:val="0"/>
                      <w:color w:val="auto"/>
                      <w:sz w:val="18"/>
                      <w:szCs w:val="18"/>
                      <w:highlight w:val="none"/>
                    </w:rPr>
                  </w:pPr>
                </w:p>
              </w:tc>
              <w:tc>
                <w:tcPr>
                  <w:tcW w:w="733" w:type="dxa"/>
                  <w:noWrap w:val="0"/>
                  <w:vAlign w:val="center"/>
                </w:tcPr>
                <w:p w14:paraId="6661CA1B">
                  <w:pPr>
                    <w:snapToGrid w:val="0"/>
                    <w:jc w:val="center"/>
                    <w:rPr>
                      <w:rFonts w:ascii="Times New Roman" w:hAnsi="Times New Roman" w:eastAsia="宋体" w:cs="Times New Roman"/>
                      <w:b w:val="0"/>
                      <w:bCs w:val="0"/>
                      <w:color w:val="auto"/>
                      <w:sz w:val="18"/>
                      <w:szCs w:val="18"/>
                      <w:highlight w:val="none"/>
                    </w:rPr>
                  </w:pPr>
                  <w:r>
                    <w:rPr>
                      <w:rFonts w:ascii="Times New Roman" w:hAnsi="Times New Roman" w:eastAsia="宋体" w:cs="Times New Roman"/>
                      <w:b w:val="0"/>
                      <w:bCs w:val="0"/>
                      <w:color w:val="auto"/>
                      <w:sz w:val="18"/>
                      <w:szCs w:val="18"/>
                      <w:highlight w:val="none"/>
                      <w:lang w:eastAsia="en-US"/>
                    </w:rPr>
                    <w:t>（声压级/距声源距离）/（dB</w:t>
                  </w:r>
                  <w:r>
                    <w:rPr>
                      <w:rFonts w:hint="eastAsia" w:cs="Times New Roman"/>
                      <w:b w:val="0"/>
                      <w:bCs w:val="0"/>
                      <w:color w:val="auto"/>
                      <w:sz w:val="18"/>
                      <w:szCs w:val="18"/>
                      <w:highlight w:val="none"/>
                      <w:lang w:eastAsia="zh-CN"/>
                    </w:rPr>
                    <w:t>（</w:t>
                  </w:r>
                  <w:r>
                    <w:rPr>
                      <w:rFonts w:ascii="Times New Roman" w:hAnsi="Times New Roman" w:eastAsia="宋体" w:cs="Times New Roman"/>
                      <w:b w:val="0"/>
                      <w:bCs w:val="0"/>
                      <w:color w:val="auto"/>
                      <w:sz w:val="18"/>
                      <w:szCs w:val="18"/>
                      <w:highlight w:val="none"/>
                      <w:lang w:eastAsia="en-US"/>
                    </w:rPr>
                    <w:t>A</w:t>
                  </w:r>
                  <w:r>
                    <w:rPr>
                      <w:rFonts w:hint="eastAsia" w:cs="Times New Roman"/>
                      <w:b w:val="0"/>
                      <w:bCs w:val="0"/>
                      <w:color w:val="auto"/>
                      <w:sz w:val="18"/>
                      <w:szCs w:val="18"/>
                      <w:highlight w:val="none"/>
                      <w:lang w:eastAsia="zh-CN"/>
                    </w:rPr>
                    <w:t>）</w:t>
                  </w:r>
                  <w:r>
                    <w:rPr>
                      <w:rFonts w:ascii="Times New Roman" w:hAnsi="Times New Roman" w:eastAsia="宋体" w:cs="Times New Roman"/>
                      <w:b w:val="0"/>
                      <w:bCs w:val="0"/>
                      <w:color w:val="auto"/>
                      <w:sz w:val="18"/>
                      <w:szCs w:val="18"/>
                      <w:highlight w:val="none"/>
                      <w:lang w:eastAsia="en-US"/>
                    </w:rPr>
                    <w:t>/m）</w:t>
                  </w:r>
                </w:p>
              </w:tc>
              <w:tc>
                <w:tcPr>
                  <w:tcW w:w="761" w:type="dxa"/>
                  <w:noWrap w:val="0"/>
                  <w:vAlign w:val="center"/>
                </w:tcPr>
                <w:p w14:paraId="533BC548">
                  <w:pPr>
                    <w:snapToGrid w:val="0"/>
                    <w:jc w:val="center"/>
                    <w:rPr>
                      <w:rFonts w:ascii="Times New Roman" w:hAnsi="Times New Roman" w:eastAsia="宋体" w:cs="Times New Roman"/>
                      <w:b w:val="0"/>
                      <w:bCs w:val="0"/>
                      <w:color w:val="auto"/>
                      <w:sz w:val="18"/>
                      <w:szCs w:val="18"/>
                      <w:highlight w:val="none"/>
                    </w:rPr>
                  </w:pPr>
                  <w:r>
                    <w:rPr>
                      <w:rFonts w:ascii="Times New Roman" w:hAnsi="Times New Roman" w:eastAsia="宋体" w:cs="Times New Roman"/>
                      <w:b w:val="0"/>
                      <w:bCs w:val="0"/>
                      <w:color w:val="auto"/>
                      <w:sz w:val="18"/>
                      <w:szCs w:val="18"/>
                      <w:highlight w:val="none"/>
                      <w:lang w:eastAsia="en-US"/>
                    </w:rPr>
                    <w:t>声功率级/dB</w:t>
                  </w:r>
                  <w:r>
                    <w:rPr>
                      <w:rFonts w:hint="eastAsia" w:cs="Times New Roman"/>
                      <w:b w:val="0"/>
                      <w:bCs w:val="0"/>
                      <w:color w:val="auto"/>
                      <w:sz w:val="18"/>
                      <w:szCs w:val="18"/>
                      <w:highlight w:val="none"/>
                      <w:lang w:eastAsia="zh-CN"/>
                    </w:rPr>
                    <w:t>（</w:t>
                  </w:r>
                  <w:r>
                    <w:rPr>
                      <w:rFonts w:ascii="Times New Roman" w:hAnsi="Times New Roman" w:eastAsia="宋体" w:cs="Times New Roman"/>
                      <w:b w:val="0"/>
                      <w:bCs w:val="0"/>
                      <w:color w:val="auto"/>
                      <w:sz w:val="18"/>
                      <w:szCs w:val="18"/>
                      <w:highlight w:val="none"/>
                      <w:lang w:eastAsia="en-US"/>
                    </w:rPr>
                    <w:t>A</w:t>
                  </w:r>
                  <w:r>
                    <w:rPr>
                      <w:rFonts w:hint="eastAsia" w:cs="Times New Roman"/>
                      <w:b w:val="0"/>
                      <w:bCs w:val="0"/>
                      <w:color w:val="auto"/>
                      <w:sz w:val="18"/>
                      <w:szCs w:val="18"/>
                      <w:highlight w:val="none"/>
                      <w:lang w:eastAsia="zh-CN"/>
                    </w:rPr>
                    <w:t>）</w:t>
                  </w:r>
                </w:p>
              </w:tc>
              <w:tc>
                <w:tcPr>
                  <w:tcW w:w="638" w:type="dxa"/>
                  <w:vMerge w:val="continue"/>
                  <w:noWrap w:val="0"/>
                  <w:vAlign w:val="center"/>
                </w:tcPr>
                <w:p w14:paraId="1581D6BE">
                  <w:pPr>
                    <w:widowControl/>
                    <w:snapToGrid w:val="0"/>
                    <w:jc w:val="center"/>
                    <w:rPr>
                      <w:rFonts w:ascii="Times New Roman" w:hAnsi="Times New Roman" w:eastAsia="宋体" w:cs="Times New Roman"/>
                      <w:b w:val="0"/>
                      <w:bCs w:val="0"/>
                      <w:color w:val="auto"/>
                      <w:sz w:val="18"/>
                      <w:szCs w:val="18"/>
                      <w:highlight w:val="none"/>
                    </w:rPr>
                  </w:pPr>
                </w:p>
              </w:tc>
              <w:tc>
                <w:tcPr>
                  <w:tcW w:w="501" w:type="dxa"/>
                  <w:noWrap w:val="0"/>
                  <w:vAlign w:val="center"/>
                </w:tcPr>
                <w:p w14:paraId="76DA5DD5">
                  <w:pPr>
                    <w:snapToGrid w:val="0"/>
                    <w:jc w:val="center"/>
                    <w:rPr>
                      <w:rFonts w:ascii="Times New Roman" w:hAnsi="Times New Roman" w:eastAsia="宋体" w:cs="Times New Roman"/>
                      <w:b w:val="0"/>
                      <w:bCs w:val="0"/>
                      <w:color w:val="auto"/>
                      <w:sz w:val="18"/>
                      <w:szCs w:val="18"/>
                      <w:highlight w:val="none"/>
                    </w:rPr>
                  </w:pPr>
                  <w:r>
                    <w:rPr>
                      <w:rFonts w:ascii="Times New Roman" w:hAnsi="Times New Roman" w:eastAsia="宋体" w:cs="Times New Roman"/>
                      <w:b w:val="0"/>
                      <w:bCs w:val="0"/>
                      <w:color w:val="auto"/>
                      <w:sz w:val="18"/>
                      <w:szCs w:val="18"/>
                      <w:highlight w:val="none"/>
                    </w:rPr>
                    <w:t>X</w:t>
                  </w:r>
                </w:p>
              </w:tc>
              <w:tc>
                <w:tcPr>
                  <w:tcW w:w="623" w:type="dxa"/>
                  <w:noWrap w:val="0"/>
                  <w:vAlign w:val="center"/>
                </w:tcPr>
                <w:p w14:paraId="6A1A110A">
                  <w:pPr>
                    <w:snapToGrid w:val="0"/>
                    <w:jc w:val="center"/>
                    <w:rPr>
                      <w:rFonts w:ascii="Times New Roman" w:hAnsi="Times New Roman" w:eastAsia="宋体" w:cs="Times New Roman"/>
                      <w:b w:val="0"/>
                      <w:bCs w:val="0"/>
                      <w:color w:val="auto"/>
                      <w:sz w:val="18"/>
                      <w:szCs w:val="18"/>
                      <w:highlight w:val="none"/>
                    </w:rPr>
                  </w:pPr>
                  <w:r>
                    <w:rPr>
                      <w:rFonts w:ascii="Times New Roman" w:hAnsi="Times New Roman" w:eastAsia="宋体" w:cs="Times New Roman"/>
                      <w:b w:val="0"/>
                      <w:bCs w:val="0"/>
                      <w:color w:val="auto"/>
                      <w:sz w:val="18"/>
                      <w:szCs w:val="18"/>
                      <w:highlight w:val="none"/>
                    </w:rPr>
                    <w:t>Y</w:t>
                  </w:r>
                </w:p>
              </w:tc>
              <w:tc>
                <w:tcPr>
                  <w:tcW w:w="520" w:type="dxa"/>
                  <w:noWrap w:val="0"/>
                  <w:vAlign w:val="center"/>
                </w:tcPr>
                <w:p w14:paraId="5A2B5B8C">
                  <w:pPr>
                    <w:snapToGrid w:val="0"/>
                    <w:jc w:val="center"/>
                    <w:rPr>
                      <w:rFonts w:ascii="Times New Roman" w:hAnsi="Times New Roman" w:eastAsia="宋体" w:cs="Times New Roman"/>
                      <w:b w:val="0"/>
                      <w:bCs w:val="0"/>
                      <w:color w:val="auto"/>
                      <w:sz w:val="18"/>
                      <w:szCs w:val="18"/>
                      <w:highlight w:val="none"/>
                    </w:rPr>
                  </w:pPr>
                  <w:r>
                    <w:rPr>
                      <w:rFonts w:ascii="Times New Roman" w:hAnsi="Times New Roman" w:eastAsia="宋体" w:cs="Times New Roman"/>
                      <w:b w:val="0"/>
                      <w:bCs w:val="0"/>
                      <w:color w:val="auto"/>
                      <w:sz w:val="18"/>
                      <w:szCs w:val="18"/>
                      <w:highlight w:val="none"/>
                    </w:rPr>
                    <w:t>Z</w:t>
                  </w:r>
                </w:p>
              </w:tc>
              <w:tc>
                <w:tcPr>
                  <w:tcW w:w="625" w:type="dxa"/>
                  <w:vMerge w:val="continue"/>
                  <w:noWrap w:val="0"/>
                  <w:vAlign w:val="center"/>
                </w:tcPr>
                <w:p w14:paraId="69A6E910">
                  <w:pPr>
                    <w:widowControl/>
                    <w:snapToGrid w:val="0"/>
                    <w:jc w:val="center"/>
                    <w:rPr>
                      <w:rFonts w:ascii="Times New Roman" w:hAnsi="Times New Roman" w:eastAsia="宋体" w:cs="Times New Roman"/>
                      <w:b w:val="0"/>
                      <w:bCs w:val="0"/>
                      <w:color w:val="auto"/>
                      <w:sz w:val="18"/>
                      <w:szCs w:val="18"/>
                      <w:highlight w:val="none"/>
                    </w:rPr>
                  </w:pPr>
                </w:p>
              </w:tc>
              <w:tc>
                <w:tcPr>
                  <w:tcW w:w="773" w:type="dxa"/>
                  <w:vMerge w:val="continue"/>
                  <w:noWrap w:val="0"/>
                  <w:vAlign w:val="center"/>
                </w:tcPr>
                <w:p w14:paraId="570676B7">
                  <w:pPr>
                    <w:widowControl/>
                    <w:snapToGrid w:val="0"/>
                    <w:jc w:val="center"/>
                    <w:rPr>
                      <w:rFonts w:ascii="Times New Roman" w:hAnsi="Times New Roman" w:eastAsia="宋体" w:cs="Times New Roman"/>
                      <w:b w:val="0"/>
                      <w:bCs w:val="0"/>
                      <w:color w:val="auto"/>
                      <w:sz w:val="18"/>
                      <w:szCs w:val="18"/>
                      <w:highlight w:val="none"/>
                    </w:rPr>
                  </w:pPr>
                </w:p>
              </w:tc>
              <w:tc>
                <w:tcPr>
                  <w:tcW w:w="674" w:type="dxa"/>
                  <w:vMerge w:val="continue"/>
                  <w:noWrap w:val="0"/>
                  <w:vAlign w:val="center"/>
                </w:tcPr>
                <w:p w14:paraId="1E81509C">
                  <w:pPr>
                    <w:widowControl/>
                    <w:snapToGrid w:val="0"/>
                    <w:jc w:val="center"/>
                    <w:rPr>
                      <w:rFonts w:ascii="Times New Roman" w:hAnsi="Times New Roman" w:eastAsia="宋体" w:cs="Times New Roman"/>
                      <w:b w:val="0"/>
                      <w:bCs w:val="0"/>
                      <w:color w:val="auto"/>
                      <w:sz w:val="18"/>
                      <w:szCs w:val="18"/>
                      <w:highlight w:val="none"/>
                    </w:rPr>
                  </w:pPr>
                </w:p>
              </w:tc>
              <w:tc>
                <w:tcPr>
                  <w:tcW w:w="844" w:type="dxa"/>
                  <w:vMerge w:val="continue"/>
                  <w:noWrap w:val="0"/>
                  <w:vAlign w:val="center"/>
                </w:tcPr>
                <w:p w14:paraId="2F011C0E">
                  <w:pPr>
                    <w:widowControl/>
                    <w:snapToGrid w:val="0"/>
                    <w:jc w:val="center"/>
                    <w:rPr>
                      <w:rFonts w:ascii="Times New Roman" w:hAnsi="Times New Roman" w:eastAsia="宋体" w:cs="Times New Roman"/>
                      <w:b w:val="0"/>
                      <w:bCs w:val="0"/>
                      <w:color w:val="auto"/>
                      <w:sz w:val="18"/>
                      <w:szCs w:val="18"/>
                      <w:highlight w:val="none"/>
                    </w:rPr>
                  </w:pPr>
                </w:p>
              </w:tc>
              <w:tc>
                <w:tcPr>
                  <w:tcW w:w="843" w:type="dxa"/>
                  <w:noWrap w:val="0"/>
                  <w:vAlign w:val="center"/>
                </w:tcPr>
                <w:p w14:paraId="3513FC06">
                  <w:pPr>
                    <w:snapToGrid w:val="0"/>
                    <w:jc w:val="center"/>
                    <w:rPr>
                      <w:rFonts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rPr>
                    <w:t>声压级</w:t>
                  </w:r>
                  <w:r>
                    <w:rPr>
                      <w:rFonts w:ascii="Times New Roman" w:hAnsi="Times New Roman" w:eastAsia="宋体" w:cs="Times New Roman"/>
                      <w:b w:val="0"/>
                      <w:bCs w:val="0"/>
                      <w:color w:val="auto"/>
                      <w:sz w:val="18"/>
                      <w:szCs w:val="18"/>
                      <w:highlight w:val="none"/>
                    </w:rPr>
                    <w:t>/dB(A)</w:t>
                  </w:r>
                </w:p>
              </w:tc>
              <w:tc>
                <w:tcPr>
                  <w:tcW w:w="764" w:type="dxa"/>
                  <w:noWrap w:val="0"/>
                  <w:vAlign w:val="center"/>
                </w:tcPr>
                <w:p w14:paraId="005DFA6F">
                  <w:pPr>
                    <w:snapToGrid w:val="0"/>
                    <w:jc w:val="center"/>
                    <w:rPr>
                      <w:rFonts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eastAsia="zh-CN"/>
                    </w:rPr>
                    <w:t>建筑物外</w:t>
                  </w:r>
                  <w:r>
                    <w:rPr>
                      <w:rFonts w:hint="eastAsia" w:ascii="Times New Roman" w:hAnsi="Times New Roman" w:eastAsia="宋体" w:cs="Times New Roman"/>
                      <w:b w:val="0"/>
                      <w:bCs w:val="0"/>
                      <w:color w:val="auto"/>
                      <w:sz w:val="18"/>
                      <w:szCs w:val="18"/>
                      <w:highlight w:val="none"/>
                    </w:rPr>
                    <w:t>距离</w:t>
                  </w:r>
                  <w:r>
                    <w:rPr>
                      <w:rFonts w:ascii="Times New Roman" w:hAnsi="Times New Roman" w:eastAsia="宋体" w:cs="Times New Roman"/>
                      <w:b w:val="0"/>
                      <w:bCs w:val="0"/>
                      <w:color w:val="auto"/>
                      <w:sz w:val="18"/>
                      <w:szCs w:val="18"/>
                      <w:highlight w:val="none"/>
                    </w:rPr>
                    <w:t>/m</w:t>
                  </w:r>
                </w:p>
              </w:tc>
            </w:tr>
            <w:tr w14:paraId="27002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450" w:type="dxa"/>
                  <w:noWrap w:val="0"/>
                  <w:vAlign w:val="center"/>
                </w:tcPr>
                <w:p w14:paraId="441C59CC">
                  <w:pPr>
                    <w:numPr>
                      <w:ilvl w:val="0"/>
                      <w:numId w:val="7"/>
                    </w:numPr>
                    <w:adjustRightInd w:val="0"/>
                    <w:snapToGrid w:val="0"/>
                    <w:ind w:left="425" w:leftChars="0" w:hanging="425" w:firstLineChars="0"/>
                    <w:jc w:val="center"/>
                    <w:textAlignment w:val="bottom"/>
                    <w:rPr>
                      <w:rFonts w:ascii="Times New Roman" w:hAnsi="Times New Roman" w:eastAsia="宋体" w:cs="Times New Roman"/>
                      <w:color w:val="auto"/>
                      <w:sz w:val="18"/>
                      <w:szCs w:val="18"/>
                      <w:highlight w:val="none"/>
                    </w:rPr>
                  </w:pPr>
                </w:p>
              </w:tc>
              <w:tc>
                <w:tcPr>
                  <w:tcW w:w="773" w:type="dxa"/>
                  <w:vMerge w:val="restart"/>
                  <w:noWrap w:val="0"/>
                  <w:vAlign w:val="center"/>
                </w:tcPr>
                <w:p w14:paraId="7124CA0D">
                  <w:pPr>
                    <w:snapToGrid w:val="0"/>
                    <w:jc w:val="center"/>
                    <w:rPr>
                      <w:rFonts w:hint="eastAsia" w:ascii="Times New Roman" w:hAnsi="Times New Roman" w:eastAsia="宋体" w:cs="Times New Roman"/>
                      <w:color w:val="auto"/>
                      <w:sz w:val="18"/>
                      <w:szCs w:val="18"/>
                      <w:highlight w:val="none"/>
                      <w:lang w:val="en-US" w:eastAsia="zh-CN"/>
                    </w:rPr>
                  </w:pPr>
                </w:p>
                <w:p w14:paraId="44A297A8">
                  <w:pPr>
                    <w:snapToGrid w:val="0"/>
                    <w:jc w:val="center"/>
                    <w:rPr>
                      <w:rFonts w:hint="eastAsia" w:ascii="Times New Roman" w:hAnsi="Times New Roman" w:eastAsia="宋体" w:cs="Times New Roman"/>
                      <w:color w:val="auto"/>
                      <w:sz w:val="18"/>
                      <w:szCs w:val="18"/>
                      <w:highlight w:val="none"/>
                      <w:lang w:val="en-US" w:eastAsia="zh-CN"/>
                    </w:rPr>
                  </w:pPr>
                </w:p>
                <w:p w14:paraId="194AE5B3">
                  <w:pPr>
                    <w:snapToGrid w:val="0"/>
                    <w:jc w:val="center"/>
                    <w:rPr>
                      <w:rFonts w:hint="eastAsia" w:ascii="Times New Roman" w:hAnsi="Times New Roman" w:eastAsia="宋体" w:cs="Times New Roman"/>
                      <w:color w:val="auto"/>
                      <w:sz w:val="18"/>
                      <w:szCs w:val="18"/>
                      <w:highlight w:val="none"/>
                      <w:lang w:val="en-US" w:eastAsia="zh-CN"/>
                    </w:rPr>
                  </w:pPr>
                </w:p>
                <w:p w14:paraId="5F506BB4">
                  <w:pPr>
                    <w:snapToGrid w:val="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br w:type="textWrapping"/>
                  </w:r>
                </w:p>
                <w:p w14:paraId="15C64E86">
                  <w:pPr>
                    <w:snapToGrid w:val="0"/>
                    <w:jc w:val="center"/>
                    <w:rPr>
                      <w:rFonts w:hint="eastAsia" w:ascii="Times New Roman" w:hAnsi="Times New Roman" w:eastAsia="宋体" w:cs="Times New Roman"/>
                      <w:color w:val="auto"/>
                      <w:sz w:val="18"/>
                      <w:szCs w:val="18"/>
                      <w:highlight w:val="none"/>
                      <w:lang w:val="en-US" w:eastAsia="zh-CN"/>
                    </w:rPr>
                  </w:pPr>
                </w:p>
                <w:p w14:paraId="03D4C517">
                  <w:pPr>
                    <w:snapToGrid w:val="0"/>
                    <w:jc w:val="center"/>
                    <w:rPr>
                      <w:rFonts w:hint="eastAsia"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生产车间</w:t>
                  </w:r>
                  <w:r>
                    <w:rPr>
                      <w:rFonts w:hint="eastAsia" w:cs="Times New Roman"/>
                      <w:color w:val="auto"/>
                      <w:sz w:val="18"/>
                      <w:szCs w:val="18"/>
                      <w:highlight w:val="none"/>
                      <w:lang w:val="en-US" w:eastAsia="zh-CN"/>
                    </w:rPr>
                    <w:br w:type="textWrapping"/>
                  </w:r>
                </w:p>
                <w:p w14:paraId="029AD23D">
                  <w:pPr>
                    <w:pStyle w:val="10"/>
                    <w:rPr>
                      <w:rFonts w:hint="eastAsia"/>
                      <w:color w:val="auto"/>
                      <w:highlight w:val="none"/>
                      <w:lang w:val="en-US" w:eastAsia="zh-CN"/>
                    </w:rPr>
                  </w:pPr>
                  <w:r>
                    <w:rPr>
                      <w:rFonts w:hint="eastAsia"/>
                      <w:color w:val="auto"/>
                      <w:highlight w:val="none"/>
                      <w:lang w:val="en-US" w:eastAsia="zh-CN"/>
                    </w:rPr>
                    <w:br w:type="textWrapping"/>
                  </w:r>
                  <w:r>
                    <w:rPr>
                      <w:rFonts w:hint="eastAsia"/>
                      <w:color w:val="auto"/>
                      <w:highlight w:val="none"/>
                      <w:lang w:val="en-US" w:eastAsia="zh-CN"/>
                    </w:rPr>
                    <w:br w:type="textWrapping"/>
                  </w:r>
                  <w:r>
                    <w:rPr>
                      <w:rFonts w:hint="eastAsia"/>
                      <w:color w:val="auto"/>
                      <w:highlight w:val="none"/>
                      <w:lang w:val="en-US" w:eastAsia="zh-CN"/>
                    </w:rPr>
                    <w:br w:type="textWrapping"/>
                  </w:r>
                  <w:r>
                    <w:rPr>
                      <w:rFonts w:hint="eastAsia"/>
                      <w:color w:val="auto"/>
                      <w:highlight w:val="none"/>
                      <w:lang w:val="en-US" w:eastAsia="zh-CN"/>
                    </w:rPr>
                    <w:br w:type="textWrapping"/>
                  </w:r>
                  <w:r>
                    <w:rPr>
                      <w:rFonts w:hint="eastAsia"/>
                      <w:color w:val="auto"/>
                      <w:highlight w:val="none"/>
                      <w:lang w:val="en-US" w:eastAsia="zh-CN"/>
                    </w:rPr>
                    <w:br w:type="textWrapping"/>
                  </w:r>
                </w:p>
                <w:p w14:paraId="7E7C5775">
                  <w:pPr>
                    <w:snapToGrid w:val="0"/>
                    <w:jc w:val="center"/>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lang w:val="en-US" w:eastAsia="zh-CN"/>
                    </w:rPr>
                    <w:t>生产车间</w:t>
                  </w:r>
                </w:p>
              </w:tc>
              <w:tc>
                <w:tcPr>
                  <w:tcW w:w="1722" w:type="dxa"/>
                  <w:noWrap w:val="0"/>
                  <w:vAlign w:val="center"/>
                </w:tcPr>
                <w:p w14:paraId="68D4927B">
                  <w:pPr>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highlight w:val="none"/>
                      <w:lang w:val="en-US" w:eastAsia="zh-CN"/>
                    </w:rPr>
                    <w:t>进料链板</w:t>
                  </w:r>
                </w:p>
              </w:tc>
              <w:tc>
                <w:tcPr>
                  <w:tcW w:w="1212" w:type="dxa"/>
                  <w:noWrap w:val="0"/>
                  <w:vAlign w:val="center"/>
                </w:tcPr>
                <w:p w14:paraId="60291763">
                  <w:pPr>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highlight w:val="none"/>
                      <w:lang w:val="en-US" w:eastAsia="zh-CN"/>
                    </w:rPr>
                    <w:t>5m</w:t>
                  </w:r>
                </w:p>
              </w:tc>
              <w:tc>
                <w:tcPr>
                  <w:tcW w:w="733" w:type="dxa"/>
                  <w:noWrap w:val="0"/>
                  <w:vAlign w:val="center"/>
                </w:tcPr>
                <w:p w14:paraId="5286D01A">
                  <w:pPr>
                    <w:numPr>
                      <w:ilvl w:val="0"/>
                      <w:numId w:val="0"/>
                    </w:numPr>
                    <w:adjustRightInd w:val="0"/>
                    <w:snapToGrid w:val="0"/>
                    <w:ind w:left="0" w:leftChars="0" w:firstLine="0" w:firstLineChars="0"/>
                    <w:jc w:val="center"/>
                    <w:textAlignment w:val="bottom"/>
                    <w:rPr>
                      <w:rFonts w:hint="eastAsia" w:ascii="Times New Roman" w:hAnsi="Times New Roman" w:eastAsia="宋体" w:cs="Times New Roman"/>
                      <w:color w:val="auto"/>
                      <w:sz w:val="18"/>
                      <w:szCs w:val="18"/>
                      <w:highlight w:val="none"/>
                      <w:lang w:eastAsia="zh-CN"/>
                    </w:rPr>
                  </w:pPr>
                  <w:r>
                    <w:rPr>
                      <w:rFonts w:hint="eastAsia" w:ascii="Times New Roman" w:hAnsi="Times New Roman" w:eastAsia="宋体" w:cs="Times New Roman"/>
                      <w:color w:val="auto"/>
                      <w:sz w:val="18"/>
                      <w:szCs w:val="18"/>
                      <w:highlight w:val="none"/>
                      <w:lang w:val="en-US" w:eastAsia="zh-CN" w:bidi="ar"/>
                    </w:rPr>
                    <w:t>/</w:t>
                  </w:r>
                </w:p>
              </w:tc>
              <w:tc>
                <w:tcPr>
                  <w:tcW w:w="761" w:type="dxa"/>
                  <w:noWrap w:val="0"/>
                  <w:vAlign w:val="center"/>
                </w:tcPr>
                <w:p w14:paraId="6B853E02">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75</w:t>
                  </w:r>
                </w:p>
              </w:tc>
              <w:tc>
                <w:tcPr>
                  <w:tcW w:w="638" w:type="dxa"/>
                  <w:vMerge w:val="restart"/>
                  <w:noWrap w:val="0"/>
                  <w:vAlign w:val="center"/>
                </w:tcPr>
                <w:p w14:paraId="2B30580E">
                  <w:pPr>
                    <w:snapToGrid w:val="0"/>
                    <w:jc w:val="center"/>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选用低噪声设备，设置减振基座，厂房隔声</w:t>
                  </w:r>
                </w:p>
              </w:tc>
              <w:tc>
                <w:tcPr>
                  <w:tcW w:w="501" w:type="dxa"/>
                  <w:noWrap w:val="0"/>
                  <w:vAlign w:val="center"/>
                </w:tcPr>
                <w:p w14:paraId="29650E12">
                  <w:pPr>
                    <w:jc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28</w:t>
                  </w:r>
                </w:p>
              </w:tc>
              <w:tc>
                <w:tcPr>
                  <w:tcW w:w="623" w:type="dxa"/>
                  <w:noWrap w:val="0"/>
                  <w:vAlign w:val="center"/>
                </w:tcPr>
                <w:p w14:paraId="48F7C1D7">
                  <w:pPr>
                    <w:jc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80</w:t>
                  </w:r>
                </w:p>
              </w:tc>
              <w:tc>
                <w:tcPr>
                  <w:tcW w:w="520" w:type="dxa"/>
                  <w:noWrap w:val="0"/>
                  <w:vAlign w:val="center"/>
                </w:tcPr>
                <w:p w14:paraId="2DE2BE70">
                  <w:pPr>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c>
                <w:tcPr>
                  <w:tcW w:w="625" w:type="dxa"/>
                  <w:noWrap w:val="0"/>
                  <w:vAlign w:val="center"/>
                </w:tcPr>
                <w:p w14:paraId="75A62265">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c>
                <w:tcPr>
                  <w:tcW w:w="773" w:type="dxa"/>
                  <w:noWrap w:val="0"/>
                  <w:vAlign w:val="center"/>
                </w:tcPr>
                <w:p w14:paraId="1D9648E9">
                  <w:pPr>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65</w:t>
                  </w:r>
                </w:p>
              </w:tc>
              <w:tc>
                <w:tcPr>
                  <w:tcW w:w="674" w:type="dxa"/>
                  <w:vMerge w:val="restart"/>
                  <w:noWrap w:val="0"/>
                  <w:vAlign w:val="center"/>
                </w:tcPr>
                <w:p w14:paraId="518CF0C3">
                  <w:pPr>
                    <w:numPr>
                      <w:ilvl w:val="0"/>
                      <w:numId w:val="0"/>
                    </w:numPr>
                    <w:adjustRightInd w:val="0"/>
                    <w:snapToGrid w:val="0"/>
                    <w:ind w:left="0" w:leftChars="0" w:firstLine="0" w:firstLineChars="0"/>
                    <w:jc w:val="both"/>
                    <w:textAlignment w:val="bottom"/>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lang w:val="en-US" w:eastAsia="zh-CN" w:bidi="ar"/>
                    </w:rPr>
                    <w:t>昼间</w:t>
                  </w:r>
                  <w:r>
                    <w:rPr>
                      <w:rFonts w:hint="eastAsia" w:cs="Times New Roman"/>
                      <w:color w:val="auto"/>
                      <w:sz w:val="18"/>
                      <w:szCs w:val="18"/>
                      <w:highlight w:val="none"/>
                      <w:lang w:val="en-US" w:eastAsia="zh-CN" w:bidi="ar"/>
                    </w:rPr>
                    <w:t>、夜间</w:t>
                  </w:r>
                </w:p>
              </w:tc>
              <w:tc>
                <w:tcPr>
                  <w:tcW w:w="844" w:type="dxa"/>
                  <w:noWrap w:val="0"/>
                  <w:vAlign w:val="center"/>
                </w:tcPr>
                <w:p w14:paraId="5140ABFC">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25</w:t>
                  </w:r>
                </w:p>
              </w:tc>
              <w:tc>
                <w:tcPr>
                  <w:tcW w:w="843" w:type="dxa"/>
                  <w:noWrap w:val="0"/>
                  <w:vAlign w:val="center"/>
                </w:tcPr>
                <w:p w14:paraId="2BA5FD6A">
                  <w:pPr>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w:t>
                  </w:r>
                  <w:r>
                    <w:rPr>
                      <w:rFonts w:hint="eastAsia" w:cs="Times New Roman"/>
                      <w:color w:val="auto"/>
                      <w:highlight w:val="none"/>
                      <w:lang w:val="en-US" w:eastAsia="zh-CN"/>
                    </w:rPr>
                    <w:t>0</w:t>
                  </w:r>
                </w:p>
              </w:tc>
              <w:tc>
                <w:tcPr>
                  <w:tcW w:w="764" w:type="dxa"/>
                  <w:noWrap w:val="0"/>
                  <w:vAlign w:val="center"/>
                </w:tcPr>
                <w:p w14:paraId="3A38D576">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r>
            <w:tr w14:paraId="10314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450" w:type="dxa"/>
                  <w:noWrap w:val="0"/>
                  <w:vAlign w:val="center"/>
                </w:tcPr>
                <w:p w14:paraId="5C119FC5">
                  <w:pPr>
                    <w:numPr>
                      <w:ilvl w:val="0"/>
                      <w:numId w:val="7"/>
                    </w:numPr>
                    <w:adjustRightInd w:val="0"/>
                    <w:snapToGrid w:val="0"/>
                    <w:ind w:left="425" w:leftChars="0" w:hanging="425" w:firstLineChars="0"/>
                    <w:jc w:val="center"/>
                    <w:textAlignment w:val="bottom"/>
                    <w:rPr>
                      <w:rFonts w:ascii="Times New Roman" w:hAnsi="Times New Roman" w:eastAsia="宋体" w:cs="Times New Roman"/>
                      <w:color w:val="auto"/>
                      <w:sz w:val="18"/>
                      <w:szCs w:val="18"/>
                      <w:highlight w:val="none"/>
                    </w:rPr>
                  </w:pPr>
                </w:p>
              </w:tc>
              <w:tc>
                <w:tcPr>
                  <w:tcW w:w="773" w:type="dxa"/>
                  <w:vMerge w:val="continue"/>
                  <w:noWrap w:val="0"/>
                  <w:vAlign w:val="center"/>
                </w:tcPr>
                <w:p w14:paraId="2CC29E1C">
                  <w:pPr>
                    <w:snapToGrid w:val="0"/>
                    <w:jc w:val="center"/>
                    <w:rPr>
                      <w:rFonts w:hint="eastAsia" w:ascii="Times New Roman" w:hAnsi="Times New Roman" w:eastAsia="宋体" w:cs="Times New Roman"/>
                      <w:color w:val="auto"/>
                      <w:sz w:val="18"/>
                      <w:szCs w:val="18"/>
                      <w:highlight w:val="none"/>
                      <w:lang w:val="en-US" w:eastAsia="zh-CN"/>
                    </w:rPr>
                  </w:pPr>
                </w:p>
              </w:tc>
              <w:tc>
                <w:tcPr>
                  <w:tcW w:w="1722" w:type="dxa"/>
                  <w:noWrap w:val="0"/>
                  <w:vAlign w:val="center"/>
                </w:tcPr>
                <w:p w14:paraId="331DE79F">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进料链板</w:t>
                  </w:r>
                </w:p>
              </w:tc>
              <w:tc>
                <w:tcPr>
                  <w:tcW w:w="1212" w:type="dxa"/>
                  <w:noWrap w:val="0"/>
                  <w:vAlign w:val="center"/>
                </w:tcPr>
                <w:p w14:paraId="5768BC01">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5m</w:t>
                  </w:r>
                </w:p>
              </w:tc>
              <w:tc>
                <w:tcPr>
                  <w:tcW w:w="733" w:type="dxa"/>
                  <w:noWrap w:val="0"/>
                  <w:vAlign w:val="center"/>
                </w:tcPr>
                <w:p w14:paraId="4BEC74F1">
                  <w:pPr>
                    <w:numPr>
                      <w:ilvl w:val="0"/>
                      <w:numId w:val="0"/>
                    </w:numPr>
                    <w:adjustRightInd w:val="0"/>
                    <w:snapToGrid w:val="0"/>
                    <w:ind w:left="0" w:leftChars="0" w:firstLine="0" w:firstLineChars="0"/>
                    <w:jc w:val="center"/>
                    <w:textAlignment w:val="bottom"/>
                    <w:rPr>
                      <w:rFonts w:hint="eastAsia" w:ascii="Times New Roman" w:hAnsi="Times New Roman" w:eastAsia="宋体" w:cs="Times New Roman"/>
                      <w:color w:val="auto"/>
                      <w:sz w:val="18"/>
                      <w:szCs w:val="18"/>
                      <w:highlight w:val="none"/>
                      <w:lang w:val="en-US" w:eastAsia="zh-CN" w:bidi="ar"/>
                    </w:rPr>
                  </w:pPr>
                  <w:r>
                    <w:rPr>
                      <w:rFonts w:hint="eastAsia" w:ascii="Times New Roman" w:hAnsi="Times New Roman" w:eastAsia="宋体" w:cs="Times New Roman"/>
                      <w:color w:val="auto"/>
                      <w:sz w:val="18"/>
                      <w:szCs w:val="18"/>
                      <w:highlight w:val="none"/>
                      <w:lang w:val="en-US" w:eastAsia="zh-CN" w:bidi="ar"/>
                    </w:rPr>
                    <w:t>/</w:t>
                  </w:r>
                </w:p>
              </w:tc>
              <w:tc>
                <w:tcPr>
                  <w:tcW w:w="761" w:type="dxa"/>
                  <w:noWrap w:val="0"/>
                  <w:vAlign w:val="center"/>
                </w:tcPr>
                <w:p w14:paraId="009E94F8">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75</w:t>
                  </w:r>
                </w:p>
              </w:tc>
              <w:tc>
                <w:tcPr>
                  <w:tcW w:w="638" w:type="dxa"/>
                  <w:vMerge w:val="continue"/>
                  <w:noWrap w:val="0"/>
                  <w:vAlign w:val="center"/>
                </w:tcPr>
                <w:p w14:paraId="34E36ABC">
                  <w:pPr>
                    <w:snapToGrid w:val="0"/>
                    <w:jc w:val="center"/>
                    <w:rPr>
                      <w:rFonts w:hint="eastAsia" w:ascii="Times New Roman" w:hAnsi="Times New Roman" w:eastAsia="宋体" w:cs="Times New Roman"/>
                      <w:color w:val="auto"/>
                      <w:sz w:val="18"/>
                      <w:szCs w:val="18"/>
                      <w:highlight w:val="none"/>
                    </w:rPr>
                  </w:pPr>
                </w:p>
              </w:tc>
              <w:tc>
                <w:tcPr>
                  <w:tcW w:w="501" w:type="dxa"/>
                  <w:noWrap w:val="0"/>
                  <w:vAlign w:val="center"/>
                </w:tcPr>
                <w:p w14:paraId="5ADB2946">
                  <w:pPr>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35</w:t>
                  </w:r>
                </w:p>
              </w:tc>
              <w:tc>
                <w:tcPr>
                  <w:tcW w:w="623" w:type="dxa"/>
                  <w:noWrap w:val="0"/>
                  <w:vAlign w:val="center"/>
                </w:tcPr>
                <w:p w14:paraId="173E8CC2">
                  <w:pPr>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78</w:t>
                  </w:r>
                </w:p>
              </w:tc>
              <w:tc>
                <w:tcPr>
                  <w:tcW w:w="520" w:type="dxa"/>
                  <w:noWrap w:val="0"/>
                  <w:vAlign w:val="center"/>
                </w:tcPr>
                <w:p w14:paraId="027126BB">
                  <w:pPr>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w:t>
                  </w:r>
                </w:p>
              </w:tc>
              <w:tc>
                <w:tcPr>
                  <w:tcW w:w="625" w:type="dxa"/>
                  <w:noWrap w:val="0"/>
                  <w:vAlign w:val="center"/>
                </w:tcPr>
                <w:p w14:paraId="37B7A76B">
                  <w:pPr>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w:t>
                  </w:r>
                </w:p>
              </w:tc>
              <w:tc>
                <w:tcPr>
                  <w:tcW w:w="773" w:type="dxa"/>
                  <w:noWrap w:val="0"/>
                  <w:vAlign w:val="center"/>
                </w:tcPr>
                <w:p w14:paraId="3FB9D98A">
                  <w:pPr>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65</w:t>
                  </w:r>
                </w:p>
              </w:tc>
              <w:tc>
                <w:tcPr>
                  <w:tcW w:w="674" w:type="dxa"/>
                  <w:vMerge w:val="continue"/>
                  <w:noWrap w:val="0"/>
                  <w:vAlign w:val="center"/>
                </w:tcPr>
                <w:p w14:paraId="64C659E7">
                  <w:pPr>
                    <w:numPr>
                      <w:ilvl w:val="0"/>
                      <w:numId w:val="0"/>
                    </w:numPr>
                    <w:adjustRightInd w:val="0"/>
                    <w:snapToGrid w:val="0"/>
                    <w:ind w:left="0" w:leftChars="0" w:firstLine="0" w:firstLineChars="0"/>
                    <w:jc w:val="both"/>
                    <w:textAlignment w:val="bottom"/>
                    <w:rPr>
                      <w:rFonts w:hint="eastAsia" w:ascii="Times New Roman" w:hAnsi="Times New Roman" w:eastAsia="宋体" w:cs="Times New Roman"/>
                      <w:color w:val="auto"/>
                      <w:sz w:val="18"/>
                      <w:szCs w:val="18"/>
                      <w:highlight w:val="none"/>
                      <w:lang w:val="en-US" w:eastAsia="zh-CN" w:bidi="ar"/>
                    </w:rPr>
                  </w:pPr>
                </w:p>
              </w:tc>
              <w:tc>
                <w:tcPr>
                  <w:tcW w:w="844" w:type="dxa"/>
                  <w:noWrap w:val="0"/>
                  <w:vAlign w:val="center"/>
                </w:tcPr>
                <w:p w14:paraId="16A87ED1">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25</w:t>
                  </w:r>
                </w:p>
              </w:tc>
              <w:tc>
                <w:tcPr>
                  <w:tcW w:w="843" w:type="dxa"/>
                  <w:noWrap w:val="0"/>
                  <w:vAlign w:val="center"/>
                </w:tcPr>
                <w:p w14:paraId="4FE1C6C3">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w:t>
                  </w:r>
                  <w:r>
                    <w:rPr>
                      <w:rFonts w:hint="eastAsia" w:cs="Times New Roman"/>
                      <w:color w:val="auto"/>
                      <w:highlight w:val="none"/>
                      <w:lang w:val="en-US" w:eastAsia="zh-CN"/>
                    </w:rPr>
                    <w:t>0</w:t>
                  </w:r>
                </w:p>
              </w:tc>
              <w:tc>
                <w:tcPr>
                  <w:tcW w:w="764" w:type="dxa"/>
                  <w:noWrap w:val="0"/>
                  <w:vAlign w:val="center"/>
                </w:tcPr>
                <w:p w14:paraId="68DE4D51">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r>
            <w:tr w14:paraId="22C11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450" w:type="dxa"/>
                  <w:noWrap w:val="0"/>
                  <w:vAlign w:val="center"/>
                </w:tcPr>
                <w:p w14:paraId="0F826B1D">
                  <w:pPr>
                    <w:numPr>
                      <w:ilvl w:val="0"/>
                      <w:numId w:val="7"/>
                    </w:numPr>
                    <w:adjustRightInd w:val="0"/>
                    <w:snapToGrid w:val="0"/>
                    <w:ind w:left="425" w:leftChars="0" w:hanging="425" w:firstLineChars="0"/>
                    <w:jc w:val="center"/>
                    <w:textAlignment w:val="bottom"/>
                    <w:rPr>
                      <w:rFonts w:hint="eastAsia" w:ascii="Times New Roman" w:hAnsi="Times New Roman" w:eastAsia="宋体" w:cs="Times New Roman"/>
                      <w:color w:val="auto"/>
                      <w:sz w:val="18"/>
                      <w:szCs w:val="18"/>
                      <w:highlight w:val="none"/>
                      <w:lang w:val="en-US" w:eastAsia="zh-CN" w:bidi="ar"/>
                    </w:rPr>
                  </w:pPr>
                </w:p>
              </w:tc>
              <w:tc>
                <w:tcPr>
                  <w:tcW w:w="773" w:type="dxa"/>
                  <w:vMerge w:val="continue"/>
                  <w:noWrap w:val="0"/>
                  <w:vAlign w:val="center"/>
                </w:tcPr>
                <w:p w14:paraId="4C90CA88">
                  <w:pPr>
                    <w:snapToGrid w:val="0"/>
                    <w:jc w:val="center"/>
                    <w:rPr>
                      <w:rFonts w:hint="eastAsia" w:ascii="Times New Roman" w:hAnsi="Times New Roman" w:eastAsia="宋体" w:cs="Times New Roman"/>
                      <w:color w:val="auto"/>
                      <w:sz w:val="18"/>
                      <w:szCs w:val="18"/>
                      <w:highlight w:val="none"/>
                      <w:lang w:val="en-US" w:eastAsia="zh-CN"/>
                    </w:rPr>
                  </w:pPr>
                </w:p>
              </w:tc>
              <w:tc>
                <w:tcPr>
                  <w:tcW w:w="1722" w:type="dxa"/>
                  <w:noWrap w:val="0"/>
                  <w:vAlign w:val="center"/>
                </w:tcPr>
                <w:p w14:paraId="59D4BC8D">
                  <w:pPr>
                    <w:jc w:val="center"/>
                    <w:rPr>
                      <w:rFonts w:hint="eastAsia"/>
                      <w:color w:val="auto"/>
                      <w:highlight w:val="none"/>
                    </w:rPr>
                  </w:pPr>
                  <w:r>
                    <w:rPr>
                      <w:rFonts w:hint="eastAsia" w:ascii="Times New Roman" w:hAnsi="Times New Roman" w:eastAsia="宋体" w:cs="Times New Roman"/>
                      <w:color w:val="auto"/>
                      <w:highlight w:val="none"/>
                      <w:lang w:val="en-US" w:eastAsia="zh-CN"/>
                    </w:rPr>
                    <w:t>综合破碎机</w:t>
                  </w:r>
                </w:p>
              </w:tc>
              <w:tc>
                <w:tcPr>
                  <w:tcW w:w="1212" w:type="dxa"/>
                  <w:noWrap w:val="0"/>
                  <w:vAlign w:val="center"/>
                </w:tcPr>
                <w:p w14:paraId="19542859">
                  <w:pPr>
                    <w:jc w:val="center"/>
                    <w:rPr>
                      <w:rFonts w:hint="eastAsia" w:ascii="Calibri" w:hAnsi="Calibri"/>
                      <w:color w:val="auto"/>
                      <w:highlight w:val="none"/>
                    </w:rPr>
                  </w:pPr>
                  <w:r>
                    <w:rPr>
                      <w:rFonts w:hint="eastAsia" w:ascii="Times New Roman" w:hAnsi="Times New Roman" w:eastAsia="宋体" w:cs="Times New Roman"/>
                      <w:color w:val="auto"/>
                      <w:highlight w:val="none"/>
                      <w:lang w:val="en-US" w:eastAsia="zh-CN"/>
                    </w:rPr>
                    <w:t>1250</w:t>
                  </w:r>
                </w:p>
              </w:tc>
              <w:tc>
                <w:tcPr>
                  <w:tcW w:w="733" w:type="dxa"/>
                  <w:noWrap w:val="0"/>
                  <w:vAlign w:val="center"/>
                </w:tcPr>
                <w:p w14:paraId="390A1D66">
                  <w:pPr>
                    <w:numPr>
                      <w:ilvl w:val="0"/>
                      <w:numId w:val="0"/>
                    </w:numPr>
                    <w:adjustRightInd w:val="0"/>
                    <w:snapToGrid w:val="0"/>
                    <w:ind w:left="0" w:leftChars="0" w:firstLine="0" w:firstLineChars="0"/>
                    <w:jc w:val="center"/>
                    <w:textAlignment w:val="bottom"/>
                    <w:rPr>
                      <w:rFonts w:hint="eastAsia"/>
                      <w:color w:val="auto"/>
                      <w:szCs w:val="21"/>
                      <w:highlight w:val="none"/>
                    </w:rPr>
                  </w:pPr>
                  <w:r>
                    <w:rPr>
                      <w:rFonts w:hint="eastAsia" w:ascii="Times New Roman" w:hAnsi="Times New Roman" w:eastAsia="宋体" w:cs="Times New Roman"/>
                      <w:color w:val="auto"/>
                      <w:sz w:val="18"/>
                      <w:szCs w:val="18"/>
                      <w:highlight w:val="none"/>
                      <w:lang w:val="en-US" w:eastAsia="zh-CN" w:bidi="ar"/>
                    </w:rPr>
                    <w:t>/</w:t>
                  </w:r>
                </w:p>
              </w:tc>
              <w:tc>
                <w:tcPr>
                  <w:tcW w:w="761" w:type="dxa"/>
                  <w:noWrap w:val="0"/>
                  <w:vAlign w:val="center"/>
                </w:tcPr>
                <w:p w14:paraId="73BB9138">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75</w:t>
                  </w:r>
                </w:p>
              </w:tc>
              <w:tc>
                <w:tcPr>
                  <w:tcW w:w="638" w:type="dxa"/>
                  <w:vMerge w:val="continue"/>
                  <w:noWrap w:val="0"/>
                  <w:vAlign w:val="center"/>
                </w:tcPr>
                <w:p w14:paraId="492AC9BF">
                  <w:pPr>
                    <w:snapToGrid w:val="0"/>
                    <w:jc w:val="center"/>
                    <w:rPr>
                      <w:rFonts w:hint="eastAsia" w:ascii="Times New Roman" w:hAnsi="Times New Roman" w:eastAsia="宋体" w:cs="Times New Roman"/>
                      <w:color w:val="auto"/>
                      <w:sz w:val="18"/>
                      <w:szCs w:val="18"/>
                      <w:highlight w:val="none"/>
                    </w:rPr>
                  </w:pPr>
                </w:p>
              </w:tc>
              <w:tc>
                <w:tcPr>
                  <w:tcW w:w="501" w:type="dxa"/>
                  <w:noWrap w:val="0"/>
                  <w:vAlign w:val="center"/>
                </w:tcPr>
                <w:p w14:paraId="5EC8FF00">
                  <w:pPr>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28</w:t>
                  </w:r>
                </w:p>
              </w:tc>
              <w:tc>
                <w:tcPr>
                  <w:tcW w:w="623" w:type="dxa"/>
                  <w:noWrap w:val="0"/>
                  <w:vAlign w:val="center"/>
                </w:tcPr>
                <w:p w14:paraId="2ACE7A6F">
                  <w:pPr>
                    <w:jc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75</w:t>
                  </w:r>
                </w:p>
              </w:tc>
              <w:tc>
                <w:tcPr>
                  <w:tcW w:w="520" w:type="dxa"/>
                  <w:noWrap w:val="0"/>
                  <w:vAlign w:val="center"/>
                </w:tcPr>
                <w:p w14:paraId="3D6E0C6B">
                  <w:pPr>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1.5</w:t>
                  </w:r>
                </w:p>
              </w:tc>
              <w:tc>
                <w:tcPr>
                  <w:tcW w:w="625" w:type="dxa"/>
                  <w:noWrap w:val="0"/>
                  <w:vAlign w:val="center"/>
                </w:tcPr>
                <w:p w14:paraId="64368FE2">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c>
                <w:tcPr>
                  <w:tcW w:w="773" w:type="dxa"/>
                  <w:noWrap w:val="0"/>
                  <w:vAlign w:val="center"/>
                </w:tcPr>
                <w:p w14:paraId="4FA0389C">
                  <w:pPr>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65</w:t>
                  </w:r>
                </w:p>
              </w:tc>
              <w:tc>
                <w:tcPr>
                  <w:tcW w:w="674" w:type="dxa"/>
                  <w:vMerge w:val="continue"/>
                  <w:noWrap w:val="0"/>
                  <w:vAlign w:val="center"/>
                </w:tcPr>
                <w:p w14:paraId="09BEE43B">
                  <w:pPr>
                    <w:numPr>
                      <w:ilvl w:val="0"/>
                      <w:numId w:val="0"/>
                    </w:numPr>
                    <w:adjustRightInd w:val="0"/>
                    <w:snapToGrid w:val="0"/>
                    <w:ind w:left="0" w:leftChars="0" w:firstLine="0" w:firstLineChars="0"/>
                    <w:jc w:val="center"/>
                    <w:textAlignment w:val="bottom"/>
                    <w:rPr>
                      <w:rFonts w:hint="eastAsia" w:ascii="Times New Roman" w:hAnsi="Times New Roman" w:eastAsia="宋体" w:cs="Times New Roman"/>
                      <w:color w:val="auto"/>
                      <w:sz w:val="18"/>
                      <w:szCs w:val="18"/>
                      <w:highlight w:val="none"/>
                    </w:rPr>
                  </w:pPr>
                </w:p>
              </w:tc>
              <w:tc>
                <w:tcPr>
                  <w:tcW w:w="844" w:type="dxa"/>
                  <w:noWrap w:val="0"/>
                  <w:vAlign w:val="center"/>
                </w:tcPr>
                <w:p w14:paraId="3EC0A561">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25</w:t>
                  </w:r>
                </w:p>
              </w:tc>
              <w:tc>
                <w:tcPr>
                  <w:tcW w:w="843" w:type="dxa"/>
                  <w:noWrap w:val="0"/>
                  <w:vAlign w:val="center"/>
                </w:tcPr>
                <w:p w14:paraId="7A8B48AD">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w:t>
                  </w:r>
                  <w:r>
                    <w:rPr>
                      <w:rFonts w:hint="eastAsia" w:cs="Times New Roman"/>
                      <w:color w:val="auto"/>
                      <w:highlight w:val="none"/>
                      <w:lang w:val="en-US" w:eastAsia="zh-CN"/>
                    </w:rPr>
                    <w:t>0</w:t>
                  </w:r>
                </w:p>
              </w:tc>
              <w:tc>
                <w:tcPr>
                  <w:tcW w:w="764" w:type="dxa"/>
                  <w:noWrap w:val="0"/>
                  <w:vAlign w:val="center"/>
                </w:tcPr>
                <w:p w14:paraId="057CE175">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r>
            <w:tr w14:paraId="3295D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450" w:type="dxa"/>
                  <w:noWrap w:val="0"/>
                  <w:vAlign w:val="center"/>
                </w:tcPr>
                <w:p w14:paraId="6B621CEB">
                  <w:pPr>
                    <w:numPr>
                      <w:ilvl w:val="0"/>
                      <w:numId w:val="7"/>
                    </w:numPr>
                    <w:adjustRightInd w:val="0"/>
                    <w:snapToGrid w:val="0"/>
                    <w:ind w:left="425" w:leftChars="0" w:hanging="425" w:firstLineChars="0"/>
                    <w:jc w:val="center"/>
                    <w:textAlignment w:val="bottom"/>
                    <w:rPr>
                      <w:rFonts w:hint="eastAsia" w:ascii="Times New Roman" w:hAnsi="Times New Roman" w:eastAsia="宋体" w:cs="Times New Roman"/>
                      <w:color w:val="auto"/>
                      <w:sz w:val="18"/>
                      <w:szCs w:val="18"/>
                      <w:highlight w:val="none"/>
                      <w:lang w:val="en-US" w:eastAsia="zh-CN" w:bidi="ar"/>
                    </w:rPr>
                  </w:pPr>
                </w:p>
              </w:tc>
              <w:tc>
                <w:tcPr>
                  <w:tcW w:w="773" w:type="dxa"/>
                  <w:vMerge w:val="continue"/>
                  <w:noWrap w:val="0"/>
                  <w:vAlign w:val="center"/>
                </w:tcPr>
                <w:p w14:paraId="0CBADC97">
                  <w:pPr>
                    <w:snapToGrid w:val="0"/>
                    <w:jc w:val="center"/>
                    <w:rPr>
                      <w:rFonts w:hint="eastAsia" w:ascii="Times New Roman" w:hAnsi="Times New Roman" w:eastAsia="宋体" w:cs="Times New Roman"/>
                      <w:color w:val="auto"/>
                      <w:sz w:val="18"/>
                      <w:szCs w:val="18"/>
                      <w:highlight w:val="none"/>
                      <w:lang w:val="en-US" w:eastAsia="zh-CN"/>
                    </w:rPr>
                  </w:pPr>
                </w:p>
              </w:tc>
              <w:tc>
                <w:tcPr>
                  <w:tcW w:w="1722" w:type="dxa"/>
                  <w:noWrap w:val="0"/>
                  <w:vAlign w:val="center"/>
                </w:tcPr>
                <w:p w14:paraId="5DA3668A">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综合破碎机</w:t>
                  </w:r>
                </w:p>
              </w:tc>
              <w:tc>
                <w:tcPr>
                  <w:tcW w:w="1212" w:type="dxa"/>
                  <w:noWrap w:val="0"/>
                  <w:vAlign w:val="center"/>
                </w:tcPr>
                <w:p w14:paraId="0B428E51">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1250</w:t>
                  </w:r>
                </w:p>
              </w:tc>
              <w:tc>
                <w:tcPr>
                  <w:tcW w:w="733" w:type="dxa"/>
                  <w:noWrap w:val="0"/>
                  <w:vAlign w:val="center"/>
                </w:tcPr>
                <w:p w14:paraId="18C9A550">
                  <w:pPr>
                    <w:numPr>
                      <w:ilvl w:val="0"/>
                      <w:numId w:val="0"/>
                    </w:numPr>
                    <w:adjustRightInd w:val="0"/>
                    <w:snapToGrid w:val="0"/>
                    <w:ind w:left="0" w:leftChars="0" w:firstLine="0" w:firstLineChars="0"/>
                    <w:jc w:val="center"/>
                    <w:textAlignment w:val="bottom"/>
                    <w:rPr>
                      <w:rFonts w:hint="eastAsia" w:ascii="Times New Roman" w:hAnsi="Times New Roman" w:eastAsia="宋体" w:cs="Times New Roman"/>
                      <w:color w:val="auto"/>
                      <w:sz w:val="18"/>
                      <w:szCs w:val="18"/>
                      <w:highlight w:val="none"/>
                      <w:lang w:val="en-US" w:eastAsia="zh-CN" w:bidi="ar"/>
                    </w:rPr>
                  </w:pPr>
                  <w:r>
                    <w:rPr>
                      <w:rFonts w:hint="eastAsia" w:ascii="Times New Roman" w:hAnsi="Times New Roman" w:eastAsia="宋体" w:cs="Times New Roman"/>
                      <w:color w:val="auto"/>
                      <w:sz w:val="18"/>
                      <w:szCs w:val="18"/>
                      <w:highlight w:val="none"/>
                      <w:lang w:val="en-US" w:eastAsia="zh-CN" w:bidi="ar"/>
                    </w:rPr>
                    <w:t>/</w:t>
                  </w:r>
                </w:p>
              </w:tc>
              <w:tc>
                <w:tcPr>
                  <w:tcW w:w="761" w:type="dxa"/>
                  <w:noWrap w:val="0"/>
                  <w:vAlign w:val="center"/>
                </w:tcPr>
                <w:p w14:paraId="4626D262">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75</w:t>
                  </w:r>
                </w:p>
              </w:tc>
              <w:tc>
                <w:tcPr>
                  <w:tcW w:w="638" w:type="dxa"/>
                  <w:vMerge w:val="continue"/>
                  <w:noWrap w:val="0"/>
                  <w:vAlign w:val="center"/>
                </w:tcPr>
                <w:p w14:paraId="57F80973">
                  <w:pPr>
                    <w:snapToGrid w:val="0"/>
                    <w:jc w:val="center"/>
                    <w:rPr>
                      <w:rFonts w:hint="eastAsia" w:ascii="Times New Roman" w:hAnsi="Times New Roman" w:eastAsia="宋体" w:cs="Times New Roman"/>
                      <w:color w:val="auto"/>
                      <w:sz w:val="18"/>
                      <w:szCs w:val="18"/>
                      <w:highlight w:val="none"/>
                    </w:rPr>
                  </w:pPr>
                </w:p>
              </w:tc>
              <w:tc>
                <w:tcPr>
                  <w:tcW w:w="501" w:type="dxa"/>
                  <w:noWrap w:val="0"/>
                  <w:vAlign w:val="center"/>
                </w:tcPr>
                <w:p w14:paraId="7179EF3E">
                  <w:pPr>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3</w:t>
                  </w:r>
                  <w:r>
                    <w:rPr>
                      <w:rFonts w:hint="eastAsia" w:cs="Times New Roman"/>
                      <w:color w:val="auto"/>
                      <w:highlight w:val="none"/>
                      <w:lang w:val="en-US" w:eastAsia="zh-CN"/>
                    </w:rPr>
                    <w:t>8</w:t>
                  </w:r>
                </w:p>
              </w:tc>
              <w:tc>
                <w:tcPr>
                  <w:tcW w:w="623" w:type="dxa"/>
                  <w:noWrap w:val="0"/>
                  <w:vAlign w:val="center"/>
                </w:tcPr>
                <w:p w14:paraId="3E825EB8">
                  <w:pPr>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7</w:t>
                  </w:r>
                  <w:r>
                    <w:rPr>
                      <w:rFonts w:hint="eastAsia" w:cs="Times New Roman"/>
                      <w:color w:val="auto"/>
                      <w:highlight w:val="none"/>
                      <w:lang w:val="en-US" w:eastAsia="zh-CN"/>
                    </w:rPr>
                    <w:t>7</w:t>
                  </w:r>
                </w:p>
              </w:tc>
              <w:tc>
                <w:tcPr>
                  <w:tcW w:w="520" w:type="dxa"/>
                  <w:noWrap w:val="0"/>
                  <w:vAlign w:val="center"/>
                </w:tcPr>
                <w:p w14:paraId="4E9FD250">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1.5</w:t>
                  </w:r>
                </w:p>
              </w:tc>
              <w:tc>
                <w:tcPr>
                  <w:tcW w:w="625" w:type="dxa"/>
                  <w:noWrap w:val="0"/>
                  <w:vAlign w:val="center"/>
                </w:tcPr>
                <w:p w14:paraId="2C9F09A3">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c>
                <w:tcPr>
                  <w:tcW w:w="773" w:type="dxa"/>
                  <w:noWrap w:val="0"/>
                  <w:vAlign w:val="center"/>
                </w:tcPr>
                <w:p w14:paraId="1688A0A8">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65</w:t>
                  </w:r>
                </w:p>
              </w:tc>
              <w:tc>
                <w:tcPr>
                  <w:tcW w:w="674" w:type="dxa"/>
                  <w:vMerge w:val="continue"/>
                  <w:noWrap w:val="0"/>
                  <w:vAlign w:val="center"/>
                </w:tcPr>
                <w:p w14:paraId="433D50B9">
                  <w:pPr>
                    <w:numPr>
                      <w:ilvl w:val="0"/>
                      <w:numId w:val="0"/>
                    </w:numPr>
                    <w:adjustRightInd w:val="0"/>
                    <w:snapToGrid w:val="0"/>
                    <w:ind w:left="0" w:leftChars="0" w:firstLine="0" w:firstLineChars="0"/>
                    <w:jc w:val="center"/>
                    <w:textAlignment w:val="bottom"/>
                    <w:rPr>
                      <w:rFonts w:hint="eastAsia" w:ascii="Times New Roman" w:hAnsi="Times New Roman" w:eastAsia="宋体" w:cs="Times New Roman"/>
                      <w:color w:val="auto"/>
                      <w:sz w:val="18"/>
                      <w:szCs w:val="18"/>
                      <w:highlight w:val="none"/>
                    </w:rPr>
                  </w:pPr>
                </w:p>
              </w:tc>
              <w:tc>
                <w:tcPr>
                  <w:tcW w:w="844" w:type="dxa"/>
                  <w:noWrap w:val="0"/>
                  <w:vAlign w:val="center"/>
                </w:tcPr>
                <w:p w14:paraId="54E74E05">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25</w:t>
                  </w:r>
                </w:p>
              </w:tc>
              <w:tc>
                <w:tcPr>
                  <w:tcW w:w="843" w:type="dxa"/>
                  <w:noWrap w:val="0"/>
                  <w:vAlign w:val="center"/>
                </w:tcPr>
                <w:p w14:paraId="0A4A622A">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w:t>
                  </w:r>
                  <w:r>
                    <w:rPr>
                      <w:rFonts w:hint="eastAsia" w:cs="Times New Roman"/>
                      <w:color w:val="auto"/>
                      <w:highlight w:val="none"/>
                      <w:lang w:val="en-US" w:eastAsia="zh-CN"/>
                    </w:rPr>
                    <w:t>0</w:t>
                  </w:r>
                </w:p>
              </w:tc>
              <w:tc>
                <w:tcPr>
                  <w:tcW w:w="764" w:type="dxa"/>
                  <w:noWrap w:val="0"/>
                  <w:vAlign w:val="center"/>
                </w:tcPr>
                <w:p w14:paraId="368C381A">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r>
            <w:tr w14:paraId="2347F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450" w:type="dxa"/>
                  <w:noWrap w:val="0"/>
                  <w:vAlign w:val="center"/>
                </w:tcPr>
                <w:p w14:paraId="5682C664">
                  <w:pPr>
                    <w:numPr>
                      <w:ilvl w:val="0"/>
                      <w:numId w:val="7"/>
                    </w:numPr>
                    <w:adjustRightInd w:val="0"/>
                    <w:snapToGrid w:val="0"/>
                    <w:ind w:left="425" w:leftChars="0" w:hanging="425" w:firstLineChars="0"/>
                    <w:jc w:val="center"/>
                    <w:textAlignment w:val="bottom"/>
                    <w:rPr>
                      <w:rFonts w:hint="eastAsia" w:ascii="Times New Roman" w:hAnsi="Times New Roman" w:eastAsia="宋体" w:cs="Times New Roman"/>
                      <w:color w:val="auto"/>
                      <w:sz w:val="18"/>
                      <w:szCs w:val="18"/>
                      <w:highlight w:val="none"/>
                      <w:lang w:eastAsia="zh-CN" w:bidi="ar"/>
                    </w:rPr>
                  </w:pPr>
                </w:p>
              </w:tc>
              <w:tc>
                <w:tcPr>
                  <w:tcW w:w="773" w:type="dxa"/>
                  <w:vMerge w:val="continue"/>
                  <w:noWrap w:val="0"/>
                  <w:vAlign w:val="center"/>
                </w:tcPr>
                <w:p w14:paraId="09734AE5">
                  <w:pPr>
                    <w:snapToGrid w:val="0"/>
                    <w:jc w:val="center"/>
                    <w:rPr>
                      <w:rFonts w:hint="eastAsia" w:ascii="Times New Roman" w:hAnsi="Times New Roman" w:eastAsia="宋体" w:cs="Times New Roman"/>
                      <w:color w:val="auto"/>
                      <w:sz w:val="18"/>
                      <w:szCs w:val="18"/>
                      <w:highlight w:val="none"/>
                    </w:rPr>
                  </w:pPr>
                </w:p>
              </w:tc>
              <w:tc>
                <w:tcPr>
                  <w:tcW w:w="1722" w:type="dxa"/>
                  <w:noWrap w:val="0"/>
                  <w:vAlign w:val="center"/>
                </w:tcPr>
                <w:p w14:paraId="69302540">
                  <w:pPr>
                    <w:jc w:val="center"/>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highlight w:val="none"/>
                      <w:lang w:val="en-US" w:eastAsia="zh-CN"/>
                    </w:rPr>
                    <w:t>出料皮带</w:t>
                  </w:r>
                </w:p>
              </w:tc>
              <w:tc>
                <w:tcPr>
                  <w:tcW w:w="1212" w:type="dxa"/>
                  <w:noWrap w:val="0"/>
                  <w:vAlign w:val="center"/>
                </w:tcPr>
                <w:p w14:paraId="164D9BCA">
                  <w:pPr>
                    <w:jc w:val="center"/>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highlight w:val="none"/>
                      <w:lang w:val="en-US" w:eastAsia="zh-CN"/>
                    </w:rPr>
                    <w:t>12m</w:t>
                  </w:r>
                </w:p>
              </w:tc>
              <w:tc>
                <w:tcPr>
                  <w:tcW w:w="733" w:type="dxa"/>
                  <w:noWrap w:val="0"/>
                  <w:vAlign w:val="center"/>
                </w:tcPr>
                <w:p w14:paraId="2DDF5E5F">
                  <w:pPr>
                    <w:numPr>
                      <w:ilvl w:val="0"/>
                      <w:numId w:val="0"/>
                    </w:numPr>
                    <w:adjustRightInd w:val="0"/>
                    <w:snapToGrid w:val="0"/>
                    <w:ind w:left="0" w:leftChars="0" w:firstLine="0" w:firstLineChars="0"/>
                    <w:jc w:val="center"/>
                    <w:textAlignment w:val="bottom"/>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w:t>
                  </w:r>
                </w:p>
              </w:tc>
              <w:tc>
                <w:tcPr>
                  <w:tcW w:w="761" w:type="dxa"/>
                  <w:noWrap w:val="0"/>
                  <w:vAlign w:val="center"/>
                </w:tcPr>
                <w:p w14:paraId="0EA9097D">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75</w:t>
                  </w:r>
                </w:p>
              </w:tc>
              <w:tc>
                <w:tcPr>
                  <w:tcW w:w="638" w:type="dxa"/>
                  <w:vMerge w:val="continue"/>
                  <w:noWrap w:val="0"/>
                  <w:vAlign w:val="center"/>
                </w:tcPr>
                <w:p w14:paraId="0B783DFC">
                  <w:pPr>
                    <w:snapToGrid w:val="0"/>
                    <w:jc w:val="center"/>
                    <w:rPr>
                      <w:rFonts w:hint="eastAsia" w:ascii="Times New Roman" w:hAnsi="Times New Roman" w:eastAsia="宋体" w:cs="Times New Roman"/>
                      <w:color w:val="auto"/>
                      <w:sz w:val="18"/>
                      <w:szCs w:val="18"/>
                      <w:highlight w:val="none"/>
                    </w:rPr>
                  </w:pPr>
                </w:p>
              </w:tc>
              <w:tc>
                <w:tcPr>
                  <w:tcW w:w="501" w:type="dxa"/>
                  <w:noWrap w:val="0"/>
                  <w:vAlign w:val="center"/>
                </w:tcPr>
                <w:p w14:paraId="75953253">
                  <w:pPr>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2</w:t>
                  </w:r>
                  <w:r>
                    <w:rPr>
                      <w:rFonts w:hint="eastAsia" w:ascii="Times New Roman" w:hAnsi="Times New Roman" w:cs="Times New Roman"/>
                      <w:color w:val="auto"/>
                      <w:highlight w:val="none"/>
                      <w:lang w:val="en-US" w:eastAsia="zh-CN"/>
                    </w:rPr>
                    <w:t>5</w:t>
                  </w:r>
                </w:p>
              </w:tc>
              <w:tc>
                <w:tcPr>
                  <w:tcW w:w="623" w:type="dxa"/>
                  <w:noWrap w:val="0"/>
                  <w:vAlign w:val="center"/>
                </w:tcPr>
                <w:p w14:paraId="493B4091">
                  <w:pPr>
                    <w:jc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73</w:t>
                  </w:r>
                </w:p>
              </w:tc>
              <w:tc>
                <w:tcPr>
                  <w:tcW w:w="520" w:type="dxa"/>
                  <w:noWrap w:val="0"/>
                  <w:vAlign w:val="center"/>
                </w:tcPr>
                <w:p w14:paraId="2D5D0A2E">
                  <w:pPr>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c>
                <w:tcPr>
                  <w:tcW w:w="625" w:type="dxa"/>
                  <w:noWrap w:val="0"/>
                  <w:vAlign w:val="center"/>
                </w:tcPr>
                <w:p w14:paraId="3B9C14D2">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c>
                <w:tcPr>
                  <w:tcW w:w="773" w:type="dxa"/>
                  <w:noWrap w:val="0"/>
                  <w:vAlign w:val="center"/>
                </w:tcPr>
                <w:p w14:paraId="184BC7A2">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65</w:t>
                  </w:r>
                </w:p>
              </w:tc>
              <w:tc>
                <w:tcPr>
                  <w:tcW w:w="674" w:type="dxa"/>
                  <w:vMerge w:val="continue"/>
                  <w:noWrap w:val="0"/>
                  <w:vAlign w:val="center"/>
                </w:tcPr>
                <w:p w14:paraId="65B22D37">
                  <w:pPr>
                    <w:numPr>
                      <w:ilvl w:val="0"/>
                      <w:numId w:val="0"/>
                    </w:numPr>
                    <w:adjustRightInd w:val="0"/>
                    <w:snapToGrid w:val="0"/>
                    <w:ind w:left="0" w:leftChars="0" w:firstLine="0" w:firstLineChars="0"/>
                    <w:jc w:val="center"/>
                    <w:textAlignment w:val="bottom"/>
                    <w:rPr>
                      <w:rFonts w:hint="eastAsia" w:ascii="Times New Roman" w:hAnsi="Times New Roman" w:eastAsia="宋体" w:cs="Times New Roman"/>
                      <w:color w:val="auto"/>
                      <w:sz w:val="18"/>
                      <w:szCs w:val="18"/>
                      <w:highlight w:val="none"/>
                    </w:rPr>
                  </w:pPr>
                </w:p>
              </w:tc>
              <w:tc>
                <w:tcPr>
                  <w:tcW w:w="844" w:type="dxa"/>
                  <w:noWrap w:val="0"/>
                  <w:vAlign w:val="center"/>
                </w:tcPr>
                <w:p w14:paraId="031D220A">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25</w:t>
                  </w:r>
                </w:p>
              </w:tc>
              <w:tc>
                <w:tcPr>
                  <w:tcW w:w="843" w:type="dxa"/>
                  <w:noWrap w:val="0"/>
                  <w:vAlign w:val="center"/>
                </w:tcPr>
                <w:p w14:paraId="4B8AB49A">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w:t>
                  </w:r>
                  <w:r>
                    <w:rPr>
                      <w:rFonts w:hint="eastAsia" w:cs="Times New Roman"/>
                      <w:color w:val="auto"/>
                      <w:highlight w:val="none"/>
                      <w:lang w:val="en-US" w:eastAsia="zh-CN"/>
                    </w:rPr>
                    <w:t>0</w:t>
                  </w:r>
                </w:p>
              </w:tc>
              <w:tc>
                <w:tcPr>
                  <w:tcW w:w="764" w:type="dxa"/>
                  <w:noWrap w:val="0"/>
                  <w:vAlign w:val="center"/>
                </w:tcPr>
                <w:p w14:paraId="2A1B28EB">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r>
            <w:tr w14:paraId="0EDD5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450" w:type="dxa"/>
                  <w:noWrap w:val="0"/>
                  <w:vAlign w:val="center"/>
                </w:tcPr>
                <w:p w14:paraId="42CEFE1F">
                  <w:pPr>
                    <w:numPr>
                      <w:ilvl w:val="0"/>
                      <w:numId w:val="7"/>
                    </w:numPr>
                    <w:adjustRightInd w:val="0"/>
                    <w:snapToGrid w:val="0"/>
                    <w:ind w:left="425" w:leftChars="0" w:hanging="425" w:firstLineChars="0"/>
                    <w:jc w:val="center"/>
                    <w:textAlignment w:val="bottom"/>
                    <w:rPr>
                      <w:rFonts w:hint="eastAsia" w:ascii="Times New Roman" w:hAnsi="Times New Roman" w:eastAsia="宋体" w:cs="Times New Roman"/>
                      <w:color w:val="auto"/>
                      <w:sz w:val="18"/>
                      <w:szCs w:val="18"/>
                      <w:highlight w:val="none"/>
                      <w:lang w:eastAsia="zh-CN" w:bidi="ar"/>
                    </w:rPr>
                  </w:pPr>
                </w:p>
              </w:tc>
              <w:tc>
                <w:tcPr>
                  <w:tcW w:w="773" w:type="dxa"/>
                  <w:vMerge w:val="continue"/>
                  <w:noWrap w:val="0"/>
                  <w:vAlign w:val="center"/>
                </w:tcPr>
                <w:p w14:paraId="5C467397">
                  <w:pPr>
                    <w:snapToGrid w:val="0"/>
                    <w:jc w:val="center"/>
                    <w:rPr>
                      <w:rFonts w:hint="eastAsia" w:ascii="Times New Roman" w:hAnsi="Times New Roman" w:eastAsia="宋体" w:cs="Times New Roman"/>
                      <w:color w:val="auto"/>
                      <w:sz w:val="18"/>
                      <w:szCs w:val="18"/>
                      <w:highlight w:val="none"/>
                    </w:rPr>
                  </w:pPr>
                </w:p>
              </w:tc>
              <w:tc>
                <w:tcPr>
                  <w:tcW w:w="1722" w:type="dxa"/>
                  <w:noWrap w:val="0"/>
                  <w:vAlign w:val="center"/>
                </w:tcPr>
                <w:p w14:paraId="2FDBE96E">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出料皮带</w:t>
                  </w:r>
                </w:p>
              </w:tc>
              <w:tc>
                <w:tcPr>
                  <w:tcW w:w="1212" w:type="dxa"/>
                  <w:noWrap w:val="0"/>
                  <w:vAlign w:val="center"/>
                </w:tcPr>
                <w:p w14:paraId="3650B070">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12m</w:t>
                  </w:r>
                </w:p>
              </w:tc>
              <w:tc>
                <w:tcPr>
                  <w:tcW w:w="733" w:type="dxa"/>
                  <w:noWrap w:val="0"/>
                  <w:vAlign w:val="center"/>
                </w:tcPr>
                <w:p w14:paraId="632261F9">
                  <w:pPr>
                    <w:numPr>
                      <w:ilvl w:val="0"/>
                      <w:numId w:val="0"/>
                    </w:numPr>
                    <w:adjustRightInd w:val="0"/>
                    <w:snapToGrid w:val="0"/>
                    <w:ind w:left="0" w:leftChars="0" w:firstLine="0" w:firstLineChars="0"/>
                    <w:jc w:val="center"/>
                    <w:textAlignment w:val="bottom"/>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w:t>
                  </w:r>
                </w:p>
              </w:tc>
              <w:tc>
                <w:tcPr>
                  <w:tcW w:w="761" w:type="dxa"/>
                  <w:noWrap w:val="0"/>
                  <w:vAlign w:val="center"/>
                </w:tcPr>
                <w:p w14:paraId="6F97FF11">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75</w:t>
                  </w:r>
                </w:p>
              </w:tc>
              <w:tc>
                <w:tcPr>
                  <w:tcW w:w="638" w:type="dxa"/>
                  <w:vMerge w:val="continue"/>
                  <w:noWrap w:val="0"/>
                  <w:vAlign w:val="center"/>
                </w:tcPr>
                <w:p w14:paraId="1076289B">
                  <w:pPr>
                    <w:snapToGrid w:val="0"/>
                    <w:jc w:val="center"/>
                    <w:rPr>
                      <w:rFonts w:hint="eastAsia" w:ascii="Times New Roman" w:hAnsi="Times New Roman" w:eastAsia="宋体" w:cs="Times New Roman"/>
                      <w:color w:val="auto"/>
                      <w:sz w:val="18"/>
                      <w:szCs w:val="18"/>
                      <w:highlight w:val="none"/>
                    </w:rPr>
                  </w:pPr>
                </w:p>
              </w:tc>
              <w:tc>
                <w:tcPr>
                  <w:tcW w:w="501" w:type="dxa"/>
                  <w:noWrap w:val="0"/>
                  <w:vAlign w:val="center"/>
                </w:tcPr>
                <w:p w14:paraId="4A99090D">
                  <w:pPr>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3</w:t>
                  </w:r>
                  <w:r>
                    <w:rPr>
                      <w:rFonts w:hint="eastAsia" w:cs="Times New Roman"/>
                      <w:color w:val="auto"/>
                      <w:highlight w:val="none"/>
                      <w:lang w:val="en-US" w:eastAsia="zh-CN"/>
                    </w:rPr>
                    <w:t>7</w:t>
                  </w:r>
                </w:p>
              </w:tc>
              <w:tc>
                <w:tcPr>
                  <w:tcW w:w="623" w:type="dxa"/>
                  <w:noWrap w:val="0"/>
                  <w:vAlign w:val="center"/>
                </w:tcPr>
                <w:p w14:paraId="6F560A36">
                  <w:pPr>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7</w:t>
                  </w:r>
                  <w:r>
                    <w:rPr>
                      <w:rFonts w:hint="eastAsia" w:cs="Times New Roman"/>
                      <w:color w:val="auto"/>
                      <w:highlight w:val="none"/>
                      <w:lang w:val="en-US" w:eastAsia="zh-CN"/>
                    </w:rPr>
                    <w:t>5</w:t>
                  </w:r>
                </w:p>
              </w:tc>
              <w:tc>
                <w:tcPr>
                  <w:tcW w:w="520" w:type="dxa"/>
                  <w:noWrap w:val="0"/>
                  <w:vAlign w:val="center"/>
                </w:tcPr>
                <w:p w14:paraId="6160F678">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c>
                <w:tcPr>
                  <w:tcW w:w="625" w:type="dxa"/>
                  <w:noWrap w:val="0"/>
                  <w:vAlign w:val="center"/>
                </w:tcPr>
                <w:p w14:paraId="33674DA1">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c>
                <w:tcPr>
                  <w:tcW w:w="773" w:type="dxa"/>
                  <w:noWrap w:val="0"/>
                  <w:vAlign w:val="center"/>
                </w:tcPr>
                <w:p w14:paraId="1AC91CF8">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65</w:t>
                  </w:r>
                </w:p>
              </w:tc>
              <w:tc>
                <w:tcPr>
                  <w:tcW w:w="674" w:type="dxa"/>
                  <w:vMerge w:val="continue"/>
                  <w:noWrap w:val="0"/>
                  <w:vAlign w:val="center"/>
                </w:tcPr>
                <w:p w14:paraId="5632A750">
                  <w:pPr>
                    <w:numPr>
                      <w:ilvl w:val="0"/>
                      <w:numId w:val="0"/>
                    </w:numPr>
                    <w:adjustRightInd w:val="0"/>
                    <w:snapToGrid w:val="0"/>
                    <w:ind w:left="0" w:leftChars="0" w:firstLine="0" w:firstLineChars="0"/>
                    <w:jc w:val="center"/>
                    <w:textAlignment w:val="bottom"/>
                    <w:rPr>
                      <w:rFonts w:hint="eastAsia" w:ascii="Times New Roman" w:hAnsi="Times New Roman" w:eastAsia="宋体" w:cs="Times New Roman"/>
                      <w:color w:val="auto"/>
                      <w:sz w:val="18"/>
                      <w:szCs w:val="18"/>
                      <w:highlight w:val="none"/>
                    </w:rPr>
                  </w:pPr>
                </w:p>
              </w:tc>
              <w:tc>
                <w:tcPr>
                  <w:tcW w:w="844" w:type="dxa"/>
                  <w:noWrap w:val="0"/>
                  <w:vAlign w:val="center"/>
                </w:tcPr>
                <w:p w14:paraId="2BEB97F0">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25</w:t>
                  </w:r>
                </w:p>
              </w:tc>
              <w:tc>
                <w:tcPr>
                  <w:tcW w:w="843" w:type="dxa"/>
                  <w:noWrap w:val="0"/>
                  <w:vAlign w:val="center"/>
                </w:tcPr>
                <w:p w14:paraId="5DC3DDD6">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w:t>
                  </w:r>
                  <w:r>
                    <w:rPr>
                      <w:rFonts w:hint="eastAsia" w:cs="Times New Roman"/>
                      <w:color w:val="auto"/>
                      <w:highlight w:val="none"/>
                      <w:lang w:val="en-US" w:eastAsia="zh-CN"/>
                    </w:rPr>
                    <w:t>0</w:t>
                  </w:r>
                </w:p>
              </w:tc>
              <w:tc>
                <w:tcPr>
                  <w:tcW w:w="764" w:type="dxa"/>
                  <w:noWrap w:val="0"/>
                  <w:vAlign w:val="center"/>
                </w:tcPr>
                <w:p w14:paraId="2388D7F1">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r>
            <w:tr w14:paraId="13098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450" w:type="dxa"/>
                  <w:noWrap w:val="0"/>
                  <w:vAlign w:val="center"/>
                </w:tcPr>
                <w:p w14:paraId="23D33957">
                  <w:pPr>
                    <w:numPr>
                      <w:ilvl w:val="0"/>
                      <w:numId w:val="7"/>
                    </w:numPr>
                    <w:adjustRightInd w:val="0"/>
                    <w:snapToGrid w:val="0"/>
                    <w:ind w:left="425" w:leftChars="0" w:hanging="425" w:firstLineChars="0"/>
                    <w:jc w:val="center"/>
                    <w:textAlignment w:val="bottom"/>
                    <w:rPr>
                      <w:rFonts w:ascii="Times New Roman" w:hAnsi="Times New Roman" w:eastAsia="宋体" w:cs="Times New Roman"/>
                      <w:color w:val="auto"/>
                      <w:sz w:val="18"/>
                      <w:szCs w:val="18"/>
                      <w:highlight w:val="none"/>
                      <w:lang w:bidi="ar"/>
                    </w:rPr>
                  </w:pPr>
                </w:p>
              </w:tc>
              <w:tc>
                <w:tcPr>
                  <w:tcW w:w="773" w:type="dxa"/>
                  <w:vMerge w:val="continue"/>
                  <w:noWrap w:val="0"/>
                  <w:vAlign w:val="center"/>
                </w:tcPr>
                <w:p w14:paraId="1DC78A99">
                  <w:pPr>
                    <w:snapToGrid w:val="0"/>
                    <w:jc w:val="center"/>
                    <w:rPr>
                      <w:rFonts w:hint="eastAsia" w:ascii="Times New Roman" w:hAnsi="Times New Roman" w:eastAsia="宋体" w:cs="Times New Roman"/>
                      <w:color w:val="auto"/>
                      <w:sz w:val="18"/>
                      <w:szCs w:val="18"/>
                      <w:highlight w:val="none"/>
                    </w:rPr>
                  </w:pPr>
                </w:p>
              </w:tc>
              <w:tc>
                <w:tcPr>
                  <w:tcW w:w="1722" w:type="dxa"/>
                  <w:noWrap w:val="0"/>
                  <w:vAlign w:val="center"/>
                </w:tcPr>
                <w:p w14:paraId="24A38135">
                  <w:pPr>
                    <w:jc w:val="center"/>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highlight w:val="none"/>
                      <w:lang w:val="en-US" w:eastAsia="zh-CN"/>
                    </w:rPr>
                    <w:t>封边皮带输送机</w:t>
                  </w:r>
                </w:p>
              </w:tc>
              <w:tc>
                <w:tcPr>
                  <w:tcW w:w="1212" w:type="dxa"/>
                  <w:noWrap w:val="0"/>
                  <w:vAlign w:val="center"/>
                </w:tcPr>
                <w:p w14:paraId="51F7ECD6">
                  <w:pPr>
                    <w:jc w:val="center"/>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highlight w:val="none"/>
                      <w:lang w:val="en-US" w:eastAsia="zh-CN"/>
                    </w:rPr>
                    <w:t>1.2*10m</w:t>
                  </w:r>
                </w:p>
              </w:tc>
              <w:tc>
                <w:tcPr>
                  <w:tcW w:w="733" w:type="dxa"/>
                  <w:noWrap w:val="0"/>
                  <w:vAlign w:val="center"/>
                </w:tcPr>
                <w:p w14:paraId="3CA3615B">
                  <w:pPr>
                    <w:numPr>
                      <w:ilvl w:val="0"/>
                      <w:numId w:val="0"/>
                    </w:numPr>
                    <w:adjustRightInd w:val="0"/>
                    <w:snapToGrid w:val="0"/>
                    <w:ind w:left="0" w:leftChars="0" w:firstLine="0" w:firstLineChars="0"/>
                    <w:jc w:val="center"/>
                    <w:textAlignment w:val="bottom"/>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lang w:val="en-US" w:eastAsia="zh-CN" w:bidi="ar"/>
                    </w:rPr>
                    <w:t>/</w:t>
                  </w:r>
                </w:p>
              </w:tc>
              <w:tc>
                <w:tcPr>
                  <w:tcW w:w="761" w:type="dxa"/>
                  <w:noWrap w:val="0"/>
                  <w:vAlign w:val="center"/>
                </w:tcPr>
                <w:p w14:paraId="2344348A">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75</w:t>
                  </w:r>
                </w:p>
              </w:tc>
              <w:tc>
                <w:tcPr>
                  <w:tcW w:w="638" w:type="dxa"/>
                  <w:vMerge w:val="continue"/>
                  <w:noWrap w:val="0"/>
                  <w:vAlign w:val="center"/>
                </w:tcPr>
                <w:p w14:paraId="0B3C6F14">
                  <w:pPr>
                    <w:snapToGrid w:val="0"/>
                    <w:jc w:val="center"/>
                    <w:rPr>
                      <w:rFonts w:hint="eastAsia" w:ascii="Times New Roman" w:hAnsi="Times New Roman" w:eastAsia="宋体" w:cs="Times New Roman"/>
                      <w:color w:val="auto"/>
                      <w:sz w:val="18"/>
                      <w:szCs w:val="18"/>
                      <w:highlight w:val="none"/>
                    </w:rPr>
                  </w:pPr>
                </w:p>
              </w:tc>
              <w:tc>
                <w:tcPr>
                  <w:tcW w:w="501" w:type="dxa"/>
                  <w:noWrap w:val="0"/>
                  <w:vAlign w:val="center"/>
                </w:tcPr>
                <w:p w14:paraId="456F6DB3">
                  <w:pPr>
                    <w:jc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25</w:t>
                  </w:r>
                </w:p>
              </w:tc>
              <w:tc>
                <w:tcPr>
                  <w:tcW w:w="623" w:type="dxa"/>
                  <w:noWrap w:val="0"/>
                  <w:vAlign w:val="center"/>
                </w:tcPr>
                <w:p w14:paraId="73CF152C">
                  <w:pPr>
                    <w:jc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72</w:t>
                  </w:r>
                </w:p>
              </w:tc>
              <w:tc>
                <w:tcPr>
                  <w:tcW w:w="520" w:type="dxa"/>
                  <w:noWrap w:val="0"/>
                  <w:vAlign w:val="center"/>
                </w:tcPr>
                <w:p w14:paraId="7D81C618">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c>
                <w:tcPr>
                  <w:tcW w:w="625" w:type="dxa"/>
                  <w:noWrap w:val="0"/>
                  <w:vAlign w:val="center"/>
                </w:tcPr>
                <w:p w14:paraId="0999CEF7">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c>
                <w:tcPr>
                  <w:tcW w:w="773" w:type="dxa"/>
                  <w:noWrap w:val="0"/>
                  <w:vAlign w:val="center"/>
                </w:tcPr>
                <w:p w14:paraId="1FC1C1AB">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65</w:t>
                  </w:r>
                </w:p>
              </w:tc>
              <w:tc>
                <w:tcPr>
                  <w:tcW w:w="674" w:type="dxa"/>
                  <w:vMerge w:val="continue"/>
                  <w:noWrap w:val="0"/>
                  <w:vAlign w:val="center"/>
                </w:tcPr>
                <w:p w14:paraId="2EF28715">
                  <w:pPr>
                    <w:numPr>
                      <w:ilvl w:val="0"/>
                      <w:numId w:val="0"/>
                    </w:numPr>
                    <w:adjustRightInd w:val="0"/>
                    <w:snapToGrid w:val="0"/>
                    <w:ind w:left="0" w:leftChars="0" w:firstLine="0" w:firstLineChars="0"/>
                    <w:jc w:val="center"/>
                    <w:textAlignment w:val="bottom"/>
                    <w:rPr>
                      <w:rFonts w:hint="eastAsia" w:ascii="Times New Roman" w:hAnsi="Times New Roman" w:eastAsia="宋体" w:cs="Times New Roman"/>
                      <w:color w:val="auto"/>
                      <w:sz w:val="18"/>
                      <w:szCs w:val="18"/>
                      <w:highlight w:val="none"/>
                    </w:rPr>
                  </w:pPr>
                </w:p>
              </w:tc>
              <w:tc>
                <w:tcPr>
                  <w:tcW w:w="844" w:type="dxa"/>
                  <w:noWrap w:val="0"/>
                  <w:vAlign w:val="center"/>
                </w:tcPr>
                <w:p w14:paraId="48691FDC">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25</w:t>
                  </w:r>
                </w:p>
              </w:tc>
              <w:tc>
                <w:tcPr>
                  <w:tcW w:w="843" w:type="dxa"/>
                  <w:noWrap w:val="0"/>
                  <w:vAlign w:val="center"/>
                </w:tcPr>
                <w:p w14:paraId="6DAD6436">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w:t>
                  </w:r>
                  <w:r>
                    <w:rPr>
                      <w:rFonts w:hint="eastAsia" w:cs="Times New Roman"/>
                      <w:color w:val="auto"/>
                      <w:highlight w:val="none"/>
                      <w:lang w:val="en-US" w:eastAsia="zh-CN"/>
                    </w:rPr>
                    <w:t>0</w:t>
                  </w:r>
                </w:p>
              </w:tc>
              <w:tc>
                <w:tcPr>
                  <w:tcW w:w="764" w:type="dxa"/>
                  <w:noWrap w:val="0"/>
                  <w:vAlign w:val="center"/>
                </w:tcPr>
                <w:p w14:paraId="165FD6EB">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r>
            <w:tr w14:paraId="04575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450" w:type="dxa"/>
                  <w:noWrap w:val="0"/>
                  <w:vAlign w:val="center"/>
                </w:tcPr>
                <w:p w14:paraId="0194B026">
                  <w:pPr>
                    <w:numPr>
                      <w:ilvl w:val="0"/>
                      <w:numId w:val="7"/>
                    </w:numPr>
                    <w:adjustRightInd w:val="0"/>
                    <w:snapToGrid w:val="0"/>
                    <w:ind w:left="425" w:leftChars="0" w:hanging="425" w:firstLineChars="0"/>
                    <w:jc w:val="center"/>
                    <w:textAlignment w:val="bottom"/>
                    <w:rPr>
                      <w:rFonts w:ascii="Times New Roman" w:hAnsi="Times New Roman" w:eastAsia="宋体" w:cs="Times New Roman"/>
                      <w:color w:val="auto"/>
                      <w:sz w:val="18"/>
                      <w:szCs w:val="18"/>
                      <w:highlight w:val="none"/>
                      <w:lang w:bidi="ar"/>
                    </w:rPr>
                  </w:pPr>
                </w:p>
              </w:tc>
              <w:tc>
                <w:tcPr>
                  <w:tcW w:w="773" w:type="dxa"/>
                  <w:vMerge w:val="continue"/>
                  <w:noWrap w:val="0"/>
                  <w:vAlign w:val="center"/>
                </w:tcPr>
                <w:p w14:paraId="78817338">
                  <w:pPr>
                    <w:snapToGrid w:val="0"/>
                    <w:jc w:val="center"/>
                    <w:rPr>
                      <w:rFonts w:hint="eastAsia" w:ascii="Times New Roman" w:hAnsi="Times New Roman" w:eastAsia="宋体" w:cs="Times New Roman"/>
                      <w:color w:val="auto"/>
                      <w:sz w:val="18"/>
                      <w:szCs w:val="18"/>
                      <w:highlight w:val="none"/>
                    </w:rPr>
                  </w:pPr>
                </w:p>
              </w:tc>
              <w:tc>
                <w:tcPr>
                  <w:tcW w:w="1722" w:type="dxa"/>
                  <w:noWrap w:val="0"/>
                  <w:vAlign w:val="center"/>
                </w:tcPr>
                <w:p w14:paraId="14F58022">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封边皮带输送机</w:t>
                  </w:r>
                </w:p>
              </w:tc>
              <w:tc>
                <w:tcPr>
                  <w:tcW w:w="1212" w:type="dxa"/>
                  <w:noWrap w:val="0"/>
                  <w:vAlign w:val="center"/>
                </w:tcPr>
                <w:p w14:paraId="4ABA9ED2">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1.2*10m</w:t>
                  </w:r>
                </w:p>
              </w:tc>
              <w:tc>
                <w:tcPr>
                  <w:tcW w:w="733" w:type="dxa"/>
                  <w:noWrap w:val="0"/>
                  <w:vAlign w:val="center"/>
                </w:tcPr>
                <w:p w14:paraId="7B97E3AD">
                  <w:pPr>
                    <w:numPr>
                      <w:ilvl w:val="0"/>
                      <w:numId w:val="0"/>
                    </w:numPr>
                    <w:adjustRightInd w:val="0"/>
                    <w:snapToGrid w:val="0"/>
                    <w:ind w:left="0" w:leftChars="0" w:firstLine="0" w:firstLineChars="0"/>
                    <w:jc w:val="center"/>
                    <w:textAlignment w:val="bottom"/>
                    <w:rPr>
                      <w:rFonts w:hint="eastAsia" w:ascii="Times New Roman" w:hAnsi="Times New Roman" w:eastAsia="宋体" w:cs="Times New Roman"/>
                      <w:color w:val="auto"/>
                      <w:sz w:val="18"/>
                      <w:szCs w:val="18"/>
                      <w:highlight w:val="none"/>
                      <w:lang w:val="en-US" w:eastAsia="zh-CN" w:bidi="ar"/>
                    </w:rPr>
                  </w:pPr>
                  <w:r>
                    <w:rPr>
                      <w:rFonts w:hint="eastAsia" w:ascii="Times New Roman" w:hAnsi="Times New Roman" w:eastAsia="宋体" w:cs="Times New Roman"/>
                      <w:color w:val="auto"/>
                      <w:sz w:val="18"/>
                      <w:szCs w:val="18"/>
                      <w:highlight w:val="none"/>
                      <w:lang w:val="en-US" w:eastAsia="zh-CN" w:bidi="ar"/>
                    </w:rPr>
                    <w:t>/</w:t>
                  </w:r>
                </w:p>
              </w:tc>
              <w:tc>
                <w:tcPr>
                  <w:tcW w:w="761" w:type="dxa"/>
                  <w:noWrap w:val="0"/>
                  <w:vAlign w:val="center"/>
                </w:tcPr>
                <w:p w14:paraId="2FDCFE04">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75</w:t>
                  </w:r>
                </w:p>
              </w:tc>
              <w:tc>
                <w:tcPr>
                  <w:tcW w:w="638" w:type="dxa"/>
                  <w:vMerge w:val="continue"/>
                  <w:noWrap w:val="0"/>
                  <w:vAlign w:val="center"/>
                </w:tcPr>
                <w:p w14:paraId="41C945EE">
                  <w:pPr>
                    <w:snapToGrid w:val="0"/>
                    <w:jc w:val="center"/>
                    <w:rPr>
                      <w:rFonts w:hint="eastAsia" w:ascii="Times New Roman" w:hAnsi="Times New Roman" w:eastAsia="宋体" w:cs="Times New Roman"/>
                      <w:color w:val="auto"/>
                      <w:sz w:val="18"/>
                      <w:szCs w:val="18"/>
                      <w:highlight w:val="none"/>
                    </w:rPr>
                  </w:pPr>
                </w:p>
              </w:tc>
              <w:tc>
                <w:tcPr>
                  <w:tcW w:w="501" w:type="dxa"/>
                  <w:noWrap w:val="0"/>
                  <w:vAlign w:val="center"/>
                </w:tcPr>
                <w:p w14:paraId="3195BAFD">
                  <w:pPr>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33</w:t>
                  </w:r>
                </w:p>
              </w:tc>
              <w:tc>
                <w:tcPr>
                  <w:tcW w:w="623" w:type="dxa"/>
                  <w:noWrap w:val="0"/>
                  <w:vAlign w:val="center"/>
                </w:tcPr>
                <w:p w14:paraId="7C06F2E9">
                  <w:pPr>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7</w:t>
                  </w:r>
                  <w:r>
                    <w:rPr>
                      <w:rFonts w:hint="eastAsia" w:cs="Times New Roman"/>
                      <w:color w:val="auto"/>
                      <w:highlight w:val="none"/>
                      <w:lang w:val="en-US" w:eastAsia="zh-CN"/>
                    </w:rPr>
                    <w:t>5</w:t>
                  </w:r>
                </w:p>
              </w:tc>
              <w:tc>
                <w:tcPr>
                  <w:tcW w:w="520" w:type="dxa"/>
                  <w:noWrap w:val="0"/>
                  <w:vAlign w:val="center"/>
                </w:tcPr>
                <w:p w14:paraId="5BCF11B2">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c>
                <w:tcPr>
                  <w:tcW w:w="625" w:type="dxa"/>
                  <w:noWrap w:val="0"/>
                  <w:vAlign w:val="center"/>
                </w:tcPr>
                <w:p w14:paraId="27D8877F">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c>
                <w:tcPr>
                  <w:tcW w:w="773" w:type="dxa"/>
                  <w:noWrap w:val="0"/>
                  <w:vAlign w:val="center"/>
                </w:tcPr>
                <w:p w14:paraId="74893500">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65</w:t>
                  </w:r>
                </w:p>
              </w:tc>
              <w:tc>
                <w:tcPr>
                  <w:tcW w:w="674" w:type="dxa"/>
                  <w:vMerge w:val="continue"/>
                  <w:noWrap w:val="0"/>
                  <w:vAlign w:val="center"/>
                </w:tcPr>
                <w:p w14:paraId="6C5A6256">
                  <w:pPr>
                    <w:numPr>
                      <w:ilvl w:val="0"/>
                      <w:numId w:val="0"/>
                    </w:numPr>
                    <w:adjustRightInd w:val="0"/>
                    <w:snapToGrid w:val="0"/>
                    <w:ind w:left="0" w:leftChars="0" w:firstLine="0" w:firstLineChars="0"/>
                    <w:jc w:val="center"/>
                    <w:textAlignment w:val="bottom"/>
                    <w:rPr>
                      <w:rFonts w:hint="eastAsia" w:ascii="Times New Roman" w:hAnsi="Times New Roman" w:eastAsia="宋体" w:cs="Times New Roman"/>
                      <w:color w:val="auto"/>
                      <w:sz w:val="18"/>
                      <w:szCs w:val="18"/>
                      <w:highlight w:val="none"/>
                    </w:rPr>
                  </w:pPr>
                </w:p>
              </w:tc>
              <w:tc>
                <w:tcPr>
                  <w:tcW w:w="844" w:type="dxa"/>
                  <w:noWrap w:val="0"/>
                  <w:vAlign w:val="center"/>
                </w:tcPr>
                <w:p w14:paraId="037ED4F1">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25</w:t>
                  </w:r>
                </w:p>
              </w:tc>
              <w:tc>
                <w:tcPr>
                  <w:tcW w:w="843" w:type="dxa"/>
                  <w:noWrap w:val="0"/>
                  <w:vAlign w:val="center"/>
                </w:tcPr>
                <w:p w14:paraId="28FF1E55">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w:t>
                  </w:r>
                  <w:r>
                    <w:rPr>
                      <w:rFonts w:hint="eastAsia" w:cs="Times New Roman"/>
                      <w:color w:val="auto"/>
                      <w:highlight w:val="none"/>
                      <w:lang w:val="en-US" w:eastAsia="zh-CN"/>
                    </w:rPr>
                    <w:t>0</w:t>
                  </w:r>
                </w:p>
              </w:tc>
              <w:tc>
                <w:tcPr>
                  <w:tcW w:w="764" w:type="dxa"/>
                  <w:noWrap w:val="0"/>
                  <w:vAlign w:val="center"/>
                </w:tcPr>
                <w:p w14:paraId="7BCEC6DA">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r>
            <w:tr w14:paraId="24853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450" w:type="dxa"/>
                  <w:noWrap w:val="0"/>
                  <w:vAlign w:val="center"/>
                </w:tcPr>
                <w:p w14:paraId="6A9FF28A">
                  <w:pPr>
                    <w:numPr>
                      <w:ilvl w:val="0"/>
                      <w:numId w:val="7"/>
                    </w:numPr>
                    <w:adjustRightInd w:val="0"/>
                    <w:snapToGrid w:val="0"/>
                    <w:ind w:left="425" w:leftChars="0" w:hanging="425" w:firstLineChars="0"/>
                    <w:jc w:val="center"/>
                    <w:textAlignment w:val="bottom"/>
                    <w:rPr>
                      <w:rFonts w:ascii="Times New Roman" w:hAnsi="Times New Roman" w:eastAsia="宋体" w:cs="Times New Roman"/>
                      <w:color w:val="auto"/>
                      <w:sz w:val="18"/>
                      <w:szCs w:val="18"/>
                      <w:highlight w:val="none"/>
                      <w:lang w:bidi="ar"/>
                    </w:rPr>
                  </w:pPr>
                </w:p>
              </w:tc>
              <w:tc>
                <w:tcPr>
                  <w:tcW w:w="773" w:type="dxa"/>
                  <w:vMerge w:val="continue"/>
                  <w:noWrap w:val="0"/>
                  <w:vAlign w:val="center"/>
                </w:tcPr>
                <w:p w14:paraId="00824FD7">
                  <w:pPr>
                    <w:snapToGrid w:val="0"/>
                    <w:jc w:val="center"/>
                    <w:rPr>
                      <w:rFonts w:hint="eastAsia" w:ascii="Times New Roman" w:hAnsi="Times New Roman" w:eastAsia="宋体" w:cs="Times New Roman"/>
                      <w:color w:val="auto"/>
                      <w:sz w:val="18"/>
                      <w:szCs w:val="18"/>
                      <w:highlight w:val="none"/>
                    </w:rPr>
                  </w:pPr>
                </w:p>
              </w:tc>
              <w:tc>
                <w:tcPr>
                  <w:tcW w:w="1722" w:type="dxa"/>
                  <w:noWrap w:val="0"/>
                  <w:vAlign w:val="center"/>
                </w:tcPr>
                <w:p w14:paraId="4C11F22B">
                  <w:pPr>
                    <w:jc w:val="center"/>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highlight w:val="none"/>
                      <w:lang w:val="en-US" w:eastAsia="zh-CN"/>
                    </w:rPr>
                    <w:t>高效木屑粉碎机</w:t>
                  </w:r>
                </w:p>
              </w:tc>
              <w:tc>
                <w:tcPr>
                  <w:tcW w:w="1212" w:type="dxa"/>
                  <w:noWrap w:val="0"/>
                  <w:vAlign w:val="center"/>
                </w:tcPr>
                <w:p w14:paraId="28261CF5">
                  <w:pPr>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highlight w:val="none"/>
                      <w:lang w:val="en-US" w:eastAsia="zh-CN"/>
                    </w:rPr>
                    <w:t>1200*1600</w:t>
                  </w:r>
                </w:p>
              </w:tc>
              <w:tc>
                <w:tcPr>
                  <w:tcW w:w="733" w:type="dxa"/>
                  <w:noWrap w:val="0"/>
                  <w:vAlign w:val="center"/>
                </w:tcPr>
                <w:p w14:paraId="66B82657">
                  <w:pPr>
                    <w:numPr>
                      <w:ilvl w:val="0"/>
                      <w:numId w:val="0"/>
                    </w:numPr>
                    <w:adjustRightInd w:val="0"/>
                    <w:snapToGrid w:val="0"/>
                    <w:ind w:left="0" w:leftChars="0" w:firstLine="0" w:firstLineChars="0"/>
                    <w:jc w:val="center"/>
                    <w:textAlignment w:val="bottom"/>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bidi="ar"/>
                    </w:rPr>
                    <w:t>/</w:t>
                  </w:r>
                </w:p>
              </w:tc>
              <w:tc>
                <w:tcPr>
                  <w:tcW w:w="761" w:type="dxa"/>
                  <w:noWrap w:val="0"/>
                  <w:vAlign w:val="center"/>
                </w:tcPr>
                <w:p w14:paraId="2BEAF124">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70</w:t>
                  </w:r>
                </w:p>
              </w:tc>
              <w:tc>
                <w:tcPr>
                  <w:tcW w:w="638" w:type="dxa"/>
                  <w:vMerge w:val="continue"/>
                  <w:noWrap w:val="0"/>
                  <w:vAlign w:val="center"/>
                </w:tcPr>
                <w:p w14:paraId="4E72363A">
                  <w:pPr>
                    <w:snapToGrid w:val="0"/>
                    <w:jc w:val="center"/>
                    <w:rPr>
                      <w:rFonts w:ascii="Times New Roman" w:hAnsi="Times New Roman" w:eastAsia="宋体" w:cs="Times New Roman"/>
                      <w:color w:val="auto"/>
                      <w:sz w:val="18"/>
                      <w:szCs w:val="18"/>
                      <w:highlight w:val="none"/>
                    </w:rPr>
                  </w:pPr>
                </w:p>
              </w:tc>
              <w:tc>
                <w:tcPr>
                  <w:tcW w:w="501" w:type="dxa"/>
                  <w:noWrap w:val="0"/>
                  <w:vAlign w:val="center"/>
                </w:tcPr>
                <w:p w14:paraId="1A1D5D86">
                  <w:pPr>
                    <w:jc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28</w:t>
                  </w:r>
                </w:p>
              </w:tc>
              <w:tc>
                <w:tcPr>
                  <w:tcW w:w="623" w:type="dxa"/>
                  <w:noWrap w:val="0"/>
                  <w:vAlign w:val="center"/>
                </w:tcPr>
                <w:p w14:paraId="7AA3F48D">
                  <w:pPr>
                    <w:jc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68</w:t>
                  </w:r>
                </w:p>
              </w:tc>
              <w:tc>
                <w:tcPr>
                  <w:tcW w:w="520" w:type="dxa"/>
                  <w:noWrap w:val="0"/>
                  <w:vAlign w:val="center"/>
                </w:tcPr>
                <w:p w14:paraId="3F662702">
                  <w:pPr>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1.3</w:t>
                  </w:r>
                </w:p>
              </w:tc>
              <w:tc>
                <w:tcPr>
                  <w:tcW w:w="625" w:type="dxa"/>
                  <w:noWrap w:val="0"/>
                  <w:vAlign w:val="center"/>
                </w:tcPr>
                <w:p w14:paraId="61E9FB32">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c>
                <w:tcPr>
                  <w:tcW w:w="773" w:type="dxa"/>
                  <w:noWrap w:val="0"/>
                  <w:vAlign w:val="center"/>
                </w:tcPr>
                <w:p w14:paraId="4DB37B0F">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60</w:t>
                  </w:r>
                </w:p>
              </w:tc>
              <w:tc>
                <w:tcPr>
                  <w:tcW w:w="674" w:type="dxa"/>
                  <w:vMerge w:val="continue"/>
                  <w:noWrap w:val="0"/>
                  <w:vAlign w:val="center"/>
                </w:tcPr>
                <w:p w14:paraId="3B12775B">
                  <w:pPr>
                    <w:numPr>
                      <w:ilvl w:val="0"/>
                      <w:numId w:val="0"/>
                    </w:numPr>
                    <w:adjustRightInd w:val="0"/>
                    <w:snapToGrid w:val="0"/>
                    <w:ind w:left="0" w:leftChars="0" w:firstLine="0" w:firstLineChars="0"/>
                    <w:jc w:val="center"/>
                    <w:textAlignment w:val="bottom"/>
                    <w:rPr>
                      <w:rFonts w:hint="eastAsia" w:ascii="Times New Roman" w:hAnsi="Times New Roman" w:eastAsia="宋体" w:cs="Times New Roman"/>
                      <w:color w:val="auto"/>
                      <w:sz w:val="18"/>
                      <w:szCs w:val="18"/>
                      <w:highlight w:val="none"/>
                    </w:rPr>
                  </w:pPr>
                </w:p>
              </w:tc>
              <w:tc>
                <w:tcPr>
                  <w:tcW w:w="844" w:type="dxa"/>
                  <w:noWrap w:val="0"/>
                  <w:vAlign w:val="center"/>
                </w:tcPr>
                <w:p w14:paraId="2C3EDBD5">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25</w:t>
                  </w:r>
                </w:p>
              </w:tc>
              <w:tc>
                <w:tcPr>
                  <w:tcW w:w="843" w:type="dxa"/>
                  <w:noWrap w:val="0"/>
                  <w:vAlign w:val="center"/>
                </w:tcPr>
                <w:p w14:paraId="462CA508">
                  <w:pPr>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35</w:t>
                  </w:r>
                </w:p>
              </w:tc>
              <w:tc>
                <w:tcPr>
                  <w:tcW w:w="764" w:type="dxa"/>
                  <w:noWrap w:val="0"/>
                  <w:vAlign w:val="center"/>
                </w:tcPr>
                <w:p w14:paraId="1223220D">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r>
            <w:tr w14:paraId="6E58C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450" w:type="dxa"/>
                  <w:noWrap w:val="0"/>
                  <w:vAlign w:val="center"/>
                </w:tcPr>
                <w:p w14:paraId="038ADC55">
                  <w:pPr>
                    <w:numPr>
                      <w:ilvl w:val="0"/>
                      <w:numId w:val="7"/>
                    </w:numPr>
                    <w:adjustRightInd w:val="0"/>
                    <w:snapToGrid w:val="0"/>
                    <w:ind w:left="425" w:leftChars="0" w:hanging="425" w:firstLineChars="0"/>
                    <w:jc w:val="center"/>
                    <w:textAlignment w:val="bottom"/>
                    <w:rPr>
                      <w:rFonts w:ascii="Times New Roman" w:hAnsi="Times New Roman" w:eastAsia="宋体" w:cs="Times New Roman"/>
                      <w:color w:val="auto"/>
                      <w:sz w:val="18"/>
                      <w:szCs w:val="18"/>
                      <w:highlight w:val="none"/>
                      <w:lang w:bidi="ar"/>
                    </w:rPr>
                  </w:pPr>
                </w:p>
              </w:tc>
              <w:tc>
                <w:tcPr>
                  <w:tcW w:w="773" w:type="dxa"/>
                  <w:vMerge w:val="continue"/>
                  <w:noWrap w:val="0"/>
                  <w:vAlign w:val="center"/>
                </w:tcPr>
                <w:p w14:paraId="6B142497">
                  <w:pPr>
                    <w:snapToGrid w:val="0"/>
                    <w:jc w:val="center"/>
                    <w:rPr>
                      <w:rFonts w:hint="eastAsia" w:ascii="Times New Roman" w:hAnsi="Times New Roman" w:eastAsia="宋体" w:cs="Times New Roman"/>
                      <w:color w:val="auto"/>
                      <w:sz w:val="18"/>
                      <w:szCs w:val="18"/>
                      <w:highlight w:val="none"/>
                    </w:rPr>
                  </w:pPr>
                </w:p>
              </w:tc>
              <w:tc>
                <w:tcPr>
                  <w:tcW w:w="1722" w:type="dxa"/>
                  <w:noWrap w:val="0"/>
                  <w:vAlign w:val="center"/>
                </w:tcPr>
                <w:p w14:paraId="632A83E3">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高效木屑粉碎机</w:t>
                  </w:r>
                </w:p>
              </w:tc>
              <w:tc>
                <w:tcPr>
                  <w:tcW w:w="1212" w:type="dxa"/>
                  <w:noWrap w:val="0"/>
                  <w:vAlign w:val="center"/>
                </w:tcPr>
                <w:p w14:paraId="6258FF00">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1200*1600</w:t>
                  </w:r>
                </w:p>
              </w:tc>
              <w:tc>
                <w:tcPr>
                  <w:tcW w:w="733" w:type="dxa"/>
                  <w:noWrap w:val="0"/>
                  <w:vAlign w:val="center"/>
                </w:tcPr>
                <w:p w14:paraId="18403738">
                  <w:pPr>
                    <w:numPr>
                      <w:ilvl w:val="0"/>
                      <w:numId w:val="0"/>
                    </w:numPr>
                    <w:adjustRightInd w:val="0"/>
                    <w:snapToGrid w:val="0"/>
                    <w:ind w:left="0" w:leftChars="0" w:firstLine="0" w:firstLineChars="0"/>
                    <w:jc w:val="center"/>
                    <w:textAlignment w:val="bottom"/>
                    <w:rPr>
                      <w:rFonts w:hint="eastAsia" w:ascii="Times New Roman" w:hAnsi="Times New Roman" w:eastAsia="宋体" w:cs="Times New Roman"/>
                      <w:color w:val="auto"/>
                      <w:sz w:val="18"/>
                      <w:szCs w:val="18"/>
                      <w:highlight w:val="none"/>
                      <w:lang w:val="en-US" w:eastAsia="zh-CN" w:bidi="ar"/>
                    </w:rPr>
                  </w:pPr>
                  <w:r>
                    <w:rPr>
                      <w:rFonts w:hint="eastAsia" w:ascii="Times New Roman" w:hAnsi="Times New Roman" w:eastAsia="宋体" w:cs="Times New Roman"/>
                      <w:color w:val="auto"/>
                      <w:sz w:val="18"/>
                      <w:szCs w:val="18"/>
                      <w:highlight w:val="none"/>
                      <w:lang w:val="en-US" w:eastAsia="zh-CN" w:bidi="ar"/>
                    </w:rPr>
                    <w:t>/</w:t>
                  </w:r>
                </w:p>
              </w:tc>
              <w:tc>
                <w:tcPr>
                  <w:tcW w:w="761" w:type="dxa"/>
                  <w:noWrap w:val="0"/>
                  <w:vAlign w:val="center"/>
                </w:tcPr>
                <w:p w14:paraId="7742A615">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70</w:t>
                  </w:r>
                </w:p>
              </w:tc>
              <w:tc>
                <w:tcPr>
                  <w:tcW w:w="638" w:type="dxa"/>
                  <w:vMerge w:val="continue"/>
                  <w:noWrap w:val="0"/>
                  <w:vAlign w:val="center"/>
                </w:tcPr>
                <w:p w14:paraId="13B1D2E3">
                  <w:pPr>
                    <w:snapToGrid w:val="0"/>
                    <w:jc w:val="center"/>
                    <w:rPr>
                      <w:rFonts w:ascii="Times New Roman" w:hAnsi="Times New Roman" w:eastAsia="宋体" w:cs="Times New Roman"/>
                      <w:color w:val="auto"/>
                      <w:sz w:val="18"/>
                      <w:szCs w:val="18"/>
                      <w:highlight w:val="none"/>
                    </w:rPr>
                  </w:pPr>
                </w:p>
              </w:tc>
              <w:tc>
                <w:tcPr>
                  <w:tcW w:w="501" w:type="dxa"/>
                  <w:noWrap w:val="0"/>
                  <w:vAlign w:val="center"/>
                </w:tcPr>
                <w:p w14:paraId="6EF0E1B5">
                  <w:pPr>
                    <w:jc w:val="center"/>
                    <w:rPr>
                      <w:rFonts w:hint="eastAsia" w:ascii="Times New Roman" w:hAnsi="Times New Roman" w:cs="Times New Roman"/>
                      <w:color w:val="auto"/>
                      <w:highlight w:val="none"/>
                      <w:lang w:val="en-US" w:eastAsia="zh-CN"/>
                    </w:rPr>
                  </w:pPr>
                  <w:r>
                    <w:rPr>
                      <w:rFonts w:hint="eastAsia" w:cs="Times New Roman"/>
                      <w:color w:val="auto"/>
                      <w:highlight w:val="none"/>
                      <w:lang w:val="en-US" w:eastAsia="zh-CN"/>
                    </w:rPr>
                    <w:t>3</w:t>
                  </w:r>
                  <w:r>
                    <w:rPr>
                      <w:rFonts w:hint="eastAsia" w:ascii="Times New Roman" w:hAnsi="Times New Roman" w:cs="Times New Roman"/>
                      <w:color w:val="auto"/>
                      <w:highlight w:val="none"/>
                      <w:lang w:val="en-US" w:eastAsia="zh-CN"/>
                    </w:rPr>
                    <w:t>8</w:t>
                  </w:r>
                </w:p>
              </w:tc>
              <w:tc>
                <w:tcPr>
                  <w:tcW w:w="623" w:type="dxa"/>
                  <w:noWrap w:val="0"/>
                  <w:vAlign w:val="center"/>
                </w:tcPr>
                <w:p w14:paraId="16C4A288">
                  <w:pPr>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70</w:t>
                  </w:r>
                </w:p>
              </w:tc>
              <w:tc>
                <w:tcPr>
                  <w:tcW w:w="520" w:type="dxa"/>
                  <w:noWrap w:val="0"/>
                  <w:vAlign w:val="center"/>
                </w:tcPr>
                <w:p w14:paraId="3E429E49">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1.3</w:t>
                  </w:r>
                </w:p>
              </w:tc>
              <w:tc>
                <w:tcPr>
                  <w:tcW w:w="625" w:type="dxa"/>
                  <w:noWrap w:val="0"/>
                  <w:vAlign w:val="center"/>
                </w:tcPr>
                <w:p w14:paraId="067F118E">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c>
                <w:tcPr>
                  <w:tcW w:w="773" w:type="dxa"/>
                  <w:noWrap w:val="0"/>
                  <w:vAlign w:val="center"/>
                </w:tcPr>
                <w:p w14:paraId="1FC4038F">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60</w:t>
                  </w:r>
                </w:p>
              </w:tc>
              <w:tc>
                <w:tcPr>
                  <w:tcW w:w="674" w:type="dxa"/>
                  <w:vMerge w:val="continue"/>
                  <w:noWrap w:val="0"/>
                  <w:vAlign w:val="center"/>
                </w:tcPr>
                <w:p w14:paraId="7488130B">
                  <w:pPr>
                    <w:numPr>
                      <w:ilvl w:val="0"/>
                      <w:numId w:val="0"/>
                    </w:numPr>
                    <w:adjustRightInd w:val="0"/>
                    <w:snapToGrid w:val="0"/>
                    <w:ind w:left="0" w:leftChars="0" w:firstLine="0" w:firstLineChars="0"/>
                    <w:jc w:val="center"/>
                    <w:textAlignment w:val="bottom"/>
                    <w:rPr>
                      <w:rFonts w:hint="eastAsia" w:ascii="Times New Roman" w:hAnsi="Times New Roman" w:eastAsia="宋体" w:cs="Times New Roman"/>
                      <w:color w:val="auto"/>
                      <w:sz w:val="18"/>
                      <w:szCs w:val="18"/>
                      <w:highlight w:val="none"/>
                    </w:rPr>
                  </w:pPr>
                </w:p>
              </w:tc>
              <w:tc>
                <w:tcPr>
                  <w:tcW w:w="844" w:type="dxa"/>
                  <w:noWrap w:val="0"/>
                  <w:vAlign w:val="center"/>
                </w:tcPr>
                <w:p w14:paraId="05332587">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25</w:t>
                  </w:r>
                </w:p>
              </w:tc>
              <w:tc>
                <w:tcPr>
                  <w:tcW w:w="843" w:type="dxa"/>
                  <w:noWrap w:val="0"/>
                  <w:vAlign w:val="center"/>
                </w:tcPr>
                <w:p w14:paraId="6682A2D4">
                  <w:pPr>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35</w:t>
                  </w:r>
                </w:p>
              </w:tc>
              <w:tc>
                <w:tcPr>
                  <w:tcW w:w="764" w:type="dxa"/>
                  <w:noWrap w:val="0"/>
                  <w:vAlign w:val="center"/>
                </w:tcPr>
                <w:p w14:paraId="3C00D89D">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r>
            <w:tr w14:paraId="518BC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450" w:type="dxa"/>
                  <w:noWrap w:val="0"/>
                  <w:vAlign w:val="center"/>
                </w:tcPr>
                <w:p w14:paraId="2410C138">
                  <w:pPr>
                    <w:numPr>
                      <w:ilvl w:val="0"/>
                      <w:numId w:val="7"/>
                    </w:numPr>
                    <w:adjustRightInd w:val="0"/>
                    <w:snapToGrid w:val="0"/>
                    <w:ind w:left="425" w:leftChars="0" w:hanging="425" w:firstLineChars="0"/>
                    <w:jc w:val="center"/>
                    <w:textAlignment w:val="bottom"/>
                    <w:rPr>
                      <w:rFonts w:ascii="Times New Roman" w:hAnsi="Times New Roman" w:eastAsia="宋体" w:cs="Times New Roman"/>
                      <w:color w:val="auto"/>
                      <w:sz w:val="18"/>
                      <w:szCs w:val="18"/>
                      <w:highlight w:val="none"/>
                      <w:lang w:bidi="ar"/>
                    </w:rPr>
                  </w:pPr>
                </w:p>
              </w:tc>
              <w:tc>
                <w:tcPr>
                  <w:tcW w:w="773" w:type="dxa"/>
                  <w:vMerge w:val="continue"/>
                  <w:noWrap w:val="0"/>
                  <w:vAlign w:val="center"/>
                </w:tcPr>
                <w:p w14:paraId="374BA47C">
                  <w:pPr>
                    <w:snapToGrid w:val="0"/>
                    <w:jc w:val="center"/>
                    <w:rPr>
                      <w:rFonts w:hint="eastAsia" w:ascii="Times New Roman" w:hAnsi="Times New Roman" w:eastAsia="宋体" w:cs="Times New Roman"/>
                      <w:color w:val="auto"/>
                      <w:sz w:val="18"/>
                      <w:szCs w:val="18"/>
                      <w:highlight w:val="none"/>
                    </w:rPr>
                  </w:pPr>
                </w:p>
              </w:tc>
              <w:tc>
                <w:tcPr>
                  <w:tcW w:w="1722" w:type="dxa"/>
                  <w:noWrap w:val="0"/>
                  <w:vAlign w:val="center"/>
                </w:tcPr>
                <w:p w14:paraId="3CF95CC0">
                  <w:pPr>
                    <w:jc w:val="center"/>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highlight w:val="none"/>
                      <w:lang w:val="en-US" w:eastAsia="zh-CN"/>
                    </w:rPr>
                    <w:t>双绞辊出料</w:t>
                  </w:r>
                </w:p>
              </w:tc>
              <w:tc>
                <w:tcPr>
                  <w:tcW w:w="1212" w:type="dxa"/>
                  <w:noWrap w:val="0"/>
                  <w:vAlign w:val="center"/>
                </w:tcPr>
                <w:p w14:paraId="2FB7F6A1">
                  <w:pPr>
                    <w:jc w:val="center"/>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highlight w:val="none"/>
                      <w:lang w:val="en-US" w:eastAsia="zh-CN"/>
                    </w:rPr>
                    <w:t>273</w:t>
                  </w:r>
                </w:p>
              </w:tc>
              <w:tc>
                <w:tcPr>
                  <w:tcW w:w="733" w:type="dxa"/>
                  <w:noWrap w:val="0"/>
                  <w:vAlign w:val="center"/>
                </w:tcPr>
                <w:p w14:paraId="28ED82D0">
                  <w:pPr>
                    <w:numPr>
                      <w:ilvl w:val="0"/>
                      <w:numId w:val="0"/>
                    </w:numPr>
                    <w:adjustRightInd w:val="0"/>
                    <w:snapToGrid w:val="0"/>
                    <w:ind w:left="0" w:leftChars="0" w:firstLine="0" w:firstLineChars="0"/>
                    <w:jc w:val="center"/>
                    <w:textAlignment w:val="bottom"/>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lang w:val="en-US" w:eastAsia="zh-CN" w:bidi="ar"/>
                    </w:rPr>
                    <w:t>/</w:t>
                  </w:r>
                </w:p>
              </w:tc>
              <w:tc>
                <w:tcPr>
                  <w:tcW w:w="761" w:type="dxa"/>
                  <w:noWrap w:val="0"/>
                  <w:vAlign w:val="center"/>
                </w:tcPr>
                <w:p w14:paraId="6FEE62CD">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73</w:t>
                  </w:r>
                </w:p>
              </w:tc>
              <w:tc>
                <w:tcPr>
                  <w:tcW w:w="638" w:type="dxa"/>
                  <w:vMerge w:val="continue"/>
                  <w:noWrap w:val="0"/>
                  <w:vAlign w:val="center"/>
                </w:tcPr>
                <w:p w14:paraId="298C268D">
                  <w:pPr>
                    <w:snapToGrid w:val="0"/>
                    <w:jc w:val="center"/>
                    <w:rPr>
                      <w:rFonts w:hint="eastAsia" w:ascii="Times New Roman" w:hAnsi="Times New Roman" w:eastAsia="宋体" w:cs="Times New Roman"/>
                      <w:color w:val="auto"/>
                      <w:sz w:val="18"/>
                      <w:szCs w:val="18"/>
                      <w:highlight w:val="none"/>
                    </w:rPr>
                  </w:pPr>
                </w:p>
              </w:tc>
              <w:tc>
                <w:tcPr>
                  <w:tcW w:w="501" w:type="dxa"/>
                  <w:noWrap w:val="0"/>
                  <w:vAlign w:val="center"/>
                </w:tcPr>
                <w:p w14:paraId="4D7B9290">
                  <w:pPr>
                    <w:jc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25</w:t>
                  </w:r>
                </w:p>
              </w:tc>
              <w:tc>
                <w:tcPr>
                  <w:tcW w:w="623" w:type="dxa"/>
                  <w:noWrap w:val="0"/>
                  <w:vAlign w:val="center"/>
                </w:tcPr>
                <w:p w14:paraId="3D37AB7D">
                  <w:pPr>
                    <w:jc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65</w:t>
                  </w:r>
                </w:p>
              </w:tc>
              <w:tc>
                <w:tcPr>
                  <w:tcW w:w="520" w:type="dxa"/>
                  <w:noWrap w:val="0"/>
                  <w:vAlign w:val="center"/>
                </w:tcPr>
                <w:p w14:paraId="51E5AF5B">
                  <w:pPr>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c>
                <w:tcPr>
                  <w:tcW w:w="625" w:type="dxa"/>
                  <w:noWrap w:val="0"/>
                  <w:vAlign w:val="center"/>
                </w:tcPr>
                <w:p w14:paraId="3D9597F2">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c>
                <w:tcPr>
                  <w:tcW w:w="773" w:type="dxa"/>
                  <w:noWrap w:val="0"/>
                  <w:vAlign w:val="center"/>
                </w:tcPr>
                <w:p w14:paraId="0813D0FB">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63</w:t>
                  </w:r>
                </w:p>
              </w:tc>
              <w:tc>
                <w:tcPr>
                  <w:tcW w:w="674" w:type="dxa"/>
                  <w:vMerge w:val="continue"/>
                  <w:noWrap w:val="0"/>
                  <w:vAlign w:val="center"/>
                </w:tcPr>
                <w:p w14:paraId="713FD449">
                  <w:pPr>
                    <w:numPr>
                      <w:ilvl w:val="0"/>
                      <w:numId w:val="0"/>
                    </w:numPr>
                    <w:adjustRightInd w:val="0"/>
                    <w:snapToGrid w:val="0"/>
                    <w:ind w:left="0" w:leftChars="0" w:firstLine="0" w:firstLineChars="0"/>
                    <w:jc w:val="center"/>
                    <w:textAlignment w:val="bottom"/>
                    <w:rPr>
                      <w:rFonts w:hint="eastAsia" w:ascii="Times New Roman" w:hAnsi="Times New Roman" w:eastAsia="宋体" w:cs="Times New Roman"/>
                      <w:color w:val="auto"/>
                      <w:sz w:val="18"/>
                      <w:szCs w:val="18"/>
                      <w:highlight w:val="none"/>
                    </w:rPr>
                  </w:pPr>
                </w:p>
              </w:tc>
              <w:tc>
                <w:tcPr>
                  <w:tcW w:w="844" w:type="dxa"/>
                  <w:noWrap w:val="0"/>
                  <w:vAlign w:val="center"/>
                </w:tcPr>
                <w:p w14:paraId="0CEACB96">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25</w:t>
                  </w:r>
                </w:p>
              </w:tc>
              <w:tc>
                <w:tcPr>
                  <w:tcW w:w="843" w:type="dxa"/>
                  <w:noWrap w:val="0"/>
                  <w:vAlign w:val="center"/>
                </w:tcPr>
                <w:p w14:paraId="0693C023">
                  <w:pPr>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38</w:t>
                  </w:r>
                </w:p>
              </w:tc>
              <w:tc>
                <w:tcPr>
                  <w:tcW w:w="764" w:type="dxa"/>
                  <w:noWrap w:val="0"/>
                  <w:vAlign w:val="center"/>
                </w:tcPr>
                <w:p w14:paraId="49E694B5">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r>
            <w:tr w14:paraId="62D91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450" w:type="dxa"/>
                  <w:noWrap w:val="0"/>
                  <w:vAlign w:val="center"/>
                </w:tcPr>
                <w:p w14:paraId="7C4E47C8">
                  <w:pPr>
                    <w:numPr>
                      <w:ilvl w:val="0"/>
                      <w:numId w:val="7"/>
                    </w:numPr>
                    <w:adjustRightInd w:val="0"/>
                    <w:snapToGrid w:val="0"/>
                    <w:ind w:left="425" w:leftChars="0" w:hanging="425" w:firstLineChars="0"/>
                    <w:jc w:val="center"/>
                    <w:textAlignment w:val="bottom"/>
                    <w:rPr>
                      <w:rFonts w:ascii="Times New Roman" w:hAnsi="Times New Roman" w:eastAsia="宋体" w:cs="Times New Roman"/>
                      <w:color w:val="auto"/>
                      <w:sz w:val="18"/>
                      <w:szCs w:val="18"/>
                      <w:highlight w:val="none"/>
                      <w:lang w:bidi="ar"/>
                    </w:rPr>
                  </w:pPr>
                </w:p>
              </w:tc>
              <w:tc>
                <w:tcPr>
                  <w:tcW w:w="773" w:type="dxa"/>
                  <w:vMerge w:val="continue"/>
                  <w:noWrap w:val="0"/>
                  <w:vAlign w:val="center"/>
                </w:tcPr>
                <w:p w14:paraId="4393F510">
                  <w:pPr>
                    <w:snapToGrid w:val="0"/>
                    <w:jc w:val="center"/>
                    <w:rPr>
                      <w:rFonts w:hint="eastAsia" w:ascii="Times New Roman" w:hAnsi="Times New Roman" w:eastAsia="宋体" w:cs="Times New Roman"/>
                      <w:color w:val="auto"/>
                      <w:sz w:val="18"/>
                      <w:szCs w:val="18"/>
                      <w:highlight w:val="none"/>
                    </w:rPr>
                  </w:pPr>
                </w:p>
              </w:tc>
              <w:tc>
                <w:tcPr>
                  <w:tcW w:w="1722" w:type="dxa"/>
                  <w:noWrap w:val="0"/>
                  <w:vAlign w:val="center"/>
                </w:tcPr>
                <w:p w14:paraId="16B9D13C">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双绞辊出料</w:t>
                  </w:r>
                </w:p>
              </w:tc>
              <w:tc>
                <w:tcPr>
                  <w:tcW w:w="1212" w:type="dxa"/>
                  <w:noWrap w:val="0"/>
                  <w:vAlign w:val="center"/>
                </w:tcPr>
                <w:p w14:paraId="240A4AF5">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273</w:t>
                  </w:r>
                </w:p>
              </w:tc>
              <w:tc>
                <w:tcPr>
                  <w:tcW w:w="733" w:type="dxa"/>
                  <w:noWrap w:val="0"/>
                  <w:vAlign w:val="center"/>
                </w:tcPr>
                <w:p w14:paraId="0160116A">
                  <w:pPr>
                    <w:numPr>
                      <w:ilvl w:val="0"/>
                      <w:numId w:val="0"/>
                    </w:numPr>
                    <w:adjustRightInd w:val="0"/>
                    <w:snapToGrid w:val="0"/>
                    <w:ind w:left="0" w:leftChars="0" w:firstLine="0" w:firstLineChars="0"/>
                    <w:jc w:val="center"/>
                    <w:textAlignment w:val="bottom"/>
                    <w:rPr>
                      <w:rFonts w:hint="eastAsia" w:ascii="Times New Roman" w:hAnsi="Times New Roman" w:eastAsia="宋体" w:cs="Times New Roman"/>
                      <w:color w:val="auto"/>
                      <w:sz w:val="18"/>
                      <w:szCs w:val="18"/>
                      <w:highlight w:val="none"/>
                      <w:lang w:val="en-US" w:eastAsia="zh-CN" w:bidi="ar"/>
                    </w:rPr>
                  </w:pPr>
                  <w:r>
                    <w:rPr>
                      <w:rFonts w:hint="eastAsia" w:ascii="Times New Roman" w:hAnsi="Times New Roman" w:eastAsia="宋体" w:cs="Times New Roman"/>
                      <w:color w:val="auto"/>
                      <w:sz w:val="18"/>
                      <w:szCs w:val="18"/>
                      <w:highlight w:val="none"/>
                      <w:lang w:val="en-US" w:eastAsia="zh-CN" w:bidi="ar"/>
                    </w:rPr>
                    <w:t>/</w:t>
                  </w:r>
                </w:p>
              </w:tc>
              <w:tc>
                <w:tcPr>
                  <w:tcW w:w="761" w:type="dxa"/>
                  <w:noWrap w:val="0"/>
                  <w:vAlign w:val="center"/>
                </w:tcPr>
                <w:p w14:paraId="79B24BED">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73</w:t>
                  </w:r>
                </w:p>
              </w:tc>
              <w:tc>
                <w:tcPr>
                  <w:tcW w:w="638" w:type="dxa"/>
                  <w:vMerge w:val="continue"/>
                  <w:noWrap w:val="0"/>
                  <w:vAlign w:val="center"/>
                </w:tcPr>
                <w:p w14:paraId="204AD498">
                  <w:pPr>
                    <w:snapToGrid w:val="0"/>
                    <w:jc w:val="center"/>
                    <w:rPr>
                      <w:rFonts w:hint="eastAsia" w:ascii="Times New Roman" w:hAnsi="Times New Roman" w:eastAsia="宋体" w:cs="Times New Roman"/>
                      <w:color w:val="auto"/>
                      <w:sz w:val="18"/>
                      <w:szCs w:val="18"/>
                      <w:highlight w:val="none"/>
                    </w:rPr>
                  </w:pPr>
                </w:p>
              </w:tc>
              <w:tc>
                <w:tcPr>
                  <w:tcW w:w="501" w:type="dxa"/>
                  <w:noWrap w:val="0"/>
                  <w:vAlign w:val="center"/>
                </w:tcPr>
                <w:p w14:paraId="51B4EBDC">
                  <w:pPr>
                    <w:jc w:val="center"/>
                    <w:rPr>
                      <w:rFonts w:hint="eastAsia" w:ascii="Times New Roman" w:hAnsi="Times New Roman" w:cs="Times New Roman"/>
                      <w:color w:val="auto"/>
                      <w:highlight w:val="none"/>
                      <w:lang w:val="en-US" w:eastAsia="zh-CN"/>
                    </w:rPr>
                  </w:pPr>
                  <w:r>
                    <w:rPr>
                      <w:rFonts w:hint="eastAsia" w:cs="Times New Roman"/>
                      <w:color w:val="auto"/>
                      <w:highlight w:val="none"/>
                      <w:lang w:val="en-US" w:eastAsia="zh-CN"/>
                    </w:rPr>
                    <w:t>3</w:t>
                  </w:r>
                  <w:r>
                    <w:rPr>
                      <w:rFonts w:hint="eastAsia" w:ascii="Times New Roman" w:hAnsi="Times New Roman" w:cs="Times New Roman"/>
                      <w:color w:val="auto"/>
                      <w:highlight w:val="none"/>
                      <w:lang w:val="en-US" w:eastAsia="zh-CN"/>
                    </w:rPr>
                    <w:t>5</w:t>
                  </w:r>
                </w:p>
              </w:tc>
              <w:tc>
                <w:tcPr>
                  <w:tcW w:w="623" w:type="dxa"/>
                  <w:noWrap w:val="0"/>
                  <w:vAlign w:val="center"/>
                </w:tcPr>
                <w:p w14:paraId="6237DB75">
                  <w:pPr>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65</w:t>
                  </w:r>
                </w:p>
              </w:tc>
              <w:tc>
                <w:tcPr>
                  <w:tcW w:w="520" w:type="dxa"/>
                  <w:noWrap w:val="0"/>
                  <w:vAlign w:val="center"/>
                </w:tcPr>
                <w:p w14:paraId="0DBF1CA0">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c>
                <w:tcPr>
                  <w:tcW w:w="625" w:type="dxa"/>
                  <w:noWrap w:val="0"/>
                  <w:vAlign w:val="center"/>
                </w:tcPr>
                <w:p w14:paraId="612D51D6">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c>
                <w:tcPr>
                  <w:tcW w:w="773" w:type="dxa"/>
                  <w:noWrap w:val="0"/>
                  <w:vAlign w:val="center"/>
                </w:tcPr>
                <w:p w14:paraId="0CF5CFEE">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63</w:t>
                  </w:r>
                </w:p>
              </w:tc>
              <w:tc>
                <w:tcPr>
                  <w:tcW w:w="674" w:type="dxa"/>
                  <w:vMerge w:val="continue"/>
                  <w:noWrap w:val="0"/>
                  <w:vAlign w:val="center"/>
                </w:tcPr>
                <w:p w14:paraId="07C26F7D">
                  <w:pPr>
                    <w:numPr>
                      <w:ilvl w:val="0"/>
                      <w:numId w:val="0"/>
                    </w:numPr>
                    <w:adjustRightInd w:val="0"/>
                    <w:snapToGrid w:val="0"/>
                    <w:ind w:left="0" w:leftChars="0" w:firstLine="0" w:firstLineChars="0"/>
                    <w:jc w:val="center"/>
                    <w:textAlignment w:val="bottom"/>
                    <w:rPr>
                      <w:rFonts w:hint="eastAsia" w:ascii="Times New Roman" w:hAnsi="Times New Roman" w:eastAsia="宋体" w:cs="Times New Roman"/>
                      <w:color w:val="auto"/>
                      <w:sz w:val="18"/>
                      <w:szCs w:val="18"/>
                      <w:highlight w:val="none"/>
                    </w:rPr>
                  </w:pPr>
                </w:p>
              </w:tc>
              <w:tc>
                <w:tcPr>
                  <w:tcW w:w="844" w:type="dxa"/>
                  <w:noWrap w:val="0"/>
                  <w:vAlign w:val="center"/>
                </w:tcPr>
                <w:p w14:paraId="483C733A">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25</w:t>
                  </w:r>
                </w:p>
              </w:tc>
              <w:tc>
                <w:tcPr>
                  <w:tcW w:w="843" w:type="dxa"/>
                  <w:noWrap w:val="0"/>
                  <w:vAlign w:val="center"/>
                </w:tcPr>
                <w:p w14:paraId="5B8A2207">
                  <w:pPr>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38</w:t>
                  </w:r>
                </w:p>
              </w:tc>
              <w:tc>
                <w:tcPr>
                  <w:tcW w:w="764" w:type="dxa"/>
                  <w:noWrap w:val="0"/>
                  <w:vAlign w:val="center"/>
                </w:tcPr>
                <w:p w14:paraId="6A060F09">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r>
            <w:tr w14:paraId="07E10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450" w:type="dxa"/>
                  <w:noWrap w:val="0"/>
                  <w:vAlign w:val="center"/>
                </w:tcPr>
                <w:p w14:paraId="4DCAB56A">
                  <w:pPr>
                    <w:numPr>
                      <w:ilvl w:val="0"/>
                      <w:numId w:val="7"/>
                    </w:numPr>
                    <w:adjustRightInd w:val="0"/>
                    <w:snapToGrid w:val="0"/>
                    <w:ind w:left="425" w:leftChars="0" w:hanging="425" w:firstLineChars="0"/>
                    <w:jc w:val="center"/>
                    <w:textAlignment w:val="bottom"/>
                    <w:rPr>
                      <w:rFonts w:ascii="Times New Roman" w:hAnsi="Times New Roman" w:eastAsia="宋体" w:cs="Times New Roman"/>
                      <w:color w:val="auto"/>
                      <w:sz w:val="18"/>
                      <w:szCs w:val="18"/>
                      <w:highlight w:val="none"/>
                      <w:lang w:bidi="ar"/>
                    </w:rPr>
                  </w:pPr>
                </w:p>
              </w:tc>
              <w:tc>
                <w:tcPr>
                  <w:tcW w:w="773" w:type="dxa"/>
                  <w:vMerge w:val="continue"/>
                  <w:noWrap w:val="0"/>
                  <w:vAlign w:val="center"/>
                </w:tcPr>
                <w:p w14:paraId="635359C1">
                  <w:pPr>
                    <w:snapToGrid w:val="0"/>
                    <w:jc w:val="center"/>
                    <w:rPr>
                      <w:rFonts w:hint="eastAsia" w:ascii="Times New Roman" w:hAnsi="Times New Roman" w:eastAsia="宋体" w:cs="Times New Roman"/>
                      <w:color w:val="auto"/>
                      <w:sz w:val="18"/>
                      <w:szCs w:val="18"/>
                      <w:highlight w:val="none"/>
                    </w:rPr>
                  </w:pPr>
                </w:p>
              </w:tc>
              <w:tc>
                <w:tcPr>
                  <w:tcW w:w="1722" w:type="dxa"/>
                  <w:noWrap w:val="0"/>
                  <w:vAlign w:val="center"/>
                </w:tcPr>
                <w:p w14:paraId="4F43D37D">
                  <w:pPr>
                    <w:jc w:val="center"/>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highlight w:val="none"/>
                      <w:lang w:val="en-US" w:eastAsia="zh-CN"/>
                    </w:rPr>
                    <w:t>封边皮带输送机</w:t>
                  </w:r>
                </w:p>
              </w:tc>
              <w:tc>
                <w:tcPr>
                  <w:tcW w:w="1212" w:type="dxa"/>
                  <w:noWrap w:val="0"/>
                  <w:vAlign w:val="center"/>
                </w:tcPr>
                <w:p w14:paraId="3AA81F17">
                  <w:pPr>
                    <w:jc w:val="center"/>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highlight w:val="none"/>
                      <w:lang w:val="en-US" w:eastAsia="zh-CN"/>
                    </w:rPr>
                    <w:t>1*8m</w:t>
                  </w:r>
                </w:p>
              </w:tc>
              <w:tc>
                <w:tcPr>
                  <w:tcW w:w="733" w:type="dxa"/>
                  <w:noWrap w:val="0"/>
                  <w:vAlign w:val="center"/>
                </w:tcPr>
                <w:p w14:paraId="2FD78471">
                  <w:pPr>
                    <w:numPr>
                      <w:ilvl w:val="0"/>
                      <w:numId w:val="0"/>
                    </w:numPr>
                    <w:adjustRightInd w:val="0"/>
                    <w:snapToGrid w:val="0"/>
                    <w:ind w:left="0" w:leftChars="0" w:firstLine="0" w:firstLineChars="0"/>
                    <w:jc w:val="center"/>
                    <w:textAlignment w:val="bottom"/>
                    <w:rPr>
                      <w:rFonts w:hint="eastAsia" w:ascii="Times New Roman" w:hAnsi="Times New Roman" w:eastAsia="宋体" w:cs="Times New Roman"/>
                      <w:color w:val="auto"/>
                      <w:sz w:val="18"/>
                      <w:szCs w:val="18"/>
                      <w:highlight w:val="none"/>
                      <w:lang w:eastAsia="zh-CN"/>
                    </w:rPr>
                  </w:pPr>
                  <w:r>
                    <w:rPr>
                      <w:rFonts w:hint="eastAsia" w:ascii="Times New Roman" w:hAnsi="Times New Roman" w:eastAsia="宋体" w:cs="Times New Roman"/>
                      <w:color w:val="auto"/>
                      <w:sz w:val="18"/>
                      <w:szCs w:val="18"/>
                      <w:highlight w:val="none"/>
                      <w:lang w:val="en-US" w:eastAsia="zh-CN" w:bidi="ar"/>
                    </w:rPr>
                    <w:t>/</w:t>
                  </w:r>
                </w:p>
              </w:tc>
              <w:tc>
                <w:tcPr>
                  <w:tcW w:w="761" w:type="dxa"/>
                  <w:noWrap w:val="0"/>
                  <w:vAlign w:val="center"/>
                </w:tcPr>
                <w:p w14:paraId="6201D2B1">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73</w:t>
                  </w:r>
                </w:p>
              </w:tc>
              <w:tc>
                <w:tcPr>
                  <w:tcW w:w="638" w:type="dxa"/>
                  <w:vMerge w:val="continue"/>
                  <w:noWrap w:val="0"/>
                  <w:vAlign w:val="center"/>
                </w:tcPr>
                <w:p w14:paraId="3E648BE4">
                  <w:pPr>
                    <w:snapToGrid w:val="0"/>
                    <w:jc w:val="center"/>
                    <w:rPr>
                      <w:rFonts w:hint="eastAsia" w:ascii="Times New Roman" w:hAnsi="Times New Roman" w:eastAsia="宋体" w:cs="Times New Roman"/>
                      <w:color w:val="auto"/>
                      <w:sz w:val="18"/>
                      <w:szCs w:val="18"/>
                      <w:highlight w:val="none"/>
                    </w:rPr>
                  </w:pPr>
                </w:p>
              </w:tc>
              <w:tc>
                <w:tcPr>
                  <w:tcW w:w="501" w:type="dxa"/>
                  <w:noWrap w:val="0"/>
                  <w:vAlign w:val="center"/>
                </w:tcPr>
                <w:p w14:paraId="34BF6945">
                  <w:pPr>
                    <w:jc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28</w:t>
                  </w:r>
                </w:p>
              </w:tc>
              <w:tc>
                <w:tcPr>
                  <w:tcW w:w="623" w:type="dxa"/>
                  <w:noWrap w:val="0"/>
                  <w:vAlign w:val="center"/>
                </w:tcPr>
                <w:p w14:paraId="60651DCD">
                  <w:pPr>
                    <w:jc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52</w:t>
                  </w:r>
                </w:p>
              </w:tc>
              <w:tc>
                <w:tcPr>
                  <w:tcW w:w="520" w:type="dxa"/>
                  <w:noWrap w:val="0"/>
                  <w:vAlign w:val="center"/>
                </w:tcPr>
                <w:p w14:paraId="5302FD72">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c>
                <w:tcPr>
                  <w:tcW w:w="625" w:type="dxa"/>
                  <w:noWrap w:val="0"/>
                  <w:vAlign w:val="center"/>
                </w:tcPr>
                <w:p w14:paraId="59B59A7C">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c>
                <w:tcPr>
                  <w:tcW w:w="773" w:type="dxa"/>
                  <w:noWrap w:val="0"/>
                  <w:vAlign w:val="center"/>
                </w:tcPr>
                <w:p w14:paraId="03874924">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63</w:t>
                  </w:r>
                </w:p>
              </w:tc>
              <w:tc>
                <w:tcPr>
                  <w:tcW w:w="674" w:type="dxa"/>
                  <w:vMerge w:val="continue"/>
                  <w:noWrap w:val="0"/>
                  <w:vAlign w:val="center"/>
                </w:tcPr>
                <w:p w14:paraId="1DD51212">
                  <w:pPr>
                    <w:numPr>
                      <w:ilvl w:val="0"/>
                      <w:numId w:val="0"/>
                    </w:numPr>
                    <w:adjustRightInd w:val="0"/>
                    <w:snapToGrid w:val="0"/>
                    <w:ind w:left="0" w:leftChars="0" w:firstLine="0" w:firstLineChars="0"/>
                    <w:jc w:val="center"/>
                    <w:textAlignment w:val="bottom"/>
                    <w:rPr>
                      <w:rFonts w:hint="eastAsia" w:ascii="Times New Roman" w:hAnsi="Times New Roman" w:eastAsia="宋体" w:cs="Times New Roman"/>
                      <w:color w:val="auto"/>
                      <w:sz w:val="18"/>
                      <w:szCs w:val="18"/>
                      <w:highlight w:val="none"/>
                    </w:rPr>
                  </w:pPr>
                </w:p>
              </w:tc>
              <w:tc>
                <w:tcPr>
                  <w:tcW w:w="844" w:type="dxa"/>
                  <w:noWrap w:val="0"/>
                  <w:vAlign w:val="center"/>
                </w:tcPr>
                <w:p w14:paraId="74F5506D">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25</w:t>
                  </w:r>
                </w:p>
              </w:tc>
              <w:tc>
                <w:tcPr>
                  <w:tcW w:w="843" w:type="dxa"/>
                  <w:noWrap w:val="0"/>
                  <w:vAlign w:val="center"/>
                </w:tcPr>
                <w:p w14:paraId="272B19D3">
                  <w:pPr>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38</w:t>
                  </w:r>
                </w:p>
              </w:tc>
              <w:tc>
                <w:tcPr>
                  <w:tcW w:w="764" w:type="dxa"/>
                  <w:noWrap w:val="0"/>
                  <w:vAlign w:val="center"/>
                </w:tcPr>
                <w:p w14:paraId="47A373EA">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r>
            <w:tr w14:paraId="2A9C7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450" w:type="dxa"/>
                  <w:noWrap w:val="0"/>
                  <w:vAlign w:val="center"/>
                </w:tcPr>
                <w:p w14:paraId="258DFC0F">
                  <w:pPr>
                    <w:numPr>
                      <w:ilvl w:val="0"/>
                      <w:numId w:val="7"/>
                    </w:numPr>
                    <w:adjustRightInd w:val="0"/>
                    <w:snapToGrid w:val="0"/>
                    <w:ind w:left="425" w:leftChars="0" w:hanging="425" w:firstLineChars="0"/>
                    <w:jc w:val="center"/>
                    <w:textAlignment w:val="bottom"/>
                    <w:rPr>
                      <w:rFonts w:ascii="Times New Roman" w:hAnsi="Times New Roman" w:eastAsia="宋体" w:cs="Times New Roman"/>
                      <w:color w:val="auto"/>
                      <w:sz w:val="18"/>
                      <w:szCs w:val="18"/>
                      <w:highlight w:val="none"/>
                      <w:lang w:bidi="ar"/>
                    </w:rPr>
                  </w:pPr>
                </w:p>
              </w:tc>
              <w:tc>
                <w:tcPr>
                  <w:tcW w:w="773" w:type="dxa"/>
                  <w:vMerge w:val="continue"/>
                  <w:noWrap w:val="0"/>
                  <w:vAlign w:val="center"/>
                </w:tcPr>
                <w:p w14:paraId="5131E4A8">
                  <w:pPr>
                    <w:snapToGrid w:val="0"/>
                    <w:jc w:val="center"/>
                    <w:rPr>
                      <w:rFonts w:hint="eastAsia" w:ascii="Times New Roman" w:hAnsi="Times New Roman" w:eastAsia="宋体" w:cs="Times New Roman"/>
                      <w:color w:val="auto"/>
                      <w:sz w:val="18"/>
                      <w:szCs w:val="18"/>
                      <w:highlight w:val="none"/>
                    </w:rPr>
                  </w:pPr>
                </w:p>
              </w:tc>
              <w:tc>
                <w:tcPr>
                  <w:tcW w:w="1722" w:type="dxa"/>
                  <w:noWrap w:val="0"/>
                  <w:vAlign w:val="center"/>
                </w:tcPr>
                <w:p w14:paraId="630A9519">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封边皮带输送机</w:t>
                  </w:r>
                </w:p>
              </w:tc>
              <w:tc>
                <w:tcPr>
                  <w:tcW w:w="1212" w:type="dxa"/>
                  <w:noWrap w:val="0"/>
                  <w:vAlign w:val="center"/>
                </w:tcPr>
                <w:p w14:paraId="15F00EFE">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1*8m</w:t>
                  </w:r>
                </w:p>
              </w:tc>
              <w:tc>
                <w:tcPr>
                  <w:tcW w:w="733" w:type="dxa"/>
                  <w:noWrap w:val="0"/>
                  <w:vAlign w:val="center"/>
                </w:tcPr>
                <w:p w14:paraId="7A45075C">
                  <w:pPr>
                    <w:numPr>
                      <w:ilvl w:val="0"/>
                      <w:numId w:val="0"/>
                    </w:numPr>
                    <w:adjustRightInd w:val="0"/>
                    <w:snapToGrid w:val="0"/>
                    <w:ind w:left="0" w:leftChars="0" w:firstLine="0" w:firstLineChars="0"/>
                    <w:jc w:val="center"/>
                    <w:textAlignment w:val="bottom"/>
                    <w:rPr>
                      <w:rFonts w:hint="eastAsia" w:ascii="Times New Roman" w:hAnsi="Times New Roman" w:eastAsia="宋体" w:cs="Times New Roman"/>
                      <w:color w:val="auto"/>
                      <w:sz w:val="18"/>
                      <w:szCs w:val="18"/>
                      <w:highlight w:val="none"/>
                      <w:lang w:val="en-US" w:eastAsia="zh-CN" w:bidi="ar"/>
                    </w:rPr>
                  </w:pPr>
                  <w:r>
                    <w:rPr>
                      <w:rFonts w:hint="eastAsia" w:ascii="Times New Roman" w:hAnsi="Times New Roman" w:eastAsia="宋体" w:cs="Times New Roman"/>
                      <w:color w:val="auto"/>
                      <w:sz w:val="18"/>
                      <w:szCs w:val="18"/>
                      <w:highlight w:val="none"/>
                      <w:lang w:val="en-US" w:eastAsia="zh-CN" w:bidi="ar"/>
                    </w:rPr>
                    <w:t>/</w:t>
                  </w:r>
                </w:p>
              </w:tc>
              <w:tc>
                <w:tcPr>
                  <w:tcW w:w="761" w:type="dxa"/>
                  <w:noWrap w:val="0"/>
                  <w:vAlign w:val="center"/>
                </w:tcPr>
                <w:p w14:paraId="1F463809">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73</w:t>
                  </w:r>
                </w:p>
              </w:tc>
              <w:tc>
                <w:tcPr>
                  <w:tcW w:w="638" w:type="dxa"/>
                  <w:vMerge w:val="continue"/>
                  <w:noWrap w:val="0"/>
                  <w:vAlign w:val="center"/>
                </w:tcPr>
                <w:p w14:paraId="4CD029D3">
                  <w:pPr>
                    <w:snapToGrid w:val="0"/>
                    <w:jc w:val="center"/>
                    <w:rPr>
                      <w:rFonts w:hint="eastAsia" w:ascii="Times New Roman" w:hAnsi="Times New Roman" w:eastAsia="宋体" w:cs="Times New Roman"/>
                      <w:color w:val="auto"/>
                      <w:sz w:val="18"/>
                      <w:szCs w:val="18"/>
                      <w:highlight w:val="none"/>
                    </w:rPr>
                  </w:pPr>
                </w:p>
              </w:tc>
              <w:tc>
                <w:tcPr>
                  <w:tcW w:w="501" w:type="dxa"/>
                  <w:noWrap w:val="0"/>
                  <w:vAlign w:val="center"/>
                </w:tcPr>
                <w:p w14:paraId="4FA1D52A">
                  <w:pPr>
                    <w:jc w:val="center"/>
                    <w:rPr>
                      <w:rFonts w:hint="eastAsia" w:ascii="Times New Roman" w:hAnsi="Times New Roman" w:cs="Times New Roman"/>
                      <w:color w:val="auto"/>
                      <w:highlight w:val="none"/>
                      <w:lang w:val="en-US" w:eastAsia="zh-CN"/>
                    </w:rPr>
                  </w:pPr>
                  <w:r>
                    <w:rPr>
                      <w:rFonts w:hint="eastAsia" w:cs="Times New Roman"/>
                      <w:color w:val="auto"/>
                      <w:highlight w:val="none"/>
                      <w:lang w:val="en-US" w:eastAsia="zh-CN"/>
                    </w:rPr>
                    <w:t>3</w:t>
                  </w:r>
                  <w:r>
                    <w:rPr>
                      <w:rFonts w:hint="eastAsia" w:ascii="Times New Roman" w:hAnsi="Times New Roman" w:cs="Times New Roman"/>
                      <w:color w:val="auto"/>
                      <w:highlight w:val="none"/>
                      <w:lang w:val="en-US" w:eastAsia="zh-CN"/>
                    </w:rPr>
                    <w:t>8</w:t>
                  </w:r>
                </w:p>
              </w:tc>
              <w:tc>
                <w:tcPr>
                  <w:tcW w:w="623" w:type="dxa"/>
                  <w:noWrap w:val="0"/>
                  <w:vAlign w:val="center"/>
                </w:tcPr>
                <w:p w14:paraId="3DA773C5">
                  <w:pPr>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52</w:t>
                  </w:r>
                </w:p>
              </w:tc>
              <w:tc>
                <w:tcPr>
                  <w:tcW w:w="520" w:type="dxa"/>
                  <w:noWrap w:val="0"/>
                  <w:vAlign w:val="center"/>
                </w:tcPr>
                <w:p w14:paraId="78CB8A41">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c>
                <w:tcPr>
                  <w:tcW w:w="625" w:type="dxa"/>
                  <w:noWrap w:val="0"/>
                  <w:vAlign w:val="center"/>
                </w:tcPr>
                <w:p w14:paraId="1698C139">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c>
                <w:tcPr>
                  <w:tcW w:w="773" w:type="dxa"/>
                  <w:noWrap w:val="0"/>
                  <w:vAlign w:val="center"/>
                </w:tcPr>
                <w:p w14:paraId="73A6B2D9">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63</w:t>
                  </w:r>
                </w:p>
              </w:tc>
              <w:tc>
                <w:tcPr>
                  <w:tcW w:w="674" w:type="dxa"/>
                  <w:vMerge w:val="continue"/>
                  <w:noWrap w:val="0"/>
                  <w:vAlign w:val="center"/>
                </w:tcPr>
                <w:p w14:paraId="789B429A">
                  <w:pPr>
                    <w:numPr>
                      <w:ilvl w:val="0"/>
                      <w:numId w:val="0"/>
                    </w:numPr>
                    <w:adjustRightInd w:val="0"/>
                    <w:snapToGrid w:val="0"/>
                    <w:ind w:left="0" w:leftChars="0" w:firstLine="0" w:firstLineChars="0"/>
                    <w:jc w:val="center"/>
                    <w:textAlignment w:val="bottom"/>
                    <w:rPr>
                      <w:rFonts w:hint="eastAsia" w:ascii="Times New Roman" w:hAnsi="Times New Roman" w:eastAsia="宋体" w:cs="Times New Roman"/>
                      <w:color w:val="auto"/>
                      <w:sz w:val="18"/>
                      <w:szCs w:val="18"/>
                      <w:highlight w:val="none"/>
                    </w:rPr>
                  </w:pPr>
                </w:p>
              </w:tc>
              <w:tc>
                <w:tcPr>
                  <w:tcW w:w="844" w:type="dxa"/>
                  <w:noWrap w:val="0"/>
                  <w:vAlign w:val="center"/>
                </w:tcPr>
                <w:p w14:paraId="19EC2C2D">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25</w:t>
                  </w:r>
                </w:p>
              </w:tc>
              <w:tc>
                <w:tcPr>
                  <w:tcW w:w="843" w:type="dxa"/>
                  <w:noWrap w:val="0"/>
                  <w:vAlign w:val="center"/>
                </w:tcPr>
                <w:p w14:paraId="61AFA336">
                  <w:pPr>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38</w:t>
                  </w:r>
                </w:p>
              </w:tc>
              <w:tc>
                <w:tcPr>
                  <w:tcW w:w="764" w:type="dxa"/>
                  <w:noWrap w:val="0"/>
                  <w:vAlign w:val="center"/>
                </w:tcPr>
                <w:p w14:paraId="06EA8E7D">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r>
            <w:tr w14:paraId="5547E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450" w:type="dxa"/>
                  <w:noWrap w:val="0"/>
                  <w:vAlign w:val="center"/>
                </w:tcPr>
                <w:p w14:paraId="7628B47C">
                  <w:pPr>
                    <w:numPr>
                      <w:ilvl w:val="0"/>
                      <w:numId w:val="7"/>
                    </w:numPr>
                    <w:adjustRightInd w:val="0"/>
                    <w:snapToGrid w:val="0"/>
                    <w:ind w:left="425" w:leftChars="0" w:hanging="425" w:firstLineChars="0"/>
                    <w:jc w:val="center"/>
                    <w:textAlignment w:val="bottom"/>
                    <w:rPr>
                      <w:rFonts w:ascii="Times New Roman" w:hAnsi="Times New Roman" w:eastAsia="宋体" w:cs="Times New Roman"/>
                      <w:color w:val="auto"/>
                      <w:sz w:val="18"/>
                      <w:szCs w:val="18"/>
                      <w:highlight w:val="none"/>
                      <w:lang w:bidi="ar"/>
                    </w:rPr>
                  </w:pPr>
                </w:p>
              </w:tc>
              <w:tc>
                <w:tcPr>
                  <w:tcW w:w="773" w:type="dxa"/>
                  <w:vMerge w:val="continue"/>
                  <w:noWrap w:val="0"/>
                  <w:vAlign w:val="center"/>
                </w:tcPr>
                <w:p w14:paraId="33B7CCC1">
                  <w:pPr>
                    <w:snapToGrid w:val="0"/>
                    <w:jc w:val="center"/>
                    <w:rPr>
                      <w:rFonts w:hint="eastAsia" w:ascii="Times New Roman" w:hAnsi="Times New Roman" w:eastAsia="宋体" w:cs="Times New Roman"/>
                      <w:color w:val="auto"/>
                      <w:sz w:val="18"/>
                      <w:szCs w:val="18"/>
                      <w:highlight w:val="none"/>
                    </w:rPr>
                  </w:pPr>
                </w:p>
              </w:tc>
              <w:tc>
                <w:tcPr>
                  <w:tcW w:w="1722" w:type="dxa"/>
                  <w:noWrap w:val="0"/>
                  <w:vAlign w:val="center"/>
                </w:tcPr>
                <w:p w14:paraId="2A4EB236">
                  <w:pPr>
                    <w:jc w:val="center"/>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highlight w:val="none"/>
                      <w:lang w:val="en-US" w:eastAsia="zh-CN"/>
                    </w:rPr>
                    <w:t>地坑绞龙</w:t>
                  </w:r>
                </w:p>
              </w:tc>
              <w:tc>
                <w:tcPr>
                  <w:tcW w:w="1212" w:type="dxa"/>
                  <w:noWrap w:val="0"/>
                  <w:vAlign w:val="center"/>
                </w:tcPr>
                <w:p w14:paraId="55FBB729">
                  <w:pPr>
                    <w:jc w:val="center"/>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highlight w:val="none"/>
                      <w:lang w:val="en-US" w:eastAsia="zh-CN"/>
                    </w:rPr>
                    <w:t>1.5*4m</w:t>
                  </w:r>
                </w:p>
              </w:tc>
              <w:tc>
                <w:tcPr>
                  <w:tcW w:w="733" w:type="dxa"/>
                  <w:noWrap w:val="0"/>
                  <w:vAlign w:val="center"/>
                </w:tcPr>
                <w:p w14:paraId="3784E126">
                  <w:pPr>
                    <w:numPr>
                      <w:ilvl w:val="0"/>
                      <w:numId w:val="0"/>
                    </w:numPr>
                    <w:adjustRightInd w:val="0"/>
                    <w:snapToGrid w:val="0"/>
                    <w:ind w:left="0" w:leftChars="0" w:firstLine="0" w:firstLineChars="0"/>
                    <w:jc w:val="center"/>
                    <w:textAlignment w:val="bottom"/>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lang w:val="en-US" w:eastAsia="zh-CN" w:bidi="ar"/>
                    </w:rPr>
                    <w:t>/</w:t>
                  </w:r>
                </w:p>
              </w:tc>
              <w:tc>
                <w:tcPr>
                  <w:tcW w:w="761" w:type="dxa"/>
                  <w:noWrap w:val="0"/>
                  <w:vAlign w:val="center"/>
                </w:tcPr>
                <w:p w14:paraId="2DF58DD5">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73</w:t>
                  </w:r>
                </w:p>
              </w:tc>
              <w:tc>
                <w:tcPr>
                  <w:tcW w:w="638" w:type="dxa"/>
                  <w:vMerge w:val="continue"/>
                  <w:noWrap w:val="0"/>
                  <w:vAlign w:val="center"/>
                </w:tcPr>
                <w:p w14:paraId="139F505A">
                  <w:pPr>
                    <w:snapToGrid w:val="0"/>
                    <w:jc w:val="center"/>
                    <w:rPr>
                      <w:rFonts w:hint="eastAsia" w:ascii="Times New Roman" w:hAnsi="Times New Roman" w:eastAsia="宋体" w:cs="Times New Roman"/>
                      <w:color w:val="auto"/>
                      <w:sz w:val="18"/>
                      <w:szCs w:val="18"/>
                      <w:highlight w:val="none"/>
                    </w:rPr>
                  </w:pPr>
                </w:p>
              </w:tc>
              <w:tc>
                <w:tcPr>
                  <w:tcW w:w="501" w:type="dxa"/>
                  <w:noWrap w:val="0"/>
                  <w:vAlign w:val="center"/>
                </w:tcPr>
                <w:p w14:paraId="5F4F05EB">
                  <w:pPr>
                    <w:jc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26</w:t>
                  </w:r>
                </w:p>
              </w:tc>
              <w:tc>
                <w:tcPr>
                  <w:tcW w:w="623" w:type="dxa"/>
                  <w:noWrap w:val="0"/>
                  <w:vAlign w:val="center"/>
                </w:tcPr>
                <w:p w14:paraId="602BACF3">
                  <w:pPr>
                    <w:jc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48</w:t>
                  </w:r>
                </w:p>
              </w:tc>
              <w:tc>
                <w:tcPr>
                  <w:tcW w:w="520" w:type="dxa"/>
                  <w:noWrap w:val="0"/>
                  <w:vAlign w:val="center"/>
                </w:tcPr>
                <w:p w14:paraId="724604B8">
                  <w:pPr>
                    <w:jc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1</w:t>
                  </w:r>
                </w:p>
              </w:tc>
              <w:tc>
                <w:tcPr>
                  <w:tcW w:w="625" w:type="dxa"/>
                  <w:noWrap w:val="0"/>
                  <w:vAlign w:val="center"/>
                </w:tcPr>
                <w:p w14:paraId="27BE337A">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c>
                <w:tcPr>
                  <w:tcW w:w="773" w:type="dxa"/>
                  <w:noWrap w:val="0"/>
                  <w:vAlign w:val="center"/>
                </w:tcPr>
                <w:p w14:paraId="201C16A1">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63</w:t>
                  </w:r>
                </w:p>
              </w:tc>
              <w:tc>
                <w:tcPr>
                  <w:tcW w:w="674" w:type="dxa"/>
                  <w:vMerge w:val="continue"/>
                  <w:noWrap w:val="0"/>
                  <w:vAlign w:val="center"/>
                </w:tcPr>
                <w:p w14:paraId="73A11D3B">
                  <w:pPr>
                    <w:numPr>
                      <w:ilvl w:val="0"/>
                      <w:numId w:val="0"/>
                    </w:numPr>
                    <w:adjustRightInd w:val="0"/>
                    <w:snapToGrid w:val="0"/>
                    <w:ind w:left="0" w:leftChars="0" w:firstLine="0" w:firstLineChars="0"/>
                    <w:jc w:val="center"/>
                    <w:textAlignment w:val="bottom"/>
                    <w:rPr>
                      <w:rFonts w:hint="eastAsia" w:ascii="Times New Roman" w:hAnsi="Times New Roman" w:eastAsia="宋体" w:cs="Times New Roman"/>
                      <w:color w:val="auto"/>
                      <w:sz w:val="18"/>
                      <w:szCs w:val="18"/>
                      <w:highlight w:val="none"/>
                    </w:rPr>
                  </w:pPr>
                </w:p>
              </w:tc>
              <w:tc>
                <w:tcPr>
                  <w:tcW w:w="844" w:type="dxa"/>
                  <w:noWrap w:val="0"/>
                  <w:vAlign w:val="center"/>
                </w:tcPr>
                <w:p w14:paraId="32BB9C33">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25</w:t>
                  </w:r>
                </w:p>
              </w:tc>
              <w:tc>
                <w:tcPr>
                  <w:tcW w:w="843" w:type="dxa"/>
                  <w:noWrap w:val="0"/>
                  <w:vAlign w:val="center"/>
                </w:tcPr>
                <w:p w14:paraId="7097C848">
                  <w:pPr>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38</w:t>
                  </w:r>
                </w:p>
              </w:tc>
              <w:tc>
                <w:tcPr>
                  <w:tcW w:w="764" w:type="dxa"/>
                  <w:noWrap w:val="0"/>
                  <w:vAlign w:val="center"/>
                </w:tcPr>
                <w:p w14:paraId="12AEB4ED">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r>
            <w:tr w14:paraId="6207D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450" w:type="dxa"/>
                  <w:noWrap w:val="0"/>
                  <w:vAlign w:val="center"/>
                </w:tcPr>
                <w:p w14:paraId="24C20022">
                  <w:pPr>
                    <w:numPr>
                      <w:ilvl w:val="0"/>
                      <w:numId w:val="7"/>
                    </w:numPr>
                    <w:adjustRightInd w:val="0"/>
                    <w:snapToGrid w:val="0"/>
                    <w:ind w:left="425" w:leftChars="0" w:hanging="425" w:firstLineChars="0"/>
                    <w:jc w:val="center"/>
                    <w:textAlignment w:val="bottom"/>
                    <w:rPr>
                      <w:rFonts w:ascii="Times New Roman" w:hAnsi="Times New Roman" w:eastAsia="宋体" w:cs="Times New Roman"/>
                      <w:color w:val="auto"/>
                      <w:sz w:val="18"/>
                      <w:szCs w:val="18"/>
                      <w:highlight w:val="none"/>
                      <w:lang w:bidi="ar"/>
                    </w:rPr>
                  </w:pPr>
                </w:p>
              </w:tc>
              <w:tc>
                <w:tcPr>
                  <w:tcW w:w="773" w:type="dxa"/>
                  <w:vMerge w:val="continue"/>
                  <w:noWrap w:val="0"/>
                  <w:vAlign w:val="center"/>
                </w:tcPr>
                <w:p w14:paraId="26DB8DC2">
                  <w:pPr>
                    <w:snapToGrid w:val="0"/>
                    <w:jc w:val="center"/>
                    <w:rPr>
                      <w:rFonts w:hint="eastAsia" w:ascii="Times New Roman" w:hAnsi="Times New Roman" w:eastAsia="宋体" w:cs="Times New Roman"/>
                      <w:color w:val="auto"/>
                      <w:sz w:val="18"/>
                      <w:szCs w:val="18"/>
                      <w:highlight w:val="none"/>
                    </w:rPr>
                  </w:pPr>
                </w:p>
              </w:tc>
              <w:tc>
                <w:tcPr>
                  <w:tcW w:w="1722" w:type="dxa"/>
                  <w:noWrap w:val="0"/>
                  <w:vAlign w:val="center"/>
                </w:tcPr>
                <w:p w14:paraId="3E535E29">
                  <w:pPr>
                    <w:jc w:val="center"/>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highlight w:val="none"/>
                      <w:lang w:val="en-US" w:eastAsia="zh-CN"/>
                    </w:rPr>
                    <w:t>地坑绞龙</w:t>
                  </w:r>
                </w:p>
              </w:tc>
              <w:tc>
                <w:tcPr>
                  <w:tcW w:w="1212" w:type="dxa"/>
                  <w:noWrap w:val="0"/>
                  <w:vAlign w:val="center"/>
                </w:tcPr>
                <w:p w14:paraId="4E31EF67">
                  <w:pPr>
                    <w:jc w:val="center"/>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highlight w:val="none"/>
                      <w:lang w:val="en-US" w:eastAsia="zh-CN"/>
                    </w:rPr>
                    <w:t>1.5*6m</w:t>
                  </w:r>
                </w:p>
              </w:tc>
              <w:tc>
                <w:tcPr>
                  <w:tcW w:w="733" w:type="dxa"/>
                  <w:noWrap w:val="0"/>
                  <w:vAlign w:val="center"/>
                </w:tcPr>
                <w:p w14:paraId="588415C0">
                  <w:pPr>
                    <w:numPr>
                      <w:ilvl w:val="0"/>
                      <w:numId w:val="0"/>
                    </w:numPr>
                    <w:adjustRightInd w:val="0"/>
                    <w:snapToGrid w:val="0"/>
                    <w:ind w:left="0" w:leftChars="0" w:firstLine="0" w:firstLineChars="0"/>
                    <w:jc w:val="center"/>
                    <w:textAlignment w:val="bottom"/>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bidi="ar"/>
                    </w:rPr>
                    <w:t>/</w:t>
                  </w:r>
                </w:p>
              </w:tc>
              <w:tc>
                <w:tcPr>
                  <w:tcW w:w="761" w:type="dxa"/>
                  <w:noWrap w:val="0"/>
                  <w:vAlign w:val="center"/>
                </w:tcPr>
                <w:p w14:paraId="67030622">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70</w:t>
                  </w:r>
                </w:p>
              </w:tc>
              <w:tc>
                <w:tcPr>
                  <w:tcW w:w="638" w:type="dxa"/>
                  <w:vMerge w:val="continue"/>
                  <w:noWrap w:val="0"/>
                  <w:vAlign w:val="center"/>
                </w:tcPr>
                <w:p w14:paraId="470AB55A">
                  <w:pPr>
                    <w:snapToGrid w:val="0"/>
                    <w:jc w:val="center"/>
                    <w:rPr>
                      <w:rFonts w:hint="eastAsia" w:ascii="Times New Roman" w:hAnsi="Times New Roman" w:eastAsia="宋体" w:cs="Times New Roman"/>
                      <w:color w:val="auto"/>
                      <w:sz w:val="18"/>
                      <w:szCs w:val="18"/>
                      <w:highlight w:val="none"/>
                    </w:rPr>
                  </w:pPr>
                </w:p>
              </w:tc>
              <w:tc>
                <w:tcPr>
                  <w:tcW w:w="501" w:type="dxa"/>
                  <w:noWrap w:val="0"/>
                  <w:vAlign w:val="center"/>
                </w:tcPr>
                <w:p w14:paraId="0D8BAA7D">
                  <w:pPr>
                    <w:jc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35</w:t>
                  </w:r>
                </w:p>
              </w:tc>
              <w:tc>
                <w:tcPr>
                  <w:tcW w:w="623" w:type="dxa"/>
                  <w:noWrap w:val="0"/>
                  <w:vAlign w:val="center"/>
                </w:tcPr>
                <w:p w14:paraId="5B60CCDB">
                  <w:pPr>
                    <w:jc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42</w:t>
                  </w:r>
                </w:p>
              </w:tc>
              <w:tc>
                <w:tcPr>
                  <w:tcW w:w="520" w:type="dxa"/>
                  <w:noWrap w:val="0"/>
                  <w:vAlign w:val="center"/>
                </w:tcPr>
                <w:p w14:paraId="3CD32779">
                  <w:pPr>
                    <w:jc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1</w:t>
                  </w:r>
                </w:p>
              </w:tc>
              <w:tc>
                <w:tcPr>
                  <w:tcW w:w="625" w:type="dxa"/>
                  <w:noWrap w:val="0"/>
                  <w:vAlign w:val="center"/>
                </w:tcPr>
                <w:p w14:paraId="09F2F9C0">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c>
                <w:tcPr>
                  <w:tcW w:w="773" w:type="dxa"/>
                  <w:noWrap w:val="0"/>
                  <w:vAlign w:val="center"/>
                </w:tcPr>
                <w:p w14:paraId="50CCE700">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60</w:t>
                  </w:r>
                </w:p>
              </w:tc>
              <w:tc>
                <w:tcPr>
                  <w:tcW w:w="674" w:type="dxa"/>
                  <w:vMerge w:val="continue"/>
                  <w:noWrap w:val="0"/>
                  <w:vAlign w:val="center"/>
                </w:tcPr>
                <w:p w14:paraId="602669F1">
                  <w:pPr>
                    <w:numPr>
                      <w:ilvl w:val="0"/>
                      <w:numId w:val="0"/>
                    </w:numPr>
                    <w:adjustRightInd w:val="0"/>
                    <w:snapToGrid w:val="0"/>
                    <w:ind w:left="0" w:leftChars="0" w:firstLine="0" w:firstLineChars="0"/>
                    <w:jc w:val="center"/>
                    <w:textAlignment w:val="bottom"/>
                    <w:rPr>
                      <w:rFonts w:hint="eastAsia" w:ascii="Times New Roman" w:hAnsi="Times New Roman" w:eastAsia="宋体" w:cs="Times New Roman"/>
                      <w:color w:val="auto"/>
                      <w:sz w:val="18"/>
                      <w:szCs w:val="18"/>
                      <w:highlight w:val="none"/>
                    </w:rPr>
                  </w:pPr>
                </w:p>
              </w:tc>
              <w:tc>
                <w:tcPr>
                  <w:tcW w:w="844" w:type="dxa"/>
                  <w:noWrap w:val="0"/>
                  <w:vAlign w:val="center"/>
                </w:tcPr>
                <w:p w14:paraId="697EE0EF">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25</w:t>
                  </w:r>
                </w:p>
              </w:tc>
              <w:tc>
                <w:tcPr>
                  <w:tcW w:w="843" w:type="dxa"/>
                  <w:noWrap w:val="0"/>
                  <w:vAlign w:val="center"/>
                </w:tcPr>
                <w:p w14:paraId="2D4EC2D8">
                  <w:pPr>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35</w:t>
                  </w:r>
                </w:p>
              </w:tc>
              <w:tc>
                <w:tcPr>
                  <w:tcW w:w="764" w:type="dxa"/>
                  <w:noWrap w:val="0"/>
                  <w:vAlign w:val="center"/>
                </w:tcPr>
                <w:p w14:paraId="537AB43A">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r>
            <w:tr w14:paraId="74952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450" w:type="dxa"/>
                  <w:noWrap w:val="0"/>
                  <w:vAlign w:val="center"/>
                </w:tcPr>
                <w:p w14:paraId="227A5FE0">
                  <w:pPr>
                    <w:numPr>
                      <w:ilvl w:val="0"/>
                      <w:numId w:val="7"/>
                    </w:numPr>
                    <w:adjustRightInd w:val="0"/>
                    <w:snapToGrid w:val="0"/>
                    <w:ind w:left="425" w:leftChars="0" w:hanging="425" w:firstLineChars="0"/>
                    <w:jc w:val="center"/>
                    <w:textAlignment w:val="bottom"/>
                    <w:rPr>
                      <w:rFonts w:hint="default" w:ascii="Times New Roman" w:hAnsi="Times New Roman" w:eastAsia="宋体" w:cs="Times New Roman"/>
                      <w:color w:val="auto"/>
                      <w:sz w:val="18"/>
                      <w:szCs w:val="18"/>
                      <w:highlight w:val="none"/>
                      <w:lang w:val="en-US" w:eastAsia="zh-CN" w:bidi="ar"/>
                    </w:rPr>
                  </w:pPr>
                </w:p>
              </w:tc>
              <w:tc>
                <w:tcPr>
                  <w:tcW w:w="773" w:type="dxa"/>
                  <w:vMerge w:val="continue"/>
                  <w:noWrap w:val="0"/>
                  <w:vAlign w:val="center"/>
                </w:tcPr>
                <w:p w14:paraId="16AD4182">
                  <w:pPr>
                    <w:snapToGrid w:val="0"/>
                    <w:jc w:val="center"/>
                    <w:rPr>
                      <w:rFonts w:hint="eastAsia" w:ascii="Times New Roman" w:hAnsi="Times New Roman" w:eastAsia="宋体" w:cs="Times New Roman"/>
                      <w:color w:val="auto"/>
                      <w:sz w:val="18"/>
                      <w:szCs w:val="18"/>
                      <w:highlight w:val="none"/>
                    </w:rPr>
                  </w:pPr>
                </w:p>
              </w:tc>
              <w:tc>
                <w:tcPr>
                  <w:tcW w:w="1722" w:type="dxa"/>
                  <w:noWrap w:val="0"/>
                  <w:vAlign w:val="center"/>
                </w:tcPr>
                <w:p w14:paraId="751C4039">
                  <w:pPr>
                    <w:jc w:val="center"/>
                    <w:rPr>
                      <w:rFonts w:hint="eastAsia"/>
                      <w:color w:val="auto"/>
                      <w:highlight w:val="none"/>
                    </w:rPr>
                  </w:pPr>
                  <w:r>
                    <w:rPr>
                      <w:rFonts w:hint="eastAsia" w:ascii="Times New Roman" w:hAnsi="Times New Roman" w:eastAsia="宋体" w:cs="Times New Roman"/>
                      <w:color w:val="auto"/>
                      <w:highlight w:val="none"/>
                      <w:lang w:val="en-US" w:eastAsia="zh-CN"/>
                    </w:rPr>
                    <w:t>上料绞龙</w:t>
                  </w:r>
                </w:p>
              </w:tc>
              <w:tc>
                <w:tcPr>
                  <w:tcW w:w="1212" w:type="dxa"/>
                  <w:noWrap w:val="0"/>
                  <w:vAlign w:val="center"/>
                </w:tcPr>
                <w:p w14:paraId="23AB719F">
                  <w:pPr>
                    <w:jc w:val="center"/>
                    <w:rPr>
                      <w:rFonts w:hint="eastAsia"/>
                      <w:color w:val="auto"/>
                      <w:highlight w:val="none"/>
                    </w:rPr>
                  </w:pPr>
                  <w:r>
                    <w:rPr>
                      <w:rFonts w:hint="eastAsia" w:ascii="Times New Roman" w:hAnsi="Times New Roman" w:eastAsia="宋体" w:cs="Times New Roman"/>
                      <w:color w:val="auto"/>
                      <w:highlight w:val="none"/>
                      <w:lang w:val="en-US" w:eastAsia="zh-CN"/>
                    </w:rPr>
                    <w:t>273*8m</w:t>
                  </w:r>
                </w:p>
              </w:tc>
              <w:tc>
                <w:tcPr>
                  <w:tcW w:w="733" w:type="dxa"/>
                  <w:noWrap w:val="0"/>
                  <w:vAlign w:val="center"/>
                </w:tcPr>
                <w:p w14:paraId="29190F0D">
                  <w:pPr>
                    <w:numPr>
                      <w:ilvl w:val="0"/>
                      <w:numId w:val="0"/>
                    </w:numPr>
                    <w:adjustRightInd w:val="0"/>
                    <w:snapToGrid w:val="0"/>
                    <w:ind w:left="0" w:leftChars="0" w:firstLine="0" w:firstLineChars="0"/>
                    <w:jc w:val="center"/>
                    <w:textAlignment w:val="bottom"/>
                    <w:rPr>
                      <w:rFonts w:hint="eastAsia"/>
                      <w:color w:val="auto"/>
                      <w:szCs w:val="21"/>
                      <w:highlight w:val="none"/>
                      <w:lang w:val="en-US" w:eastAsia="zh-CN"/>
                    </w:rPr>
                  </w:pPr>
                  <w:r>
                    <w:rPr>
                      <w:rFonts w:hint="eastAsia" w:ascii="Times New Roman" w:hAnsi="Times New Roman" w:eastAsia="宋体" w:cs="Times New Roman"/>
                      <w:color w:val="auto"/>
                      <w:sz w:val="18"/>
                      <w:szCs w:val="18"/>
                      <w:highlight w:val="none"/>
                      <w:lang w:val="en-US" w:eastAsia="zh-CN" w:bidi="ar"/>
                    </w:rPr>
                    <w:t>/</w:t>
                  </w:r>
                </w:p>
              </w:tc>
              <w:tc>
                <w:tcPr>
                  <w:tcW w:w="761" w:type="dxa"/>
                  <w:noWrap w:val="0"/>
                  <w:vAlign w:val="center"/>
                </w:tcPr>
                <w:p w14:paraId="6410BC3D">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75</w:t>
                  </w:r>
                </w:p>
              </w:tc>
              <w:tc>
                <w:tcPr>
                  <w:tcW w:w="638" w:type="dxa"/>
                  <w:vMerge w:val="continue"/>
                  <w:noWrap w:val="0"/>
                  <w:vAlign w:val="center"/>
                </w:tcPr>
                <w:p w14:paraId="2E33D8BD">
                  <w:pPr>
                    <w:snapToGrid w:val="0"/>
                    <w:jc w:val="center"/>
                    <w:rPr>
                      <w:rFonts w:hint="eastAsia" w:ascii="Times New Roman" w:hAnsi="Times New Roman" w:eastAsia="宋体" w:cs="Times New Roman"/>
                      <w:color w:val="auto"/>
                      <w:sz w:val="18"/>
                      <w:szCs w:val="18"/>
                      <w:highlight w:val="none"/>
                    </w:rPr>
                  </w:pPr>
                </w:p>
              </w:tc>
              <w:tc>
                <w:tcPr>
                  <w:tcW w:w="501" w:type="dxa"/>
                  <w:noWrap w:val="0"/>
                  <w:vAlign w:val="center"/>
                </w:tcPr>
                <w:p w14:paraId="4B447F26">
                  <w:pPr>
                    <w:jc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30</w:t>
                  </w:r>
                </w:p>
              </w:tc>
              <w:tc>
                <w:tcPr>
                  <w:tcW w:w="623" w:type="dxa"/>
                  <w:noWrap w:val="0"/>
                  <w:vAlign w:val="center"/>
                </w:tcPr>
                <w:p w14:paraId="43E63108">
                  <w:pPr>
                    <w:jc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34</w:t>
                  </w:r>
                </w:p>
              </w:tc>
              <w:tc>
                <w:tcPr>
                  <w:tcW w:w="520" w:type="dxa"/>
                  <w:noWrap w:val="0"/>
                  <w:vAlign w:val="center"/>
                </w:tcPr>
                <w:p w14:paraId="2FBBED97">
                  <w:pPr>
                    <w:jc w:val="center"/>
                    <w:rPr>
                      <w:rFonts w:hint="eastAsia"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1</w:t>
                  </w:r>
                </w:p>
              </w:tc>
              <w:tc>
                <w:tcPr>
                  <w:tcW w:w="625" w:type="dxa"/>
                  <w:noWrap w:val="0"/>
                  <w:vAlign w:val="center"/>
                </w:tcPr>
                <w:p w14:paraId="3EED83CB">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c>
                <w:tcPr>
                  <w:tcW w:w="773" w:type="dxa"/>
                  <w:noWrap w:val="0"/>
                  <w:vAlign w:val="center"/>
                </w:tcPr>
                <w:p w14:paraId="1DDE33F6">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65</w:t>
                  </w:r>
                </w:p>
              </w:tc>
              <w:tc>
                <w:tcPr>
                  <w:tcW w:w="674" w:type="dxa"/>
                  <w:vMerge w:val="continue"/>
                  <w:noWrap w:val="0"/>
                  <w:vAlign w:val="center"/>
                </w:tcPr>
                <w:p w14:paraId="5971F8B3">
                  <w:pPr>
                    <w:numPr>
                      <w:ilvl w:val="0"/>
                      <w:numId w:val="0"/>
                    </w:numPr>
                    <w:adjustRightInd w:val="0"/>
                    <w:snapToGrid w:val="0"/>
                    <w:ind w:left="0" w:leftChars="0" w:firstLine="0" w:firstLineChars="0"/>
                    <w:jc w:val="both"/>
                    <w:textAlignment w:val="bottom"/>
                    <w:rPr>
                      <w:rFonts w:hint="eastAsia" w:ascii="Times New Roman" w:hAnsi="Times New Roman" w:eastAsia="宋体" w:cs="Times New Roman"/>
                      <w:color w:val="auto"/>
                      <w:sz w:val="18"/>
                      <w:szCs w:val="18"/>
                      <w:highlight w:val="none"/>
                    </w:rPr>
                  </w:pPr>
                </w:p>
              </w:tc>
              <w:tc>
                <w:tcPr>
                  <w:tcW w:w="844" w:type="dxa"/>
                  <w:noWrap w:val="0"/>
                  <w:vAlign w:val="center"/>
                </w:tcPr>
                <w:p w14:paraId="5F78F366">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25</w:t>
                  </w:r>
                </w:p>
              </w:tc>
              <w:tc>
                <w:tcPr>
                  <w:tcW w:w="843" w:type="dxa"/>
                  <w:noWrap w:val="0"/>
                  <w:vAlign w:val="center"/>
                </w:tcPr>
                <w:p w14:paraId="2B76BF91">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w:t>
                  </w:r>
                  <w:r>
                    <w:rPr>
                      <w:rFonts w:hint="eastAsia" w:cs="Times New Roman"/>
                      <w:color w:val="auto"/>
                      <w:highlight w:val="none"/>
                      <w:lang w:val="en-US" w:eastAsia="zh-CN"/>
                    </w:rPr>
                    <w:t>0</w:t>
                  </w:r>
                </w:p>
              </w:tc>
              <w:tc>
                <w:tcPr>
                  <w:tcW w:w="764" w:type="dxa"/>
                  <w:noWrap w:val="0"/>
                  <w:vAlign w:val="center"/>
                </w:tcPr>
                <w:p w14:paraId="391E2331">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r>
            <w:tr w14:paraId="1853B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450" w:type="dxa"/>
                  <w:noWrap w:val="0"/>
                  <w:vAlign w:val="center"/>
                </w:tcPr>
                <w:p w14:paraId="3867EDEE">
                  <w:pPr>
                    <w:numPr>
                      <w:ilvl w:val="0"/>
                      <w:numId w:val="7"/>
                    </w:numPr>
                    <w:adjustRightInd w:val="0"/>
                    <w:snapToGrid w:val="0"/>
                    <w:ind w:left="425" w:leftChars="0" w:hanging="425" w:firstLineChars="0"/>
                    <w:jc w:val="center"/>
                    <w:textAlignment w:val="bottom"/>
                    <w:rPr>
                      <w:rFonts w:hint="default" w:ascii="Times New Roman" w:hAnsi="Times New Roman" w:eastAsia="宋体" w:cs="Times New Roman"/>
                      <w:color w:val="auto"/>
                      <w:sz w:val="18"/>
                      <w:szCs w:val="18"/>
                      <w:highlight w:val="none"/>
                      <w:lang w:val="en-US" w:eastAsia="zh-CN" w:bidi="ar"/>
                    </w:rPr>
                  </w:pPr>
                </w:p>
              </w:tc>
              <w:tc>
                <w:tcPr>
                  <w:tcW w:w="773" w:type="dxa"/>
                  <w:vMerge w:val="continue"/>
                  <w:noWrap w:val="0"/>
                  <w:vAlign w:val="center"/>
                </w:tcPr>
                <w:p w14:paraId="17D26F01">
                  <w:pPr>
                    <w:snapToGrid w:val="0"/>
                    <w:jc w:val="center"/>
                    <w:rPr>
                      <w:rFonts w:hint="eastAsia" w:ascii="Times New Roman" w:hAnsi="Times New Roman" w:eastAsia="宋体" w:cs="Times New Roman"/>
                      <w:color w:val="auto"/>
                      <w:sz w:val="18"/>
                      <w:szCs w:val="18"/>
                      <w:highlight w:val="none"/>
                    </w:rPr>
                  </w:pPr>
                </w:p>
              </w:tc>
              <w:tc>
                <w:tcPr>
                  <w:tcW w:w="1722" w:type="dxa"/>
                  <w:noWrap w:val="0"/>
                  <w:vAlign w:val="center"/>
                </w:tcPr>
                <w:p w14:paraId="326A6510">
                  <w:pPr>
                    <w:jc w:val="center"/>
                    <w:rPr>
                      <w:rFonts w:hint="eastAsia"/>
                      <w:color w:val="auto"/>
                      <w:highlight w:val="none"/>
                    </w:rPr>
                  </w:pPr>
                  <w:r>
                    <w:rPr>
                      <w:rFonts w:hint="eastAsia" w:ascii="Times New Roman" w:hAnsi="Times New Roman" w:eastAsia="宋体" w:cs="Times New Roman"/>
                      <w:color w:val="auto"/>
                      <w:highlight w:val="none"/>
                      <w:lang w:val="en-US" w:eastAsia="zh-CN"/>
                    </w:rPr>
                    <w:t>新款</w:t>
                  </w:r>
                  <w:r>
                    <w:rPr>
                      <w:rFonts w:hint="eastAsia" w:cs="Times New Roman"/>
                      <w:color w:val="auto"/>
                      <w:highlight w:val="none"/>
                      <w:lang w:val="en-US" w:eastAsia="zh-CN"/>
                    </w:rPr>
                    <w:t>85</w:t>
                  </w:r>
                  <w:r>
                    <w:rPr>
                      <w:rFonts w:hint="eastAsia" w:ascii="Times New Roman" w:hAnsi="Times New Roman" w:eastAsia="宋体" w:cs="Times New Roman"/>
                      <w:color w:val="auto"/>
                      <w:highlight w:val="none"/>
                      <w:lang w:val="en-US" w:eastAsia="zh-CN"/>
                    </w:rPr>
                    <w:t>0下拨料颗粒机</w:t>
                  </w:r>
                </w:p>
              </w:tc>
              <w:tc>
                <w:tcPr>
                  <w:tcW w:w="1212" w:type="dxa"/>
                  <w:noWrap w:val="0"/>
                  <w:vAlign w:val="center"/>
                </w:tcPr>
                <w:p w14:paraId="635F1134">
                  <w:pPr>
                    <w:jc w:val="center"/>
                    <w:rPr>
                      <w:rFonts w:hint="eastAsia"/>
                      <w:color w:val="auto"/>
                      <w:highlight w:val="none"/>
                    </w:rPr>
                  </w:pPr>
                  <w:r>
                    <w:rPr>
                      <w:rFonts w:hint="eastAsia" w:cs="Times New Roman"/>
                      <w:color w:val="auto"/>
                      <w:highlight w:val="none"/>
                      <w:lang w:val="en-US" w:eastAsia="zh-CN"/>
                    </w:rPr>
                    <w:t>85</w:t>
                  </w:r>
                  <w:r>
                    <w:rPr>
                      <w:rFonts w:hint="eastAsia" w:ascii="Times New Roman" w:hAnsi="Times New Roman" w:eastAsia="宋体" w:cs="Times New Roman"/>
                      <w:color w:val="auto"/>
                      <w:highlight w:val="none"/>
                      <w:lang w:val="en-US" w:eastAsia="zh-CN"/>
                    </w:rPr>
                    <w:t>0</w:t>
                  </w:r>
                </w:p>
              </w:tc>
              <w:tc>
                <w:tcPr>
                  <w:tcW w:w="733" w:type="dxa"/>
                  <w:noWrap w:val="0"/>
                  <w:vAlign w:val="center"/>
                </w:tcPr>
                <w:p w14:paraId="55D1744E">
                  <w:pPr>
                    <w:numPr>
                      <w:ilvl w:val="0"/>
                      <w:numId w:val="0"/>
                    </w:numPr>
                    <w:adjustRightInd w:val="0"/>
                    <w:snapToGrid w:val="0"/>
                    <w:ind w:left="0" w:leftChars="0" w:firstLine="0" w:firstLineChars="0"/>
                    <w:jc w:val="center"/>
                    <w:textAlignment w:val="bottom"/>
                    <w:rPr>
                      <w:rFonts w:hint="default"/>
                      <w:color w:val="auto"/>
                      <w:szCs w:val="21"/>
                      <w:highlight w:val="none"/>
                      <w:lang w:val="en-US" w:eastAsia="zh-CN"/>
                    </w:rPr>
                  </w:pPr>
                  <w:r>
                    <w:rPr>
                      <w:rFonts w:hint="eastAsia" w:ascii="Times New Roman" w:hAnsi="Times New Roman" w:eastAsia="宋体" w:cs="Times New Roman"/>
                      <w:color w:val="auto"/>
                      <w:sz w:val="18"/>
                      <w:szCs w:val="18"/>
                      <w:highlight w:val="none"/>
                      <w:lang w:val="en-US" w:eastAsia="zh-CN" w:bidi="ar"/>
                    </w:rPr>
                    <w:t>/</w:t>
                  </w:r>
                </w:p>
              </w:tc>
              <w:tc>
                <w:tcPr>
                  <w:tcW w:w="761" w:type="dxa"/>
                  <w:noWrap w:val="0"/>
                  <w:vAlign w:val="center"/>
                </w:tcPr>
                <w:p w14:paraId="716483FC">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75</w:t>
                  </w:r>
                </w:p>
              </w:tc>
              <w:tc>
                <w:tcPr>
                  <w:tcW w:w="638" w:type="dxa"/>
                  <w:vMerge w:val="continue"/>
                  <w:noWrap w:val="0"/>
                  <w:vAlign w:val="center"/>
                </w:tcPr>
                <w:p w14:paraId="6C63FCD0">
                  <w:pPr>
                    <w:snapToGrid w:val="0"/>
                    <w:jc w:val="center"/>
                    <w:rPr>
                      <w:rFonts w:hint="eastAsia" w:ascii="Times New Roman" w:hAnsi="Times New Roman" w:eastAsia="宋体" w:cs="Times New Roman"/>
                      <w:color w:val="auto"/>
                      <w:sz w:val="18"/>
                      <w:szCs w:val="18"/>
                      <w:highlight w:val="none"/>
                    </w:rPr>
                  </w:pPr>
                </w:p>
              </w:tc>
              <w:tc>
                <w:tcPr>
                  <w:tcW w:w="501" w:type="dxa"/>
                  <w:noWrap w:val="0"/>
                  <w:vAlign w:val="center"/>
                </w:tcPr>
                <w:p w14:paraId="09DBAFF2">
                  <w:pPr>
                    <w:jc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30</w:t>
                  </w:r>
                </w:p>
              </w:tc>
              <w:tc>
                <w:tcPr>
                  <w:tcW w:w="623" w:type="dxa"/>
                  <w:noWrap w:val="0"/>
                  <w:vAlign w:val="center"/>
                </w:tcPr>
                <w:p w14:paraId="359A6398">
                  <w:pPr>
                    <w:jc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30</w:t>
                  </w:r>
                </w:p>
              </w:tc>
              <w:tc>
                <w:tcPr>
                  <w:tcW w:w="520" w:type="dxa"/>
                  <w:noWrap w:val="0"/>
                  <w:vAlign w:val="center"/>
                </w:tcPr>
                <w:p w14:paraId="5CD5EB9E">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1.5</w:t>
                  </w:r>
                </w:p>
              </w:tc>
              <w:tc>
                <w:tcPr>
                  <w:tcW w:w="625" w:type="dxa"/>
                  <w:noWrap w:val="0"/>
                  <w:vAlign w:val="center"/>
                </w:tcPr>
                <w:p w14:paraId="5825DBB1">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c>
                <w:tcPr>
                  <w:tcW w:w="773" w:type="dxa"/>
                  <w:noWrap w:val="0"/>
                  <w:vAlign w:val="center"/>
                </w:tcPr>
                <w:p w14:paraId="1446147E">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65</w:t>
                  </w:r>
                </w:p>
              </w:tc>
              <w:tc>
                <w:tcPr>
                  <w:tcW w:w="674" w:type="dxa"/>
                  <w:vMerge w:val="continue"/>
                  <w:noWrap w:val="0"/>
                  <w:vAlign w:val="center"/>
                </w:tcPr>
                <w:p w14:paraId="2C2D28AC">
                  <w:pPr>
                    <w:numPr>
                      <w:ilvl w:val="0"/>
                      <w:numId w:val="0"/>
                    </w:numPr>
                    <w:adjustRightInd w:val="0"/>
                    <w:snapToGrid w:val="0"/>
                    <w:ind w:left="0" w:leftChars="0" w:firstLine="0" w:firstLineChars="0"/>
                    <w:jc w:val="center"/>
                    <w:textAlignment w:val="bottom"/>
                    <w:rPr>
                      <w:rFonts w:hint="eastAsia" w:ascii="Times New Roman" w:hAnsi="Times New Roman" w:eastAsia="宋体" w:cs="Times New Roman"/>
                      <w:color w:val="auto"/>
                      <w:sz w:val="18"/>
                      <w:szCs w:val="18"/>
                      <w:highlight w:val="none"/>
                    </w:rPr>
                  </w:pPr>
                </w:p>
              </w:tc>
              <w:tc>
                <w:tcPr>
                  <w:tcW w:w="844" w:type="dxa"/>
                  <w:noWrap w:val="0"/>
                  <w:vAlign w:val="center"/>
                </w:tcPr>
                <w:p w14:paraId="39CEC7EF">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25</w:t>
                  </w:r>
                </w:p>
              </w:tc>
              <w:tc>
                <w:tcPr>
                  <w:tcW w:w="843" w:type="dxa"/>
                  <w:noWrap w:val="0"/>
                  <w:vAlign w:val="center"/>
                </w:tcPr>
                <w:p w14:paraId="7240B216">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w:t>
                  </w:r>
                  <w:r>
                    <w:rPr>
                      <w:rFonts w:hint="eastAsia" w:cs="Times New Roman"/>
                      <w:color w:val="auto"/>
                      <w:highlight w:val="none"/>
                      <w:lang w:val="en-US" w:eastAsia="zh-CN"/>
                    </w:rPr>
                    <w:t>0</w:t>
                  </w:r>
                </w:p>
              </w:tc>
              <w:tc>
                <w:tcPr>
                  <w:tcW w:w="764" w:type="dxa"/>
                  <w:noWrap w:val="0"/>
                  <w:vAlign w:val="center"/>
                </w:tcPr>
                <w:p w14:paraId="62BD3C1C">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r>
            <w:tr w14:paraId="079D2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450" w:type="dxa"/>
                  <w:noWrap w:val="0"/>
                  <w:vAlign w:val="center"/>
                </w:tcPr>
                <w:p w14:paraId="5BE1D99D">
                  <w:pPr>
                    <w:numPr>
                      <w:ilvl w:val="0"/>
                      <w:numId w:val="7"/>
                    </w:numPr>
                    <w:adjustRightInd w:val="0"/>
                    <w:snapToGrid w:val="0"/>
                    <w:ind w:left="425" w:leftChars="0" w:hanging="425" w:firstLineChars="0"/>
                    <w:jc w:val="center"/>
                    <w:textAlignment w:val="bottom"/>
                    <w:rPr>
                      <w:rFonts w:hint="default" w:ascii="Times New Roman" w:hAnsi="Times New Roman" w:eastAsia="宋体" w:cs="Times New Roman"/>
                      <w:color w:val="auto"/>
                      <w:sz w:val="18"/>
                      <w:szCs w:val="18"/>
                      <w:highlight w:val="none"/>
                      <w:lang w:val="en-US" w:eastAsia="zh-CN" w:bidi="ar"/>
                    </w:rPr>
                  </w:pPr>
                </w:p>
              </w:tc>
              <w:tc>
                <w:tcPr>
                  <w:tcW w:w="773" w:type="dxa"/>
                  <w:vMerge w:val="continue"/>
                  <w:noWrap w:val="0"/>
                  <w:vAlign w:val="center"/>
                </w:tcPr>
                <w:p w14:paraId="68BAB788">
                  <w:pPr>
                    <w:snapToGrid w:val="0"/>
                    <w:jc w:val="center"/>
                    <w:rPr>
                      <w:rFonts w:hint="eastAsia" w:ascii="Times New Roman" w:hAnsi="Times New Roman" w:eastAsia="宋体" w:cs="Times New Roman"/>
                      <w:color w:val="auto"/>
                      <w:sz w:val="18"/>
                      <w:szCs w:val="18"/>
                      <w:highlight w:val="none"/>
                    </w:rPr>
                  </w:pPr>
                </w:p>
              </w:tc>
              <w:tc>
                <w:tcPr>
                  <w:tcW w:w="1722" w:type="dxa"/>
                  <w:noWrap w:val="0"/>
                  <w:vAlign w:val="center"/>
                </w:tcPr>
                <w:p w14:paraId="5C373A02">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新款</w:t>
                  </w:r>
                  <w:r>
                    <w:rPr>
                      <w:rFonts w:hint="eastAsia" w:cs="Times New Roman"/>
                      <w:color w:val="auto"/>
                      <w:highlight w:val="none"/>
                      <w:lang w:val="en-US" w:eastAsia="zh-CN"/>
                    </w:rPr>
                    <w:t>85</w:t>
                  </w:r>
                  <w:r>
                    <w:rPr>
                      <w:rFonts w:hint="eastAsia" w:ascii="Times New Roman" w:hAnsi="Times New Roman" w:eastAsia="宋体" w:cs="Times New Roman"/>
                      <w:color w:val="auto"/>
                      <w:highlight w:val="none"/>
                      <w:lang w:val="en-US" w:eastAsia="zh-CN"/>
                    </w:rPr>
                    <w:t>0下拨料颗粒机</w:t>
                  </w:r>
                </w:p>
              </w:tc>
              <w:tc>
                <w:tcPr>
                  <w:tcW w:w="1212" w:type="dxa"/>
                  <w:noWrap w:val="0"/>
                  <w:vAlign w:val="center"/>
                </w:tcPr>
                <w:p w14:paraId="71E8DB39">
                  <w:pPr>
                    <w:jc w:val="center"/>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85</w:t>
                  </w:r>
                  <w:r>
                    <w:rPr>
                      <w:rFonts w:hint="eastAsia" w:ascii="Times New Roman" w:hAnsi="Times New Roman" w:eastAsia="宋体" w:cs="Times New Roman"/>
                      <w:color w:val="auto"/>
                      <w:highlight w:val="none"/>
                      <w:lang w:val="en-US" w:eastAsia="zh-CN"/>
                    </w:rPr>
                    <w:t>0</w:t>
                  </w:r>
                </w:p>
              </w:tc>
              <w:tc>
                <w:tcPr>
                  <w:tcW w:w="733" w:type="dxa"/>
                  <w:noWrap w:val="0"/>
                  <w:vAlign w:val="center"/>
                </w:tcPr>
                <w:p w14:paraId="43E5DF59">
                  <w:pPr>
                    <w:numPr>
                      <w:ilvl w:val="0"/>
                      <w:numId w:val="0"/>
                    </w:numPr>
                    <w:adjustRightInd w:val="0"/>
                    <w:snapToGrid w:val="0"/>
                    <w:ind w:left="0" w:leftChars="0" w:firstLine="0" w:firstLineChars="0"/>
                    <w:jc w:val="center"/>
                    <w:textAlignment w:val="bottom"/>
                    <w:rPr>
                      <w:rFonts w:hint="eastAsia" w:ascii="Times New Roman" w:hAnsi="Times New Roman" w:eastAsia="宋体" w:cs="Times New Roman"/>
                      <w:color w:val="auto"/>
                      <w:sz w:val="18"/>
                      <w:szCs w:val="18"/>
                      <w:highlight w:val="none"/>
                      <w:lang w:val="en-US" w:eastAsia="zh-CN" w:bidi="ar"/>
                    </w:rPr>
                  </w:pPr>
                  <w:r>
                    <w:rPr>
                      <w:rFonts w:hint="eastAsia" w:ascii="Times New Roman" w:hAnsi="Times New Roman" w:eastAsia="宋体" w:cs="Times New Roman"/>
                      <w:color w:val="auto"/>
                      <w:sz w:val="18"/>
                      <w:szCs w:val="18"/>
                      <w:highlight w:val="none"/>
                      <w:lang w:val="en-US" w:eastAsia="zh-CN" w:bidi="ar"/>
                    </w:rPr>
                    <w:t>/</w:t>
                  </w:r>
                </w:p>
              </w:tc>
              <w:tc>
                <w:tcPr>
                  <w:tcW w:w="761" w:type="dxa"/>
                  <w:noWrap w:val="0"/>
                  <w:vAlign w:val="center"/>
                </w:tcPr>
                <w:p w14:paraId="203BEB70">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75</w:t>
                  </w:r>
                </w:p>
              </w:tc>
              <w:tc>
                <w:tcPr>
                  <w:tcW w:w="638" w:type="dxa"/>
                  <w:vMerge w:val="continue"/>
                  <w:noWrap w:val="0"/>
                  <w:vAlign w:val="center"/>
                </w:tcPr>
                <w:p w14:paraId="6B5D9563">
                  <w:pPr>
                    <w:snapToGrid w:val="0"/>
                    <w:jc w:val="center"/>
                    <w:rPr>
                      <w:rFonts w:hint="eastAsia" w:ascii="Times New Roman" w:hAnsi="Times New Roman" w:eastAsia="宋体" w:cs="Times New Roman"/>
                      <w:color w:val="auto"/>
                      <w:sz w:val="18"/>
                      <w:szCs w:val="18"/>
                      <w:highlight w:val="none"/>
                    </w:rPr>
                  </w:pPr>
                </w:p>
              </w:tc>
              <w:tc>
                <w:tcPr>
                  <w:tcW w:w="501" w:type="dxa"/>
                  <w:noWrap w:val="0"/>
                  <w:vAlign w:val="center"/>
                </w:tcPr>
                <w:p w14:paraId="7B0E8413">
                  <w:pPr>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35</w:t>
                  </w:r>
                </w:p>
              </w:tc>
              <w:tc>
                <w:tcPr>
                  <w:tcW w:w="623" w:type="dxa"/>
                  <w:noWrap w:val="0"/>
                  <w:vAlign w:val="center"/>
                </w:tcPr>
                <w:p w14:paraId="246A8944">
                  <w:pPr>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30</w:t>
                  </w:r>
                </w:p>
              </w:tc>
              <w:tc>
                <w:tcPr>
                  <w:tcW w:w="520" w:type="dxa"/>
                  <w:noWrap w:val="0"/>
                  <w:vAlign w:val="center"/>
                </w:tcPr>
                <w:p w14:paraId="5A72ED67">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1.5</w:t>
                  </w:r>
                </w:p>
              </w:tc>
              <w:tc>
                <w:tcPr>
                  <w:tcW w:w="625" w:type="dxa"/>
                  <w:noWrap w:val="0"/>
                  <w:vAlign w:val="center"/>
                </w:tcPr>
                <w:p w14:paraId="031C4669">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c>
                <w:tcPr>
                  <w:tcW w:w="773" w:type="dxa"/>
                  <w:noWrap w:val="0"/>
                  <w:vAlign w:val="center"/>
                </w:tcPr>
                <w:p w14:paraId="1DA8D4F0">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65</w:t>
                  </w:r>
                </w:p>
              </w:tc>
              <w:tc>
                <w:tcPr>
                  <w:tcW w:w="674" w:type="dxa"/>
                  <w:vMerge w:val="continue"/>
                  <w:noWrap w:val="0"/>
                  <w:vAlign w:val="center"/>
                </w:tcPr>
                <w:p w14:paraId="0258FDD7">
                  <w:pPr>
                    <w:numPr>
                      <w:ilvl w:val="0"/>
                      <w:numId w:val="0"/>
                    </w:numPr>
                    <w:adjustRightInd w:val="0"/>
                    <w:snapToGrid w:val="0"/>
                    <w:ind w:left="0" w:leftChars="0" w:firstLine="0" w:firstLineChars="0"/>
                    <w:jc w:val="center"/>
                    <w:textAlignment w:val="bottom"/>
                    <w:rPr>
                      <w:rFonts w:hint="eastAsia" w:ascii="Times New Roman" w:hAnsi="Times New Roman" w:eastAsia="宋体" w:cs="Times New Roman"/>
                      <w:color w:val="auto"/>
                      <w:sz w:val="18"/>
                      <w:szCs w:val="18"/>
                      <w:highlight w:val="none"/>
                    </w:rPr>
                  </w:pPr>
                </w:p>
              </w:tc>
              <w:tc>
                <w:tcPr>
                  <w:tcW w:w="844" w:type="dxa"/>
                  <w:noWrap w:val="0"/>
                  <w:vAlign w:val="center"/>
                </w:tcPr>
                <w:p w14:paraId="11F16168">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25</w:t>
                  </w:r>
                </w:p>
              </w:tc>
              <w:tc>
                <w:tcPr>
                  <w:tcW w:w="843" w:type="dxa"/>
                  <w:noWrap w:val="0"/>
                  <w:vAlign w:val="center"/>
                </w:tcPr>
                <w:p w14:paraId="12489160">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w:t>
                  </w:r>
                  <w:r>
                    <w:rPr>
                      <w:rFonts w:hint="eastAsia" w:cs="Times New Roman"/>
                      <w:color w:val="auto"/>
                      <w:highlight w:val="none"/>
                      <w:lang w:val="en-US" w:eastAsia="zh-CN"/>
                    </w:rPr>
                    <w:t>0</w:t>
                  </w:r>
                </w:p>
              </w:tc>
              <w:tc>
                <w:tcPr>
                  <w:tcW w:w="764" w:type="dxa"/>
                  <w:noWrap w:val="0"/>
                  <w:vAlign w:val="center"/>
                </w:tcPr>
                <w:p w14:paraId="04183EA0">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r>
            <w:tr w14:paraId="096F0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450" w:type="dxa"/>
                  <w:noWrap w:val="0"/>
                  <w:vAlign w:val="center"/>
                </w:tcPr>
                <w:p w14:paraId="7D8D11DC">
                  <w:pPr>
                    <w:numPr>
                      <w:ilvl w:val="0"/>
                      <w:numId w:val="7"/>
                    </w:numPr>
                    <w:adjustRightInd w:val="0"/>
                    <w:snapToGrid w:val="0"/>
                    <w:ind w:left="425" w:leftChars="0" w:hanging="425" w:firstLineChars="0"/>
                    <w:jc w:val="center"/>
                    <w:textAlignment w:val="bottom"/>
                    <w:rPr>
                      <w:rFonts w:hint="default" w:ascii="Times New Roman" w:hAnsi="Times New Roman" w:eastAsia="宋体" w:cs="Times New Roman"/>
                      <w:color w:val="auto"/>
                      <w:sz w:val="18"/>
                      <w:szCs w:val="18"/>
                      <w:highlight w:val="none"/>
                      <w:lang w:val="en-US" w:eastAsia="zh-CN" w:bidi="ar"/>
                    </w:rPr>
                  </w:pPr>
                </w:p>
              </w:tc>
              <w:tc>
                <w:tcPr>
                  <w:tcW w:w="773" w:type="dxa"/>
                  <w:vMerge w:val="continue"/>
                  <w:noWrap w:val="0"/>
                  <w:vAlign w:val="center"/>
                </w:tcPr>
                <w:p w14:paraId="447B155E">
                  <w:pPr>
                    <w:snapToGrid w:val="0"/>
                    <w:jc w:val="center"/>
                    <w:rPr>
                      <w:rFonts w:hint="eastAsia" w:ascii="Times New Roman" w:hAnsi="Times New Roman" w:eastAsia="宋体" w:cs="Times New Roman"/>
                      <w:color w:val="auto"/>
                      <w:sz w:val="18"/>
                      <w:szCs w:val="18"/>
                      <w:highlight w:val="none"/>
                    </w:rPr>
                  </w:pPr>
                </w:p>
              </w:tc>
              <w:tc>
                <w:tcPr>
                  <w:tcW w:w="1722" w:type="dxa"/>
                  <w:noWrap w:val="0"/>
                  <w:vAlign w:val="center"/>
                </w:tcPr>
                <w:p w14:paraId="3B2729D5">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新款</w:t>
                  </w:r>
                  <w:r>
                    <w:rPr>
                      <w:rFonts w:hint="eastAsia" w:cs="Times New Roman"/>
                      <w:color w:val="auto"/>
                      <w:highlight w:val="none"/>
                      <w:lang w:val="en-US" w:eastAsia="zh-CN"/>
                    </w:rPr>
                    <w:t>85</w:t>
                  </w:r>
                  <w:r>
                    <w:rPr>
                      <w:rFonts w:hint="eastAsia" w:ascii="Times New Roman" w:hAnsi="Times New Roman" w:eastAsia="宋体" w:cs="Times New Roman"/>
                      <w:color w:val="auto"/>
                      <w:highlight w:val="none"/>
                      <w:lang w:val="en-US" w:eastAsia="zh-CN"/>
                    </w:rPr>
                    <w:t>0下拨料颗粒机</w:t>
                  </w:r>
                </w:p>
              </w:tc>
              <w:tc>
                <w:tcPr>
                  <w:tcW w:w="1212" w:type="dxa"/>
                  <w:noWrap w:val="0"/>
                  <w:vAlign w:val="center"/>
                </w:tcPr>
                <w:p w14:paraId="1BF15B56">
                  <w:pPr>
                    <w:jc w:val="center"/>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85</w:t>
                  </w:r>
                  <w:r>
                    <w:rPr>
                      <w:rFonts w:hint="eastAsia" w:ascii="Times New Roman" w:hAnsi="Times New Roman" w:eastAsia="宋体" w:cs="Times New Roman"/>
                      <w:color w:val="auto"/>
                      <w:highlight w:val="none"/>
                      <w:lang w:val="en-US" w:eastAsia="zh-CN"/>
                    </w:rPr>
                    <w:t>0</w:t>
                  </w:r>
                </w:p>
              </w:tc>
              <w:tc>
                <w:tcPr>
                  <w:tcW w:w="733" w:type="dxa"/>
                  <w:noWrap w:val="0"/>
                  <w:vAlign w:val="center"/>
                </w:tcPr>
                <w:p w14:paraId="54BA3080">
                  <w:pPr>
                    <w:numPr>
                      <w:ilvl w:val="0"/>
                      <w:numId w:val="0"/>
                    </w:numPr>
                    <w:adjustRightInd w:val="0"/>
                    <w:snapToGrid w:val="0"/>
                    <w:ind w:left="0" w:leftChars="0" w:firstLine="0" w:firstLineChars="0"/>
                    <w:jc w:val="center"/>
                    <w:textAlignment w:val="bottom"/>
                    <w:rPr>
                      <w:rFonts w:hint="eastAsia" w:ascii="Times New Roman" w:hAnsi="Times New Roman" w:eastAsia="宋体" w:cs="Times New Roman"/>
                      <w:color w:val="auto"/>
                      <w:sz w:val="18"/>
                      <w:szCs w:val="18"/>
                      <w:highlight w:val="none"/>
                      <w:lang w:val="en-US" w:eastAsia="zh-CN" w:bidi="ar"/>
                    </w:rPr>
                  </w:pPr>
                  <w:r>
                    <w:rPr>
                      <w:rFonts w:hint="eastAsia" w:ascii="Times New Roman" w:hAnsi="Times New Roman" w:eastAsia="宋体" w:cs="Times New Roman"/>
                      <w:color w:val="auto"/>
                      <w:sz w:val="18"/>
                      <w:szCs w:val="18"/>
                      <w:highlight w:val="none"/>
                      <w:lang w:val="en-US" w:eastAsia="zh-CN" w:bidi="ar"/>
                    </w:rPr>
                    <w:t>/</w:t>
                  </w:r>
                </w:p>
              </w:tc>
              <w:tc>
                <w:tcPr>
                  <w:tcW w:w="761" w:type="dxa"/>
                  <w:noWrap w:val="0"/>
                  <w:vAlign w:val="center"/>
                </w:tcPr>
                <w:p w14:paraId="7630DCCA">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75</w:t>
                  </w:r>
                </w:p>
              </w:tc>
              <w:tc>
                <w:tcPr>
                  <w:tcW w:w="638" w:type="dxa"/>
                  <w:vMerge w:val="continue"/>
                  <w:noWrap w:val="0"/>
                  <w:vAlign w:val="center"/>
                </w:tcPr>
                <w:p w14:paraId="1D09DB24">
                  <w:pPr>
                    <w:snapToGrid w:val="0"/>
                    <w:jc w:val="center"/>
                    <w:rPr>
                      <w:rFonts w:hint="eastAsia" w:ascii="Times New Roman" w:hAnsi="Times New Roman" w:eastAsia="宋体" w:cs="Times New Roman"/>
                      <w:color w:val="auto"/>
                      <w:sz w:val="18"/>
                      <w:szCs w:val="18"/>
                      <w:highlight w:val="none"/>
                    </w:rPr>
                  </w:pPr>
                </w:p>
              </w:tc>
              <w:tc>
                <w:tcPr>
                  <w:tcW w:w="501" w:type="dxa"/>
                  <w:noWrap w:val="0"/>
                  <w:vAlign w:val="center"/>
                </w:tcPr>
                <w:p w14:paraId="3D43C8FA">
                  <w:pPr>
                    <w:jc w:val="center"/>
                    <w:rPr>
                      <w:rFonts w:hint="eastAsia" w:cs="Times New Roman"/>
                      <w:color w:val="auto"/>
                      <w:highlight w:val="none"/>
                      <w:lang w:val="en-US" w:eastAsia="zh-CN"/>
                    </w:rPr>
                  </w:pPr>
                  <w:r>
                    <w:rPr>
                      <w:rFonts w:hint="eastAsia" w:ascii="Times New Roman" w:hAnsi="Times New Roman" w:cs="Times New Roman"/>
                      <w:color w:val="auto"/>
                      <w:highlight w:val="none"/>
                      <w:lang w:val="en-US" w:eastAsia="zh-CN"/>
                    </w:rPr>
                    <w:t>30</w:t>
                  </w:r>
                </w:p>
              </w:tc>
              <w:tc>
                <w:tcPr>
                  <w:tcW w:w="623" w:type="dxa"/>
                  <w:noWrap w:val="0"/>
                  <w:vAlign w:val="center"/>
                </w:tcPr>
                <w:p w14:paraId="5B7640C4">
                  <w:pPr>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30</w:t>
                  </w:r>
                </w:p>
              </w:tc>
              <w:tc>
                <w:tcPr>
                  <w:tcW w:w="520" w:type="dxa"/>
                  <w:noWrap w:val="0"/>
                  <w:vAlign w:val="center"/>
                </w:tcPr>
                <w:p w14:paraId="20C54F0F">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1.5</w:t>
                  </w:r>
                </w:p>
              </w:tc>
              <w:tc>
                <w:tcPr>
                  <w:tcW w:w="625" w:type="dxa"/>
                  <w:noWrap w:val="0"/>
                  <w:vAlign w:val="center"/>
                </w:tcPr>
                <w:p w14:paraId="16F47BC5">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c>
                <w:tcPr>
                  <w:tcW w:w="773" w:type="dxa"/>
                  <w:noWrap w:val="0"/>
                  <w:vAlign w:val="center"/>
                </w:tcPr>
                <w:p w14:paraId="5784DD04">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65</w:t>
                  </w:r>
                </w:p>
              </w:tc>
              <w:tc>
                <w:tcPr>
                  <w:tcW w:w="674" w:type="dxa"/>
                  <w:vMerge w:val="continue"/>
                  <w:noWrap w:val="0"/>
                  <w:vAlign w:val="center"/>
                </w:tcPr>
                <w:p w14:paraId="55A1E5A5">
                  <w:pPr>
                    <w:numPr>
                      <w:ilvl w:val="0"/>
                      <w:numId w:val="0"/>
                    </w:numPr>
                    <w:adjustRightInd w:val="0"/>
                    <w:snapToGrid w:val="0"/>
                    <w:ind w:left="0" w:leftChars="0" w:firstLine="0" w:firstLineChars="0"/>
                    <w:jc w:val="center"/>
                    <w:textAlignment w:val="bottom"/>
                    <w:rPr>
                      <w:rFonts w:hint="eastAsia" w:ascii="Times New Roman" w:hAnsi="Times New Roman" w:eastAsia="宋体" w:cs="Times New Roman"/>
                      <w:color w:val="auto"/>
                      <w:sz w:val="18"/>
                      <w:szCs w:val="18"/>
                      <w:highlight w:val="none"/>
                    </w:rPr>
                  </w:pPr>
                </w:p>
              </w:tc>
              <w:tc>
                <w:tcPr>
                  <w:tcW w:w="844" w:type="dxa"/>
                  <w:noWrap w:val="0"/>
                  <w:vAlign w:val="center"/>
                </w:tcPr>
                <w:p w14:paraId="6233BDAE">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25</w:t>
                  </w:r>
                </w:p>
              </w:tc>
              <w:tc>
                <w:tcPr>
                  <w:tcW w:w="843" w:type="dxa"/>
                  <w:noWrap w:val="0"/>
                  <w:vAlign w:val="center"/>
                </w:tcPr>
                <w:p w14:paraId="20D1FCA9">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w:t>
                  </w:r>
                  <w:r>
                    <w:rPr>
                      <w:rFonts w:hint="eastAsia" w:cs="Times New Roman"/>
                      <w:color w:val="auto"/>
                      <w:highlight w:val="none"/>
                      <w:lang w:val="en-US" w:eastAsia="zh-CN"/>
                    </w:rPr>
                    <w:t>0</w:t>
                  </w:r>
                </w:p>
              </w:tc>
              <w:tc>
                <w:tcPr>
                  <w:tcW w:w="764" w:type="dxa"/>
                  <w:noWrap w:val="0"/>
                  <w:vAlign w:val="center"/>
                </w:tcPr>
                <w:p w14:paraId="7D49B97A">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r>
            <w:tr w14:paraId="1E517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450" w:type="dxa"/>
                  <w:noWrap w:val="0"/>
                  <w:vAlign w:val="center"/>
                </w:tcPr>
                <w:p w14:paraId="2F6F2509">
                  <w:pPr>
                    <w:numPr>
                      <w:ilvl w:val="0"/>
                      <w:numId w:val="7"/>
                    </w:numPr>
                    <w:adjustRightInd w:val="0"/>
                    <w:snapToGrid w:val="0"/>
                    <w:ind w:left="425" w:leftChars="0" w:hanging="425" w:firstLineChars="0"/>
                    <w:jc w:val="center"/>
                    <w:textAlignment w:val="bottom"/>
                    <w:rPr>
                      <w:rFonts w:hint="default" w:ascii="Times New Roman" w:hAnsi="Times New Roman" w:eastAsia="宋体" w:cs="Times New Roman"/>
                      <w:color w:val="auto"/>
                      <w:sz w:val="18"/>
                      <w:szCs w:val="18"/>
                      <w:highlight w:val="none"/>
                      <w:lang w:val="en-US" w:eastAsia="zh-CN" w:bidi="ar"/>
                    </w:rPr>
                  </w:pPr>
                </w:p>
              </w:tc>
              <w:tc>
                <w:tcPr>
                  <w:tcW w:w="773" w:type="dxa"/>
                  <w:vMerge w:val="continue"/>
                  <w:noWrap w:val="0"/>
                  <w:vAlign w:val="center"/>
                </w:tcPr>
                <w:p w14:paraId="3CCFF492">
                  <w:pPr>
                    <w:snapToGrid w:val="0"/>
                    <w:jc w:val="center"/>
                    <w:rPr>
                      <w:rFonts w:hint="eastAsia" w:ascii="Times New Roman" w:hAnsi="Times New Roman" w:eastAsia="宋体" w:cs="Times New Roman"/>
                      <w:color w:val="auto"/>
                      <w:sz w:val="18"/>
                      <w:szCs w:val="18"/>
                      <w:highlight w:val="none"/>
                    </w:rPr>
                  </w:pPr>
                </w:p>
              </w:tc>
              <w:tc>
                <w:tcPr>
                  <w:tcW w:w="1722" w:type="dxa"/>
                  <w:noWrap w:val="0"/>
                  <w:vAlign w:val="center"/>
                </w:tcPr>
                <w:p w14:paraId="2A7EFD15">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新款</w:t>
                  </w:r>
                  <w:r>
                    <w:rPr>
                      <w:rFonts w:hint="eastAsia" w:cs="Times New Roman"/>
                      <w:color w:val="auto"/>
                      <w:highlight w:val="none"/>
                      <w:lang w:val="en-US" w:eastAsia="zh-CN"/>
                    </w:rPr>
                    <w:t>85</w:t>
                  </w:r>
                  <w:r>
                    <w:rPr>
                      <w:rFonts w:hint="eastAsia" w:ascii="Times New Roman" w:hAnsi="Times New Roman" w:eastAsia="宋体" w:cs="Times New Roman"/>
                      <w:color w:val="auto"/>
                      <w:highlight w:val="none"/>
                      <w:lang w:val="en-US" w:eastAsia="zh-CN"/>
                    </w:rPr>
                    <w:t>0下拨料颗粒机</w:t>
                  </w:r>
                </w:p>
              </w:tc>
              <w:tc>
                <w:tcPr>
                  <w:tcW w:w="1212" w:type="dxa"/>
                  <w:noWrap w:val="0"/>
                  <w:vAlign w:val="center"/>
                </w:tcPr>
                <w:p w14:paraId="64C44FC0">
                  <w:pPr>
                    <w:jc w:val="center"/>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85</w:t>
                  </w:r>
                  <w:r>
                    <w:rPr>
                      <w:rFonts w:hint="eastAsia" w:ascii="Times New Roman" w:hAnsi="Times New Roman" w:eastAsia="宋体" w:cs="Times New Roman"/>
                      <w:color w:val="auto"/>
                      <w:highlight w:val="none"/>
                      <w:lang w:val="en-US" w:eastAsia="zh-CN"/>
                    </w:rPr>
                    <w:t>0</w:t>
                  </w:r>
                </w:p>
              </w:tc>
              <w:tc>
                <w:tcPr>
                  <w:tcW w:w="733" w:type="dxa"/>
                  <w:noWrap w:val="0"/>
                  <w:vAlign w:val="center"/>
                </w:tcPr>
                <w:p w14:paraId="77BE7EC5">
                  <w:pPr>
                    <w:numPr>
                      <w:ilvl w:val="0"/>
                      <w:numId w:val="0"/>
                    </w:numPr>
                    <w:adjustRightInd w:val="0"/>
                    <w:snapToGrid w:val="0"/>
                    <w:ind w:left="0" w:leftChars="0" w:firstLine="0" w:firstLineChars="0"/>
                    <w:jc w:val="center"/>
                    <w:textAlignment w:val="bottom"/>
                    <w:rPr>
                      <w:rFonts w:hint="eastAsia" w:ascii="Times New Roman" w:hAnsi="Times New Roman" w:eastAsia="宋体" w:cs="Times New Roman"/>
                      <w:color w:val="auto"/>
                      <w:sz w:val="18"/>
                      <w:szCs w:val="18"/>
                      <w:highlight w:val="none"/>
                      <w:lang w:val="en-US" w:eastAsia="zh-CN" w:bidi="ar"/>
                    </w:rPr>
                  </w:pPr>
                  <w:r>
                    <w:rPr>
                      <w:rFonts w:hint="eastAsia" w:ascii="Times New Roman" w:hAnsi="Times New Roman" w:eastAsia="宋体" w:cs="Times New Roman"/>
                      <w:color w:val="auto"/>
                      <w:sz w:val="18"/>
                      <w:szCs w:val="18"/>
                      <w:highlight w:val="none"/>
                      <w:lang w:val="en-US" w:eastAsia="zh-CN" w:bidi="ar"/>
                    </w:rPr>
                    <w:t>/</w:t>
                  </w:r>
                </w:p>
              </w:tc>
              <w:tc>
                <w:tcPr>
                  <w:tcW w:w="761" w:type="dxa"/>
                  <w:noWrap w:val="0"/>
                  <w:vAlign w:val="center"/>
                </w:tcPr>
                <w:p w14:paraId="4D28341A">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75</w:t>
                  </w:r>
                </w:p>
              </w:tc>
              <w:tc>
                <w:tcPr>
                  <w:tcW w:w="638" w:type="dxa"/>
                  <w:vMerge w:val="continue"/>
                  <w:noWrap w:val="0"/>
                  <w:vAlign w:val="center"/>
                </w:tcPr>
                <w:p w14:paraId="1D0FE674">
                  <w:pPr>
                    <w:snapToGrid w:val="0"/>
                    <w:jc w:val="center"/>
                    <w:rPr>
                      <w:rFonts w:hint="eastAsia" w:ascii="Times New Roman" w:hAnsi="Times New Roman" w:eastAsia="宋体" w:cs="Times New Roman"/>
                      <w:color w:val="auto"/>
                      <w:sz w:val="18"/>
                      <w:szCs w:val="18"/>
                      <w:highlight w:val="none"/>
                    </w:rPr>
                  </w:pPr>
                </w:p>
              </w:tc>
              <w:tc>
                <w:tcPr>
                  <w:tcW w:w="501" w:type="dxa"/>
                  <w:noWrap w:val="0"/>
                  <w:vAlign w:val="center"/>
                </w:tcPr>
                <w:p w14:paraId="167CAA94">
                  <w:pPr>
                    <w:jc w:val="center"/>
                    <w:rPr>
                      <w:rFonts w:hint="eastAsia" w:cs="Times New Roman"/>
                      <w:color w:val="auto"/>
                      <w:highlight w:val="none"/>
                      <w:lang w:val="en-US" w:eastAsia="zh-CN"/>
                    </w:rPr>
                  </w:pPr>
                  <w:r>
                    <w:rPr>
                      <w:rFonts w:hint="eastAsia" w:ascii="Times New Roman" w:hAnsi="Times New Roman" w:cs="Times New Roman"/>
                      <w:color w:val="auto"/>
                      <w:highlight w:val="none"/>
                      <w:lang w:val="en-US" w:eastAsia="zh-CN"/>
                    </w:rPr>
                    <w:t>30</w:t>
                  </w:r>
                </w:p>
              </w:tc>
              <w:tc>
                <w:tcPr>
                  <w:tcW w:w="623" w:type="dxa"/>
                  <w:noWrap w:val="0"/>
                  <w:vAlign w:val="center"/>
                </w:tcPr>
                <w:p w14:paraId="2AAD2029">
                  <w:pPr>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30</w:t>
                  </w:r>
                </w:p>
              </w:tc>
              <w:tc>
                <w:tcPr>
                  <w:tcW w:w="520" w:type="dxa"/>
                  <w:noWrap w:val="0"/>
                  <w:vAlign w:val="center"/>
                </w:tcPr>
                <w:p w14:paraId="051F083C">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1.5</w:t>
                  </w:r>
                </w:p>
              </w:tc>
              <w:tc>
                <w:tcPr>
                  <w:tcW w:w="625" w:type="dxa"/>
                  <w:noWrap w:val="0"/>
                  <w:vAlign w:val="center"/>
                </w:tcPr>
                <w:p w14:paraId="58D1E5E0">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c>
                <w:tcPr>
                  <w:tcW w:w="773" w:type="dxa"/>
                  <w:noWrap w:val="0"/>
                  <w:vAlign w:val="center"/>
                </w:tcPr>
                <w:p w14:paraId="5A3BD27A">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65</w:t>
                  </w:r>
                </w:p>
              </w:tc>
              <w:tc>
                <w:tcPr>
                  <w:tcW w:w="674" w:type="dxa"/>
                  <w:vMerge w:val="continue"/>
                  <w:noWrap w:val="0"/>
                  <w:vAlign w:val="center"/>
                </w:tcPr>
                <w:p w14:paraId="4551F531">
                  <w:pPr>
                    <w:numPr>
                      <w:ilvl w:val="0"/>
                      <w:numId w:val="0"/>
                    </w:numPr>
                    <w:adjustRightInd w:val="0"/>
                    <w:snapToGrid w:val="0"/>
                    <w:ind w:left="0" w:leftChars="0" w:firstLine="0" w:firstLineChars="0"/>
                    <w:jc w:val="center"/>
                    <w:textAlignment w:val="bottom"/>
                    <w:rPr>
                      <w:rFonts w:hint="eastAsia" w:ascii="Times New Roman" w:hAnsi="Times New Roman" w:eastAsia="宋体" w:cs="Times New Roman"/>
                      <w:color w:val="auto"/>
                      <w:sz w:val="18"/>
                      <w:szCs w:val="18"/>
                      <w:highlight w:val="none"/>
                    </w:rPr>
                  </w:pPr>
                </w:p>
              </w:tc>
              <w:tc>
                <w:tcPr>
                  <w:tcW w:w="844" w:type="dxa"/>
                  <w:noWrap w:val="0"/>
                  <w:vAlign w:val="center"/>
                </w:tcPr>
                <w:p w14:paraId="169B401D">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25</w:t>
                  </w:r>
                </w:p>
              </w:tc>
              <w:tc>
                <w:tcPr>
                  <w:tcW w:w="843" w:type="dxa"/>
                  <w:noWrap w:val="0"/>
                  <w:vAlign w:val="center"/>
                </w:tcPr>
                <w:p w14:paraId="0D1640A2">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w:t>
                  </w:r>
                  <w:r>
                    <w:rPr>
                      <w:rFonts w:hint="eastAsia" w:cs="Times New Roman"/>
                      <w:color w:val="auto"/>
                      <w:highlight w:val="none"/>
                      <w:lang w:val="en-US" w:eastAsia="zh-CN"/>
                    </w:rPr>
                    <w:t>0</w:t>
                  </w:r>
                </w:p>
              </w:tc>
              <w:tc>
                <w:tcPr>
                  <w:tcW w:w="764" w:type="dxa"/>
                  <w:noWrap w:val="0"/>
                  <w:vAlign w:val="center"/>
                </w:tcPr>
                <w:p w14:paraId="7819D5B1">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r>
            <w:tr w14:paraId="2ED6E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450" w:type="dxa"/>
                  <w:noWrap w:val="0"/>
                  <w:vAlign w:val="center"/>
                </w:tcPr>
                <w:p w14:paraId="40A59FF6">
                  <w:pPr>
                    <w:numPr>
                      <w:ilvl w:val="0"/>
                      <w:numId w:val="7"/>
                    </w:numPr>
                    <w:adjustRightInd w:val="0"/>
                    <w:snapToGrid w:val="0"/>
                    <w:ind w:left="425" w:leftChars="0" w:hanging="425" w:firstLineChars="0"/>
                    <w:jc w:val="center"/>
                    <w:textAlignment w:val="bottom"/>
                    <w:rPr>
                      <w:rFonts w:hint="default" w:ascii="Times New Roman" w:hAnsi="Times New Roman" w:eastAsia="宋体" w:cs="Times New Roman"/>
                      <w:color w:val="auto"/>
                      <w:sz w:val="18"/>
                      <w:szCs w:val="18"/>
                      <w:highlight w:val="none"/>
                      <w:lang w:val="en-US" w:eastAsia="zh-CN" w:bidi="ar"/>
                    </w:rPr>
                  </w:pPr>
                </w:p>
              </w:tc>
              <w:tc>
                <w:tcPr>
                  <w:tcW w:w="773" w:type="dxa"/>
                  <w:vMerge w:val="continue"/>
                  <w:noWrap w:val="0"/>
                  <w:vAlign w:val="center"/>
                </w:tcPr>
                <w:p w14:paraId="69BE6452">
                  <w:pPr>
                    <w:snapToGrid w:val="0"/>
                    <w:jc w:val="center"/>
                    <w:rPr>
                      <w:rFonts w:hint="eastAsia" w:ascii="Times New Roman" w:hAnsi="Times New Roman" w:eastAsia="宋体" w:cs="Times New Roman"/>
                      <w:color w:val="auto"/>
                      <w:sz w:val="18"/>
                      <w:szCs w:val="18"/>
                      <w:highlight w:val="none"/>
                    </w:rPr>
                  </w:pPr>
                </w:p>
              </w:tc>
              <w:tc>
                <w:tcPr>
                  <w:tcW w:w="1722" w:type="dxa"/>
                  <w:noWrap w:val="0"/>
                  <w:vAlign w:val="center"/>
                </w:tcPr>
                <w:p w14:paraId="710AE17A">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新款</w:t>
                  </w:r>
                  <w:r>
                    <w:rPr>
                      <w:rFonts w:hint="eastAsia" w:cs="Times New Roman"/>
                      <w:color w:val="auto"/>
                      <w:highlight w:val="none"/>
                      <w:lang w:val="en-US" w:eastAsia="zh-CN"/>
                    </w:rPr>
                    <w:t>85</w:t>
                  </w:r>
                  <w:r>
                    <w:rPr>
                      <w:rFonts w:hint="eastAsia" w:ascii="Times New Roman" w:hAnsi="Times New Roman" w:eastAsia="宋体" w:cs="Times New Roman"/>
                      <w:color w:val="auto"/>
                      <w:highlight w:val="none"/>
                      <w:lang w:val="en-US" w:eastAsia="zh-CN"/>
                    </w:rPr>
                    <w:t>0下拨料颗粒机</w:t>
                  </w:r>
                </w:p>
              </w:tc>
              <w:tc>
                <w:tcPr>
                  <w:tcW w:w="1212" w:type="dxa"/>
                  <w:noWrap w:val="0"/>
                  <w:vAlign w:val="center"/>
                </w:tcPr>
                <w:p w14:paraId="33A1115A">
                  <w:pPr>
                    <w:jc w:val="center"/>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85</w:t>
                  </w:r>
                  <w:r>
                    <w:rPr>
                      <w:rFonts w:hint="eastAsia" w:ascii="Times New Roman" w:hAnsi="Times New Roman" w:eastAsia="宋体" w:cs="Times New Roman"/>
                      <w:color w:val="auto"/>
                      <w:highlight w:val="none"/>
                      <w:lang w:val="en-US" w:eastAsia="zh-CN"/>
                    </w:rPr>
                    <w:t>0</w:t>
                  </w:r>
                </w:p>
              </w:tc>
              <w:tc>
                <w:tcPr>
                  <w:tcW w:w="733" w:type="dxa"/>
                  <w:noWrap w:val="0"/>
                  <w:vAlign w:val="center"/>
                </w:tcPr>
                <w:p w14:paraId="18EC0EF9">
                  <w:pPr>
                    <w:numPr>
                      <w:ilvl w:val="0"/>
                      <w:numId w:val="0"/>
                    </w:numPr>
                    <w:adjustRightInd w:val="0"/>
                    <w:snapToGrid w:val="0"/>
                    <w:ind w:left="0" w:leftChars="0" w:firstLine="0" w:firstLineChars="0"/>
                    <w:jc w:val="center"/>
                    <w:textAlignment w:val="bottom"/>
                    <w:rPr>
                      <w:rFonts w:hint="eastAsia" w:ascii="Times New Roman" w:hAnsi="Times New Roman" w:eastAsia="宋体" w:cs="Times New Roman"/>
                      <w:color w:val="auto"/>
                      <w:sz w:val="18"/>
                      <w:szCs w:val="18"/>
                      <w:highlight w:val="none"/>
                      <w:lang w:val="en-US" w:eastAsia="zh-CN" w:bidi="ar"/>
                    </w:rPr>
                  </w:pPr>
                  <w:r>
                    <w:rPr>
                      <w:rFonts w:hint="eastAsia" w:ascii="Times New Roman" w:hAnsi="Times New Roman" w:eastAsia="宋体" w:cs="Times New Roman"/>
                      <w:color w:val="auto"/>
                      <w:sz w:val="18"/>
                      <w:szCs w:val="18"/>
                      <w:highlight w:val="none"/>
                      <w:lang w:val="en-US" w:eastAsia="zh-CN" w:bidi="ar"/>
                    </w:rPr>
                    <w:t>/</w:t>
                  </w:r>
                </w:p>
              </w:tc>
              <w:tc>
                <w:tcPr>
                  <w:tcW w:w="761" w:type="dxa"/>
                  <w:noWrap w:val="0"/>
                  <w:vAlign w:val="center"/>
                </w:tcPr>
                <w:p w14:paraId="7E646AFC">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75</w:t>
                  </w:r>
                </w:p>
              </w:tc>
              <w:tc>
                <w:tcPr>
                  <w:tcW w:w="638" w:type="dxa"/>
                  <w:vMerge w:val="continue"/>
                  <w:noWrap w:val="0"/>
                  <w:vAlign w:val="center"/>
                </w:tcPr>
                <w:p w14:paraId="4C032929">
                  <w:pPr>
                    <w:snapToGrid w:val="0"/>
                    <w:jc w:val="center"/>
                    <w:rPr>
                      <w:rFonts w:hint="eastAsia" w:ascii="Times New Roman" w:hAnsi="Times New Roman" w:eastAsia="宋体" w:cs="Times New Roman"/>
                      <w:color w:val="auto"/>
                      <w:sz w:val="18"/>
                      <w:szCs w:val="18"/>
                      <w:highlight w:val="none"/>
                    </w:rPr>
                  </w:pPr>
                </w:p>
              </w:tc>
              <w:tc>
                <w:tcPr>
                  <w:tcW w:w="501" w:type="dxa"/>
                  <w:noWrap w:val="0"/>
                  <w:vAlign w:val="center"/>
                </w:tcPr>
                <w:p w14:paraId="32D51C10">
                  <w:pPr>
                    <w:jc w:val="center"/>
                    <w:rPr>
                      <w:rFonts w:hint="eastAsia" w:cs="Times New Roman"/>
                      <w:color w:val="auto"/>
                      <w:highlight w:val="none"/>
                      <w:lang w:val="en-US" w:eastAsia="zh-CN"/>
                    </w:rPr>
                  </w:pPr>
                  <w:r>
                    <w:rPr>
                      <w:rFonts w:hint="eastAsia" w:ascii="Times New Roman" w:hAnsi="Times New Roman" w:cs="Times New Roman"/>
                      <w:color w:val="auto"/>
                      <w:highlight w:val="none"/>
                      <w:lang w:val="en-US" w:eastAsia="zh-CN"/>
                    </w:rPr>
                    <w:t>30</w:t>
                  </w:r>
                </w:p>
              </w:tc>
              <w:tc>
                <w:tcPr>
                  <w:tcW w:w="623" w:type="dxa"/>
                  <w:noWrap w:val="0"/>
                  <w:vAlign w:val="center"/>
                </w:tcPr>
                <w:p w14:paraId="15B11538">
                  <w:pPr>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30</w:t>
                  </w:r>
                </w:p>
              </w:tc>
              <w:tc>
                <w:tcPr>
                  <w:tcW w:w="520" w:type="dxa"/>
                  <w:noWrap w:val="0"/>
                  <w:vAlign w:val="center"/>
                </w:tcPr>
                <w:p w14:paraId="2ECE1ACD">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1.5</w:t>
                  </w:r>
                </w:p>
              </w:tc>
              <w:tc>
                <w:tcPr>
                  <w:tcW w:w="625" w:type="dxa"/>
                  <w:noWrap w:val="0"/>
                  <w:vAlign w:val="center"/>
                </w:tcPr>
                <w:p w14:paraId="27DD74B4">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c>
                <w:tcPr>
                  <w:tcW w:w="773" w:type="dxa"/>
                  <w:noWrap w:val="0"/>
                  <w:vAlign w:val="center"/>
                </w:tcPr>
                <w:p w14:paraId="0EB82DFC">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65</w:t>
                  </w:r>
                </w:p>
              </w:tc>
              <w:tc>
                <w:tcPr>
                  <w:tcW w:w="674" w:type="dxa"/>
                  <w:vMerge w:val="continue"/>
                  <w:noWrap w:val="0"/>
                  <w:vAlign w:val="center"/>
                </w:tcPr>
                <w:p w14:paraId="29404D4F">
                  <w:pPr>
                    <w:numPr>
                      <w:ilvl w:val="0"/>
                      <w:numId w:val="0"/>
                    </w:numPr>
                    <w:adjustRightInd w:val="0"/>
                    <w:snapToGrid w:val="0"/>
                    <w:ind w:left="0" w:leftChars="0" w:firstLine="0" w:firstLineChars="0"/>
                    <w:jc w:val="center"/>
                    <w:textAlignment w:val="bottom"/>
                    <w:rPr>
                      <w:rFonts w:hint="eastAsia" w:ascii="Times New Roman" w:hAnsi="Times New Roman" w:eastAsia="宋体" w:cs="Times New Roman"/>
                      <w:color w:val="auto"/>
                      <w:sz w:val="18"/>
                      <w:szCs w:val="18"/>
                      <w:highlight w:val="none"/>
                    </w:rPr>
                  </w:pPr>
                </w:p>
              </w:tc>
              <w:tc>
                <w:tcPr>
                  <w:tcW w:w="844" w:type="dxa"/>
                  <w:noWrap w:val="0"/>
                  <w:vAlign w:val="center"/>
                </w:tcPr>
                <w:p w14:paraId="02D9C77F">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25</w:t>
                  </w:r>
                </w:p>
              </w:tc>
              <w:tc>
                <w:tcPr>
                  <w:tcW w:w="843" w:type="dxa"/>
                  <w:noWrap w:val="0"/>
                  <w:vAlign w:val="center"/>
                </w:tcPr>
                <w:p w14:paraId="28BF427C">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w:t>
                  </w:r>
                  <w:r>
                    <w:rPr>
                      <w:rFonts w:hint="eastAsia" w:cs="Times New Roman"/>
                      <w:color w:val="auto"/>
                      <w:highlight w:val="none"/>
                      <w:lang w:val="en-US" w:eastAsia="zh-CN"/>
                    </w:rPr>
                    <w:t>0</w:t>
                  </w:r>
                </w:p>
              </w:tc>
              <w:tc>
                <w:tcPr>
                  <w:tcW w:w="764" w:type="dxa"/>
                  <w:noWrap w:val="0"/>
                  <w:vAlign w:val="center"/>
                </w:tcPr>
                <w:p w14:paraId="64D42759">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r>
            <w:tr w14:paraId="7FCF9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450" w:type="dxa"/>
                  <w:noWrap w:val="0"/>
                  <w:vAlign w:val="center"/>
                </w:tcPr>
                <w:p w14:paraId="3618D522">
                  <w:pPr>
                    <w:numPr>
                      <w:ilvl w:val="0"/>
                      <w:numId w:val="7"/>
                    </w:numPr>
                    <w:adjustRightInd w:val="0"/>
                    <w:snapToGrid w:val="0"/>
                    <w:ind w:left="425" w:leftChars="0" w:hanging="425" w:firstLineChars="0"/>
                    <w:jc w:val="center"/>
                    <w:textAlignment w:val="bottom"/>
                    <w:rPr>
                      <w:rFonts w:hint="default" w:ascii="Times New Roman" w:hAnsi="Times New Roman" w:eastAsia="宋体" w:cs="Times New Roman"/>
                      <w:color w:val="auto"/>
                      <w:sz w:val="18"/>
                      <w:szCs w:val="18"/>
                      <w:highlight w:val="none"/>
                      <w:lang w:val="en-US" w:eastAsia="zh-CN" w:bidi="ar"/>
                    </w:rPr>
                  </w:pPr>
                </w:p>
              </w:tc>
              <w:tc>
                <w:tcPr>
                  <w:tcW w:w="773" w:type="dxa"/>
                  <w:vMerge w:val="continue"/>
                  <w:noWrap w:val="0"/>
                  <w:vAlign w:val="center"/>
                </w:tcPr>
                <w:p w14:paraId="78AF31A9">
                  <w:pPr>
                    <w:snapToGrid w:val="0"/>
                    <w:jc w:val="center"/>
                    <w:rPr>
                      <w:rFonts w:hint="eastAsia" w:ascii="Times New Roman" w:hAnsi="Times New Roman" w:eastAsia="宋体" w:cs="Times New Roman"/>
                      <w:color w:val="auto"/>
                      <w:sz w:val="18"/>
                      <w:szCs w:val="18"/>
                      <w:highlight w:val="none"/>
                    </w:rPr>
                  </w:pPr>
                </w:p>
              </w:tc>
              <w:tc>
                <w:tcPr>
                  <w:tcW w:w="1722" w:type="dxa"/>
                  <w:noWrap w:val="0"/>
                  <w:vAlign w:val="center"/>
                </w:tcPr>
                <w:p w14:paraId="47000894">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新款</w:t>
                  </w:r>
                  <w:r>
                    <w:rPr>
                      <w:rFonts w:hint="eastAsia" w:cs="Times New Roman"/>
                      <w:color w:val="auto"/>
                      <w:highlight w:val="none"/>
                      <w:lang w:val="en-US" w:eastAsia="zh-CN"/>
                    </w:rPr>
                    <w:t>85</w:t>
                  </w:r>
                  <w:r>
                    <w:rPr>
                      <w:rFonts w:hint="eastAsia" w:ascii="Times New Roman" w:hAnsi="Times New Roman" w:eastAsia="宋体" w:cs="Times New Roman"/>
                      <w:color w:val="auto"/>
                      <w:highlight w:val="none"/>
                      <w:lang w:val="en-US" w:eastAsia="zh-CN"/>
                    </w:rPr>
                    <w:t>0下拨料颗粒机</w:t>
                  </w:r>
                </w:p>
              </w:tc>
              <w:tc>
                <w:tcPr>
                  <w:tcW w:w="1212" w:type="dxa"/>
                  <w:noWrap w:val="0"/>
                  <w:vAlign w:val="center"/>
                </w:tcPr>
                <w:p w14:paraId="6C211970">
                  <w:pPr>
                    <w:jc w:val="center"/>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85</w:t>
                  </w:r>
                  <w:r>
                    <w:rPr>
                      <w:rFonts w:hint="eastAsia" w:ascii="Times New Roman" w:hAnsi="Times New Roman" w:eastAsia="宋体" w:cs="Times New Roman"/>
                      <w:color w:val="auto"/>
                      <w:highlight w:val="none"/>
                      <w:lang w:val="en-US" w:eastAsia="zh-CN"/>
                    </w:rPr>
                    <w:t>0</w:t>
                  </w:r>
                </w:p>
              </w:tc>
              <w:tc>
                <w:tcPr>
                  <w:tcW w:w="733" w:type="dxa"/>
                  <w:noWrap w:val="0"/>
                  <w:vAlign w:val="center"/>
                </w:tcPr>
                <w:p w14:paraId="30681CC7">
                  <w:pPr>
                    <w:numPr>
                      <w:ilvl w:val="0"/>
                      <w:numId w:val="0"/>
                    </w:numPr>
                    <w:adjustRightInd w:val="0"/>
                    <w:snapToGrid w:val="0"/>
                    <w:ind w:left="0" w:leftChars="0" w:firstLine="0" w:firstLineChars="0"/>
                    <w:jc w:val="center"/>
                    <w:textAlignment w:val="bottom"/>
                    <w:rPr>
                      <w:rFonts w:hint="eastAsia" w:ascii="Times New Roman" w:hAnsi="Times New Roman" w:eastAsia="宋体" w:cs="Times New Roman"/>
                      <w:color w:val="auto"/>
                      <w:sz w:val="18"/>
                      <w:szCs w:val="18"/>
                      <w:highlight w:val="none"/>
                      <w:lang w:val="en-US" w:eastAsia="zh-CN" w:bidi="ar"/>
                    </w:rPr>
                  </w:pPr>
                  <w:r>
                    <w:rPr>
                      <w:rFonts w:hint="eastAsia" w:ascii="Times New Roman" w:hAnsi="Times New Roman" w:eastAsia="宋体" w:cs="Times New Roman"/>
                      <w:color w:val="auto"/>
                      <w:sz w:val="18"/>
                      <w:szCs w:val="18"/>
                      <w:highlight w:val="none"/>
                      <w:lang w:val="en-US" w:eastAsia="zh-CN" w:bidi="ar"/>
                    </w:rPr>
                    <w:t>/</w:t>
                  </w:r>
                </w:p>
              </w:tc>
              <w:tc>
                <w:tcPr>
                  <w:tcW w:w="761" w:type="dxa"/>
                  <w:noWrap w:val="0"/>
                  <w:vAlign w:val="center"/>
                </w:tcPr>
                <w:p w14:paraId="2864CC8C">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75</w:t>
                  </w:r>
                </w:p>
              </w:tc>
              <w:tc>
                <w:tcPr>
                  <w:tcW w:w="638" w:type="dxa"/>
                  <w:vMerge w:val="continue"/>
                  <w:noWrap w:val="0"/>
                  <w:vAlign w:val="center"/>
                </w:tcPr>
                <w:p w14:paraId="157BA64E">
                  <w:pPr>
                    <w:snapToGrid w:val="0"/>
                    <w:jc w:val="center"/>
                    <w:rPr>
                      <w:rFonts w:hint="eastAsia" w:ascii="Times New Roman" w:hAnsi="Times New Roman" w:eastAsia="宋体" w:cs="Times New Roman"/>
                      <w:color w:val="auto"/>
                      <w:sz w:val="18"/>
                      <w:szCs w:val="18"/>
                      <w:highlight w:val="none"/>
                    </w:rPr>
                  </w:pPr>
                </w:p>
              </w:tc>
              <w:tc>
                <w:tcPr>
                  <w:tcW w:w="501" w:type="dxa"/>
                  <w:noWrap w:val="0"/>
                  <w:vAlign w:val="center"/>
                </w:tcPr>
                <w:p w14:paraId="64CDADE4">
                  <w:pPr>
                    <w:jc w:val="center"/>
                    <w:rPr>
                      <w:rFonts w:hint="eastAsia" w:cs="Times New Roman"/>
                      <w:color w:val="auto"/>
                      <w:highlight w:val="none"/>
                      <w:lang w:val="en-US" w:eastAsia="zh-CN"/>
                    </w:rPr>
                  </w:pPr>
                  <w:r>
                    <w:rPr>
                      <w:rFonts w:hint="eastAsia" w:ascii="Times New Roman" w:hAnsi="Times New Roman" w:cs="Times New Roman"/>
                      <w:color w:val="auto"/>
                      <w:highlight w:val="none"/>
                      <w:lang w:val="en-US" w:eastAsia="zh-CN"/>
                    </w:rPr>
                    <w:t>30</w:t>
                  </w:r>
                </w:p>
              </w:tc>
              <w:tc>
                <w:tcPr>
                  <w:tcW w:w="623" w:type="dxa"/>
                  <w:noWrap w:val="0"/>
                  <w:vAlign w:val="center"/>
                </w:tcPr>
                <w:p w14:paraId="1DC7192B">
                  <w:pPr>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30</w:t>
                  </w:r>
                </w:p>
              </w:tc>
              <w:tc>
                <w:tcPr>
                  <w:tcW w:w="520" w:type="dxa"/>
                  <w:noWrap w:val="0"/>
                  <w:vAlign w:val="center"/>
                </w:tcPr>
                <w:p w14:paraId="0FEBEAB6">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1.5</w:t>
                  </w:r>
                </w:p>
              </w:tc>
              <w:tc>
                <w:tcPr>
                  <w:tcW w:w="625" w:type="dxa"/>
                  <w:noWrap w:val="0"/>
                  <w:vAlign w:val="center"/>
                </w:tcPr>
                <w:p w14:paraId="5C6BB4A4">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c>
                <w:tcPr>
                  <w:tcW w:w="773" w:type="dxa"/>
                  <w:noWrap w:val="0"/>
                  <w:vAlign w:val="center"/>
                </w:tcPr>
                <w:p w14:paraId="1BBCAEC3">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65</w:t>
                  </w:r>
                </w:p>
              </w:tc>
              <w:tc>
                <w:tcPr>
                  <w:tcW w:w="674" w:type="dxa"/>
                  <w:vMerge w:val="continue"/>
                  <w:noWrap w:val="0"/>
                  <w:vAlign w:val="center"/>
                </w:tcPr>
                <w:p w14:paraId="0A4F9A14">
                  <w:pPr>
                    <w:numPr>
                      <w:ilvl w:val="0"/>
                      <w:numId w:val="0"/>
                    </w:numPr>
                    <w:adjustRightInd w:val="0"/>
                    <w:snapToGrid w:val="0"/>
                    <w:ind w:left="0" w:leftChars="0" w:firstLine="0" w:firstLineChars="0"/>
                    <w:jc w:val="center"/>
                    <w:textAlignment w:val="bottom"/>
                    <w:rPr>
                      <w:rFonts w:hint="eastAsia" w:ascii="Times New Roman" w:hAnsi="Times New Roman" w:eastAsia="宋体" w:cs="Times New Roman"/>
                      <w:color w:val="auto"/>
                      <w:sz w:val="18"/>
                      <w:szCs w:val="18"/>
                      <w:highlight w:val="none"/>
                    </w:rPr>
                  </w:pPr>
                </w:p>
              </w:tc>
              <w:tc>
                <w:tcPr>
                  <w:tcW w:w="844" w:type="dxa"/>
                  <w:noWrap w:val="0"/>
                  <w:vAlign w:val="center"/>
                </w:tcPr>
                <w:p w14:paraId="3CFEFE9B">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25</w:t>
                  </w:r>
                </w:p>
              </w:tc>
              <w:tc>
                <w:tcPr>
                  <w:tcW w:w="843" w:type="dxa"/>
                  <w:noWrap w:val="0"/>
                  <w:vAlign w:val="center"/>
                </w:tcPr>
                <w:p w14:paraId="03D7CAF7">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w:t>
                  </w:r>
                  <w:r>
                    <w:rPr>
                      <w:rFonts w:hint="eastAsia" w:cs="Times New Roman"/>
                      <w:color w:val="auto"/>
                      <w:highlight w:val="none"/>
                      <w:lang w:val="en-US" w:eastAsia="zh-CN"/>
                    </w:rPr>
                    <w:t>0</w:t>
                  </w:r>
                </w:p>
              </w:tc>
              <w:tc>
                <w:tcPr>
                  <w:tcW w:w="764" w:type="dxa"/>
                  <w:noWrap w:val="0"/>
                  <w:vAlign w:val="center"/>
                </w:tcPr>
                <w:p w14:paraId="69C09453">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r>
            <w:tr w14:paraId="31CE1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450" w:type="dxa"/>
                  <w:noWrap w:val="0"/>
                  <w:vAlign w:val="center"/>
                </w:tcPr>
                <w:p w14:paraId="05706CDE">
                  <w:pPr>
                    <w:numPr>
                      <w:ilvl w:val="0"/>
                      <w:numId w:val="7"/>
                    </w:numPr>
                    <w:adjustRightInd w:val="0"/>
                    <w:snapToGrid w:val="0"/>
                    <w:ind w:left="425" w:leftChars="0" w:hanging="425" w:firstLineChars="0"/>
                    <w:jc w:val="center"/>
                    <w:textAlignment w:val="bottom"/>
                    <w:rPr>
                      <w:rFonts w:hint="eastAsia" w:cs="Times New Roman"/>
                      <w:color w:val="auto"/>
                      <w:sz w:val="18"/>
                      <w:szCs w:val="18"/>
                      <w:highlight w:val="none"/>
                      <w:lang w:val="en-US" w:eastAsia="zh-CN" w:bidi="ar"/>
                    </w:rPr>
                  </w:pPr>
                </w:p>
              </w:tc>
              <w:tc>
                <w:tcPr>
                  <w:tcW w:w="773" w:type="dxa"/>
                  <w:vMerge w:val="continue"/>
                  <w:noWrap w:val="0"/>
                  <w:vAlign w:val="center"/>
                </w:tcPr>
                <w:p w14:paraId="2EFF9AE4">
                  <w:pPr>
                    <w:snapToGrid w:val="0"/>
                    <w:jc w:val="center"/>
                    <w:rPr>
                      <w:rFonts w:hint="eastAsia" w:ascii="Times New Roman" w:hAnsi="Times New Roman" w:eastAsia="宋体" w:cs="Times New Roman"/>
                      <w:color w:val="auto"/>
                      <w:sz w:val="18"/>
                      <w:szCs w:val="18"/>
                      <w:highlight w:val="none"/>
                    </w:rPr>
                  </w:pPr>
                </w:p>
              </w:tc>
              <w:tc>
                <w:tcPr>
                  <w:tcW w:w="1722" w:type="dxa"/>
                  <w:noWrap w:val="0"/>
                  <w:vAlign w:val="center"/>
                </w:tcPr>
                <w:p w14:paraId="43D62872">
                  <w:pPr>
                    <w:jc w:val="center"/>
                    <w:rPr>
                      <w:rFonts w:hint="eastAsia"/>
                      <w:color w:val="auto"/>
                      <w:highlight w:val="none"/>
                    </w:rPr>
                  </w:pPr>
                  <w:r>
                    <w:rPr>
                      <w:rFonts w:hint="eastAsia" w:ascii="Times New Roman" w:hAnsi="Times New Roman" w:eastAsia="宋体" w:cs="Times New Roman"/>
                      <w:color w:val="auto"/>
                      <w:highlight w:val="none"/>
                      <w:lang w:val="en-US" w:eastAsia="zh-CN"/>
                    </w:rPr>
                    <w:t>封边皮带输送机</w:t>
                  </w:r>
                </w:p>
              </w:tc>
              <w:tc>
                <w:tcPr>
                  <w:tcW w:w="1212" w:type="dxa"/>
                  <w:noWrap w:val="0"/>
                  <w:vAlign w:val="center"/>
                </w:tcPr>
                <w:p w14:paraId="797EC950">
                  <w:pPr>
                    <w:jc w:val="center"/>
                    <w:rPr>
                      <w:rFonts w:hint="eastAsia"/>
                      <w:color w:val="auto"/>
                      <w:highlight w:val="none"/>
                    </w:rPr>
                  </w:pPr>
                  <w:r>
                    <w:rPr>
                      <w:rFonts w:hint="eastAsia" w:ascii="Times New Roman" w:hAnsi="Times New Roman" w:eastAsia="宋体" w:cs="Times New Roman"/>
                      <w:color w:val="auto"/>
                      <w:highlight w:val="none"/>
                      <w:lang w:val="en-US" w:eastAsia="zh-CN"/>
                    </w:rPr>
                    <w:t>60*8m</w:t>
                  </w:r>
                </w:p>
              </w:tc>
              <w:tc>
                <w:tcPr>
                  <w:tcW w:w="733" w:type="dxa"/>
                  <w:noWrap w:val="0"/>
                  <w:vAlign w:val="center"/>
                </w:tcPr>
                <w:p w14:paraId="73B22D77">
                  <w:pPr>
                    <w:numPr>
                      <w:ilvl w:val="0"/>
                      <w:numId w:val="0"/>
                    </w:numPr>
                    <w:adjustRightInd w:val="0"/>
                    <w:snapToGrid w:val="0"/>
                    <w:ind w:left="0" w:leftChars="0" w:firstLine="0" w:firstLineChars="0"/>
                    <w:jc w:val="center"/>
                    <w:textAlignment w:val="bottom"/>
                    <w:rPr>
                      <w:rFonts w:hint="eastAsia"/>
                      <w:color w:val="auto"/>
                      <w:szCs w:val="21"/>
                      <w:highlight w:val="none"/>
                      <w:lang w:val="en-US" w:eastAsia="zh-CN"/>
                    </w:rPr>
                  </w:pPr>
                  <w:r>
                    <w:rPr>
                      <w:rFonts w:hint="eastAsia" w:ascii="Times New Roman" w:hAnsi="Times New Roman" w:eastAsia="宋体" w:cs="Times New Roman"/>
                      <w:color w:val="auto"/>
                      <w:sz w:val="18"/>
                      <w:szCs w:val="18"/>
                      <w:highlight w:val="none"/>
                      <w:lang w:val="en-US" w:eastAsia="zh-CN" w:bidi="ar"/>
                    </w:rPr>
                    <w:t>/</w:t>
                  </w:r>
                </w:p>
              </w:tc>
              <w:tc>
                <w:tcPr>
                  <w:tcW w:w="761" w:type="dxa"/>
                  <w:noWrap w:val="0"/>
                  <w:vAlign w:val="center"/>
                </w:tcPr>
                <w:p w14:paraId="7439CF58">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75</w:t>
                  </w:r>
                </w:p>
              </w:tc>
              <w:tc>
                <w:tcPr>
                  <w:tcW w:w="638" w:type="dxa"/>
                  <w:vMerge w:val="continue"/>
                  <w:noWrap w:val="0"/>
                  <w:vAlign w:val="center"/>
                </w:tcPr>
                <w:p w14:paraId="6E4E4B9A">
                  <w:pPr>
                    <w:snapToGrid w:val="0"/>
                    <w:jc w:val="center"/>
                    <w:rPr>
                      <w:rFonts w:hint="eastAsia" w:ascii="Times New Roman" w:hAnsi="Times New Roman" w:eastAsia="宋体" w:cs="Times New Roman"/>
                      <w:color w:val="auto"/>
                      <w:sz w:val="18"/>
                      <w:szCs w:val="18"/>
                      <w:highlight w:val="none"/>
                    </w:rPr>
                  </w:pPr>
                </w:p>
              </w:tc>
              <w:tc>
                <w:tcPr>
                  <w:tcW w:w="501" w:type="dxa"/>
                  <w:noWrap w:val="0"/>
                  <w:vAlign w:val="center"/>
                </w:tcPr>
                <w:p w14:paraId="6D34A367">
                  <w:pPr>
                    <w:jc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31</w:t>
                  </w:r>
                </w:p>
              </w:tc>
              <w:tc>
                <w:tcPr>
                  <w:tcW w:w="623" w:type="dxa"/>
                  <w:noWrap w:val="0"/>
                  <w:vAlign w:val="center"/>
                </w:tcPr>
                <w:p w14:paraId="147260A1">
                  <w:pPr>
                    <w:jc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20</w:t>
                  </w:r>
                </w:p>
              </w:tc>
              <w:tc>
                <w:tcPr>
                  <w:tcW w:w="520" w:type="dxa"/>
                  <w:noWrap w:val="0"/>
                  <w:vAlign w:val="center"/>
                </w:tcPr>
                <w:p w14:paraId="49FF6D07">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c>
                <w:tcPr>
                  <w:tcW w:w="625" w:type="dxa"/>
                  <w:noWrap w:val="0"/>
                  <w:vAlign w:val="center"/>
                </w:tcPr>
                <w:p w14:paraId="08E12541">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c>
                <w:tcPr>
                  <w:tcW w:w="773" w:type="dxa"/>
                  <w:noWrap w:val="0"/>
                  <w:vAlign w:val="center"/>
                </w:tcPr>
                <w:p w14:paraId="3DFAAE62">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65</w:t>
                  </w:r>
                </w:p>
              </w:tc>
              <w:tc>
                <w:tcPr>
                  <w:tcW w:w="674" w:type="dxa"/>
                  <w:vMerge w:val="continue"/>
                  <w:noWrap w:val="0"/>
                  <w:vAlign w:val="center"/>
                </w:tcPr>
                <w:p w14:paraId="082C2EA7">
                  <w:pPr>
                    <w:numPr>
                      <w:ilvl w:val="0"/>
                      <w:numId w:val="0"/>
                    </w:numPr>
                    <w:adjustRightInd w:val="0"/>
                    <w:snapToGrid w:val="0"/>
                    <w:ind w:left="0" w:leftChars="0" w:firstLine="0" w:firstLineChars="0"/>
                    <w:jc w:val="center"/>
                    <w:textAlignment w:val="bottom"/>
                    <w:rPr>
                      <w:rFonts w:hint="eastAsia" w:ascii="Times New Roman" w:hAnsi="Times New Roman" w:eastAsia="宋体" w:cs="Times New Roman"/>
                      <w:color w:val="auto"/>
                      <w:sz w:val="18"/>
                      <w:szCs w:val="18"/>
                      <w:highlight w:val="none"/>
                    </w:rPr>
                  </w:pPr>
                </w:p>
              </w:tc>
              <w:tc>
                <w:tcPr>
                  <w:tcW w:w="844" w:type="dxa"/>
                  <w:noWrap w:val="0"/>
                  <w:vAlign w:val="center"/>
                </w:tcPr>
                <w:p w14:paraId="0714256C">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25</w:t>
                  </w:r>
                </w:p>
              </w:tc>
              <w:tc>
                <w:tcPr>
                  <w:tcW w:w="843" w:type="dxa"/>
                  <w:noWrap w:val="0"/>
                  <w:vAlign w:val="center"/>
                </w:tcPr>
                <w:p w14:paraId="16C7F57F">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w:t>
                  </w:r>
                  <w:r>
                    <w:rPr>
                      <w:rFonts w:hint="eastAsia" w:cs="Times New Roman"/>
                      <w:color w:val="auto"/>
                      <w:highlight w:val="none"/>
                      <w:lang w:val="en-US" w:eastAsia="zh-CN"/>
                    </w:rPr>
                    <w:t>0</w:t>
                  </w:r>
                </w:p>
              </w:tc>
              <w:tc>
                <w:tcPr>
                  <w:tcW w:w="764" w:type="dxa"/>
                  <w:noWrap w:val="0"/>
                  <w:vAlign w:val="center"/>
                </w:tcPr>
                <w:p w14:paraId="262259C8">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r>
            <w:tr w14:paraId="2A9EB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450" w:type="dxa"/>
                  <w:noWrap w:val="0"/>
                  <w:vAlign w:val="center"/>
                </w:tcPr>
                <w:p w14:paraId="779B2BBE">
                  <w:pPr>
                    <w:numPr>
                      <w:ilvl w:val="0"/>
                      <w:numId w:val="7"/>
                    </w:numPr>
                    <w:adjustRightInd w:val="0"/>
                    <w:snapToGrid w:val="0"/>
                    <w:ind w:left="425" w:leftChars="0" w:hanging="425" w:firstLineChars="0"/>
                    <w:jc w:val="center"/>
                    <w:textAlignment w:val="bottom"/>
                    <w:rPr>
                      <w:rFonts w:hint="eastAsia" w:cs="Times New Roman"/>
                      <w:color w:val="auto"/>
                      <w:sz w:val="18"/>
                      <w:szCs w:val="18"/>
                      <w:highlight w:val="none"/>
                      <w:lang w:val="en-US" w:eastAsia="zh-CN" w:bidi="ar"/>
                    </w:rPr>
                  </w:pPr>
                </w:p>
              </w:tc>
              <w:tc>
                <w:tcPr>
                  <w:tcW w:w="773" w:type="dxa"/>
                  <w:vMerge w:val="continue"/>
                  <w:noWrap w:val="0"/>
                  <w:vAlign w:val="center"/>
                </w:tcPr>
                <w:p w14:paraId="6C2DE506">
                  <w:pPr>
                    <w:snapToGrid w:val="0"/>
                    <w:jc w:val="center"/>
                    <w:rPr>
                      <w:rFonts w:hint="eastAsia" w:ascii="Times New Roman" w:hAnsi="Times New Roman" w:eastAsia="宋体" w:cs="Times New Roman"/>
                      <w:color w:val="auto"/>
                      <w:sz w:val="18"/>
                      <w:szCs w:val="18"/>
                      <w:highlight w:val="none"/>
                    </w:rPr>
                  </w:pPr>
                </w:p>
              </w:tc>
              <w:tc>
                <w:tcPr>
                  <w:tcW w:w="1722" w:type="dxa"/>
                  <w:noWrap w:val="0"/>
                  <w:vAlign w:val="center"/>
                </w:tcPr>
                <w:p w14:paraId="07F3BD92">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封边皮带输送机</w:t>
                  </w:r>
                </w:p>
              </w:tc>
              <w:tc>
                <w:tcPr>
                  <w:tcW w:w="1212" w:type="dxa"/>
                  <w:noWrap w:val="0"/>
                  <w:vAlign w:val="center"/>
                </w:tcPr>
                <w:p w14:paraId="5020154F">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60*8m</w:t>
                  </w:r>
                </w:p>
              </w:tc>
              <w:tc>
                <w:tcPr>
                  <w:tcW w:w="733" w:type="dxa"/>
                  <w:noWrap w:val="0"/>
                  <w:vAlign w:val="center"/>
                </w:tcPr>
                <w:p w14:paraId="386B86ED">
                  <w:pPr>
                    <w:numPr>
                      <w:ilvl w:val="0"/>
                      <w:numId w:val="0"/>
                    </w:numPr>
                    <w:adjustRightInd w:val="0"/>
                    <w:snapToGrid w:val="0"/>
                    <w:ind w:left="0" w:leftChars="0" w:firstLine="0" w:firstLineChars="0"/>
                    <w:jc w:val="center"/>
                    <w:textAlignment w:val="bottom"/>
                    <w:rPr>
                      <w:rFonts w:hint="eastAsia"/>
                      <w:color w:val="auto"/>
                      <w:szCs w:val="21"/>
                      <w:highlight w:val="none"/>
                      <w:lang w:val="en-US" w:eastAsia="zh-CN"/>
                    </w:rPr>
                  </w:pPr>
                  <w:r>
                    <w:rPr>
                      <w:rFonts w:hint="eastAsia" w:ascii="Times New Roman" w:hAnsi="Times New Roman" w:eastAsia="宋体" w:cs="Times New Roman"/>
                      <w:color w:val="auto"/>
                      <w:sz w:val="18"/>
                      <w:szCs w:val="18"/>
                      <w:highlight w:val="none"/>
                      <w:lang w:val="en-US" w:eastAsia="zh-CN" w:bidi="ar"/>
                    </w:rPr>
                    <w:t>/</w:t>
                  </w:r>
                </w:p>
              </w:tc>
              <w:tc>
                <w:tcPr>
                  <w:tcW w:w="761" w:type="dxa"/>
                  <w:noWrap w:val="0"/>
                  <w:vAlign w:val="center"/>
                </w:tcPr>
                <w:p w14:paraId="1E7FCD25">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75</w:t>
                  </w:r>
                </w:p>
              </w:tc>
              <w:tc>
                <w:tcPr>
                  <w:tcW w:w="638" w:type="dxa"/>
                  <w:vMerge w:val="continue"/>
                  <w:noWrap w:val="0"/>
                  <w:vAlign w:val="center"/>
                </w:tcPr>
                <w:p w14:paraId="529DE362">
                  <w:pPr>
                    <w:snapToGrid w:val="0"/>
                    <w:jc w:val="center"/>
                    <w:rPr>
                      <w:rFonts w:hint="eastAsia" w:ascii="Times New Roman" w:hAnsi="Times New Roman" w:eastAsia="宋体" w:cs="Times New Roman"/>
                      <w:color w:val="auto"/>
                      <w:sz w:val="18"/>
                      <w:szCs w:val="18"/>
                      <w:highlight w:val="none"/>
                    </w:rPr>
                  </w:pPr>
                </w:p>
              </w:tc>
              <w:tc>
                <w:tcPr>
                  <w:tcW w:w="501" w:type="dxa"/>
                  <w:noWrap w:val="0"/>
                  <w:vAlign w:val="center"/>
                </w:tcPr>
                <w:p w14:paraId="4DB3317E">
                  <w:pPr>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31</w:t>
                  </w:r>
                </w:p>
              </w:tc>
              <w:tc>
                <w:tcPr>
                  <w:tcW w:w="623" w:type="dxa"/>
                  <w:noWrap w:val="0"/>
                  <w:vAlign w:val="center"/>
                </w:tcPr>
                <w:p w14:paraId="7B1F161F">
                  <w:pPr>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20</w:t>
                  </w:r>
                </w:p>
              </w:tc>
              <w:tc>
                <w:tcPr>
                  <w:tcW w:w="520" w:type="dxa"/>
                  <w:noWrap w:val="0"/>
                  <w:vAlign w:val="center"/>
                </w:tcPr>
                <w:p w14:paraId="40B0B9EE">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c>
                <w:tcPr>
                  <w:tcW w:w="625" w:type="dxa"/>
                  <w:noWrap w:val="0"/>
                  <w:vAlign w:val="center"/>
                </w:tcPr>
                <w:p w14:paraId="470EA93D">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c>
                <w:tcPr>
                  <w:tcW w:w="773" w:type="dxa"/>
                  <w:noWrap w:val="0"/>
                  <w:vAlign w:val="center"/>
                </w:tcPr>
                <w:p w14:paraId="6DD9D4DA">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65</w:t>
                  </w:r>
                </w:p>
              </w:tc>
              <w:tc>
                <w:tcPr>
                  <w:tcW w:w="674" w:type="dxa"/>
                  <w:vMerge w:val="continue"/>
                  <w:noWrap w:val="0"/>
                  <w:vAlign w:val="center"/>
                </w:tcPr>
                <w:p w14:paraId="2FC1212B">
                  <w:pPr>
                    <w:numPr>
                      <w:ilvl w:val="0"/>
                      <w:numId w:val="0"/>
                    </w:numPr>
                    <w:adjustRightInd w:val="0"/>
                    <w:snapToGrid w:val="0"/>
                    <w:ind w:left="0" w:leftChars="0" w:firstLine="0" w:firstLineChars="0"/>
                    <w:jc w:val="center"/>
                    <w:textAlignment w:val="bottom"/>
                    <w:rPr>
                      <w:rFonts w:hint="eastAsia" w:ascii="Times New Roman" w:hAnsi="Times New Roman" w:eastAsia="宋体" w:cs="Times New Roman"/>
                      <w:color w:val="auto"/>
                      <w:sz w:val="18"/>
                      <w:szCs w:val="18"/>
                      <w:highlight w:val="none"/>
                    </w:rPr>
                  </w:pPr>
                </w:p>
              </w:tc>
              <w:tc>
                <w:tcPr>
                  <w:tcW w:w="844" w:type="dxa"/>
                  <w:noWrap w:val="0"/>
                  <w:vAlign w:val="center"/>
                </w:tcPr>
                <w:p w14:paraId="412FA7B5">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25</w:t>
                  </w:r>
                </w:p>
              </w:tc>
              <w:tc>
                <w:tcPr>
                  <w:tcW w:w="843" w:type="dxa"/>
                  <w:noWrap w:val="0"/>
                  <w:vAlign w:val="center"/>
                </w:tcPr>
                <w:p w14:paraId="6BF69C11">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w:t>
                  </w:r>
                  <w:r>
                    <w:rPr>
                      <w:rFonts w:hint="eastAsia" w:cs="Times New Roman"/>
                      <w:color w:val="auto"/>
                      <w:highlight w:val="none"/>
                      <w:lang w:val="en-US" w:eastAsia="zh-CN"/>
                    </w:rPr>
                    <w:t>0</w:t>
                  </w:r>
                </w:p>
              </w:tc>
              <w:tc>
                <w:tcPr>
                  <w:tcW w:w="764" w:type="dxa"/>
                  <w:noWrap w:val="0"/>
                  <w:vAlign w:val="center"/>
                </w:tcPr>
                <w:p w14:paraId="7B1C5AAE">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r>
            <w:tr w14:paraId="074B7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450" w:type="dxa"/>
                  <w:noWrap w:val="0"/>
                  <w:vAlign w:val="center"/>
                </w:tcPr>
                <w:p w14:paraId="128167B0">
                  <w:pPr>
                    <w:numPr>
                      <w:ilvl w:val="0"/>
                      <w:numId w:val="7"/>
                    </w:numPr>
                    <w:adjustRightInd w:val="0"/>
                    <w:snapToGrid w:val="0"/>
                    <w:ind w:left="425" w:leftChars="0" w:hanging="425" w:firstLineChars="0"/>
                    <w:jc w:val="center"/>
                    <w:textAlignment w:val="bottom"/>
                    <w:rPr>
                      <w:rFonts w:hint="eastAsia" w:cs="Times New Roman"/>
                      <w:color w:val="auto"/>
                      <w:sz w:val="18"/>
                      <w:szCs w:val="18"/>
                      <w:highlight w:val="none"/>
                      <w:lang w:val="en-US" w:eastAsia="zh-CN" w:bidi="ar"/>
                    </w:rPr>
                  </w:pPr>
                </w:p>
              </w:tc>
              <w:tc>
                <w:tcPr>
                  <w:tcW w:w="773" w:type="dxa"/>
                  <w:vMerge w:val="continue"/>
                  <w:noWrap w:val="0"/>
                  <w:vAlign w:val="center"/>
                </w:tcPr>
                <w:p w14:paraId="29C80A16">
                  <w:pPr>
                    <w:snapToGrid w:val="0"/>
                    <w:jc w:val="center"/>
                    <w:rPr>
                      <w:rFonts w:hint="eastAsia" w:ascii="Times New Roman" w:hAnsi="Times New Roman" w:eastAsia="宋体" w:cs="Times New Roman"/>
                      <w:color w:val="auto"/>
                      <w:sz w:val="18"/>
                      <w:szCs w:val="18"/>
                      <w:highlight w:val="none"/>
                    </w:rPr>
                  </w:pPr>
                </w:p>
              </w:tc>
              <w:tc>
                <w:tcPr>
                  <w:tcW w:w="1722" w:type="dxa"/>
                  <w:noWrap w:val="0"/>
                  <w:vAlign w:val="center"/>
                </w:tcPr>
                <w:p w14:paraId="47C3ACC3">
                  <w:pPr>
                    <w:jc w:val="center"/>
                    <w:rPr>
                      <w:rFonts w:hint="eastAsia"/>
                      <w:color w:val="auto"/>
                      <w:highlight w:val="none"/>
                    </w:rPr>
                  </w:pPr>
                  <w:r>
                    <w:rPr>
                      <w:rFonts w:hint="eastAsia" w:ascii="Times New Roman" w:hAnsi="Times New Roman" w:eastAsia="宋体" w:cs="Times New Roman"/>
                      <w:color w:val="auto"/>
                      <w:highlight w:val="none"/>
                      <w:lang w:val="en-US" w:eastAsia="zh-CN"/>
                    </w:rPr>
                    <w:t>大倾角皮带机</w:t>
                  </w:r>
                </w:p>
              </w:tc>
              <w:tc>
                <w:tcPr>
                  <w:tcW w:w="1212" w:type="dxa"/>
                  <w:noWrap w:val="0"/>
                  <w:vAlign w:val="center"/>
                </w:tcPr>
                <w:p w14:paraId="11ACF274">
                  <w:pPr>
                    <w:jc w:val="center"/>
                    <w:rPr>
                      <w:rFonts w:hint="eastAsia"/>
                      <w:color w:val="auto"/>
                      <w:highlight w:val="none"/>
                    </w:rPr>
                  </w:pPr>
                  <w:r>
                    <w:rPr>
                      <w:rFonts w:hint="eastAsia" w:ascii="Times New Roman" w:hAnsi="Times New Roman" w:eastAsia="宋体" w:cs="Times New Roman"/>
                      <w:color w:val="auto"/>
                      <w:highlight w:val="none"/>
                      <w:lang w:val="en-US" w:eastAsia="zh-CN"/>
                    </w:rPr>
                    <w:t>60*10m</w:t>
                  </w:r>
                </w:p>
              </w:tc>
              <w:tc>
                <w:tcPr>
                  <w:tcW w:w="733" w:type="dxa"/>
                  <w:noWrap w:val="0"/>
                  <w:vAlign w:val="center"/>
                </w:tcPr>
                <w:p w14:paraId="33DB3CF6">
                  <w:pPr>
                    <w:numPr>
                      <w:ilvl w:val="0"/>
                      <w:numId w:val="0"/>
                    </w:numPr>
                    <w:adjustRightInd w:val="0"/>
                    <w:snapToGrid w:val="0"/>
                    <w:ind w:left="0" w:leftChars="0" w:firstLine="0" w:firstLineChars="0"/>
                    <w:jc w:val="center"/>
                    <w:textAlignment w:val="bottom"/>
                    <w:rPr>
                      <w:rFonts w:hint="eastAsia"/>
                      <w:color w:val="auto"/>
                      <w:szCs w:val="21"/>
                      <w:highlight w:val="none"/>
                      <w:lang w:val="en-US" w:eastAsia="zh-CN"/>
                    </w:rPr>
                  </w:pPr>
                  <w:r>
                    <w:rPr>
                      <w:rFonts w:hint="eastAsia" w:ascii="Times New Roman" w:hAnsi="Times New Roman" w:eastAsia="宋体" w:cs="Times New Roman"/>
                      <w:color w:val="auto"/>
                      <w:sz w:val="18"/>
                      <w:szCs w:val="18"/>
                      <w:highlight w:val="none"/>
                      <w:lang w:val="en-US" w:eastAsia="zh-CN" w:bidi="ar"/>
                    </w:rPr>
                    <w:t>/</w:t>
                  </w:r>
                </w:p>
              </w:tc>
              <w:tc>
                <w:tcPr>
                  <w:tcW w:w="761" w:type="dxa"/>
                  <w:noWrap w:val="0"/>
                  <w:vAlign w:val="center"/>
                </w:tcPr>
                <w:p w14:paraId="5F8ED416">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75</w:t>
                  </w:r>
                </w:p>
              </w:tc>
              <w:tc>
                <w:tcPr>
                  <w:tcW w:w="638" w:type="dxa"/>
                  <w:vMerge w:val="continue"/>
                  <w:noWrap w:val="0"/>
                  <w:vAlign w:val="center"/>
                </w:tcPr>
                <w:p w14:paraId="33EA5265">
                  <w:pPr>
                    <w:snapToGrid w:val="0"/>
                    <w:jc w:val="center"/>
                    <w:rPr>
                      <w:rFonts w:hint="eastAsia" w:ascii="Times New Roman" w:hAnsi="Times New Roman" w:eastAsia="宋体" w:cs="Times New Roman"/>
                      <w:color w:val="auto"/>
                      <w:sz w:val="18"/>
                      <w:szCs w:val="18"/>
                      <w:highlight w:val="none"/>
                    </w:rPr>
                  </w:pPr>
                </w:p>
              </w:tc>
              <w:tc>
                <w:tcPr>
                  <w:tcW w:w="501" w:type="dxa"/>
                  <w:noWrap w:val="0"/>
                  <w:vAlign w:val="center"/>
                </w:tcPr>
                <w:p w14:paraId="2B012FF6">
                  <w:pPr>
                    <w:jc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33</w:t>
                  </w:r>
                </w:p>
              </w:tc>
              <w:tc>
                <w:tcPr>
                  <w:tcW w:w="623" w:type="dxa"/>
                  <w:noWrap w:val="0"/>
                  <w:vAlign w:val="center"/>
                </w:tcPr>
                <w:p w14:paraId="61221BE6">
                  <w:pPr>
                    <w:jc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10</w:t>
                  </w:r>
                </w:p>
              </w:tc>
              <w:tc>
                <w:tcPr>
                  <w:tcW w:w="520" w:type="dxa"/>
                  <w:noWrap w:val="0"/>
                  <w:vAlign w:val="center"/>
                </w:tcPr>
                <w:p w14:paraId="4EE3AB1B">
                  <w:pPr>
                    <w:jc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1</w:t>
                  </w:r>
                </w:p>
              </w:tc>
              <w:tc>
                <w:tcPr>
                  <w:tcW w:w="625" w:type="dxa"/>
                  <w:noWrap w:val="0"/>
                  <w:vAlign w:val="center"/>
                </w:tcPr>
                <w:p w14:paraId="68A6C31D">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c>
                <w:tcPr>
                  <w:tcW w:w="773" w:type="dxa"/>
                  <w:noWrap w:val="0"/>
                  <w:vAlign w:val="center"/>
                </w:tcPr>
                <w:p w14:paraId="4F0D4EFA">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65</w:t>
                  </w:r>
                </w:p>
              </w:tc>
              <w:tc>
                <w:tcPr>
                  <w:tcW w:w="674" w:type="dxa"/>
                  <w:vMerge w:val="continue"/>
                  <w:noWrap w:val="0"/>
                  <w:vAlign w:val="center"/>
                </w:tcPr>
                <w:p w14:paraId="6AB1BF2B">
                  <w:pPr>
                    <w:numPr>
                      <w:ilvl w:val="0"/>
                      <w:numId w:val="0"/>
                    </w:numPr>
                    <w:adjustRightInd w:val="0"/>
                    <w:snapToGrid w:val="0"/>
                    <w:ind w:left="0" w:leftChars="0" w:firstLine="0" w:firstLineChars="0"/>
                    <w:jc w:val="center"/>
                    <w:textAlignment w:val="bottom"/>
                    <w:rPr>
                      <w:rFonts w:hint="eastAsia" w:ascii="Times New Roman" w:hAnsi="Times New Roman" w:eastAsia="宋体" w:cs="Times New Roman"/>
                      <w:color w:val="auto"/>
                      <w:sz w:val="18"/>
                      <w:szCs w:val="18"/>
                      <w:highlight w:val="none"/>
                    </w:rPr>
                  </w:pPr>
                </w:p>
              </w:tc>
              <w:tc>
                <w:tcPr>
                  <w:tcW w:w="844" w:type="dxa"/>
                  <w:noWrap w:val="0"/>
                  <w:vAlign w:val="center"/>
                </w:tcPr>
                <w:p w14:paraId="26BF1532">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25</w:t>
                  </w:r>
                </w:p>
              </w:tc>
              <w:tc>
                <w:tcPr>
                  <w:tcW w:w="843" w:type="dxa"/>
                  <w:noWrap w:val="0"/>
                  <w:vAlign w:val="center"/>
                </w:tcPr>
                <w:p w14:paraId="288DDE07">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w:t>
                  </w:r>
                  <w:r>
                    <w:rPr>
                      <w:rFonts w:hint="eastAsia" w:cs="Times New Roman"/>
                      <w:color w:val="auto"/>
                      <w:highlight w:val="none"/>
                      <w:lang w:val="en-US" w:eastAsia="zh-CN"/>
                    </w:rPr>
                    <w:t>0</w:t>
                  </w:r>
                </w:p>
              </w:tc>
              <w:tc>
                <w:tcPr>
                  <w:tcW w:w="764" w:type="dxa"/>
                  <w:noWrap w:val="0"/>
                  <w:vAlign w:val="center"/>
                </w:tcPr>
                <w:p w14:paraId="43884B6E">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r>
            <w:tr w14:paraId="648FC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450" w:type="dxa"/>
                  <w:noWrap w:val="0"/>
                  <w:vAlign w:val="center"/>
                </w:tcPr>
                <w:p w14:paraId="52521818">
                  <w:pPr>
                    <w:numPr>
                      <w:ilvl w:val="0"/>
                      <w:numId w:val="7"/>
                    </w:numPr>
                    <w:adjustRightInd w:val="0"/>
                    <w:snapToGrid w:val="0"/>
                    <w:ind w:left="425" w:leftChars="0" w:hanging="425" w:firstLineChars="0"/>
                    <w:jc w:val="center"/>
                    <w:textAlignment w:val="bottom"/>
                    <w:rPr>
                      <w:rFonts w:hint="eastAsia" w:cs="Times New Roman"/>
                      <w:color w:val="auto"/>
                      <w:sz w:val="18"/>
                      <w:szCs w:val="18"/>
                      <w:highlight w:val="none"/>
                      <w:lang w:val="en-US" w:eastAsia="zh-CN" w:bidi="ar"/>
                    </w:rPr>
                  </w:pPr>
                </w:p>
              </w:tc>
              <w:tc>
                <w:tcPr>
                  <w:tcW w:w="773" w:type="dxa"/>
                  <w:vMerge w:val="continue"/>
                  <w:noWrap w:val="0"/>
                  <w:vAlign w:val="center"/>
                </w:tcPr>
                <w:p w14:paraId="18DA5893">
                  <w:pPr>
                    <w:snapToGrid w:val="0"/>
                    <w:jc w:val="center"/>
                    <w:rPr>
                      <w:rFonts w:hint="eastAsia" w:ascii="Times New Roman" w:hAnsi="Times New Roman" w:eastAsia="宋体" w:cs="Times New Roman"/>
                      <w:color w:val="auto"/>
                      <w:sz w:val="18"/>
                      <w:szCs w:val="18"/>
                      <w:highlight w:val="none"/>
                    </w:rPr>
                  </w:pPr>
                </w:p>
              </w:tc>
              <w:tc>
                <w:tcPr>
                  <w:tcW w:w="1722" w:type="dxa"/>
                  <w:noWrap w:val="0"/>
                  <w:vAlign w:val="center"/>
                </w:tcPr>
                <w:p w14:paraId="7771632C">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大倾角皮带机</w:t>
                  </w:r>
                </w:p>
              </w:tc>
              <w:tc>
                <w:tcPr>
                  <w:tcW w:w="1212" w:type="dxa"/>
                  <w:noWrap w:val="0"/>
                  <w:vAlign w:val="center"/>
                </w:tcPr>
                <w:p w14:paraId="6F8D02F6">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60*10m</w:t>
                  </w:r>
                </w:p>
              </w:tc>
              <w:tc>
                <w:tcPr>
                  <w:tcW w:w="733" w:type="dxa"/>
                  <w:noWrap w:val="0"/>
                  <w:vAlign w:val="center"/>
                </w:tcPr>
                <w:p w14:paraId="7AC1F628">
                  <w:pPr>
                    <w:numPr>
                      <w:ilvl w:val="0"/>
                      <w:numId w:val="0"/>
                    </w:numPr>
                    <w:adjustRightInd w:val="0"/>
                    <w:snapToGrid w:val="0"/>
                    <w:ind w:left="0" w:leftChars="0" w:firstLine="0" w:firstLineChars="0"/>
                    <w:jc w:val="center"/>
                    <w:textAlignment w:val="bottom"/>
                    <w:rPr>
                      <w:rFonts w:hint="eastAsia" w:ascii="Times New Roman" w:hAnsi="Times New Roman" w:eastAsia="宋体" w:cs="Times New Roman"/>
                      <w:color w:val="auto"/>
                      <w:sz w:val="18"/>
                      <w:szCs w:val="18"/>
                      <w:highlight w:val="none"/>
                      <w:lang w:val="en-US" w:eastAsia="zh-CN" w:bidi="ar"/>
                    </w:rPr>
                  </w:pPr>
                  <w:r>
                    <w:rPr>
                      <w:rFonts w:hint="eastAsia" w:ascii="Times New Roman" w:hAnsi="Times New Roman" w:eastAsia="宋体" w:cs="Times New Roman"/>
                      <w:color w:val="auto"/>
                      <w:sz w:val="18"/>
                      <w:szCs w:val="18"/>
                      <w:highlight w:val="none"/>
                      <w:lang w:val="en-US" w:eastAsia="zh-CN" w:bidi="ar"/>
                    </w:rPr>
                    <w:t>/</w:t>
                  </w:r>
                </w:p>
              </w:tc>
              <w:tc>
                <w:tcPr>
                  <w:tcW w:w="761" w:type="dxa"/>
                  <w:noWrap w:val="0"/>
                  <w:vAlign w:val="center"/>
                </w:tcPr>
                <w:p w14:paraId="091F7775">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75</w:t>
                  </w:r>
                </w:p>
              </w:tc>
              <w:tc>
                <w:tcPr>
                  <w:tcW w:w="638" w:type="dxa"/>
                  <w:vMerge w:val="continue"/>
                  <w:noWrap w:val="0"/>
                  <w:vAlign w:val="center"/>
                </w:tcPr>
                <w:p w14:paraId="71F07508">
                  <w:pPr>
                    <w:snapToGrid w:val="0"/>
                    <w:jc w:val="center"/>
                    <w:rPr>
                      <w:rFonts w:hint="eastAsia" w:ascii="Times New Roman" w:hAnsi="Times New Roman" w:eastAsia="宋体" w:cs="Times New Roman"/>
                      <w:color w:val="auto"/>
                      <w:sz w:val="18"/>
                      <w:szCs w:val="18"/>
                      <w:highlight w:val="none"/>
                    </w:rPr>
                  </w:pPr>
                </w:p>
              </w:tc>
              <w:tc>
                <w:tcPr>
                  <w:tcW w:w="501" w:type="dxa"/>
                  <w:noWrap w:val="0"/>
                  <w:vAlign w:val="center"/>
                </w:tcPr>
                <w:p w14:paraId="2219EAB0">
                  <w:pPr>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3</w:t>
                  </w:r>
                  <w:r>
                    <w:rPr>
                      <w:rFonts w:hint="eastAsia" w:cs="Times New Roman"/>
                      <w:color w:val="auto"/>
                      <w:highlight w:val="none"/>
                      <w:lang w:val="en-US" w:eastAsia="zh-CN"/>
                    </w:rPr>
                    <w:t>8</w:t>
                  </w:r>
                </w:p>
              </w:tc>
              <w:tc>
                <w:tcPr>
                  <w:tcW w:w="623" w:type="dxa"/>
                  <w:noWrap w:val="0"/>
                  <w:vAlign w:val="center"/>
                </w:tcPr>
                <w:p w14:paraId="633C1990">
                  <w:pPr>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10</w:t>
                  </w:r>
                </w:p>
              </w:tc>
              <w:tc>
                <w:tcPr>
                  <w:tcW w:w="520" w:type="dxa"/>
                  <w:noWrap w:val="0"/>
                  <w:vAlign w:val="center"/>
                </w:tcPr>
                <w:p w14:paraId="14429F2D">
                  <w:pPr>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w:t>
                  </w:r>
                </w:p>
              </w:tc>
              <w:tc>
                <w:tcPr>
                  <w:tcW w:w="625" w:type="dxa"/>
                  <w:noWrap w:val="0"/>
                  <w:vAlign w:val="center"/>
                </w:tcPr>
                <w:p w14:paraId="2194EAB3">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c>
                <w:tcPr>
                  <w:tcW w:w="773" w:type="dxa"/>
                  <w:noWrap w:val="0"/>
                  <w:vAlign w:val="center"/>
                </w:tcPr>
                <w:p w14:paraId="7EAE0D59">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65</w:t>
                  </w:r>
                </w:p>
              </w:tc>
              <w:tc>
                <w:tcPr>
                  <w:tcW w:w="674" w:type="dxa"/>
                  <w:vMerge w:val="continue"/>
                  <w:noWrap w:val="0"/>
                  <w:vAlign w:val="center"/>
                </w:tcPr>
                <w:p w14:paraId="02C18A8F">
                  <w:pPr>
                    <w:numPr>
                      <w:ilvl w:val="0"/>
                      <w:numId w:val="0"/>
                    </w:numPr>
                    <w:adjustRightInd w:val="0"/>
                    <w:snapToGrid w:val="0"/>
                    <w:ind w:left="0" w:leftChars="0" w:firstLine="0" w:firstLineChars="0"/>
                    <w:jc w:val="center"/>
                    <w:textAlignment w:val="bottom"/>
                    <w:rPr>
                      <w:rFonts w:hint="eastAsia" w:ascii="Times New Roman" w:hAnsi="Times New Roman" w:eastAsia="宋体" w:cs="Times New Roman"/>
                      <w:color w:val="auto"/>
                      <w:sz w:val="18"/>
                      <w:szCs w:val="18"/>
                      <w:highlight w:val="none"/>
                    </w:rPr>
                  </w:pPr>
                </w:p>
              </w:tc>
              <w:tc>
                <w:tcPr>
                  <w:tcW w:w="844" w:type="dxa"/>
                  <w:noWrap w:val="0"/>
                  <w:vAlign w:val="center"/>
                </w:tcPr>
                <w:p w14:paraId="601A960B">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25</w:t>
                  </w:r>
                </w:p>
              </w:tc>
              <w:tc>
                <w:tcPr>
                  <w:tcW w:w="843" w:type="dxa"/>
                  <w:noWrap w:val="0"/>
                  <w:vAlign w:val="center"/>
                </w:tcPr>
                <w:p w14:paraId="47B5C741">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w:t>
                  </w:r>
                  <w:r>
                    <w:rPr>
                      <w:rFonts w:hint="eastAsia" w:cs="Times New Roman"/>
                      <w:color w:val="auto"/>
                      <w:highlight w:val="none"/>
                      <w:lang w:val="en-US" w:eastAsia="zh-CN"/>
                    </w:rPr>
                    <w:t>0</w:t>
                  </w:r>
                </w:p>
              </w:tc>
              <w:tc>
                <w:tcPr>
                  <w:tcW w:w="764" w:type="dxa"/>
                  <w:noWrap w:val="0"/>
                  <w:vAlign w:val="center"/>
                </w:tcPr>
                <w:p w14:paraId="29ABB849">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r>
            <w:tr w14:paraId="64969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450" w:type="dxa"/>
                  <w:noWrap w:val="0"/>
                  <w:vAlign w:val="center"/>
                </w:tcPr>
                <w:p w14:paraId="34554A9C">
                  <w:pPr>
                    <w:numPr>
                      <w:ilvl w:val="0"/>
                      <w:numId w:val="7"/>
                    </w:numPr>
                    <w:adjustRightInd w:val="0"/>
                    <w:snapToGrid w:val="0"/>
                    <w:ind w:left="425" w:leftChars="0" w:hanging="425" w:firstLineChars="0"/>
                    <w:jc w:val="center"/>
                    <w:textAlignment w:val="bottom"/>
                    <w:rPr>
                      <w:rFonts w:hint="eastAsia" w:ascii="Times New Roman" w:hAnsi="Times New Roman" w:eastAsia="宋体" w:cs="Times New Roman"/>
                      <w:color w:val="auto"/>
                      <w:sz w:val="18"/>
                      <w:szCs w:val="18"/>
                      <w:highlight w:val="none"/>
                      <w:lang w:val="en-US" w:eastAsia="zh-CN" w:bidi="ar"/>
                    </w:rPr>
                  </w:pPr>
                </w:p>
              </w:tc>
              <w:tc>
                <w:tcPr>
                  <w:tcW w:w="773" w:type="dxa"/>
                  <w:vMerge w:val="continue"/>
                  <w:noWrap w:val="0"/>
                  <w:vAlign w:val="center"/>
                </w:tcPr>
                <w:p w14:paraId="596AD738">
                  <w:pPr>
                    <w:snapToGrid w:val="0"/>
                    <w:jc w:val="center"/>
                    <w:rPr>
                      <w:rFonts w:hint="eastAsia" w:ascii="Times New Roman" w:hAnsi="Times New Roman" w:eastAsia="宋体" w:cs="Times New Roman"/>
                      <w:color w:val="auto"/>
                      <w:sz w:val="18"/>
                      <w:szCs w:val="18"/>
                      <w:highlight w:val="none"/>
                    </w:rPr>
                  </w:pPr>
                </w:p>
              </w:tc>
              <w:tc>
                <w:tcPr>
                  <w:tcW w:w="1722" w:type="dxa"/>
                  <w:noWrap w:val="0"/>
                  <w:vAlign w:val="center"/>
                </w:tcPr>
                <w:p w14:paraId="6EF7A3D4">
                  <w:pPr>
                    <w:jc w:val="center"/>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highlight w:val="none"/>
                      <w:lang w:val="en-US" w:eastAsia="zh-CN"/>
                    </w:rPr>
                    <w:t>大倾角皮带机</w:t>
                  </w:r>
                </w:p>
              </w:tc>
              <w:tc>
                <w:tcPr>
                  <w:tcW w:w="1212" w:type="dxa"/>
                  <w:noWrap w:val="0"/>
                  <w:vAlign w:val="center"/>
                </w:tcPr>
                <w:p w14:paraId="3370060A">
                  <w:pPr>
                    <w:jc w:val="center"/>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highlight w:val="none"/>
                      <w:lang w:val="en-US" w:eastAsia="zh-CN"/>
                    </w:rPr>
                    <w:t>50*10m</w:t>
                  </w:r>
                </w:p>
              </w:tc>
              <w:tc>
                <w:tcPr>
                  <w:tcW w:w="733" w:type="dxa"/>
                  <w:noWrap w:val="0"/>
                  <w:vAlign w:val="center"/>
                </w:tcPr>
                <w:p w14:paraId="4B1E731D">
                  <w:pPr>
                    <w:numPr>
                      <w:ilvl w:val="0"/>
                      <w:numId w:val="0"/>
                    </w:numPr>
                    <w:adjustRightInd w:val="0"/>
                    <w:snapToGrid w:val="0"/>
                    <w:ind w:left="0" w:leftChars="0" w:firstLine="0" w:firstLineChars="0"/>
                    <w:jc w:val="center"/>
                    <w:textAlignment w:val="bottom"/>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lang w:val="en-US" w:eastAsia="zh-CN" w:bidi="ar"/>
                    </w:rPr>
                    <w:t>/</w:t>
                  </w:r>
                </w:p>
              </w:tc>
              <w:tc>
                <w:tcPr>
                  <w:tcW w:w="761" w:type="dxa"/>
                  <w:noWrap w:val="0"/>
                  <w:vAlign w:val="center"/>
                </w:tcPr>
                <w:p w14:paraId="6CD5088F">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70</w:t>
                  </w:r>
                </w:p>
              </w:tc>
              <w:tc>
                <w:tcPr>
                  <w:tcW w:w="638" w:type="dxa"/>
                  <w:vMerge w:val="continue"/>
                  <w:noWrap w:val="0"/>
                  <w:vAlign w:val="center"/>
                </w:tcPr>
                <w:p w14:paraId="0045ABD8">
                  <w:pPr>
                    <w:snapToGrid w:val="0"/>
                    <w:jc w:val="center"/>
                    <w:rPr>
                      <w:rFonts w:hint="eastAsia" w:ascii="Times New Roman" w:hAnsi="Times New Roman" w:eastAsia="宋体" w:cs="Times New Roman"/>
                      <w:color w:val="auto"/>
                      <w:sz w:val="18"/>
                      <w:szCs w:val="18"/>
                      <w:highlight w:val="none"/>
                    </w:rPr>
                  </w:pPr>
                </w:p>
              </w:tc>
              <w:tc>
                <w:tcPr>
                  <w:tcW w:w="501" w:type="dxa"/>
                  <w:noWrap w:val="0"/>
                  <w:vAlign w:val="center"/>
                </w:tcPr>
                <w:p w14:paraId="118A23EE">
                  <w:pPr>
                    <w:jc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35</w:t>
                  </w:r>
                </w:p>
              </w:tc>
              <w:tc>
                <w:tcPr>
                  <w:tcW w:w="623" w:type="dxa"/>
                  <w:noWrap w:val="0"/>
                  <w:vAlign w:val="center"/>
                </w:tcPr>
                <w:p w14:paraId="72814769">
                  <w:pPr>
                    <w:jc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8</w:t>
                  </w:r>
                </w:p>
              </w:tc>
              <w:tc>
                <w:tcPr>
                  <w:tcW w:w="520" w:type="dxa"/>
                  <w:noWrap w:val="0"/>
                  <w:vAlign w:val="center"/>
                </w:tcPr>
                <w:p w14:paraId="309CD4F8">
                  <w:pPr>
                    <w:jc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1</w:t>
                  </w:r>
                </w:p>
              </w:tc>
              <w:tc>
                <w:tcPr>
                  <w:tcW w:w="625" w:type="dxa"/>
                  <w:noWrap w:val="0"/>
                  <w:vAlign w:val="center"/>
                </w:tcPr>
                <w:p w14:paraId="3C00BE2F">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c>
                <w:tcPr>
                  <w:tcW w:w="773" w:type="dxa"/>
                  <w:noWrap w:val="0"/>
                  <w:vAlign w:val="center"/>
                </w:tcPr>
                <w:p w14:paraId="6BBCF25A">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60</w:t>
                  </w:r>
                </w:p>
              </w:tc>
              <w:tc>
                <w:tcPr>
                  <w:tcW w:w="674" w:type="dxa"/>
                  <w:vMerge w:val="continue"/>
                  <w:noWrap w:val="0"/>
                  <w:vAlign w:val="center"/>
                </w:tcPr>
                <w:p w14:paraId="04852D69">
                  <w:pPr>
                    <w:numPr>
                      <w:ilvl w:val="0"/>
                      <w:numId w:val="0"/>
                    </w:numPr>
                    <w:adjustRightInd w:val="0"/>
                    <w:snapToGrid w:val="0"/>
                    <w:ind w:left="0" w:leftChars="0" w:firstLine="0" w:firstLineChars="0"/>
                    <w:jc w:val="center"/>
                    <w:textAlignment w:val="bottom"/>
                    <w:rPr>
                      <w:rFonts w:hint="eastAsia" w:ascii="Times New Roman" w:hAnsi="Times New Roman" w:eastAsia="宋体" w:cs="Times New Roman"/>
                      <w:color w:val="auto"/>
                      <w:sz w:val="18"/>
                      <w:szCs w:val="18"/>
                      <w:highlight w:val="none"/>
                    </w:rPr>
                  </w:pPr>
                </w:p>
              </w:tc>
              <w:tc>
                <w:tcPr>
                  <w:tcW w:w="844" w:type="dxa"/>
                  <w:noWrap w:val="0"/>
                  <w:vAlign w:val="center"/>
                </w:tcPr>
                <w:p w14:paraId="1EAB69C2">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25</w:t>
                  </w:r>
                </w:p>
              </w:tc>
              <w:tc>
                <w:tcPr>
                  <w:tcW w:w="843" w:type="dxa"/>
                  <w:noWrap w:val="0"/>
                  <w:vAlign w:val="center"/>
                </w:tcPr>
                <w:p w14:paraId="709EA55A">
                  <w:pPr>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35</w:t>
                  </w:r>
                </w:p>
              </w:tc>
              <w:tc>
                <w:tcPr>
                  <w:tcW w:w="764" w:type="dxa"/>
                  <w:noWrap w:val="0"/>
                  <w:vAlign w:val="center"/>
                </w:tcPr>
                <w:p w14:paraId="6F89C100">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r>
            <w:tr w14:paraId="6D24B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450" w:type="dxa"/>
                  <w:noWrap w:val="0"/>
                  <w:vAlign w:val="center"/>
                </w:tcPr>
                <w:p w14:paraId="03CA3CD6">
                  <w:pPr>
                    <w:numPr>
                      <w:ilvl w:val="0"/>
                      <w:numId w:val="7"/>
                    </w:numPr>
                    <w:adjustRightInd w:val="0"/>
                    <w:snapToGrid w:val="0"/>
                    <w:ind w:left="425" w:leftChars="0" w:hanging="425" w:firstLineChars="0"/>
                    <w:jc w:val="center"/>
                    <w:textAlignment w:val="bottom"/>
                    <w:rPr>
                      <w:rFonts w:hint="eastAsia" w:ascii="Times New Roman" w:hAnsi="Times New Roman" w:eastAsia="宋体" w:cs="Times New Roman"/>
                      <w:color w:val="auto"/>
                      <w:sz w:val="18"/>
                      <w:szCs w:val="18"/>
                      <w:highlight w:val="none"/>
                      <w:lang w:val="en-US" w:eastAsia="zh-CN" w:bidi="ar"/>
                    </w:rPr>
                  </w:pPr>
                </w:p>
              </w:tc>
              <w:tc>
                <w:tcPr>
                  <w:tcW w:w="773" w:type="dxa"/>
                  <w:vMerge w:val="continue"/>
                  <w:noWrap w:val="0"/>
                  <w:vAlign w:val="center"/>
                </w:tcPr>
                <w:p w14:paraId="7D6BBB1B">
                  <w:pPr>
                    <w:snapToGrid w:val="0"/>
                    <w:jc w:val="center"/>
                    <w:rPr>
                      <w:rFonts w:hint="eastAsia" w:ascii="Times New Roman" w:hAnsi="Times New Roman" w:eastAsia="宋体" w:cs="Times New Roman"/>
                      <w:color w:val="auto"/>
                      <w:sz w:val="18"/>
                      <w:szCs w:val="18"/>
                      <w:highlight w:val="none"/>
                    </w:rPr>
                  </w:pPr>
                </w:p>
              </w:tc>
              <w:tc>
                <w:tcPr>
                  <w:tcW w:w="1722" w:type="dxa"/>
                  <w:noWrap w:val="0"/>
                  <w:vAlign w:val="center"/>
                </w:tcPr>
                <w:p w14:paraId="365728E8">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大倾角皮带机</w:t>
                  </w:r>
                </w:p>
              </w:tc>
              <w:tc>
                <w:tcPr>
                  <w:tcW w:w="1212" w:type="dxa"/>
                  <w:noWrap w:val="0"/>
                  <w:vAlign w:val="center"/>
                </w:tcPr>
                <w:p w14:paraId="2B8C79F3">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50*10m</w:t>
                  </w:r>
                </w:p>
              </w:tc>
              <w:tc>
                <w:tcPr>
                  <w:tcW w:w="733" w:type="dxa"/>
                  <w:noWrap w:val="0"/>
                  <w:vAlign w:val="center"/>
                </w:tcPr>
                <w:p w14:paraId="43D79ADD">
                  <w:pPr>
                    <w:numPr>
                      <w:ilvl w:val="0"/>
                      <w:numId w:val="0"/>
                    </w:numPr>
                    <w:adjustRightInd w:val="0"/>
                    <w:snapToGrid w:val="0"/>
                    <w:ind w:left="0" w:leftChars="0" w:firstLine="0" w:firstLineChars="0"/>
                    <w:jc w:val="center"/>
                    <w:textAlignment w:val="bottom"/>
                    <w:rPr>
                      <w:rFonts w:hint="eastAsia" w:ascii="Times New Roman" w:hAnsi="Times New Roman" w:eastAsia="宋体" w:cs="Times New Roman"/>
                      <w:color w:val="auto"/>
                      <w:sz w:val="18"/>
                      <w:szCs w:val="18"/>
                      <w:highlight w:val="none"/>
                      <w:lang w:val="en-US" w:eastAsia="zh-CN" w:bidi="ar"/>
                    </w:rPr>
                  </w:pPr>
                  <w:r>
                    <w:rPr>
                      <w:rFonts w:hint="eastAsia" w:ascii="Times New Roman" w:hAnsi="Times New Roman" w:eastAsia="宋体" w:cs="Times New Roman"/>
                      <w:color w:val="auto"/>
                      <w:sz w:val="18"/>
                      <w:szCs w:val="18"/>
                      <w:highlight w:val="none"/>
                      <w:lang w:val="en-US" w:eastAsia="zh-CN" w:bidi="ar"/>
                    </w:rPr>
                    <w:t>/</w:t>
                  </w:r>
                </w:p>
              </w:tc>
              <w:tc>
                <w:tcPr>
                  <w:tcW w:w="761" w:type="dxa"/>
                  <w:noWrap w:val="0"/>
                  <w:vAlign w:val="center"/>
                </w:tcPr>
                <w:p w14:paraId="39C69222">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70</w:t>
                  </w:r>
                </w:p>
              </w:tc>
              <w:tc>
                <w:tcPr>
                  <w:tcW w:w="638" w:type="dxa"/>
                  <w:vMerge w:val="continue"/>
                  <w:noWrap w:val="0"/>
                  <w:vAlign w:val="center"/>
                </w:tcPr>
                <w:p w14:paraId="07D7200E">
                  <w:pPr>
                    <w:snapToGrid w:val="0"/>
                    <w:jc w:val="center"/>
                    <w:rPr>
                      <w:rFonts w:hint="eastAsia" w:ascii="Times New Roman" w:hAnsi="Times New Roman" w:eastAsia="宋体" w:cs="Times New Roman"/>
                      <w:color w:val="auto"/>
                      <w:sz w:val="18"/>
                      <w:szCs w:val="18"/>
                      <w:highlight w:val="none"/>
                    </w:rPr>
                  </w:pPr>
                </w:p>
              </w:tc>
              <w:tc>
                <w:tcPr>
                  <w:tcW w:w="501" w:type="dxa"/>
                  <w:noWrap w:val="0"/>
                  <w:vAlign w:val="center"/>
                </w:tcPr>
                <w:p w14:paraId="6730EF65">
                  <w:pPr>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3</w:t>
                  </w:r>
                  <w:r>
                    <w:rPr>
                      <w:rFonts w:hint="eastAsia" w:cs="Times New Roman"/>
                      <w:color w:val="auto"/>
                      <w:highlight w:val="none"/>
                      <w:lang w:val="en-US" w:eastAsia="zh-CN"/>
                    </w:rPr>
                    <w:t>8</w:t>
                  </w:r>
                </w:p>
              </w:tc>
              <w:tc>
                <w:tcPr>
                  <w:tcW w:w="623" w:type="dxa"/>
                  <w:noWrap w:val="0"/>
                  <w:vAlign w:val="center"/>
                </w:tcPr>
                <w:p w14:paraId="5F43A5E5">
                  <w:pPr>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8</w:t>
                  </w:r>
                </w:p>
              </w:tc>
              <w:tc>
                <w:tcPr>
                  <w:tcW w:w="520" w:type="dxa"/>
                  <w:noWrap w:val="0"/>
                  <w:vAlign w:val="center"/>
                </w:tcPr>
                <w:p w14:paraId="7D11E17E">
                  <w:pPr>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w:t>
                  </w:r>
                </w:p>
              </w:tc>
              <w:tc>
                <w:tcPr>
                  <w:tcW w:w="625" w:type="dxa"/>
                  <w:noWrap w:val="0"/>
                  <w:vAlign w:val="center"/>
                </w:tcPr>
                <w:p w14:paraId="1D144898">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c>
                <w:tcPr>
                  <w:tcW w:w="773" w:type="dxa"/>
                  <w:noWrap w:val="0"/>
                  <w:vAlign w:val="center"/>
                </w:tcPr>
                <w:p w14:paraId="1EA35AC1">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60</w:t>
                  </w:r>
                </w:p>
              </w:tc>
              <w:tc>
                <w:tcPr>
                  <w:tcW w:w="674" w:type="dxa"/>
                  <w:vMerge w:val="continue"/>
                  <w:noWrap w:val="0"/>
                  <w:vAlign w:val="center"/>
                </w:tcPr>
                <w:p w14:paraId="231A73CC">
                  <w:pPr>
                    <w:numPr>
                      <w:ilvl w:val="0"/>
                      <w:numId w:val="0"/>
                    </w:numPr>
                    <w:adjustRightInd w:val="0"/>
                    <w:snapToGrid w:val="0"/>
                    <w:ind w:left="0" w:leftChars="0" w:firstLine="0" w:firstLineChars="0"/>
                    <w:jc w:val="center"/>
                    <w:textAlignment w:val="bottom"/>
                    <w:rPr>
                      <w:rFonts w:hint="eastAsia" w:ascii="Times New Roman" w:hAnsi="Times New Roman" w:eastAsia="宋体" w:cs="Times New Roman"/>
                      <w:color w:val="auto"/>
                      <w:sz w:val="18"/>
                      <w:szCs w:val="18"/>
                      <w:highlight w:val="none"/>
                    </w:rPr>
                  </w:pPr>
                </w:p>
              </w:tc>
              <w:tc>
                <w:tcPr>
                  <w:tcW w:w="844" w:type="dxa"/>
                  <w:noWrap w:val="0"/>
                  <w:vAlign w:val="center"/>
                </w:tcPr>
                <w:p w14:paraId="76D44086">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25</w:t>
                  </w:r>
                </w:p>
              </w:tc>
              <w:tc>
                <w:tcPr>
                  <w:tcW w:w="843" w:type="dxa"/>
                  <w:noWrap w:val="0"/>
                  <w:vAlign w:val="center"/>
                </w:tcPr>
                <w:p w14:paraId="0C409A61">
                  <w:pPr>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35</w:t>
                  </w:r>
                </w:p>
              </w:tc>
              <w:tc>
                <w:tcPr>
                  <w:tcW w:w="764" w:type="dxa"/>
                  <w:noWrap w:val="0"/>
                  <w:vAlign w:val="center"/>
                </w:tcPr>
                <w:p w14:paraId="42A818EA">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r>
            <w:tr w14:paraId="7D1CE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450" w:type="dxa"/>
                  <w:noWrap w:val="0"/>
                  <w:vAlign w:val="center"/>
                </w:tcPr>
                <w:p w14:paraId="12467222">
                  <w:pPr>
                    <w:numPr>
                      <w:ilvl w:val="0"/>
                      <w:numId w:val="7"/>
                    </w:numPr>
                    <w:adjustRightInd w:val="0"/>
                    <w:snapToGrid w:val="0"/>
                    <w:ind w:left="425" w:leftChars="0" w:hanging="425" w:firstLineChars="0"/>
                    <w:jc w:val="center"/>
                    <w:textAlignment w:val="bottom"/>
                    <w:rPr>
                      <w:rFonts w:hint="default" w:ascii="Times New Roman" w:hAnsi="Times New Roman" w:eastAsia="宋体" w:cs="Times New Roman"/>
                      <w:color w:val="auto"/>
                      <w:sz w:val="18"/>
                      <w:szCs w:val="18"/>
                      <w:highlight w:val="none"/>
                      <w:lang w:val="en-US" w:bidi="ar"/>
                    </w:rPr>
                  </w:pPr>
                </w:p>
              </w:tc>
              <w:tc>
                <w:tcPr>
                  <w:tcW w:w="773" w:type="dxa"/>
                  <w:vMerge w:val="continue"/>
                  <w:noWrap w:val="0"/>
                  <w:vAlign w:val="center"/>
                </w:tcPr>
                <w:p w14:paraId="1C38F81D">
                  <w:pPr>
                    <w:snapToGrid w:val="0"/>
                    <w:jc w:val="center"/>
                    <w:rPr>
                      <w:rFonts w:hint="eastAsia" w:ascii="Times New Roman" w:hAnsi="Times New Roman" w:eastAsia="宋体" w:cs="Times New Roman"/>
                      <w:color w:val="auto"/>
                      <w:sz w:val="18"/>
                      <w:szCs w:val="18"/>
                      <w:highlight w:val="none"/>
                    </w:rPr>
                  </w:pPr>
                </w:p>
              </w:tc>
              <w:tc>
                <w:tcPr>
                  <w:tcW w:w="1722" w:type="dxa"/>
                  <w:noWrap w:val="0"/>
                  <w:vAlign w:val="center"/>
                </w:tcPr>
                <w:p w14:paraId="5ECD1BF7">
                  <w:pPr>
                    <w:jc w:val="center"/>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highlight w:val="none"/>
                      <w:lang w:val="en-US" w:eastAsia="zh-CN"/>
                    </w:rPr>
                    <w:t>打包机</w:t>
                  </w:r>
                </w:p>
              </w:tc>
              <w:tc>
                <w:tcPr>
                  <w:tcW w:w="1212" w:type="dxa"/>
                  <w:noWrap w:val="0"/>
                  <w:vAlign w:val="center"/>
                </w:tcPr>
                <w:p w14:paraId="48564267">
                  <w:pPr>
                    <w:jc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w:t>
                  </w:r>
                </w:p>
              </w:tc>
              <w:tc>
                <w:tcPr>
                  <w:tcW w:w="733" w:type="dxa"/>
                  <w:noWrap w:val="0"/>
                  <w:vAlign w:val="center"/>
                </w:tcPr>
                <w:p w14:paraId="5BD9F327">
                  <w:pPr>
                    <w:numPr>
                      <w:ilvl w:val="0"/>
                      <w:numId w:val="0"/>
                    </w:numPr>
                    <w:adjustRightInd w:val="0"/>
                    <w:snapToGrid w:val="0"/>
                    <w:ind w:left="0" w:leftChars="0" w:firstLine="0" w:firstLineChars="0"/>
                    <w:jc w:val="center"/>
                    <w:textAlignment w:val="bottom"/>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lang w:val="en-US" w:eastAsia="zh-CN" w:bidi="ar"/>
                    </w:rPr>
                    <w:t>/</w:t>
                  </w:r>
                </w:p>
              </w:tc>
              <w:tc>
                <w:tcPr>
                  <w:tcW w:w="761" w:type="dxa"/>
                  <w:noWrap w:val="0"/>
                  <w:vAlign w:val="center"/>
                </w:tcPr>
                <w:p w14:paraId="0CBE0DF9">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73</w:t>
                  </w:r>
                </w:p>
              </w:tc>
              <w:tc>
                <w:tcPr>
                  <w:tcW w:w="638" w:type="dxa"/>
                  <w:vMerge w:val="continue"/>
                  <w:noWrap w:val="0"/>
                  <w:vAlign w:val="center"/>
                </w:tcPr>
                <w:p w14:paraId="73937A40">
                  <w:pPr>
                    <w:snapToGrid w:val="0"/>
                    <w:jc w:val="center"/>
                    <w:rPr>
                      <w:rFonts w:hint="eastAsia" w:ascii="Times New Roman" w:hAnsi="Times New Roman" w:eastAsia="宋体" w:cs="Times New Roman"/>
                      <w:color w:val="auto"/>
                      <w:sz w:val="18"/>
                      <w:szCs w:val="18"/>
                      <w:highlight w:val="none"/>
                    </w:rPr>
                  </w:pPr>
                </w:p>
              </w:tc>
              <w:tc>
                <w:tcPr>
                  <w:tcW w:w="501" w:type="dxa"/>
                  <w:noWrap w:val="0"/>
                  <w:vAlign w:val="center"/>
                </w:tcPr>
                <w:p w14:paraId="7C361FD7">
                  <w:pPr>
                    <w:jc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28</w:t>
                  </w:r>
                </w:p>
              </w:tc>
              <w:tc>
                <w:tcPr>
                  <w:tcW w:w="623" w:type="dxa"/>
                  <w:noWrap w:val="0"/>
                  <w:vAlign w:val="center"/>
                </w:tcPr>
                <w:p w14:paraId="606771EF">
                  <w:pPr>
                    <w:jc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5</w:t>
                  </w:r>
                </w:p>
              </w:tc>
              <w:tc>
                <w:tcPr>
                  <w:tcW w:w="520" w:type="dxa"/>
                  <w:noWrap w:val="0"/>
                  <w:vAlign w:val="center"/>
                </w:tcPr>
                <w:p w14:paraId="30CA2FC9">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1.8</w:t>
                  </w:r>
                </w:p>
              </w:tc>
              <w:tc>
                <w:tcPr>
                  <w:tcW w:w="625" w:type="dxa"/>
                  <w:noWrap w:val="0"/>
                  <w:vAlign w:val="center"/>
                </w:tcPr>
                <w:p w14:paraId="56EA6992">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c>
                <w:tcPr>
                  <w:tcW w:w="773" w:type="dxa"/>
                  <w:noWrap w:val="0"/>
                  <w:vAlign w:val="center"/>
                </w:tcPr>
                <w:p w14:paraId="268B4D81">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63</w:t>
                  </w:r>
                </w:p>
              </w:tc>
              <w:tc>
                <w:tcPr>
                  <w:tcW w:w="674" w:type="dxa"/>
                  <w:vMerge w:val="continue"/>
                  <w:noWrap w:val="0"/>
                  <w:vAlign w:val="center"/>
                </w:tcPr>
                <w:p w14:paraId="6A087561">
                  <w:pPr>
                    <w:numPr>
                      <w:ilvl w:val="0"/>
                      <w:numId w:val="0"/>
                    </w:numPr>
                    <w:adjustRightInd w:val="0"/>
                    <w:snapToGrid w:val="0"/>
                    <w:ind w:left="0" w:leftChars="0" w:firstLine="0" w:firstLineChars="0"/>
                    <w:jc w:val="center"/>
                    <w:textAlignment w:val="bottom"/>
                    <w:rPr>
                      <w:rFonts w:hint="eastAsia" w:ascii="Times New Roman" w:hAnsi="Times New Roman" w:eastAsia="宋体" w:cs="Times New Roman"/>
                      <w:color w:val="auto"/>
                      <w:sz w:val="18"/>
                      <w:szCs w:val="18"/>
                      <w:highlight w:val="none"/>
                    </w:rPr>
                  </w:pPr>
                </w:p>
              </w:tc>
              <w:tc>
                <w:tcPr>
                  <w:tcW w:w="844" w:type="dxa"/>
                  <w:noWrap w:val="0"/>
                  <w:vAlign w:val="center"/>
                </w:tcPr>
                <w:p w14:paraId="5526ABF1">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25</w:t>
                  </w:r>
                </w:p>
              </w:tc>
              <w:tc>
                <w:tcPr>
                  <w:tcW w:w="843" w:type="dxa"/>
                  <w:noWrap w:val="0"/>
                  <w:vAlign w:val="center"/>
                </w:tcPr>
                <w:p w14:paraId="07211DFF">
                  <w:pPr>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38</w:t>
                  </w:r>
                </w:p>
              </w:tc>
              <w:tc>
                <w:tcPr>
                  <w:tcW w:w="764" w:type="dxa"/>
                  <w:noWrap w:val="0"/>
                  <w:vAlign w:val="center"/>
                </w:tcPr>
                <w:p w14:paraId="3057EE0D">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r>
            <w:tr w14:paraId="4DFBC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450" w:type="dxa"/>
                  <w:noWrap w:val="0"/>
                  <w:vAlign w:val="center"/>
                </w:tcPr>
                <w:p w14:paraId="599AD62C">
                  <w:pPr>
                    <w:numPr>
                      <w:ilvl w:val="0"/>
                      <w:numId w:val="7"/>
                    </w:numPr>
                    <w:adjustRightInd w:val="0"/>
                    <w:snapToGrid w:val="0"/>
                    <w:ind w:left="425" w:leftChars="0" w:hanging="425" w:firstLineChars="0"/>
                    <w:jc w:val="center"/>
                    <w:textAlignment w:val="bottom"/>
                    <w:rPr>
                      <w:rFonts w:hint="default" w:ascii="Times New Roman" w:hAnsi="Times New Roman" w:eastAsia="宋体" w:cs="Times New Roman"/>
                      <w:color w:val="auto"/>
                      <w:sz w:val="18"/>
                      <w:szCs w:val="18"/>
                      <w:highlight w:val="none"/>
                      <w:lang w:val="en-US" w:bidi="ar"/>
                    </w:rPr>
                  </w:pPr>
                </w:p>
              </w:tc>
              <w:tc>
                <w:tcPr>
                  <w:tcW w:w="773" w:type="dxa"/>
                  <w:vMerge w:val="continue"/>
                  <w:noWrap w:val="0"/>
                  <w:vAlign w:val="center"/>
                </w:tcPr>
                <w:p w14:paraId="5E48A637">
                  <w:pPr>
                    <w:snapToGrid w:val="0"/>
                    <w:jc w:val="center"/>
                    <w:rPr>
                      <w:rFonts w:hint="eastAsia" w:ascii="Times New Roman" w:hAnsi="Times New Roman" w:eastAsia="宋体" w:cs="Times New Roman"/>
                      <w:color w:val="auto"/>
                      <w:sz w:val="18"/>
                      <w:szCs w:val="18"/>
                      <w:highlight w:val="none"/>
                    </w:rPr>
                  </w:pPr>
                </w:p>
              </w:tc>
              <w:tc>
                <w:tcPr>
                  <w:tcW w:w="1722" w:type="dxa"/>
                  <w:noWrap w:val="0"/>
                  <w:vAlign w:val="center"/>
                </w:tcPr>
                <w:p w14:paraId="303DC9AE">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打包机</w:t>
                  </w:r>
                </w:p>
              </w:tc>
              <w:tc>
                <w:tcPr>
                  <w:tcW w:w="1212" w:type="dxa"/>
                  <w:noWrap w:val="0"/>
                  <w:vAlign w:val="center"/>
                </w:tcPr>
                <w:p w14:paraId="572B8104">
                  <w:pPr>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w:t>
                  </w:r>
                </w:p>
              </w:tc>
              <w:tc>
                <w:tcPr>
                  <w:tcW w:w="733" w:type="dxa"/>
                  <w:noWrap w:val="0"/>
                  <w:vAlign w:val="center"/>
                </w:tcPr>
                <w:p w14:paraId="7AE6CEA2">
                  <w:pPr>
                    <w:numPr>
                      <w:ilvl w:val="0"/>
                      <w:numId w:val="0"/>
                    </w:numPr>
                    <w:adjustRightInd w:val="0"/>
                    <w:snapToGrid w:val="0"/>
                    <w:ind w:left="0" w:leftChars="0" w:firstLine="0" w:firstLineChars="0"/>
                    <w:jc w:val="center"/>
                    <w:textAlignment w:val="bottom"/>
                    <w:rPr>
                      <w:rFonts w:hint="eastAsia" w:ascii="Times New Roman" w:hAnsi="Times New Roman" w:eastAsia="宋体" w:cs="Times New Roman"/>
                      <w:color w:val="auto"/>
                      <w:sz w:val="18"/>
                      <w:szCs w:val="18"/>
                      <w:highlight w:val="none"/>
                      <w:lang w:val="en-US" w:eastAsia="zh-CN" w:bidi="ar"/>
                    </w:rPr>
                  </w:pPr>
                  <w:r>
                    <w:rPr>
                      <w:rFonts w:hint="eastAsia" w:ascii="Times New Roman" w:hAnsi="Times New Roman" w:eastAsia="宋体" w:cs="Times New Roman"/>
                      <w:color w:val="auto"/>
                      <w:sz w:val="18"/>
                      <w:szCs w:val="18"/>
                      <w:highlight w:val="none"/>
                      <w:lang w:val="en-US" w:eastAsia="zh-CN" w:bidi="ar"/>
                    </w:rPr>
                    <w:t>/</w:t>
                  </w:r>
                </w:p>
              </w:tc>
              <w:tc>
                <w:tcPr>
                  <w:tcW w:w="761" w:type="dxa"/>
                  <w:noWrap w:val="0"/>
                  <w:vAlign w:val="center"/>
                </w:tcPr>
                <w:p w14:paraId="73A7938E">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73</w:t>
                  </w:r>
                </w:p>
              </w:tc>
              <w:tc>
                <w:tcPr>
                  <w:tcW w:w="638" w:type="dxa"/>
                  <w:vMerge w:val="continue"/>
                  <w:noWrap w:val="0"/>
                  <w:vAlign w:val="center"/>
                </w:tcPr>
                <w:p w14:paraId="5E5FBBB3">
                  <w:pPr>
                    <w:snapToGrid w:val="0"/>
                    <w:jc w:val="center"/>
                    <w:rPr>
                      <w:rFonts w:hint="eastAsia" w:ascii="Times New Roman" w:hAnsi="Times New Roman" w:eastAsia="宋体" w:cs="Times New Roman"/>
                      <w:color w:val="auto"/>
                      <w:sz w:val="18"/>
                      <w:szCs w:val="18"/>
                      <w:highlight w:val="none"/>
                    </w:rPr>
                  </w:pPr>
                </w:p>
              </w:tc>
              <w:tc>
                <w:tcPr>
                  <w:tcW w:w="501" w:type="dxa"/>
                  <w:noWrap w:val="0"/>
                  <w:vAlign w:val="center"/>
                </w:tcPr>
                <w:p w14:paraId="3EECC22D">
                  <w:pPr>
                    <w:jc w:val="center"/>
                    <w:rPr>
                      <w:rFonts w:hint="eastAsia" w:ascii="Times New Roman" w:hAnsi="Times New Roman" w:cs="Times New Roman"/>
                      <w:color w:val="auto"/>
                      <w:highlight w:val="none"/>
                      <w:lang w:val="en-US" w:eastAsia="zh-CN"/>
                    </w:rPr>
                  </w:pPr>
                  <w:r>
                    <w:rPr>
                      <w:rFonts w:hint="eastAsia" w:cs="Times New Roman"/>
                      <w:color w:val="auto"/>
                      <w:highlight w:val="none"/>
                      <w:lang w:val="en-US" w:eastAsia="zh-CN"/>
                    </w:rPr>
                    <w:t>3</w:t>
                  </w:r>
                  <w:r>
                    <w:rPr>
                      <w:rFonts w:hint="eastAsia" w:ascii="Times New Roman" w:hAnsi="Times New Roman" w:cs="Times New Roman"/>
                      <w:color w:val="auto"/>
                      <w:highlight w:val="none"/>
                      <w:lang w:val="en-US" w:eastAsia="zh-CN"/>
                    </w:rPr>
                    <w:t>8</w:t>
                  </w:r>
                </w:p>
              </w:tc>
              <w:tc>
                <w:tcPr>
                  <w:tcW w:w="623" w:type="dxa"/>
                  <w:noWrap w:val="0"/>
                  <w:vAlign w:val="center"/>
                </w:tcPr>
                <w:p w14:paraId="6AC5CD29">
                  <w:pPr>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5</w:t>
                  </w:r>
                </w:p>
              </w:tc>
              <w:tc>
                <w:tcPr>
                  <w:tcW w:w="520" w:type="dxa"/>
                  <w:noWrap w:val="0"/>
                  <w:vAlign w:val="center"/>
                </w:tcPr>
                <w:p w14:paraId="7F330655">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1.8</w:t>
                  </w:r>
                </w:p>
              </w:tc>
              <w:tc>
                <w:tcPr>
                  <w:tcW w:w="625" w:type="dxa"/>
                  <w:noWrap w:val="0"/>
                  <w:vAlign w:val="center"/>
                </w:tcPr>
                <w:p w14:paraId="4941ED28">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c>
                <w:tcPr>
                  <w:tcW w:w="773" w:type="dxa"/>
                  <w:noWrap w:val="0"/>
                  <w:vAlign w:val="center"/>
                </w:tcPr>
                <w:p w14:paraId="7955DE35">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63</w:t>
                  </w:r>
                </w:p>
              </w:tc>
              <w:tc>
                <w:tcPr>
                  <w:tcW w:w="674" w:type="dxa"/>
                  <w:vMerge w:val="continue"/>
                  <w:noWrap w:val="0"/>
                  <w:vAlign w:val="center"/>
                </w:tcPr>
                <w:p w14:paraId="7DFB38C0">
                  <w:pPr>
                    <w:numPr>
                      <w:ilvl w:val="0"/>
                      <w:numId w:val="0"/>
                    </w:numPr>
                    <w:adjustRightInd w:val="0"/>
                    <w:snapToGrid w:val="0"/>
                    <w:ind w:left="0" w:leftChars="0" w:firstLine="0" w:firstLineChars="0"/>
                    <w:jc w:val="center"/>
                    <w:textAlignment w:val="bottom"/>
                    <w:rPr>
                      <w:rFonts w:hint="eastAsia" w:ascii="Times New Roman" w:hAnsi="Times New Roman" w:eastAsia="宋体" w:cs="Times New Roman"/>
                      <w:color w:val="auto"/>
                      <w:sz w:val="18"/>
                      <w:szCs w:val="18"/>
                      <w:highlight w:val="none"/>
                    </w:rPr>
                  </w:pPr>
                </w:p>
              </w:tc>
              <w:tc>
                <w:tcPr>
                  <w:tcW w:w="844" w:type="dxa"/>
                  <w:noWrap w:val="0"/>
                  <w:vAlign w:val="center"/>
                </w:tcPr>
                <w:p w14:paraId="0FE2DA90">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25</w:t>
                  </w:r>
                </w:p>
              </w:tc>
              <w:tc>
                <w:tcPr>
                  <w:tcW w:w="843" w:type="dxa"/>
                  <w:noWrap w:val="0"/>
                  <w:vAlign w:val="center"/>
                </w:tcPr>
                <w:p w14:paraId="22DE6494">
                  <w:pPr>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38</w:t>
                  </w:r>
                </w:p>
              </w:tc>
              <w:tc>
                <w:tcPr>
                  <w:tcW w:w="764" w:type="dxa"/>
                  <w:noWrap w:val="0"/>
                  <w:vAlign w:val="center"/>
                </w:tcPr>
                <w:p w14:paraId="1370D715">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r>
            <w:tr w14:paraId="1D50F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450" w:type="dxa"/>
                  <w:noWrap w:val="0"/>
                  <w:vAlign w:val="center"/>
                </w:tcPr>
                <w:p w14:paraId="2C04DD0B">
                  <w:pPr>
                    <w:numPr>
                      <w:ilvl w:val="0"/>
                      <w:numId w:val="7"/>
                    </w:numPr>
                    <w:adjustRightInd w:val="0"/>
                    <w:snapToGrid w:val="0"/>
                    <w:ind w:left="425" w:leftChars="0" w:hanging="425" w:firstLineChars="0"/>
                    <w:jc w:val="center"/>
                    <w:textAlignment w:val="bottom"/>
                    <w:rPr>
                      <w:rFonts w:hint="default" w:ascii="Times New Roman" w:hAnsi="Times New Roman" w:eastAsia="宋体" w:cs="Times New Roman"/>
                      <w:color w:val="auto"/>
                      <w:sz w:val="18"/>
                      <w:szCs w:val="18"/>
                      <w:highlight w:val="none"/>
                      <w:lang w:val="en-US" w:bidi="ar"/>
                    </w:rPr>
                  </w:pPr>
                </w:p>
              </w:tc>
              <w:tc>
                <w:tcPr>
                  <w:tcW w:w="773" w:type="dxa"/>
                  <w:vMerge w:val="continue"/>
                  <w:noWrap w:val="0"/>
                  <w:vAlign w:val="center"/>
                </w:tcPr>
                <w:p w14:paraId="65F25358">
                  <w:pPr>
                    <w:snapToGrid w:val="0"/>
                    <w:jc w:val="center"/>
                    <w:rPr>
                      <w:rFonts w:hint="eastAsia" w:ascii="Times New Roman" w:hAnsi="Times New Roman" w:eastAsia="宋体" w:cs="Times New Roman"/>
                      <w:color w:val="auto"/>
                      <w:sz w:val="18"/>
                      <w:szCs w:val="18"/>
                      <w:highlight w:val="none"/>
                    </w:rPr>
                  </w:pPr>
                </w:p>
              </w:tc>
              <w:tc>
                <w:tcPr>
                  <w:tcW w:w="1722" w:type="dxa"/>
                  <w:noWrap w:val="0"/>
                  <w:vAlign w:val="center"/>
                </w:tcPr>
                <w:p w14:paraId="32CB0EF2">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打包机输送带</w:t>
                  </w:r>
                </w:p>
              </w:tc>
              <w:tc>
                <w:tcPr>
                  <w:tcW w:w="1212" w:type="dxa"/>
                  <w:noWrap w:val="0"/>
                  <w:vAlign w:val="center"/>
                </w:tcPr>
                <w:p w14:paraId="0E8D16FE">
                  <w:pPr>
                    <w:jc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w:t>
                  </w:r>
                </w:p>
              </w:tc>
              <w:tc>
                <w:tcPr>
                  <w:tcW w:w="733" w:type="dxa"/>
                  <w:noWrap w:val="0"/>
                  <w:vAlign w:val="center"/>
                </w:tcPr>
                <w:p w14:paraId="04D75F22">
                  <w:pPr>
                    <w:numPr>
                      <w:ilvl w:val="0"/>
                      <w:numId w:val="0"/>
                    </w:numPr>
                    <w:adjustRightInd w:val="0"/>
                    <w:snapToGrid w:val="0"/>
                    <w:ind w:left="0" w:leftChars="0" w:firstLine="0" w:firstLineChars="0"/>
                    <w:jc w:val="center"/>
                    <w:textAlignment w:val="bottom"/>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lang w:val="en-US" w:eastAsia="zh-CN" w:bidi="ar"/>
                    </w:rPr>
                    <w:t>/</w:t>
                  </w:r>
                </w:p>
              </w:tc>
              <w:tc>
                <w:tcPr>
                  <w:tcW w:w="761" w:type="dxa"/>
                  <w:noWrap w:val="0"/>
                  <w:vAlign w:val="center"/>
                </w:tcPr>
                <w:p w14:paraId="28B6A82C">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73</w:t>
                  </w:r>
                </w:p>
              </w:tc>
              <w:tc>
                <w:tcPr>
                  <w:tcW w:w="638" w:type="dxa"/>
                  <w:vMerge w:val="continue"/>
                  <w:noWrap w:val="0"/>
                  <w:vAlign w:val="center"/>
                </w:tcPr>
                <w:p w14:paraId="3D8A7EEF">
                  <w:pPr>
                    <w:snapToGrid w:val="0"/>
                    <w:jc w:val="center"/>
                    <w:rPr>
                      <w:rFonts w:hint="eastAsia" w:ascii="Times New Roman" w:hAnsi="Times New Roman" w:eastAsia="宋体" w:cs="Times New Roman"/>
                      <w:color w:val="auto"/>
                      <w:sz w:val="18"/>
                      <w:szCs w:val="18"/>
                      <w:highlight w:val="none"/>
                    </w:rPr>
                  </w:pPr>
                </w:p>
              </w:tc>
              <w:tc>
                <w:tcPr>
                  <w:tcW w:w="501" w:type="dxa"/>
                  <w:noWrap w:val="0"/>
                  <w:vAlign w:val="center"/>
                </w:tcPr>
                <w:p w14:paraId="1B83BC42">
                  <w:pPr>
                    <w:jc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25</w:t>
                  </w:r>
                </w:p>
              </w:tc>
              <w:tc>
                <w:tcPr>
                  <w:tcW w:w="623" w:type="dxa"/>
                  <w:noWrap w:val="0"/>
                  <w:vAlign w:val="center"/>
                </w:tcPr>
                <w:p w14:paraId="308BC2DB">
                  <w:pPr>
                    <w:jc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5</w:t>
                  </w:r>
                </w:p>
              </w:tc>
              <w:tc>
                <w:tcPr>
                  <w:tcW w:w="520" w:type="dxa"/>
                  <w:noWrap w:val="0"/>
                  <w:vAlign w:val="center"/>
                </w:tcPr>
                <w:p w14:paraId="076DD9D6">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c>
                <w:tcPr>
                  <w:tcW w:w="625" w:type="dxa"/>
                  <w:noWrap w:val="0"/>
                  <w:vAlign w:val="center"/>
                </w:tcPr>
                <w:p w14:paraId="232A51D2">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c>
                <w:tcPr>
                  <w:tcW w:w="773" w:type="dxa"/>
                  <w:noWrap w:val="0"/>
                  <w:vAlign w:val="center"/>
                </w:tcPr>
                <w:p w14:paraId="3FE25EEC">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63</w:t>
                  </w:r>
                </w:p>
              </w:tc>
              <w:tc>
                <w:tcPr>
                  <w:tcW w:w="674" w:type="dxa"/>
                  <w:vMerge w:val="continue"/>
                  <w:noWrap w:val="0"/>
                  <w:vAlign w:val="center"/>
                </w:tcPr>
                <w:p w14:paraId="4DE6718C">
                  <w:pPr>
                    <w:numPr>
                      <w:ilvl w:val="0"/>
                      <w:numId w:val="0"/>
                    </w:numPr>
                    <w:adjustRightInd w:val="0"/>
                    <w:snapToGrid w:val="0"/>
                    <w:ind w:left="0" w:leftChars="0" w:firstLine="0" w:firstLineChars="0"/>
                    <w:jc w:val="center"/>
                    <w:textAlignment w:val="bottom"/>
                    <w:rPr>
                      <w:rFonts w:hint="eastAsia" w:ascii="Times New Roman" w:hAnsi="Times New Roman" w:eastAsia="宋体" w:cs="Times New Roman"/>
                      <w:color w:val="auto"/>
                      <w:sz w:val="18"/>
                      <w:szCs w:val="18"/>
                      <w:highlight w:val="none"/>
                    </w:rPr>
                  </w:pPr>
                </w:p>
              </w:tc>
              <w:tc>
                <w:tcPr>
                  <w:tcW w:w="844" w:type="dxa"/>
                  <w:noWrap w:val="0"/>
                  <w:vAlign w:val="center"/>
                </w:tcPr>
                <w:p w14:paraId="37A0EF38">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25</w:t>
                  </w:r>
                </w:p>
              </w:tc>
              <w:tc>
                <w:tcPr>
                  <w:tcW w:w="843" w:type="dxa"/>
                  <w:noWrap w:val="0"/>
                  <w:vAlign w:val="center"/>
                </w:tcPr>
                <w:p w14:paraId="61E50403">
                  <w:pPr>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38</w:t>
                  </w:r>
                </w:p>
              </w:tc>
              <w:tc>
                <w:tcPr>
                  <w:tcW w:w="764" w:type="dxa"/>
                  <w:noWrap w:val="0"/>
                  <w:vAlign w:val="center"/>
                </w:tcPr>
                <w:p w14:paraId="526F48B8">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r>
            <w:tr w14:paraId="496D2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450" w:type="dxa"/>
                  <w:noWrap w:val="0"/>
                  <w:vAlign w:val="center"/>
                </w:tcPr>
                <w:p w14:paraId="2979AD6F">
                  <w:pPr>
                    <w:numPr>
                      <w:ilvl w:val="0"/>
                      <w:numId w:val="7"/>
                    </w:numPr>
                    <w:adjustRightInd w:val="0"/>
                    <w:snapToGrid w:val="0"/>
                    <w:ind w:left="425" w:leftChars="0" w:hanging="425" w:firstLineChars="0"/>
                    <w:jc w:val="center"/>
                    <w:textAlignment w:val="bottom"/>
                    <w:rPr>
                      <w:rFonts w:hint="default" w:ascii="Times New Roman" w:hAnsi="Times New Roman" w:eastAsia="宋体" w:cs="Times New Roman"/>
                      <w:color w:val="auto"/>
                      <w:sz w:val="18"/>
                      <w:szCs w:val="18"/>
                      <w:highlight w:val="none"/>
                      <w:lang w:val="en-US" w:bidi="ar"/>
                    </w:rPr>
                  </w:pPr>
                </w:p>
              </w:tc>
              <w:tc>
                <w:tcPr>
                  <w:tcW w:w="773" w:type="dxa"/>
                  <w:noWrap w:val="0"/>
                  <w:vAlign w:val="center"/>
                </w:tcPr>
                <w:p w14:paraId="4124A57D">
                  <w:pPr>
                    <w:snapToGrid w:val="0"/>
                    <w:jc w:val="center"/>
                    <w:rPr>
                      <w:rFonts w:hint="eastAsia" w:ascii="Times New Roman" w:hAnsi="Times New Roman" w:eastAsia="宋体" w:cs="Times New Roman"/>
                      <w:color w:val="auto"/>
                      <w:sz w:val="18"/>
                      <w:szCs w:val="18"/>
                      <w:highlight w:val="none"/>
                    </w:rPr>
                  </w:pPr>
                </w:p>
              </w:tc>
              <w:tc>
                <w:tcPr>
                  <w:tcW w:w="1722" w:type="dxa"/>
                  <w:noWrap w:val="0"/>
                  <w:vAlign w:val="center"/>
                </w:tcPr>
                <w:p w14:paraId="41E64850">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打包机输送带</w:t>
                  </w:r>
                </w:p>
              </w:tc>
              <w:tc>
                <w:tcPr>
                  <w:tcW w:w="1212" w:type="dxa"/>
                  <w:noWrap w:val="0"/>
                  <w:vAlign w:val="center"/>
                </w:tcPr>
                <w:p w14:paraId="413E467D">
                  <w:pPr>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w:t>
                  </w:r>
                </w:p>
              </w:tc>
              <w:tc>
                <w:tcPr>
                  <w:tcW w:w="733" w:type="dxa"/>
                  <w:noWrap w:val="0"/>
                  <w:vAlign w:val="center"/>
                </w:tcPr>
                <w:p w14:paraId="4DE64CB0">
                  <w:pPr>
                    <w:numPr>
                      <w:ilvl w:val="0"/>
                      <w:numId w:val="0"/>
                    </w:numPr>
                    <w:adjustRightInd w:val="0"/>
                    <w:snapToGrid w:val="0"/>
                    <w:ind w:left="0" w:leftChars="0" w:firstLine="0" w:firstLineChars="0"/>
                    <w:jc w:val="center"/>
                    <w:textAlignment w:val="bottom"/>
                    <w:rPr>
                      <w:rFonts w:hint="eastAsia" w:ascii="Times New Roman" w:hAnsi="Times New Roman" w:eastAsia="宋体" w:cs="Times New Roman"/>
                      <w:color w:val="auto"/>
                      <w:sz w:val="18"/>
                      <w:szCs w:val="18"/>
                      <w:highlight w:val="none"/>
                      <w:lang w:val="en-US" w:eastAsia="zh-CN" w:bidi="ar"/>
                    </w:rPr>
                  </w:pPr>
                  <w:r>
                    <w:rPr>
                      <w:rFonts w:hint="eastAsia" w:ascii="Times New Roman" w:hAnsi="Times New Roman" w:eastAsia="宋体" w:cs="Times New Roman"/>
                      <w:color w:val="auto"/>
                      <w:sz w:val="18"/>
                      <w:szCs w:val="18"/>
                      <w:highlight w:val="none"/>
                      <w:lang w:val="en-US" w:eastAsia="zh-CN" w:bidi="ar"/>
                    </w:rPr>
                    <w:t>/</w:t>
                  </w:r>
                </w:p>
              </w:tc>
              <w:tc>
                <w:tcPr>
                  <w:tcW w:w="761" w:type="dxa"/>
                  <w:noWrap w:val="0"/>
                  <w:vAlign w:val="center"/>
                </w:tcPr>
                <w:p w14:paraId="77FB6F2B">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73</w:t>
                  </w:r>
                </w:p>
              </w:tc>
              <w:tc>
                <w:tcPr>
                  <w:tcW w:w="638" w:type="dxa"/>
                  <w:noWrap w:val="0"/>
                  <w:vAlign w:val="center"/>
                </w:tcPr>
                <w:p w14:paraId="213BF481">
                  <w:pPr>
                    <w:snapToGrid w:val="0"/>
                    <w:jc w:val="center"/>
                    <w:rPr>
                      <w:rFonts w:hint="eastAsia" w:ascii="Times New Roman" w:hAnsi="Times New Roman" w:eastAsia="宋体" w:cs="Times New Roman"/>
                      <w:color w:val="auto"/>
                      <w:sz w:val="18"/>
                      <w:szCs w:val="18"/>
                      <w:highlight w:val="none"/>
                    </w:rPr>
                  </w:pPr>
                </w:p>
              </w:tc>
              <w:tc>
                <w:tcPr>
                  <w:tcW w:w="501" w:type="dxa"/>
                  <w:noWrap w:val="0"/>
                  <w:vAlign w:val="center"/>
                </w:tcPr>
                <w:p w14:paraId="5DBB24AA">
                  <w:pPr>
                    <w:jc w:val="center"/>
                    <w:rPr>
                      <w:rFonts w:hint="eastAsia" w:ascii="Times New Roman" w:hAnsi="Times New Roman" w:cs="Times New Roman"/>
                      <w:color w:val="auto"/>
                      <w:highlight w:val="none"/>
                      <w:lang w:val="en-US" w:eastAsia="zh-CN"/>
                    </w:rPr>
                  </w:pPr>
                  <w:r>
                    <w:rPr>
                      <w:rFonts w:hint="eastAsia" w:cs="Times New Roman"/>
                      <w:color w:val="auto"/>
                      <w:highlight w:val="none"/>
                      <w:lang w:val="en-US" w:eastAsia="zh-CN"/>
                    </w:rPr>
                    <w:t>3</w:t>
                  </w:r>
                  <w:r>
                    <w:rPr>
                      <w:rFonts w:hint="eastAsia" w:ascii="Times New Roman" w:hAnsi="Times New Roman" w:cs="Times New Roman"/>
                      <w:color w:val="auto"/>
                      <w:highlight w:val="none"/>
                      <w:lang w:val="en-US" w:eastAsia="zh-CN"/>
                    </w:rPr>
                    <w:t>5</w:t>
                  </w:r>
                </w:p>
              </w:tc>
              <w:tc>
                <w:tcPr>
                  <w:tcW w:w="623" w:type="dxa"/>
                  <w:noWrap w:val="0"/>
                  <w:vAlign w:val="center"/>
                </w:tcPr>
                <w:p w14:paraId="30DE784C">
                  <w:pPr>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5</w:t>
                  </w:r>
                </w:p>
              </w:tc>
              <w:tc>
                <w:tcPr>
                  <w:tcW w:w="520" w:type="dxa"/>
                  <w:noWrap w:val="0"/>
                  <w:vAlign w:val="center"/>
                </w:tcPr>
                <w:p w14:paraId="6FBC2DA5">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c>
                <w:tcPr>
                  <w:tcW w:w="625" w:type="dxa"/>
                  <w:noWrap w:val="0"/>
                  <w:vAlign w:val="center"/>
                </w:tcPr>
                <w:p w14:paraId="062C67B3">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c>
                <w:tcPr>
                  <w:tcW w:w="773" w:type="dxa"/>
                  <w:noWrap w:val="0"/>
                  <w:vAlign w:val="center"/>
                </w:tcPr>
                <w:p w14:paraId="4A1B6BE2">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63</w:t>
                  </w:r>
                </w:p>
              </w:tc>
              <w:tc>
                <w:tcPr>
                  <w:tcW w:w="674" w:type="dxa"/>
                  <w:noWrap w:val="0"/>
                  <w:vAlign w:val="center"/>
                </w:tcPr>
                <w:p w14:paraId="75460224">
                  <w:pPr>
                    <w:numPr>
                      <w:ilvl w:val="0"/>
                      <w:numId w:val="0"/>
                    </w:numPr>
                    <w:adjustRightInd w:val="0"/>
                    <w:snapToGrid w:val="0"/>
                    <w:ind w:left="0" w:leftChars="0" w:firstLine="0" w:firstLineChars="0"/>
                    <w:jc w:val="center"/>
                    <w:textAlignment w:val="bottom"/>
                    <w:rPr>
                      <w:rFonts w:hint="eastAsia" w:ascii="Times New Roman" w:hAnsi="Times New Roman" w:eastAsia="宋体" w:cs="Times New Roman"/>
                      <w:color w:val="auto"/>
                      <w:sz w:val="18"/>
                      <w:szCs w:val="18"/>
                      <w:highlight w:val="none"/>
                    </w:rPr>
                  </w:pPr>
                </w:p>
              </w:tc>
              <w:tc>
                <w:tcPr>
                  <w:tcW w:w="844" w:type="dxa"/>
                  <w:noWrap w:val="0"/>
                  <w:vAlign w:val="center"/>
                </w:tcPr>
                <w:p w14:paraId="62D7CC22">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25</w:t>
                  </w:r>
                </w:p>
              </w:tc>
              <w:tc>
                <w:tcPr>
                  <w:tcW w:w="843" w:type="dxa"/>
                  <w:noWrap w:val="0"/>
                  <w:vAlign w:val="center"/>
                </w:tcPr>
                <w:p w14:paraId="12466C8B">
                  <w:pPr>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38</w:t>
                  </w:r>
                </w:p>
              </w:tc>
              <w:tc>
                <w:tcPr>
                  <w:tcW w:w="764" w:type="dxa"/>
                  <w:noWrap w:val="0"/>
                  <w:vAlign w:val="center"/>
                </w:tcPr>
                <w:p w14:paraId="653253DC">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r>
          </w:tbl>
          <w:p w14:paraId="48A61628">
            <w:pPr>
              <w:adjustRightInd w:val="0"/>
              <w:snapToGrid w:val="0"/>
              <w:spacing w:line="360" w:lineRule="auto"/>
              <w:ind w:firstLine="445" w:firstLineChars="0"/>
              <w:rPr>
                <w:rFonts w:hint="eastAsia" w:ascii="Times New Roman" w:hAnsi="Times New Roman"/>
                <w:color w:val="auto"/>
                <w:highlight w:val="none"/>
              </w:rPr>
            </w:pPr>
            <w:r>
              <w:rPr>
                <w:rFonts w:hint="eastAsia" w:ascii="Times New Roman" w:hAnsi="Times New Roman"/>
                <w:color w:val="auto"/>
                <w:highlight w:val="none"/>
              </w:rPr>
              <w:t>注：以</w:t>
            </w:r>
            <w:r>
              <w:rPr>
                <w:rFonts w:hint="eastAsia" w:ascii="Times New Roman" w:hAnsi="Times New Roman"/>
                <w:color w:val="auto"/>
                <w:highlight w:val="none"/>
                <w:lang w:eastAsia="zh-CN"/>
              </w:rPr>
              <w:t>生产车间</w:t>
            </w:r>
            <w:r>
              <w:rPr>
                <w:rFonts w:hint="eastAsia" w:ascii="Times New Roman" w:hAnsi="Times New Roman"/>
                <w:color w:val="auto"/>
                <w:highlight w:val="none"/>
              </w:rPr>
              <w:t>西南角为坐标原点（0，0），X轴正向为正东方向，Y轴正向为正北方向</w:t>
            </w:r>
          </w:p>
          <w:p w14:paraId="730A1245">
            <w:pPr>
              <w:widowControl/>
              <w:spacing w:line="360" w:lineRule="auto"/>
              <w:ind w:firstLine="30" w:firstLineChars="14"/>
              <w:jc w:val="center"/>
              <w:rPr>
                <w:color w:val="auto"/>
                <w:kern w:val="0"/>
                <w:sz w:val="22"/>
                <w:szCs w:val="22"/>
                <w:highlight w:val="none"/>
              </w:rPr>
            </w:pPr>
            <w:r>
              <w:rPr>
                <w:rFonts w:hint="eastAsia" w:cs="宋体"/>
                <w:color w:val="auto"/>
                <w:kern w:val="0"/>
                <w:sz w:val="22"/>
                <w:szCs w:val="22"/>
                <w:highlight w:val="none"/>
              </w:rPr>
              <w:t>表</w:t>
            </w:r>
            <w:r>
              <w:rPr>
                <w:color w:val="auto"/>
                <w:kern w:val="0"/>
                <w:sz w:val="22"/>
                <w:szCs w:val="22"/>
                <w:highlight w:val="none"/>
              </w:rPr>
              <w:t>4-1</w:t>
            </w:r>
            <w:r>
              <w:rPr>
                <w:rFonts w:hint="eastAsia"/>
                <w:color w:val="auto"/>
                <w:kern w:val="0"/>
                <w:sz w:val="22"/>
                <w:szCs w:val="22"/>
                <w:highlight w:val="none"/>
                <w:lang w:val="en-US" w:eastAsia="zh-CN"/>
              </w:rPr>
              <w:t>1</w:t>
            </w:r>
            <w:r>
              <w:rPr>
                <w:color w:val="auto"/>
                <w:kern w:val="0"/>
                <w:sz w:val="22"/>
                <w:szCs w:val="22"/>
                <w:highlight w:val="none"/>
              </w:rPr>
              <w:t xml:space="preserve">  </w:t>
            </w:r>
            <w:r>
              <w:rPr>
                <w:rFonts w:hint="eastAsia" w:cs="宋体"/>
                <w:color w:val="auto"/>
                <w:kern w:val="0"/>
                <w:sz w:val="22"/>
                <w:szCs w:val="22"/>
                <w:highlight w:val="none"/>
              </w:rPr>
              <w:t>项目主要设备噪声一览表</w:t>
            </w:r>
            <w:r>
              <w:rPr>
                <w:rFonts w:hint="eastAsia" w:cs="宋体"/>
                <w:color w:val="auto"/>
                <w:kern w:val="0"/>
                <w:sz w:val="22"/>
                <w:szCs w:val="22"/>
                <w:highlight w:val="none"/>
                <w:lang w:eastAsia="zh-CN"/>
              </w:rPr>
              <w:t>（室外声源）</w:t>
            </w:r>
            <w:r>
              <w:rPr>
                <w:color w:val="auto"/>
                <w:kern w:val="0"/>
                <w:sz w:val="22"/>
                <w:szCs w:val="22"/>
                <w:highlight w:val="none"/>
              </w:rPr>
              <w:t xml:space="preserve">  </w:t>
            </w:r>
            <w:r>
              <w:rPr>
                <w:rFonts w:hint="eastAsia" w:cs="宋体"/>
                <w:color w:val="auto"/>
                <w:kern w:val="0"/>
                <w:sz w:val="22"/>
                <w:szCs w:val="22"/>
                <w:highlight w:val="none"/>
              </w:rPr>
              <w:t>单位：</w:t>
            </w:r>
            <w:r>
              <w:rPr>
                <w:color w:val="auto"/>
                <w:kern w:val="0"/>
                <w:sz w:val="22"/>
                <w:szCs w:val="22"/>
                <w:highlight w:val="none"/>
              </w:rPr>
              <w:t>GB</w:t>
            </w:r>
            <w:r>
              <w:rPr>
                <w:rFonts w:hint="eastAsia" w:cs="宋体"/>
                <w:color w:val="auto"/>
                <w:kern w:val="0"/>
                <w:sz w:val="22"/>
                <w:szCs w:val="22"/>
                <w:highlight w:val="none"/>
              </w:rPr>
              <w:t>（</w:t>
            </w:r>
            <w:r>
              <w:rPr>
                <w:color w:val="auto"/>
                <w:kern w:val="0"/>
                <w:sz w:val="22"/>
                <w:szCs w:val="22"/>
                <w:highlight w:val="none"/>
              </w:rPr>
              <w:t>A</w:t>
            </w:r>
            <w:r>
              <w:rPr>
                <w:rFonts w:hint="eastAsia" w:cs="宋体"/>
                <w:color w:val="auto"/>
                <w:kern w:val="0"/>
                <w:sz w:val="22"/>
                <w:szCs w:val="22"/>
                <w:highlight w:val="none"/>
              </w:rPr>
              <w:t>）</w:t>
            </w:r>
          </w:p>
          <w:tbl>
            <w:tblPr>
              <w:tblStyle w:val="38"/>
              <w:tblW w:w="123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9"/>
              <w:gridCol w:w="1188"/>
              <w:gridCol w:w="1189"/>
              <w:gridCol w:w="1261"/>
              <w:gridCol w:w="1261"/>
              <w:gridCol w:w="1261"/>
              <w:gridCol w:w="1540"/>
              <w:gridCol w:w="1540"/>
              <w:gridCol w:w="1540"/>
            </w:tblGrid>
            <w:tr w14:paraId="33262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1539" w:type="dxa"/>
                  <w:vMerge w:val="restart"/>
                  <w:vAlign w:val="center"/>
                </w:tcPr>
                <w:p w14:paraId="22DA9529">
                  <w:pPr>
                    <w:snapToGrid w:val="0"/>
                    <w:jc w:val="center"/>
                    <w:rPr>
                      <w:rFonts w:hint="eastAsia" w:ascii="Times New Roman" w:hAnsi="Times New Roman" w:eastAsia="宋体" w:cs="Times New Roman"/>
                      <w:b w:val="0"/>
                      <w:bCs w:val="0"/>
                      <w:color w:val="auto"/>
                      <w:sz w:val="18"/>
                      <w:szCs w:val="18"/>
                      <w:highlight w:val="none"/>
                      <w:lang w:eastAsia="zh-CN"/>
                    </w:rPr>
                  </w:pPr>
                  <w:r>
                    <w:rPr>
                      <w:rFonts w:hint="eastAsia" w:ascii="Times New Roman" w:hAnsi="Times New Roman" w:eastAsia="宋体" w:cs="Times New Roman"/>
                      <w:b w:val="0"/>
                      <w:bCs w:val="0"/>
                      <w:color w:val="auto"/>
                      <w:sz w:val="18"/>
                      <w:szCs w:val="18"/>
                      <w:highlight w:val="none"/>
                      <w:lang w:eastAsia="zh-CN"/>
                    </w:rPr>
                    <w:t>序号</w:t>
                  </w:r>
                </w:p>
              </w:tc>
              <w:tc>
                <w:tcPr>
                  <w:tcW w:w="1188" w:type="dxa"/>
                  <w:vMerge w:val="restart"/>
                  <w:vAlign w:val="center"/>
                </w:tcPr>
                <w:p w14:paraId="01946F8A">
                  <w:pPr>
                    <w:snapToGrid w:val="0"/>
                    <w:jc w:val="center"/>
                    <w:rPr>
                      <w:rFonts w:hint="eastAsia" w:ascii="Times New Roman" w:hAnsi="Times New Roman" w:eastAsia="宋体" w:cs="Times New Roman"/>
                      <w:b w:val="0"/>
                      <w:bCs w:val="0"/>
                      <w:color w:val="auto"/>
                      <w:sz w:val="18"/>
                      <w:szCs w:val="18"/>
                      <w:highlight w:val="none"/>
                      <w:lang w:eastAsia="zh-CN"/>
                    </w:rPr>
                  </w:pPr>
                  <w:r>
                    <w:rPr>
                      <w:rFonts w:hint="eastAsia" w:ascii="Times New Roman" w:hAnsi="Times New Roman" w:eastAsia="宋体" w:cs="Times New Roman"/>
                      <w:b w:val="0"/>
                      <w:bCs w:val="0"/>
                      <w:color w:val="auto"/>
                      <w:sz w:val="18"/>
                      <w:szCs w:val="18"/>
                      <w:highlight w:val="none"/>
                      <w:lang w:eastAsia="zh-CN"/>
                    </w:rPr>
                    <w:t>声源名称</w:t>
                  </w:r>
                </w:p>
              </w:tc>
              <w:tc>
                <w:tcPr>
                  <w:tcW w:w="1189" w:type="dxa"/>
                  <w:vMerge w:val="restart"/>
                  <w:vAlign w:val="center"/>
                </w:tcPr>
                <w:p w14:paraId="14DE41B2">
                  <w:pPr>
                    <w:snapToGrid w:val="0"/>
                    <w:jc w:val="center"/>
                    <w:rPr>
                      <w:rFonts w:hint="eastAsia" w:ascii="Times New Roman" w:hAnsi="Times New Roman" w:eastAsia="宋体" w:cs="Times New Roman"/>
                      <w:b w:val="0"/>
                      <w:bCs w:val="0"/>
                      <w:color w:val="auto"/>
                      <w:sz w:val="18"/>
                      <w:szCs w:val="18"/>
                      <w:highlight w:val="none"/>
                      <w:lang w:eastAsia="zh-CN"/>
                    </w:rPr>
                  </w:pPr>
                  <w:r>
                    <w:rPr>
                      <w:rFonts w:hint="eastAsia" w:cs="Times New Roman"/>
                      <w:b w:val="0"/>
                      <w:bCs w:val="0"/>
                      <w:color w:val="auto"/>
                      <w:sz w:val="18"/>
                      <w:szCs w:val="18"/>
                      <w:highlight w:val="none"/>
                      <w:lang w:eastAsia="zh-CN"/>
                    </w:rPr>
                    <w:t>型号</w:t>
                  </w:r>
                </w:p>
              </w:tc>
              <w:tc>
                <w:tcPr>
                  <w:tcW w:w="3783" w:type="dxa"/>
                  <w:gridSpan w:val="3"/>
                  <w:vAlign w:val="center"/>
                </w:tcPr>
                <w:p w14:paraId="1F447459">
                  <w:pPr>
                    <w:snapToGrid w:val="0"/>
                    <w:jc w:val="center"/>
                    <w:rPr>
                      <w:rFonts w:hint="eastAsia" w:ascii="Times New Roman" w:hAnsi="Times New Roman" w:eastAsia="宋体" w:cs="Times New Roman"/>
                      <w:b w:val="0"/>
                      <w:bCs w:val="0"/>
                      <w:color w:val="auto"/>
                      <w:sz w:val="18"/>
                      <w:szCs w:val="18"/>
                      <w:highlight w:val="none"/>
                      <w:lang w:eastAsia="zh-CN"/>
                    </w:rPr>
                  </w:pPr>
                  <w:r>
                    <w:rPr>
                      <w:rFonts w:hint="eastAsia" w:ascii="Times New Roman" w:hAnsi="Times New Roman" w:eastAsia="宋体" w:cs="Times New Roman"/>
                      <w:b w:val="0"/>
                      <w:bCs w:val="0"/>
                      <w:color w:val="auto"/>
                      <w:sz w:val="18"/>
                      <w:szCs w:val="18"/>
                      <w:highlight w:val="none"/>
                      <w:lang w:eastAsia="zh-CN"/>
                    </w:rPr>
                    <w:t>空间相对位置</w:t>
                  </w:r>
                </w:p>
              </w:tc>
              <w:tc>
                <w:tcPr>
                  <w:tcW w:w="1540" w:type="dxa"/>
                  <w:vAlign w:val="center"/>
                </w:tcPr>
                <w:p w14:paraId="7DCF66DF">
                  <w:pPr>
                    <w:snapToGrid w:val="0"/>
                    <w:jc w:val="center"/>
                    <w:rPr>
                      <w:rFonts w:hint="eastAsia" w:ascii="Times New Roman" w:hAnsi="Times New Roman" w:eastAsia="宋体" w:cs="Times New Roman"/>
                      <w:b w:val="0"/>
                      <w:bCs w:val="0"/>
                      <w:color w:val="auto"/>
                      <w:sz w:val="18"/>
                      <w:szCs w:val="18"/>
                      <w:highlight w:val="none"/>
                      <w:lang w:eastAsia="zh-CN"/>
                    </w:rPr>
                  </w:pPr>
                  <w:r>
                    <w:rPr>
                      <w:rFonts w:hint="eastAsia" w:ascii="Times New Roman" w:hAnsi="Times New Roman" w:eastAsia="宋体" w:cs="Times New Roman"/>
                      <w:b w:val="0"/>
                      <w:bCs w:val="0"/>
                      <w:color w:val="auto"/>
                      <w:sz w:val="18"/>
                      <w:szCs w:val="18"/>
                      <w:highlight w:val="none"/>
                      <w:lang w:eastAsia="zh-CN"/>
                    </w:rPr>
                    <w:t>声源源强</w:t>
                  </w:r>
                </w:p>
              </w:tc>
              <w:tc>
                <w:tcPr>
                  <w:tcW w:w="1540" w:type="dxa"/>
                  <w:vMerge w:val="restart"/>
                  <w:vAlign w:val="center"/>
                </w:tcPr>
                <w:p w14:paraId="58A9C4BB">
                  <w:pPr>
                    <w:snapToGrid w:val="0"/>
                    <w:jc w:val="center"/>
                    <w:rPr>
                      <w:rFonts w:hint="eastAsia" w:ascii="Times New Roman" w:hAnsi="Times New Roman" w:eastAsia="宋体" w:cs="Times New Roman"/>
                      <w:b w:val="0"/>
                      <w:bCs w:val="0"/>
                      <w:color w:val="auto"/>
                      <w:sz w:val="18"/>
                      <w:szCs w:val="18"/>
                      <w:highlight w:val="none"/>
                      <w:lang w:eastAsia="zh-CN"/>
                    </w:rPr>
                  </w:pPr>
                  <w:r>
                    <w:rPr>
                      <w:rFonts w:hint="eastAsia" w:ascii="Times New Roman" w:hAnsi="Times New Roman" w:eastAsia="宋体" w:cs="Times New Roman"/>
                      <w:b w:val="0"/>
                      <w:bCs w:val="0"/>
                      <w:color w:val="auto"/>
                      <w:sz w:val="18"/>
                      <w:szCs w:val="18"/>
                      <w:highlight w:val="none"/>
                      <w:lang w:eastAsia="zh-CN"/>
                    </w:rPr>
                    <w:t>声源控制措施</w:t>
                  </w:r>
                </w:p>
              </w:tc>
              <w:tc>
                <w:tcPr>
                  <w:tcW w:w="1540" w:type="dxa"/>
                  <w:vMerge w:val="restart"/>
                  <w:vAlign w:val="center"/>
                </w:tcPr>
                <w:p w14:paraId="41488D55">
                  <w:pPr>
                    <w:snapToGrid w:val="0"/>
                    <w:jc w:val="center"/>
                    <w:rPr>
                      <w:rFonts w:hint="eastAsia" w:ascii="Times New Roman" w:hAnsi="Times New Roman" w:eastAsia="宋体" w:cs="Times New Roman"/>
                      <w:b w:val="0"/>
                      <w:bCs w:val="0"/>
                      <w:color w:val="auto"/>
                      <w:sz w:val="18"/>
                      <w:szCs w:val="18"/>
                      <w:highlight w:val="none"/>
                      <w:lang w:eastAsia="zh-CN"/>
                    </w:rPr>
                  </w:pPr>
                  <w:r>
                    <w:rPr>
                      <w:rFonts w:hint="eastAsia" w:ascii="Times New Roman" w:hAnsi="Times New Roman" w:eastAsia="宋体" w:cs="Times New Roman"/>
                      <w:b w:val="0"/>
                      <w:bCs w:val="0"/>
                      <w:color w:val="auto"/>
                      <w:sz w:val="18"/>
                      <w:szCs w:val="18"/>
                      <w:highlight w:val="none"/>
                      <w:lang w:eastAsia="zh-CN"/>
                    </w:rPr>
                    <w:t>运行时段</w:t>
                  </w:r>
                </w:p>
              </w:tc>
            </w:tr>
            <w:tr w14:paraId="66500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trPr>
              <w:tc>
                <w:tcPr>
                  <w:tcW w:w="1539" w:type="dxa"/>
                  <w:vMerge w:val="continue"/>
                  <w:vAlign w:val="center"/>
                </w:tcPr>
                <w:p w14:paraId="25299104">
                  <w:pPr>
                    <w:snapToGrid w:val="0"/>
                    <w:jc w:val="center"/>
                    <w:rPr>
                      <w:rFonts w:hint="eastAsia" w:ascii="Times New Roman" w:hAnsi="Times New Roman" w:eastAsia="宋体" w:cs="Times New Roman"/>
                      <w:b w:val="0"/>
                      <w:bCs w:val="0"/>
                      <w:color w:val="auto"/>
                      <w:sz w:val="18"/>
                      <w:szCs w:val="18"/>
                      <w:highlight w:val="none"/>
                    </w:rPr>
                  </w:pPr>
                </w:p>
              </w:tc>
              <w:tc>
                <w:tcPr>
                  <w:tcW w:w="1188" w:type="dxa"/>
                  <w:vMerge w:val="continue"/>
                  <w:vAlign w:val="center"/>
                </w:tcPr>
                <w:p w14:paraId="4A2B77DE">
                  <w:pPr>
                    <w:snapToGrid w:val="0"/>
                    <w:jc w:val="center"/>
                    <w:rPr>
                      <w:rFonts w:hint="eastAsia" w:ascii="Times New Roman" w:hAnsi="Times New Roman" w:eastAsia="宋体" w:cs="Times New Roman"/>
                      <w:b w:val="0"/>
                      <w:bCs w:val="0"/>
                      <w:color w:val="auto"/>
                      <w:sz w:val="18"/>
                      <w:szCs w:val="18"/>
                      <w:highlight w:val="none"/>
                    </w:rPr>
                  </w:pPr>
                </w:p>
              </w:tc>
              <w:tc>
                <w:tcPr>
                  <w:tcW w:w="1189" w:type="dxa"/>
                  <w:vMerge w:val="continue"/>
                  <w:vAlign w:val="center"/>
                </w:tcPr>
                <w:p w14:paraId="47E05417">
                  <w:pPr>
                    <w:snapToGrid w:val="0"/>
                    <w:jc w:val="center"/>
                    <w:rPr>
                      <w:rFonts w:hint="eastAsia" w:ascii="Times New Roman" w:hAnsi="Times New Roman" w:eastAsia="宋体" w:cs="Times New Roman"/>
                      <w:b w:val="0"/>
                      <w:bCs w:val="0"/>
                      <w:color w:val="auto"/>
                      <w:sz w:val="18"/>
                      <w:szCs w:val="18"/>
                      <w:highlight w:val="none"/>
                    </w:rPr>
                  </w:pPr>
                </w:p>
              </w:tc>
              <w:tc>
                <w:tcPr>
                  <w:tcW w:w="1261" w:type="dxa"/>
                  <w:vAlign w:val="center"/>
                </w:tcPr>
                <w:p w14:paraId="18F80D80">
                  <w:pPr>
                    <w:snapToGrid w:val="0"/>
                    <w:jc w:val="center"/>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X</w:t>
                  </w:r>
                </w:p>
              </w:tc>
              <w:tc>
                <w:tcPr>
                  <w:tcW w:w="1261" w:type="dxa"/>
                  <w:vAlign w:val="center"/>
                </w:tcPr>
                <w:p w14:paraId="170C1929">
                  <w:pPr>
                    <w:snapToGrid w:val="0"/>
                    <w:jc w:val="center"/>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Y</w:t>
                  </w:r>
                </w:p>
              </w:tc>
              <w:tc>
                <w:tcPr>
                  <w:tcW w:w="1261" w:type="dxa"/>
                  <w:vAlign w:val="center"/>
                </w:tcPr>
                <w:p w14:paraId="0974286B">
                  <w:pPr>
                    <w:snapToGrid w:val="0"/>
                    <w:jc w:val="center"/>
                    <w:rPr>
                      <w:rFonts w:hint="eastAsia" w:ascii="Times New Roman" w:hAnsi="Times New Roman" w:eastAsia="宋体" w:cs="Times New Roman"/>
                      <w:b w:val="0"/>
                      <w:bCs w:val="0"/>
                      <w:color w:val="auto"/>
                      <w:sz w:val="18"/>
                      <w:szCs w:val="18"/>
                      <w:highlight w:val="none"/>
                      <w:lang w:val="en-US" w:eastAsia="zh-CN"/>
                    </w:rPr>
                  </w:pPr>
                  <w:r>
                    <w:rPr>
                      <w:rFonts w:hint="eastAsia" w:ascii="Times New Roman" w:hAnsi="Times New Roman" w:eastAsia="宋体" w:cs="Times New Roman"/>
                      <w:b w:val="0"/>
                      <w:bCs w:val="0"/>
                      <w:color w:val="auto"/>
                      <w:sz w:val="18"/>
                      <w:szCs w:val="18"/>
                      <w:highlight w:val="none"/>
                      <w:lang w:val="en-US" w:eastAsia="zh-CN"/>
                    </w:rPr>
                    <w:t>Z</w:t>
                  </w:r>
                </w:p>
              </w:tc>
              <w:tc>
                <w:tcPr>
                  <w:tcW w:w="1540" w:type="dxa"/>
                  <w:vAlign w:val="center"/>
                </w:tcPr>
                <w:p w14:paraId="0B7956D4">
                  <w:pPr>
                    <w:snapToGrid w:val="0"/>
                    <w:jc w:val="center"/>
                    <w:rPr>
                      <w:rFonts w:hint="eastAsia"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val="0"/>
                      <w:bCs w:val="0"/>
                      <w:color w:val="auto"/>
                      <w:sz w:val="18"/>
                      <w:szCs w:val="18"/>
                      <w:highlight w:val="none"/>
                      <w:lang w:eastAsia="en-US"/>
                    </w:rPr>
                    <w:t>（声压级/距声源距离）/（dB</w:t>
                  </w:r>
                  <w:r>
                    <w:rPr>
                      <w:rFonts w:hint="eastAsia" w:ascii="Times New Roman" w:hAnsi="Times New Roman" w:eastAsia="宋体" w:cs="Times New Roman"/>
                      <w:b w:val="0"/>
                      <w:bCs w:val="0"/>
                      <w:color w:val="auto"/>
                      <w:sz w:val="18"/>
                      <w:szCs w:val="18"/>
                      <w:highlight w:val="none"/>
                      <w:lang w:eastAsia="zh-CN"/>
                    </w:rPr>
                    <w:t>（</w:t>
                  </w:r>
                  <w:r>
                    <w:rPr>
                      <w:rFonts w:hint="eastAsia" w:ascii="Times New Roman" w:hAnsi="Times New Roman" w:eastAsia="宋体" w:cs="Times New Roman"/>
                      <w:b w:val="0"/>
                      <w:bCs w:val="0"/>
                      <w:color w:val="auto"/>
                      <w:sz w:val="18"/>
                      <w:szCs w:val="18"/>
                      <w:highlight w:val="none"/>
                      <w:lang w:eastAsia="en-US"/>
                    </w:rPr>
                    <w:t>A</w:t>
                  </w:r>
                  <w:r>
                    <w:rPr>
                      <w:rFonts w:hint="eastAsia" w:ascii="Times New Roman" w:hAnsi="Times New Roman" w:eastAsia="宋体" w:cs="Times New Roman"/>
                      <w:b w:val="0"/>
                      <w:bCs w:val="0"/>
                      <w:color w:val="auto"/>
                      <w:sz w:val="18"/>
                      <w:szCs w:val="18"/>
                      <w:highlight w:val="none"/>
                      <w:lang w:eastAsia="zh-CN"/>
                    </w:rPr>
                    <w:t>）</w:t>
                  </w:r>
                  <w:r>
                    <w:rPr>
                      <w:rFonts w:hint="eastAsia" w:ascii="Times New Roman" w:hAnsi="Times New Roman" w:eastAsia="宋体" w:cs="Times New Roman"/>
                      <w:b w:val="0"/>
                      <w:bCs w:val="0"/>
                      <w:color w:val="auto"/>
                      <w:sz w:val="18"/>
                      <w:szCs w:val="18"/>
                      <w:highlight w:val="none"/>
                      <w:lang w:eastAsia="en-US"/>
                    </w:rPr>
                    <w:t>/m）</w:t>
                  </w:r>
                </w:p>
              </w:tc>
              <w:tc>
                <w:tcPr>
                  <w:tcW w:w="1540" w:type="dxa"/>
                  <w:vMerge w:val="continue"/>
                  <w:vAlign w:val="center"/>
                </w:tcPr>
                <w:p w14:paraId="27FD5E15">
                  <w:pPr>
                    <w:snapToGrid w:val="0"/>
                    <w:jc w:val="center"/>
                    <w:rPr>
                      <w:rFonts w:hint="eastAsia" w:ascii="Times New Roman" w:hAnsi="Times New Roman" w:eastAsia="宋体" w:cs="Times New Roman"/>
                      <w:b w:val="0"/>
                      <w:bCs w:val="0"/>
                      <w:color w:val="auto"/>
                      <w:sz w:val="18"/>
                      <w:szCs w:val="18"/>
                      <w:highlight w:val="none"/>
                    </w:rPr>
                  </w:pPr>
                </w:p>
              </w:tc>
              <w:tc>
                <w:tcPr>
                  <w:tcW w:w="1540" w:type="dxa"/>
                  <w:vMerge w:val="continue"/>
                  <w:vAlign w:val="center"/>
                </w:tcPr>
                <w:p w14:paraId="39509625">
                  <w:pPr>
                    <w:snapToGrid w:val="0"/>
                    <w:jc w:val="center"/>
                    <w:rPr>
                      <w:rFonts w:hint="eastAsia" w:ascii="Times New Roman" w:hAnsi="Times New Roman" w:eastAsia="宋体" w:cs="Times New Roman"/>
                      <w:b w:val="0"/>
                      <w:bCs w:val="0"/>
                      <w:color w:val="auto"/>
                      <w:sz w:val="18"/>
                      <w:szCs w:val="18"/>
                      <w:highlight w:val="none"/>
                    </w:rPr>
                  </w:pPr>
                </w:p>
              </w:tc>
            </w:tr>
            <w:tr w14:paraId="03545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1539" w:type="dxa"/>
                  <w:vAlign w:val="center"/>
                </w:tcPr>
                <w:p w14:paraId="18DD1E59">
                  <w:pPr>
                    <w:snapToGrid w:val="0"/>
                    <w:jc w:val="center"/>
                    <w:rPr>
                      <w:rFonts w:hint="eastAsia"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1</w:t>
                  </w:r>
                </w:p>
              </w:tc>
              <w:tc>
                <w:tcPr>
                  <w:tcW w:w="1188" w:type="dxa"/>
                  <w:vAlign w:val="center"/>
                </w:tcPr>
                <w:p w14:paraId="3C0F6B75">
                  <w:pPr>
                    <w:snapToGrid w:val="0"/>
                    <w:jc w:val="center"/>
                    <w:rPr>
                      <w:rFonts w:hint="eastAsia" w:ascii="Times New Roman" w:hAnsi="Times New Roman" w:eastAsia="宋体" w:cs="Times New Roman"/>
                      <w:b w:val="0"/>
                      <w:bCs w:val="0"/>
                      <w:color w:val="auto"/>
                      <w:sz w:val="18"/>
                      <w:szCs w:val="18"/>
                      <w:highlight w:val="none"/>
                      <w:lang w:eastAsia="zh-CN"/>
                    </w:rPr>
                  </w:pPr>
                  <w:r>
                    <w:rPr>
                      <w:rFonts w:hint="eastAsia" w:cs="Times New Roman"/>
                      <w:b w:val="0"/>
                      <w:bCs w:val="0"/>
                      <w:color w:val="auto"/>
                      <w:sz w:val="18"/>
                      <w:szCs w:val="18"/>
                      <w:highlight w:val="none"/>
                      <w:lang w:eastAsia="zh-CN"/>
                    </w:rPr>
                    <w:t>风机</w:t>
                  </w:r>
                </w:p>
              </w:tc>
              <w:tc>
                <w:tcPr>
                  <w:tcW w:w="1189" w:type="dxa"/>
                  <w:vAlign w:val="center"/>
                </w:tcPr>
                <w:p w14:paraId="2EF0503A">
                  <w:pPr>
                    <w:snapToGrid w:val="0"/>
                    <w:jc w:val="center"/>
                    <w:rPr>
                      <w:rFonts w:hint="default"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w:t>
                  </w:r>
                </w:p>
              </w:tc>
              <w:tc>
                <w:tcPr>
                  <w:tcW w:w="1261" w:type="dxa"/>
                  <w:vAlign w:val="center"/>
                </w:tcPr>
                <w:p w14:paraId="1B0A1E39">
                  <w:pPr>
                    <w:snapToGrid w:val="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45</w:t>
                  </w:r>
                </w:p>
              </w:tc>
              <w:tc>
                <w:tcPr>
                  <w:tcW w:w="1261" w:type="dxa"/>
                  <w:vAlign w:val="center"/>
                </w:tcPr>
                <w:p w14:paraId="77780630">
                  <w:pPr>
                    <w:snapToGrid w:val="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65</w:t>
                  </w:r>
                </w:p>
              </w:tc>
              <w:tc>
                <w:tcPr>
                  <w:tcW w:w="1261" w:type="dxa"/>
                  <w:vAlign w:val="center"/>
                </w:tcPr>
                <w:p w14:paraId="261693EC">
                  <w:pPr>
                    <w:snapToGrid w:val="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0.5</w:t>
                  </w:r>
                </w:p>
              </w:tc>
              <w:tc>
                <w:tcPr>
                  <w:tcW w:w="1540" w:type="dxa"/>
                  <w:vAlign w:val="center"/>
                </w:tcPr>
                <w:p w14:paraId="1DE98C83">
                  <w:pPr>
                    <w:snapToGrid w:val="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90/2</w:t>
                  </w:r>
                </w:p>
              </w:tc>
              <w:tc>
                <w:tcPr>
                  <w:tcW w:w="1540" w:type="dxa"/>
                  <w:vAlign w:val="center"/>
                </w:tcPr>
                <w:p w14:paraId="27375CFB">
                  <w:pPr>
                    <w:snapToGrid w:val="0"/>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基础减震、加装隔声罩等</w:t>
                  </w:r>
                </w:p>
              </w:tc>
              <w:tc>
                <w:tcPr>
                  <w:tcW w:w="1540" w:type="dxa"/>
                  <w:vAlign w:val="center"/>
                </w:tcPr>
                <w:p w14:paraId="3B80B446">
                  <w:pPr>
                    <w:snapToGrid w:val="0"/>
                    <w:jc w:val="center"/>
                    <w:rPr>
                      <w:rFonts w:hint="eastAsia" w:ascii="Times New Roman" w:hAnsi="Times New Roman" w:eastAsia="宋体" w:cs="Times New Roman"/>
                      <w:b w:val="0"/>
                      <w:bCs w:val="0"/>
                      <w:color w:val="auto"/>
                      <w:sz w:val="18"/>
                      <w:szCs w:val="18"/>
                      <w:highlight w:val="none"/>
                      <w:lang w:eastAsia="zh-CN"/>
                    </w:rPr>
                  </w:pPr>
                  <w:r>
                    <w:rPr>
                      <w:rFonts w:hint="eastAsia" w:cs="Times New Roman"/>
                      <w:b w:val="0"/>
                      <w:bCs w:val="0"/>
                      <w:color w:val="auto"/>
                      <w:sz w:val="18"/>
                      <w:szCs w:val="18"/>
                      <w:highlight w:val="none"/>
                      <w:lang w:eastAsia="zh-CN"/>
                    </w:rPr>
                    <w:t>昼间、夜间</w:t>
                  </w:r>
                </w:p>
              </w:tc>
            </w:tr>
          </w:tbl>
          <w:p w14:paraId="6F4A41CD">
            <w:pPr>
              <w:adjustRightInd w:val="0"/>
              <w:snapToGrid w:val="0"/>
              <w:spacing w:line="360" w:lineRule="auto"/>
              <w:ind w:firstLine="445" w:firstLineChars="0"/>
              <w:rPr>
                <w:rFonts w:hint="eastAsia"/>
                <w:color w:val="auto"/>
              </w:rPr>
            </w:pPr>
            <w:r>
              <w:rPr>
                <w:rFonts w:hint="eastAsia" w:ascii="Times New Roman" w:hAnsi="Times New Roman"/>
                <w:color w:val="auto"/>
                <w:highlight w:val="none"/>
                <w:lang w:eastAsia="zh-CN"/>
              </w:rPr>
              <w:t>注：以生产车间西南角为坐标原点（0，0），X轴正向为正东方向，Y轴正向为正北方向</w:t>
            </w:r>
          </w:p>
        </w:tc>
      </w:tr>
    </w:tbl>
    <w:p w14:paraId="5C0AE86E">
      <w:pPr>
        <w:adjustRightInd w:val="0"/>
        <w:snapToGrid w:val="0"/>
        <w:spacing w:line="360" w:lineRule="auto"/>
        <w:rPr>
          <w:rFonts w:ascii="宋体"/>
          <w:b/>
          <w:bCs/>
          <w:color w:val="auto"/>
          <w:kern w:val="0"/>
          <w:sz w:val="28"/>
          <w:szCs w:val="28"/>
          <w:highlight w:val="none"/>
        </w:rPr>
        <w:sectPr>
          <w:pgSz w:w="16840" w:h="11907" w:orient="landscape"/>
          <w:pgMar w:top="1531" w:right="1701" w:bottom="1531" w:left="1134" w:header="851" w:footer="851" w:gutter="0"/>
          <w:cols w:space="720" w:num="1"/>
          <w:docGrid w:linePitch="312" w:charSpace="0"/>
        </w:sectPr>
      </w:pP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8"/>
        <w:gridCol w:w="8173"/>
      </w:tblGrid>
      <w:tr w14:paraId="3FD4B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14:paraId="643CE95D">
            <w:pPr>
              <w:adjustRightInd w:val="0"/>
              <w:snapToGrid w:val="0"/>
              <w:spacing w:line="360" w:lineRule="auto"/>
              <w:rPr>
                <w:rFonts w:ascii="宋体"/>
                <w:b/>
                <w:bCs/>
                <w:color w:val="auto"/>
                <w:kern w:val="0"/>
                <w:sz w:val="28"/>
                <w:szCs w:val="28"/>
                <w:highlight w:val="none"/>
                <w:vertAlign w:val="baseline"/>
              </w:rPr>
            </w:pPr>
          </w:p>
        </w:tc>
        <w:tc>
          <w:tcPr>
            <w:tcW w:w="8173" w:type="dxa"/>
          </w:tcPr>
          <w:p w14:paraId="5CED9B39">
            <w:pPr>
              <w:spacing w:before="240" w:beforeLines="100" w:line="360" w:lineRule="auto"/>
              <w:ind w:firstLine="480" w:firstLineChars="200"/>
              <w:rPr>
                <w:rStyle w:val="85"/>
                <w:b w:val="0"/>
                <w:bCs w:val="0"/>
                <w:color w:val="auto"/>
                <w:highlight w:val="none"/>
                <w:lang w:val="zh-CN"/>
              </w:rPr>
            </w:pPr>
            <w:r>
              <w:rPr>
                <w:rStyle w:val="85"/>
                <w:rFonts w:hint="eastAsia" w:cs="宋体"/>
                <w:b w:val="0"/>
                <w:bCs w:val="0"/>
                <w:color w:val="auto"/>
                <w:highlight w:val="none"/>
                <w:lang w:val="zh-CN"/>
              </w:rPr>
              <w:t>根据设备噪声强度，采用距离衰减模式分析该项目对声环境的影响。预测模式采用《环境影响评价技术导则</w:t>
            </w:r>
            <w:r>
              <w:rPr>
                <w:rStyle w:val="85"/>
                <w:b w:val="0"/>
                <w:bCs w:val="0"/>
                <w:color w:val="auto"/>
                <w:highlight w:val="none"/>
              </w:rPr>
              <w:t>-</w:t>
            </w:r>
            <w:r>
              <w:rPr>
                <w:rStyle w:val="85"/>
                <w:rFonts w:hint="eastAsia" w:cs="宋体"/>
                <w:b w:val="0"/>
                <w:bCs w:val="0"/>
                <w:color w:val="auto"/>
                <w:highlight w:val="none"/>
                <w:lang w:val="zh-CN"/>
              </w:rPr>
              <w:t>声环境》（</w:t>
            </w:r>
            <w:r>
              <w:rPr>
                <w:rStyle w:val="85"/>
                <w:b w:val="0"/>
                <w:bCs w:val="0"/>
                <w:color w:val="auto"/>
                <w:highlight w:val="none"/>
                <w:lang w:val="zh-CN"/>
              </w:rPr>
              <w:t>HJ2.4</w:t>
            </w:r>
            <w:r>
              <w:rPr>
                <w:rStyle w:val="85"/>
                <w:b w:val="0"/>
                <w:bCs w:val="0"/>
                <w:color w:val="auto"/>
                <w:highlight w:val="none"/>
              </w:rPr>
              <w:t>-</w:t>
            </w:r>
            <w:r>
              <w:rPr>
                <w:rStyle w:val="85"/>
                <w:b w:val="0"/>
                <w:bCs w:val="0"/>
                <w:color w:val="auto"/>
                <w:highlight w:val="none"/>
                <w:lang w:val="zh-CN"/>
              </w:rPr>
              <w:t>20</w:t>
            </w:r>
            <w:r>
              <w:rPr>
                <w:rStyle w:val="85"/>
                <w:rFonts w:hint="eastAsia"/>
                <w:b w:val="0"/>
                <w:bCs w:val="0"/>
                <w:color w:val="auto"/>
                <w:highlight w:val="none"/>
              </w:rPr>
              <w:t>21</w:t>
            </w:r>
            <w:r>
              <w:rPr>
                <w:rStyle w:val="85"/>
                <w:rFonts w:hint="eastAsia" w:cs="宋体"/>
                <w:b w:val="0"/>
                <w:bCs w:val="0"/>
                <w:color w:val="auto"/>
                <w:highlight w:val="none"/>
                <w:lang w:val="zh-CN"/>
              </w:rPr>
              <w:t>）中推荐的噪声预测模式，噪声衰减公式：</w:t>
            </w:r>
          </w:p>
          <w:p w14:paraId="2C0F59E0">
            <w:pPr>
              <w:spacing w:line="360" w:lineRule="auto"/>
              <w:ind w:firstLine="480" w:firstLineChars="200"/>
              <w:rPr>
                <w:rStyle w:val="85"/>
                <w:b w:val="0"/>
                <w:bCs w:val="0"/>
                <w:color w:val="auto"/>
                <w:highlight w:val="none"/>
              </w:rPr>
            </w:pPr>
            <w:r>
              <w:rPr>
                <w:rStyle w:val="85"/>
                <w:rFonts w:hint="eastAsia" w:cs="宋体"/>
                <w:b w:val="0"/>
                <w:bCs w:val="0"/>
                <w:color w:val="auto"/>
                <w:highlight w:val="none"/>
              </w:rPr>
              <w:t>①单个室外的点声源在预测点产生的声级计算基本公式</w:t>
            </w:r>
          </w:p>
          <w:p w14:paraId="0DA48C73">
            <w:pPr>
              <w:spacing w:line="360" w:lineRule="auto"/>
              <w:ind w:firstLine="480" w:firstLineChars="200"/>
              <w:jc w:val="center"/>
              <w:rPr>
                <w:color w:val="auto"/>
                <w:sz w:val="24"/>
                <w:szCs w:val="24"/>
                <w:highlight w:val="none"/>
              </w:rPr>
            </w:pPr>
            <w:r>
              <w:rPr>
                <w:color w:val="auto"/>
                <w:sz w:val="24"/>
                <w:szCs w:val="24"/>
                <w:highlight w:val="none"/>
              </w:rPr>
              <w:drawing>
                <wp:inline distT="0" distB="0" distL="114300" distR="114300">
                  <wp:extent cx="1863090" cy="276225"/>
                  <wp:effectExtent l="0" t="0" r="11430" b="13335"/>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12"/>
                          <a:stretch>
                            <a:fillRect/>
                          </a:stretch>
                        </pic:blipFill>
                        <pic:spPr>
                          <a:xfrm>
                            <a:off x="0" y="0"/>
                            <a:ext cx="1863090" cy="276225"/>
                          </a:xfrm>
                          <a:prstGeom prst="rect">
                            <a:avLst/>
                          </a:prstGeom>
                          <a:noFill/>
                          <a:ln>
                            <a:noFill/>
                          </a:ln>
                        </pic:spPr>
                      </pic:pic>
                    </a:graphicData>
                  </a:graphic>
                </wp:inline>
              </w:drawing>
            </w:r>
          </w:p>
          <w:p w14:paraId="7591B446">
            <w:pPr>
              <w:spacing w:line="360" w:lineRule="auto"/>
              <w:ind w:firstLine="480" w:firstLineChars="200"/>
              <w:jc w:val="center"/>
              <w:rPr>
                <w:color w:val="auto"/>
                <w:sz w:val="24"/>
                <w:szCs w:val="24"/>
                <w:highlight w:val="none"/>
                <w:lang w:val="zh-CN"/>
              </w:rPr>
            </w:pPr>
            <w:r>
              <w:rPr>
                <w:color w:val="auto"/>
                <w:sz w:val="24"/>
                <w:szCs w:val="24"/>
                <w:highlight w:val="none"/>
              </w:rPr>
              <w:drawing>
                <wp:inline distT="0" distB="0" distL="114300" distR="114300">
                  <wp:extent cx="3027680" cy="284480"/>
                  <wp:effectExtent l="0" t="0" r="5080" b="508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13"/>
                          <a:stretch>
                            <a:fillRect/>
                          </a:stretch>
                        </pic:blipFill>
                        <pic:spPr>
                          <a:xfrm>
                            <a:off x="0" y="0"/>
                            <a:ext cx="3027680" cy="284480"/>
                          </a:xfrm>
                          <a:prstGeom prst="rect">
                            <a:avLst/>
                          </a:prstGeom>
                          <a:noFill/>
                          <a:ln>
                            <a:noFill/>
                          </a:ln>
                        </pic:spPr>
                      </pic:pic>
                    </a:graphicData>
                  </a:graphic>
                </wp:inline>
              </w:drawing>
            </w:r>
          </w:p>
          <w:p w14:paraId="6D46C7FE">
            <w:pPr>
              <w:spacing w:line="360" w:lineRule="auto"/>
              <w:ind w:firstLine="480" w:firstLineChars="200"/>
              <w:rPr>
                <w:rStyle w:val="85"/>
                <w:b w:val="0"/>
                <w:bCs w:val="0"/>
                <w:color w:val="auto"/>
                <w:highlight w:val="none"/>
              </w:rPr>
            </w:pPr>
            <w:r>
              <w:rPr>
                <w:rStyle w:val="85"/>
                <w:rFonts w:hint="eastAsia" w:cs="宋体"/>
                <w:b w:val="0"/>
                <w:bCs w:val="0"/>
                <w:color w:val="auto"/>
                <w:highlight w:val="none"/>
              </w:rPr>
              <w:t>式中：</w:t>
            </w:r>
            <w:r>
              <w:rPr>
                <w:rStyle w:val="85"/>
                <w:b w:val="0"/>
                <w:bCs w:val="0"/>
                <w:color w:val="auto"/>
                <w:highlight w:val="none"/>
              </w:rPr>
              <w:t>LW——</w:t>
            </w:r>
            <w:r>
              <w:rPr>
                <w:rStyle w:val="85"/>
                <w:rFonts w:hint="eastAsia" w:cs="宋体"/>
                <w:b w:val="0"/>
                <w:bCs w:val="0"/>
                <w:color w:val="auto"/>
                <w:highlight w:val="none"/>
              </w:rPr>
              <w:t>倍频带声功率级，</w:t>
            </w:r>
            <w:r>
              <w:rPr>
                <w:rStyle w:val="85"/>
                <w:b w:val="0"/>
                <w:bCs w:val="0"/>
                <w:color w:val="auto"/>
                <w:highlight w:val="none"/>
              </w:rPr>
              <w:t>GB</w:t>
            </w:r>
            <w:r>
              <w:rPr>
                <w:rStyle w:val="85"/>
                <w:rFonts w:hint="eastAsia" w:cs="宋体"/>
                <w:b w:val="0"/>
                <w:bCs w:val="0"/>
                <w:color w:val="auto"/>
                <w:highlight w:val="none"/>
              </w:rPr>
              <w:t>；</w:t>
            </w:r>
          </w:p>
          <w:p w14:paraId="6DAAD91C">
            <w:pPr>
              <w:spacing w:line="360" w:lineRule="auto"/>
              <w:ind w:left="630" w:leftChars="300" w:firstLine="480" w:firstLineChars="200"/>
              <w:rPr>
                <w:rStyle w:val="85"/>
                <w:b w:val="0"/>
                <w:bCs w:val="0"/>
                <w:color w:val="auto"/>
                <w:highlight w:val="none"/>
              </w:rPr>
            </w:pPr>
            <w:r>
              <w:rPr>
                <w:rStyle w:val="85"/>
                <w:b w:val="0"/>
                <w:bCs w:val="0"/>
                <w:color w:val="auto"/>
                <w:highlight w:val="none"/>
              </w:rPr>
              <w:t>DC——</w:t>
            </w:r>
            <w:r>
              <w:rPr>
                <w:rStyle w:val="85"/>
                <w:rFonts w:hint="eastAsia" w:cs="宋体"/>
                <w:b w:val="0"/>
                <w:bCs w:val="0"/>
                <w:color w:val="auto"/>
                <w:highlight w:val="none"/>
              </w:rPr>
              <w:t>指向性校正，</w:t>
            </w:r>
            <w:r>
              <w:rPr>
                <w:rStyle w:val="85"/>
                <w:b w:val="0"/>
                <w:bCs w:val="0"/>
                <w:color w:val="auto"/>
                <w:highlight w:val="none"/>
              </w:rPr>
              <w:t>GB</w:t>
            </w:r>
            <w:r>
              <w:rPr>
                <w:rStyle w:val="85"/>
                <w:rFonts w:hint="eastAsia" w:cs="宋体"/>
                <w:b w:val="0"/>
                <w:bCs w:val="0"/>
                <w:color w:val="auto"/>
                <w:highlight w:val="none"/>
              </w:rPr>
              <w:t>；</w:t>
            </w:r>
          </w:p>
          <w:p w14:paraId="4E0E58EA">
            <w:pPr>
              <w:spacing w:line="360" w:lineRule="auto"/>
              <w:ind w:left="630" w:leftChars="300" w:firstLine="480" w:firstLineChars="200"/>
              <w:rPr>
                <w:rStyle w:val="85"/>
                <w:b w:val="0"/>
                <w:bCs w:val="0"/>
                <w:color w:val="auto"/>
                <w:highlight w:val="none"/>
              </w:rPr>
            </w:pPr>
            <w:r>
              <w:rPr>
                <w:rStyle w:val="85"/>
                <w:b w:val="0"/>
                <w:bCs w:val="0"/>
                <w:color w:val="auto"/>
                <w:highlight w:val="none"/>
              </w:rPr>
              <w:t>A——</w:t>
            </w:r>
            <w:r>
              <w:rPr>
                <w:rStyle w:val="85"/>
                <w:rFonts w:hint="eastAsia" w:cs="宋体"/>
                <w:b w:val="0"/>
                <w:bCs w:val="0"/>
                <w:color w:val="auto"/>
                <w:highlight w:val="none"/>
              </w:rPr>
              <w:t>倍频带衰减，</w:t>
            </w:r>
            <w:r>
              <w:rPr>
                <w:rStyle w:val="85"/>
                <w:b w:val="0"/>
                <w:bCs w:val="0"/>
                <w:color w:val="auto"/>
                <w:highlight w:val="none"/>
              </w:rPr>
              <w:t>GB</w:t>
            </w:r>
            <w:r>
              <w:rPr>
                <w:rStyle w:val="85"/>
                <w:rFonts w:hint="eastAsia" w:cs="宋体"/>
                <w:b w:val="0"/>
                <w:bCs w:val="0"/>
                <w:color w:val="auto"/>
                <w:highlight w:val="none"/>
              </w:rPr>
              <w:t>；</w:t>
            </w:r>
          </w:p>
          <w:p w14:paraId="0AEFD155">
            <w:pPr>
              <w:spacing w:line="360" w:lineRule="auto"/>
              <w:ind w:left="630" w:leftChars="300" w:firstLine="480" w:firstLineChars="200"/>
              <w:rPr>
                <w:rStyle w:val="85"/>
                <w:b w:val="0"/>
                <w:bCs w:val="0"/>
                <w:color w:val="auto"/>
                <w:highlight w:val="none"/>
              </w:rPr>
            </w:pPr>
            <w:r>
              <w:rPr>
                <w:rStyle w:val="85"/>
                <w:b w:val="0"/>
                <w:bCs w:val="0"/>
                <w:color w:val="auto"/>
                <w:highlight w:val="none"/>
              </w:rPr>
              <w:t>Adiv——</w:t>
            </w:r>
            <w:r>
              <w:rPr>
                <w:rStyle w:val="85"/>
                <w:rFonts w:hint="eastAsia" w:cs="宋体"/>
                <w:b w:val="0"/>
                <w:bCs w:val="0"/>
                <w:color w:val="auto"/>
                <w:highlight w:val="none"/>
              </w:rPr>
              <w:t>几何发散引起的倍频带衰减，</w:t>
            </w:r>
            <w:r>
              <w:rPr>
                <w:rStyle w:val="85"/>
                <w:b w:val="0"/>
                <w:bCs w:val="0"/>
                <w:color w:val="auto"/>
                <w:highlight w:val="none"/>
              </w:rPr>
              <w:t>GB</w:t>
            </w:r>
            <w:r>
              <w:rPr>
                <w:rStyle w:val="85"/>
                <w:rFonts w:hint="eastAsia" w:cs="宋体"/>
                <w:b w:val="0"/>
                <w:bCs w:val="0"/>
                <w:color w:val="auto"/>
                <w:highlight w:val="none"/>
              </w:rPr>
              <w:t>；</w:t>
            </w:r>
          </w:p>
          <w:p w14:paraId="4B3BCAE1">
            <w:pPr>
              <w:spacing w:line="360" w:lineRule="auto"/>
              <w:ind w:left="630" w:leftChars="300" w:firstLine="480" w:firstLineChars="200"/>
              <w:rPr>
                <w:rStyle w:val="85"/>
                <w:b w:val="0"/>
                <w:bCs w:val="0"/>
                <w:color w:val="auto"/>
                <w:highlight w:val="none"/>
              </w:rPr>
            </w:pPr>
            <w:r>
              <w:rPr>
                <w:rStyle w:val="85"/>
                <w:b w:val="0"/>
                <w:bCs w:val="0"/>
                <w:color w:val="auto"/>
                <w:highlight w:val="none"/>
              </w:rPr>
              <w:t>Aatm——</w:t>
            </w:r>
            <w:r>
              <w:rPr>
                <w:rStyle w:val="85"/>
                <w:rFonts w:hint="eastAsia" w:cs="宋体"/>
                <w:b w:val="0"/>
                <w:bCs w:val="0"/>
                <w:color w:val="auto"/>
                <w:highlight w:val="none"/>
              </w:rPr>
              <w:t>大气吸收引起的倍频带衰减，</w:t>
            </w:r>
            <w:r>
              <w:rPr>
                <w:rStyle w:val="85"/>
                <w:b w:val="0"/>
                <w:bCs w:val="0"/>
                <w:color w:val="auto"/>
                <w:highlight w:val="none"/>
              </w:rPr>
              <w:t>GB</w:t>
            </w:r>
            <w:r>
              <w:rPr>
                <w:rStyle w:val="85"/>
                <w:rFonts w:hint="eastAsia" w:cs="宋体"/>
                <w:b w:val="0"/>
                <w:bCs w:val="0"/>
                <w:color w:val="auto"/>
                <w:highlight w:val="none"/>
              </w:rPr>
              <w:t>；</w:t>
            </w:r>
          </w:p>
          <w:p w14:paraId="4D67062A">
            <w:pPr>
              <w:spacing w:line="360" w:lineRule="auto"/>
              <w:ind w:left="630" w:leftChars="300" w:firstLine="480" w:firstLineChars="200"/>
              <w:rPr>
                <w:rStyle w:val="85"/>
                <w:b w:val="0"/>
                <w:bCs w:val="0"/>
                <w:color w:val="auto"/>
                <w:highlight w:val="none"/>
              </w:rPr>
            </w:pPr>
            <w:r>
              <w:rPr>
                <w:rStyle w:val="85"/>
                <w:b w:val="0"/>
                <w:bCs w:val="0"/>
                <w:color w:val="auto"/>
                <w:highlight w:val="none"/>
              </w:rPr>
              <w:t>Agr——</w:t>
            </w:r>
            <w:r>
              <w:rPr>
                <w:rStyle w:val="85"/>
                <w:rFonts w:hint="eastAsia" w:cs="宋体"/>
                <w:b w:val="0"/>
                <w:bCs w:val="0"/>
                <w:color w:val="auto"/>
                <w:highlight w:val="none"/>
              </w:rPr>
              <w:t>地面效应引起的倍频带衰减，</w:t>
            </w:r>
            <w:r>
              <w:rPr>
                <w:rStyle w:val="85"/>
                <w:b w:val="0"/>
                <w:bCs w:val="0"/>
                <w:color w:val="auto"/>
                <w:highlight w:val="none"/>
              </w:rPr>
              <w:t>GB</w:t>
            </w:r>
            <w:r>
              <w:rPr>
                <w:rStyle w:val="85"/>
                <w:rFonts w:hint="eastAsia" w:cs="宋体"/>
                <w:b w:val="0"/>
                <w:bCs w:val="0"/>
                <w:color w:val="auto"/>
                <w:highlight w:val="none"/>
              </w:rPr>
              <w:t>；</w:t>
            </w:r>
          </w:p>
          <w:p w14:paraId="50A49521">
            <w:pPr>
              <w:spacing w:line="360" w:lineRule="auto"/>
              <w:ind w:left="630" w:leftChars="300" w:firstLine="480" w:firstLineChars="200"/>
              <w:rPr>
                <w:rStyle w:val="85"/>
                <w:b w:val="0"/>
                <w:bCs w:val="0"/>
                <w:color w:val="auto"/>
                <w:highlight w:val="none"/>
              </w:rPr>
            </w:pPr>
            <w:r>
              <w:rPr>
                <w:rStyle w:val="85"/>
                <w:b w:val="0"/>
                <w:bCs w:val="0"/>
                <w:color w:val="auto"/>
                <w:highlight w:val="none"/>
              </w:rPr>
              <w:t>Abar——</w:t>
            </w:r>
            <w:r>
              <w:rPr>
                <w:rStyle w:val="85"/>
                <w:rFonts w:hint="eastAsia" w:cs="宋体"/>
                <w:b w:val="0"/>
                <w:bCs w:val="0"/>
                <w:color w:val="auto"/>
                <w:highlight w:val="none"/>
              </w:rPr>
              <w:t>声屏障引起的倍频带衰减，</w:t>
            </w:r>
            <w:r>
              <w:rPr>
                <w:rStyle w:val="85"/>
                <w:b w:val="0"/>
                <w:bCs w:val="0"/>
                <w:color w:val="auto"/>
                <w:highlight w:val="none"/>
              </w:rPr>
              <w:t>GB</w:t>
            </w:r>
            <w:r>
              <w:rPr>
                <w:rStyle w:val="85"/>
                <w:rFonts w:hint="eastAsia" w:cs="宋体"/>
                <w:b w:val="0"/>
                <w:bCs w:val="0"/>
                <w:color w:val="auto"/>
                <w:highlight w:val="none"/>
              </w:rPr>
              <w:t>；</w:t>
            </w:r>
          </w:p>
          <w:p w14:paraId="52294247">
            <w:pPr>
              <w:spacing w:line="360" w:lineRule="auto"/>
              <w:ind w:firstLine="1200" w:firstLineChars="500"/>
              <w:rPr>
                <w:color w:val="auto"/>
                <w:sz w:val="24"/>
                <w:szCs w:val="24"/>
                <w:highlight w:val="none"/>
              </w:rPr>
            </w:pPr>
            <w:r>
              <w:rPr>
                <w:color w:val="auto"/>
                <w:sz w:val="24"/>
                <w:szCs w:val="24"/>
                <w:highlight w:val="none"/>
              </w:rPr>
              <w:t>A</w:t>
            </w:r>
            <w:r>
              <w:rPr>
                <w:color w:val="auto"/>
                <w:sz w:val="24"/>
                <w:szCs w:val="24"/>
                <w:highlight w:val="none"/>
                <w:vertAlign w:val="subscript"/>
              </w:rPr>
              <w:t>misc</w:t>
            </w:r>
            <w:r>
              <w:rPr>
                <w:color w:val="auto"/>
                <w:sz w:val="24"/>
                <w:szCs w:val="24"/>
                <w:highlight w:val="none"/>
              </w:rPr>
              <w:t>——</w:t>
            </w:r>
            <w:r>
              <w:rPr>
                <w:rFonts w:hint="eastAsia" w:cs="宋体"/>
                <w:color w:val="auto"/>
                <w:sz w:val="24"/>
                <w:szCs w:val="24"/>
                <w:highlight w:val="none"/>
              </w:rPr>
              <w:t>其他多方面效应引起的倍频带衰减，</w:t>
            </w:r>
            <w:r>
              <w:rPr>
                <w:color w:val="auto"/>
                <w:sz w:val="24"/>
                <w:szCs w:val="24"/>
                <w:highlight w:val="none"/>
              </w:rPr>
              <w:t>GB</w:t>
            </w:r>
            <w:r>
              <w:rPr>
                <w:rFonts w:hint="eastAsia" w:cs="宋体"/>
                <w:color w:val="auto"/>
                <w:sz w:val="24"/>
                <w:szCs w:val="24"/>
                <w:highlight w:val="none"/>
              </w:rPr>
              <w:t>。</w:t>
            </w:r>
          </w:p>
          <w:p w14:paraId="1C8B15AA">
            <w:pPr>
              <w:tabs>
                <w:tab w:val="left" w:pos="900"/>
              </w:tabs>
              <w:spacing w:line="360" w:lineRule="auto"/>
              <w:ind w:firstLine="482"/>
              <w:rPr>
                <w:color w:val="auto"/>
                <w:sz w:val="24"/>
                <w:szCs w:val="24"/>
                <w:highlight w:val="none"/>
              </w:rPr>
            </w:pPr>
            <w:r>
              <w:rPr>
                <w:rFonts w:hint="eastAsia" w:cs="宋体"/>
                <w:color w:val="auto"/>
                <w:sz w:val="24"/>
                <w:szCs w:val="24"/>
                <w:highlight w:val="none"/>
              </w:rPr>
              <w:t>②室内声源等效室外声源声功率级计算方法</w:t>
            </w:r>
          </w:p>
          <w:p w14:paraId="1BD6579A">
            <w:pPr>
              <w:tabs>
                <w:tab w:val="left" w:pos="900"/>
              </w:tabs>
              <w:spacing w:line="360" w:lineRule="auto"/>
              <w:ind w:firstLine="480" w:firstLineChars="200"/>
              <w:rPr>
                <w:color w:val="auto"/>
                <w:sz w:val="24"/>
                <w:szCs w:val="24"/>
                <w:highlight w:val="none"/>
              </w:rPr>
            </w:pPr>
            <w:r>
              <w:rPr>
                <w:rFonts w:hint="eastAsia" w:cs="宋体"/>
                <w:color w:val="auto"/>
                <w:sz w:val="24"/>
                <w:szCs w:val="24"/>
                <w:highlight w:val="none"/>
              </w:rPr>
              <w:t>声源位于室内，室内声源可采用等效室外声源声功率级法进行计算。设靠近开口处（或窗户）室内、室外某倍频带的声压级分别为</w:t>
            </w:r>
            <w:r>
              <w:rPr>
                <w:color w:val="auto"/>
                <w:sz w:val="24"/>
                <w:szCs w:val="24"/>
                <w:highlight w:val="none"/>
              </w:rPr>
              <w:t>L</w:t>
            </w:r>
            <w:r>
              <w:rPr>
                <w:color w:val="auto"/>
                <w:sz w:val="24"/>
                <w:szCs w:val="24"/>
                <w:highlight w:val="none"/>
                <w:vertAlign w:val="subscript"/>
              </w:rPr>
              <w:t>P1</w:t>
            </w:r>
            <w:r>
              <w:rPr>
                <w:rFonts w:hint="eastAsia" w:cs="宋体"/>
                <w:color w:val="auto"/>
                <w:sz w:val="24"/>
                <w:szCs w:val="24"/>
                <w:highlight w:val="none"/>
              </w:rPr>
              <w:t>和</w:t>
            </w:r>
            <w:r>
              <w:rPr>
                <w:color w:val="auto"/>
                <w:sz w:val="24"/>
                <w:szCs w:val="24"/>
                <w:highlight w:val="none"/>
              </w:rPr>
              <w:t>L</w:t>
            </w:r>
            <w:r>
              <w:rPr>
                <w:color w:val="auto"/>
                <w:sz w:val="24"/>
                <w:szCs w:val="24"/>
                <w:highlight w:val="none"/>
                <w:vertAlign w:val="subscript"/>
              </w:rPr>
              <w:t>P2</w:t>
            </w:r>
            <w:r>
              <w:rPr>
                <w:rFonts w:hint="eastAsia" w:cs="宋体"/>
                <w:color w:val="auto"/>
                <w:sz w:val="24"/>
                <w:szCs w:val="24"/>
                <w:highlight w:val="none"/>
              </w:rPr>
              <w:t>。若声源所在室内声场为近似扩散声场，则室外的倍频带声压级可按以下计算公式如下：</w:t>
            </w:r>
          </w:p>
          <w:p w14:paraId="76B32C99">
            <w:pPr>
              <w:tabs>
                <w:tab w:val="left" w:pos="900"/>
              </w:tabs>
              <w:spacing w:line="360" w:lineRule="auto"/>
              <w:jc w:val="center"/>
              <w:rPr>
                <w:color w:val="auto"/>
                <w:sz w:val="24"/>
                <w:szCs w:val="24"/>
                <w:highlight w:val="none"/>
              </w:rPr>
            </w:pPr>
            <w:r>
              <w:rPr>
                <w:color w:val="auto"/>
                <w:sz w:val="24"/>
                <w:szCs w:val="24"/>
                <w:highlight w:val="none"/>
              </w:rPr>
              <w:drawing>
                <wp:inline distT="0" distB="0" distL="114300" distR="114300">
                  <wp:extent cx="1880870" cy="327660"/>
                  <wp:effectExtent l="0" t="0" r="8890" b="762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14"/>
                          <a:stretch>
                            <a:fillRect/>
                          </a:stretch>
                        </pic:blipFill>
                        <pic:spPr>
                          <a:xfrm>
                            <a:off x="0" y="0"/>
                            <a:ext cx="1880870" cy="327660"/>
                          </a:xfrm>
                          <a:prstGeom prst="rect">
                            <a:avLst/>
                          </a:prstGeom>
                          <a:noFill/>
                          <a:ln>
                            <a:noFill/>
                          </a:ln>
                        </pic:spPr>
                      </pic:pic>
                    </a:graphicData>
                  </a:graphic>
                </wp:inline>
              </w:drawing>
            </w:r>
          </w:p>
          <w:p w14:paraId="77A5F310">
            <w:pPr>
              <w:pStyle w:val="18"/>
              <w:spacing w:line="360" w:lineRule="auto"/>
              <w:ind w:firstLine="482"/>
              <w:rPr>
                <w:rFonts w:ascii="Times New Roman" w:hAnsi="Times New Roman" w:cs="Times New Roman"/>
                <w:color w:val="auto"/>
                <w:sz w:val="24"/>
                <w:szCs w:val="24"/>
                <w:highlight w:val="none"/>
              </w:rPr>
            </w:pPr>
            <w:r>
              <w:rPr>
                <w:rFonts w:hint="eastAsia" w:ascii="Times New Roman" w:hAnsi="Times New Roman"/>
                <w:color w:val="auto"/>
                <w:sz w:val="24"/>
                <w:szCs w:val="24"/>
                <w:highlight w:val="none"/>
              </w:rPr>
              <w:t>式中：</w:t>
            </w:r>
            <w:r>
              <w:rPr>
                <w:rFonts w:ascii="Times New Roman" w:hAnsi="Times New Roman" w:cs="Times New Roman"/>
                <w:color w:val="auto"/>
                <w:sz w:val="24"/>
                <w:szCs w:val="24"/>
                <w:highlight w:val="none"/>
              </w:rPr>
              <w:t>TL——</w:t>
            </w:r>
            <w:r>
              <w:rPr>
                <w:rFonts w:hint="eastAsia" w:ascii="Times New Roman" w:hAnsi="Times New Roman"/>
                <w:color w:val="auto"/>
                <w:sz w:val="24"/>
                <w:szCs w:val="24"/>
                <w:highlight w:val="none"/>
              </w:rPr>
              <w:t>隔墙（或窗户）倍频带的隔声量，</w:t>
            </w:r>
            <w:r>
              <w:rPr>
                <w:rFonts w:ascii="Times New Roman" w:hAnsi="Times New Roman" w:cs="Times New Roman"/>
                <w:color w:val="auto"/>
                <w:sz w:val="24"/>
                <w:szCs w:val="24"/>
                <w:highlight w:val="none"/>
              </w:rPr>
              <w:t>GB</w:t>
            </w:r>
            <w:r>
              <w:rPr>
                <w:rFonts w:hint="eastAsia" w:ascii="Times New Roman" w:hAnsi="Times New Roman"/>
                <w:color w:val="auto"/>
                <w:sz w:val="24"/>
                <w:szCs w:val="24"/>
                <w:highlight w:val="none"/>
              </w:rPr>
              <w:t>；</w:t>
            </w:r>
          </w:p>
          <w:p w14:paraId="0763D9E0">
            <w:pPr>
              <w:pStyle w:val="18"/>
              <w:spacing w:line="360" w:lineRule="auto"/>
              <w:ind w:firstLine="482"/>
              <w:rPr>
                <w:rFonts w:ascii="Times New Roman" w:hAnsi="Times New Roman" w:cs="Times New Roman"/>
                <w:color w:val="auto"/>
                <w:sz w:val="24"/>
                <w:szCs w:val="24"/>
                <w:highlight w:val="none"/>
              </w:rPr>
            </w:pPr>
            <w:r>
              <w:rPr>
                <w:rFonts w:hint="eastAsia" w:ascii="Times New Roman" w:hAnsi="Times New Roman"/>
                <w:color w:val="auto"/>
                <w:sz w:val="24"/>
                <w:szCs w:val="24"/>
                <w:highlight w:val="none"/>
              </w:rPr>
              <w:t>按下式计算某一室内声源靠近围护结构处产生的倍频带声压级：</w:t>
            </w:r>
          </w:p>
          <w:p w14:paraId="6B88377F">
            <w:pPr>
              <w:tabs>
                <w:tab w:val="left" w:pos="900"/>
              </w:tabs>
              <w:spacing w:line="360" w:lineRule="auto"/>
              <w:ind w:firstLine="480" w:firstLineChars="200"/>
              <w:jc w:val="center"/>
              <w:rPr>
                <w:color w:val="auto"/>
                <w:sz w:val="24"/>
                <w:szCs w:val="24"/>
                <w:highlight w:val="none"/>
              </w:rPr>
            </w:pPr>
            <w:r>
              <w:rPr>
                <w:color w:val="auto"/>
                <w:sz w:val="24"/>
                <w:szCs w:val="24"/>
                <w:highlight w:val="none"/>
              </w:rPr>
              <w:drawing>
                <wp:inline distT="0" distB="0" distL="114300" distR="114300">
                  <wp:extent cx="2596515" cy="612775"/>
                  <wp:effectExtent l="0" t="0" r="9525" b="12065"/>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15"/>
                          <a:stretch>
                            <a:fillRect/>
                          </a:stretch>
                        </pic:blipFill>
                        <pic:spPr>
                          <a:xfrm>
                            <a:off x="0" y="0"/>
                            <a:ext cx="2596515" cy="612775"/>
                          </a:xfrm>
                          <a:prstGeom prst="rect">
                            <a:avLst/>
                          </a:prstGeom>
                          <a:noFill/>
                          <a:ln>
                            <a:noFill/>
                          </a:ln>
                        </pic:spPr>
                      </pic:pic>
                    </a:graphicData>
                  </a:graphic>
                </wp:inline>
              </w:drawing>
            </w:r>
          </w:p>
          <w:p w14:paraId="341590AD">
            <w:pPr>
              <w:tabs>
                <w:tab w:val="left" w:pos="900"/>
              </w:tabs>
              <w:spacing w:line="360" w:lineRule="auto"/>
              <w:ind w:firstLine="480" w:firstLineChars="200"/>
              <w:jc w:val="center"/>
              <w:rPr>
                <w:color w:val="auto"/>
                <w:sz w:val="24"/>
                <w:szCs w:val="24"/>
                <w:highlight w:val="none"/>
              </w:rPr>
            </w:pPr>
            <w:r>
              <w:rPr>
                <w:rFonts w:hint="eastAsia" w:cs="宋体"/>
                <w:color w:val="auto"/>
                <w:sz w:val="24"/>
                <w:szCs w:val="24"/>
                <w:highlight w:val="none"/>
              </w:rPr>
              <w:t>式中：</w:t>
            </w:r>
            <w:r>
              <w:rPr>
                <w:color w:val="auto"/>
                <w:sz w:val="24"/>
                <w:szCs w:val="24"/>
                <w:highlight w:val="none"/>
              </w:rPr>
              <w:t>Q——</w:t>
            </w:r>
            <w:r>
              <w:rPr>
                <w:rFonts w:hint="eastAsia" w:cs="宋体"/>
                <w:color w:val="auto"/>
                <w:sz w:val="24"/>
                <w:szCs w:val="24"/>
                <w:highlight w:val="none"/>
              </w:rPr>
              <w:t>指向性因数，通常对无指向性声源，当声源放在房间中心时，</w:t>
            </w:r>
            <w:r>
              <w:rPr>
                <w:color w:val="auto"/>
                <w:sz w:val="24"/>
                <w:szCs w:val="24"/>
                <w:highlight w:val="none"/>
              </w:rPr>
              <w:t>Q=1</w:t>
            </w:r>
            <w:r>
              <w:rPr>
                <w:rFonts w:hint="eastAsia" w:cs="宋体"/>
                <w:color w:val="auto"/>
                <w:sz w:val="24"/>
                <w:szCs w:val="24"/>
                <w:highlight w:val="none"/>
              </w:rPr>
              <w:t>；当放在一面墙的中心时，</w:t>
            </w:r>
            <w:r>
              <w:rPr>
                <w:color w:val="auto"/>
                <w:sz w:val="24"/>
                <w:szCs w:val="24"/>
                <w:highlight w:val="none"/>
              </w:rPr>
              <w:t>Q=2</w:t>
            </w:r>
            <w:r>
              <w:rPr>
                <w:rFonts w:hint="eastAsia" w:cs="宋体"/>
                <w:color w:val="auto"/>
                <w:sz w:val="24"/>
                <w:szCs w:val="24"/>
                <w:highlight w:val="none"/>
              </w:rPr>
              <w:t>；当放在两面墙夹角处时，</w:t>
            </w:r>
            <w:r>
              <w:rPr>
                <w:color w:val="auto"/>
                <w:sz w:val="24"/>
                <w:szCs w:val="24"/>
                <w:highlight w:val="none"/>
              </w:rPr>
              <w:t>Q=4</w:t>
            </w:r>
            <w:r>
              <w:rPr>
                <w:rFonts w:hint="eastAsia" w:cs="宋体"/>
                <w:color w:val="auto"/>
                <w:sz w:val="24"/>
                <w:szCs w:val="24"/>
                <w:highlight w:val="none"/>
              </w:rPr>
              <w:t>；当放在三面墙夹角处时，</w:t>
            </w:r>
            <w:r>
              <w:rPr>
                <w:color w:val="auto"/>
                <w:sz w:val="24"/>
                <w:szCs w:val="24"/>
                <w:highlight w:val="none"/>
              </w:rPr>
              <w:t>Q=8</w:t>
            </w:r>
            <w:r>
              <w:rPr>
                <w:rFonts w:hint="eastAsia" w:cs="宋体"/>
                <w:color w:val="auto"/>
                <w:sz w:val="24"/>
                <w:szCs w:val="24"/>
                <w:highlight w:val="none"/>
              </w:rPr>
              <w:t>；</w:t>
            </w:r>
          </w:p>
          <w:p w14:paraId="29FA3520">
            <w:pPr>
              <w:tabs>
                <w:tab w:val="left" w:pos="900"/>
              </w:tabs>
              <w:spacing w:line="360" w:lineRule="auto"/>
              <w:ind w:firstLine="1200" w:firstLineChars="500"/>
              <w:rPr>
                <w:color w:val="auto"/>
                <w:sz w:val="24"/>
                <w:szCs w:val="24"/>
                <w:highlight w:val="none"/>
              </w:rPr>
            </w:pPr>
            <w:r>
              <w:rPr>
                <w:color w:val="auto"/>
                <w:sz w:val="24"/>
                <w:szCs w:val="24"/>
                <w:highlight w:val="none"/>
              </w:rPr>
              <w:t>R——</w:t>
            </w:r>
            <w:r>
              <w:rPr>
                <w:rFonts w:hint="eastAsia" w:cs="宋体"/>
                <w:color w:val="auto"/>
                <w:sz w:val="24"/>
                <w:szCs w:val="24"/>
                <w:highlight w:val="none"/>
              </w:rPr>
              <w:t>房间常数，</w:t>
            </w:r>
            <w:r>
              <w:rPr>
                <w:color w:val="auto"/>
                <w:sz w:val="24"/>
                <w:szCs w:val="24"/>
                <w:highlight w:val="none"/>
              </w:rPr>
              <w:drawing>
                <wp:inline distT="0" distB="0" distL="114300" distR="114300">
                  <wp:extent cx="1397635" cy="224155"/>
                  <wp:effectExtent l="0" t="0" r="4445" b="4445"/>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pic:cNvPicPr>
                        </pic:nvPicPr>
                        <pic:blipFill>
                          <a:blip r:embed="rId16"/>
                          <a:stretch>
                            <a:fillRect/>
                          </a:stretch>
                        </pic:blipFill>
                        <pic:spPr>
                          <a:xfrm>
                            <a:off x="0" y="0"/>
                            <a:ext cx="1397635" cy="224155"/>
                          </a:xfrm>
                          <a:prstGeom prst="rect">
                            <a:avLst/>
                          </a:prstGeom>
                          <a:noFill/>
                          <a:ln>
                            <a:noFill/>
                          </a:ln>
                        </pic:spPr>
                      </pic:pic>
                    </a:graphicData>
                  </a:graphic>
                </wp:inline>
              </w:drawing>
            </w:r>
            <w:r>
              <w:rPr>
                <w:rFonts w:hint="eastAsia" w:cs="宋体"/>
                <w:color w:val="auto"/>
                <w:sz w:val="24"/>
                <w:szCs w:val="24"/>
                <w:highlight w:val="none"/>
              </w:rPr>
              <w:t>；</w:t>
            </w:r>
          </w:p>
          <w:p w14:paraId="2318D577">
            <w:pPr>
              <w:tabs>
                <w:tab w:val="left" w:pos="900"/>
              </w:tabs>
              <w:spacing w:line="360" w:lineRule="auto"/>
              <w:ind w:firstLine="1200" w:firstLineChars="500"/>
              <w:rPr>
                <w:color w:val="auto"/>
                <w:sz w:val="24"/>
                <w:szCs w:val="24"/>
                <w:highlight w:val="none"/>
              </w:rPr>
            </w:pPr>
            <w:r>
              <w:rPr>
                <w:color w:val="auto"/>
                <w:sz w:val="24"/>
                <w:szCs w:val="24"/>
                <w:highlight w:val="none"/>
              </w:rPr>
              <w:t>S——</w:t>
            </w:r>
            <w:r>
              <w:rPr>
                <w:rFonts w:hint="eastAsia" w:cs="宋体"/>
                <w:color w:val="auto"/>
                <w:sz w:val="24"/>
                <w:szCs w:val="24"/>
                <w:highlight w:val="none"/>
              </w:rPr>
              <w:t>为房间内表面面积，</w:t>
            </w:r>
            <w:r>
              <w:rPr>
                <w:color w:val="auto"/>
                <w:sz w:val="24"/>
                <w:szCs w:val="24"/>
                <w:highlight w:val="none"/>
              </w:rPr>
              <w:t>m</w:t>
            </w:r>
            <w:r>
              <w:rPr>
                <w:color w:val="auto"/>
                <w:sz w:val="24"/>
                <w:szCs w:val="24"/>
                <w:highlight w:val="none"/>
                <w:vertAlign w:val="superscript"/>
              </w:rPr>
              <w:t>2</w:t>
            </w:r>
            <w:r>
              <w:rPr>
                <w:rFonts w:hint="eastAsia" w:cs="宋体"/>
                <w:color w:val="auto"/>
                <w:sz w:val="24"/>
                <w:szCs w:val="24"/>
                <w:highlight w:val="none"/>
              </w:rPr>
              <w:t>，</w:t>
            </w:r>
            <w:r>
              <w:rPr>
                <w:color w:val="auto"/>
                <w:sz w:val="24"/>
                <w:szCs w:val="24"/>
                <w:highlight w:val="none"/>
              </w:rPr>
              <w:t xml:space="preserve">α </w:t>
            </w:r>
            <w:r>
              <w:rPr>
                <w:rFonts w:hint="eastAsia" w:cs="宋体"/>
                <w:color w:val="auto"/>
                <w:sz w:val="24"/>
                <w:szCs w:val="24"/>
                <w:highlight w:val="none"/>
              </w:rPr>
              <w:t>为平均吸声系数；</w:t>
            </w:r>
          </w:p>
          <w:p w14:paraId="0ED849A3">
            <w:pPr>
              <w:tabs>
                <w:tab w:val="left" w:pos="900"/>
              </w:tabs>
              <w:spacing w:line="360" w:lineRule="auto"/>
              <w:ind w:firstLine="1200" w:firstLineChars="500"/>
              <w:rPr>
                <w:color w:val="auto"/>
                <w:sz w:val="24"/>
                <w:szCs w:val="24"/>
                <w:highlight w:val="none"/>
              </w:rPr>
            </w:pPr>
            <w:r>
              <w:rPr>
                <w:color w:val="auto"/>
                <w:sz w:val="24"/>
                <w:szCs w:val="24"/>
                <w:highlight w:val="none"/>
              </w:rPr>
              <w:t>r——</w:t>
            </w:r>
            <w:r>
              <w:rPr>
                <w:rFonts w:hint="eastAsia" w:cs="宋体"/>
                <w:color w:val="auto"/>
                <w:sz w:val="24"/>
                <w:szCs w:val="24"/>
                <w:highlight w:val="none"/>
              </w:rPr>
              <w:t>声源到靠近围护结构某点处的距离，</w:t>
            </w:r>
            <w:r>
              <w:rPr>
                <w:color w:val="auto"/>
                <w:sz w:val="24"/>
                <w:szCs w:val="24"/>
                <w:highlight w:val="none"/>
              </w:rPr>
              <w:t>m</w:t>
            </w:r>
            <w:r>
              <w:rPr>
                <w:rFonts w:hint="eastAsia" w:cs="宋体"/>
                <w:color w:val="auto"/>
                <w:sz w:val="24"/>
                <w:szCs w:val="24"/>
                <w:highlight w:val="none"/>
              </w:rPr>
              <w:t>。</w:t>
            </w:r>
          </w:p>
          <w:p w14:paraId="05681DC8">
            <w:pPr>
              <w:pStyle w:val="18"/>
              <w:spacing w:line="360" w:lineRule="auto"/>
              <w:ind w:firstLine="482"/>
              <w:rPr>
                <w:rFonts w:ascii="Times New Roman" w:hAnsi="Times New Roman" w:cs="Times New Roman"/>
                <w:color w:val="auto"/>
                <w:sz w:val="24"/>
                <w:szCs w:val="24"/>
                <w:highlight w:val="none"/>
              </w:rPr>
            </w:pPr>
            <w:r>
              <w:rPr>
                <w:rFonts w:hint="eastAsia" w:ascii="Times New Roman" w:hAnsi="Times New Roman"/>
                <w:color w:val="auto"/>
                <w:sz w:val="24"/>
                <w:szCs w:val="24"/>
                <w:highlight w:val="none"/>
              </w:rPr>
              <w:t>然后按下式计算出所有室内声源在围护结构处产生的</w:t>
            </w:r>
            <w:r>
              <w:rPr>
                <w:rFonts w:ascii="Times New Roman" w:hAnsi="Times New Roman" w:cs="Times New Roman"/>
                <w:color w:val="auto"/>
                <w:sz w:val="24"/>
                <w:szCs w:val="24"/>
                <w:highlight w:val="none"/>
              </w:rPr>
              <w:t>i</w:t>
            </w:r>
            <w:r>
              <w:rPr>
                <w:rFonts w:hint="eastAsia" w:ascii="Times New Roman" w:hAnsi="Times New Roman"/>
                <w:color w:val="auto"/>
                <w:sz w:val="24"/>
                <w:szCs w:val="24"/>
                <w:highlight w:val="none"/>
              </w:rPr>
              <w:t>倍频带叠加声压级。</w:t>
            </w:r>
          </w:p>
          <w:p w14:paraId="26E6A6B3">
            <w:pPr>
              <w:spacing w:line="360" w:lineRule="auto"/>
              <w:jc w:val="center"/>
              <w:rPr>
                <w:color w:val="auto"/>
                <w:sz w:val="24"/>
                <w:szCs w:val="24"/>
                <w:highlight w:val="none"/>
              </w:rPr>
            </w:pPr>
            <w:r>
              <w:rPr>
                <w:color w:val="auto"/>
                <w:sz w:val="24"/>
                <w:szCs w:val="24"/>
                <w:highlight w:val="none"/>
              </w:rPr>
              <w:drawing>
                <wp:inline distT="0" distB="0" distL="114300" distR="114300">
                  <wp:extent cx="2475865" cy="647065"/>
                  <wp:effectExtent l="0" t="0" r="8255" b="8255"/>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pic:cNvPicPr>
                        </pic:nvPicPr>
                        <pic:blipFill>
                          <a:blip r:embed="rId17"/>
                          <a:stretch>
                            <a:fillRect/>
                          </a:stretch>
                        </pic:blipFill>
                        <pic:spPr>
                          <a:xfrm>
                            <a:off x="0" y="0"/>
                            <a:ext cx="2475865" cy="647065"/>
                          </a:xfrm>
                          <a:prstGeom prst="rect">
                            <a:avLst/>
                          </a:prstGeom>
                          <a:noFill/>
                          <a:ln>
                            <a:noFill/>
                          </a:ln>
                        </pic:spPr>
                      </pic:pic>
                    </a:graphicData>
                  </a:graphic>
                </wp:inline>
              </w:drawing>
            </w:r>
          </w:p>
          <w:p w14:paraId="7CAA67DF">
            <w:pPr>
              <w:spacing w:line="360" w:lineRule="auto"/>
              <w:ind w:firstLine="480" w:firstLineChars="200"/>
              <w:rPr>
                <w:color w:val="auto"/>
                <w:sz w:val="24"/>
                <w:szCs w:val="24"/>
                <w:highlight w:val="none"/>
              </w:rPr>
            </w:pPr>
            <w:r>
              <w:rPr>
                <w:rFonts w:hint="eastAsia" w:cs="宋体"/>
                <w:color w:val="auto"/>
                <w:sz w:val="24"/>
                <w:szCs w:val="24"/>
                <w:highlight w:val="none"/>
              </w:rPr>
              <w:t>式中：</w:t>
            </w:r>
            <w:r>
              <w:rPr>
                <w:color w:val="auto"/>
                <w:sz w:val="24"/>
                <w:szCs w:val="24"/>
                <w:highlight w:val="none"/>
              </w:rPr>
              <w:t>LP1i——</w:t>
            </w:r>
            <w:r>
              <w:rPr>
                <w:rFonts w:hint="eastAsia" w:cs="宋体"/>
                <w:color w:val="auto"/>
                <w:sz w:val="24"/>
                <w:szCs w:val="24"/>
                <w:highlight w:val="none"/>
              </w:rPr>
              <w:t>靠近围护结构处室内</w:t>
            </w:r>
            <w:r>
              <w:rPr>
                <w:color w:val="auto"/>
                <w:sz w:val="24"/>
                <w:szCs w:val="24"/>
                <w:highlight w:val="none"/>
              </w:rPr>
              <w:t>N</w:t>
            </w:r>
            <w:r>
              <w:rPr>
                <w:rFonts w:hint="eastAsia" w:cs="宋体"/>
                <w:color w:val="auto"/>
                <w:sz w:val="24"/>
                <w:szCs w:val="24"/>
                <w:highlight w:val="none"/>
              </w:rPr>
              <w:t>个声源</w:t>
            </w:r>
            <w:r>
              <w:rPr>
                <w:color w:val="auto"/>
                <w:sz w:val="24"/>
                <w:szCs w:val="24"/>
                <w:highlight w:val="none"/>
              </w:rPr>
              <w:t>i</w:t>
            </w:r>
            <w:r>
              <w:rPr>
                <w:rFonts w:hint="eastAsia" w:cs="宋体"/>
                <w:color w:val="auto"/>
                <w:sz w:val="24"/>
                <w:szCs w:val="24"/>
                <w:highlight w:val="none"/>
              </w:rPr>
              <w:t>倍频带的叠加声压级，</w:t>
            </w:r>
            <w:r>
              <w:rPr>
                <w:color w:val="auto"/>
                <w:sz w:val="24"/>
                <w:szCs w:val="24"/>
                <w:highlight w:val="none"/>
              </w:rPr>
              <w:t>GB</w:t>
            </w:r>
            <w:r>
              <w:rPr>
                <w:rFonts w:hint="eastAsia" w:cs="宋体"/>
                <w:color w:val="auto"/>
                <w:sz w:val="24"/>
                <w:szCs w:val="24"/>
                <w:highlight w:val="none"/>
              </w:rPr>
              <w:t>；</w:t>
            </w:r>
          </w:p>
          <w:p w14:paraId="05F64807">
            <w:pPr>
              <w:spacing w:line="360" w:lineRule="auto"/>
              <w:ind w:firstLine="1200" w:firstLineChars="500"/>
              <w:rPr>
                <w:color w:val="auto"/>
                <w:sz w:val="24"/>
                <w:szCs w:val="24"/>
                <w:highlight w:val="none"/>
              </w:rPr>
            </w:pPr>
            <w:r>
              <w:rPr>
                <w:color w:val="auto"/>
                <w:sz w:val="24"/>
                <w:szCs w:val="24"/>
                <w:highlight w:val="none"/>
              </w:rPr>
              <w:t>LP1ij——</w:t>
            </w:r>
            <w:r>
              <w:rPr>
                <w:rFonts w:hint="eastAsia" w:cs="宋体"/>
                <w:color w:val="auto"/>
                <w:sz w:val="24"/>
                <w:szCs w:val="24"/>
                <w:highlight w:val="none"/>
              </w:rPr>
              <w:t>室内</w:t>
            </w:r>
            <w:r>
              <w:rPr>
                <w:color w:val="auto"/>
                <w:sz w:val="24"/>
                <w:szCs w:val="24"/>
                <w:highlight w:val="none"/>
              </w:rPr>
              <w:t>j</w:t>
            </w:r>
            <w:r>
              <w:rPr>
                <w:rFonts w:hint="eastAsia" w:cs="宋体"/>
                <w:color w:val="auto"/>
                <w:sz w:val="24"/>
                <w:szCs w:val="24"/>
                <w:highlight w:val="none"/>
              </w:rPr>
              <w:t>声源</w:t>
            </w:r>
            <w:r>
              <w:rPr>
                <w:color w:val="auto"/>
                <w:sz w:val="24"/>
                <w:szCs w:val="24"/>
                <w:highlight w:val="none"/>
              </w:rPr>
              <w:t>i</w:t>
            </w:r>
            <w:r>
              <w:rPr>
                <w:rFonts w:hint="eastAsia" w:cs="宋体"/>
                <w:color w:val="auto"/>
                <w:sz w:val="24"/>
                <w:szCs w:val="24"/>
                <w:highlight w:val="none"/>
              </w:rPr>
              <w:t>倍频带的声压级，</w:t>
            </w:r>
            <w:r>
              <w:rPr>
                <w:color w:val="auto"/>
                <w:sz w:val="24"/>
                <w:szCs w:val="24"/>
                <w:highlight w:val="none"/>
              </w:rPr>
              <w:t>GB</w:t>
            </w:r>
            <w:r>
              <w:rPr>
                <w:rFonts w:hint="eastAsia" w:cs="宋体"/>
                <w:color w:val="auto"/>
                <w:sz w:val="24"/>
                <w:szCs w:val="24"/>
                <w:highlight w:val="none"/>
              </w:rPr>
              <w:t>；</w:t>
            </w:r>
          </w:p>
          <w:p w14:paraId="07C3E3EE">
            <w:pPr>
              <w:spacing w:line="360" w:lineRule="auto"/>
              <w:ind w:firstLine="1200" w:firstLineChars="500"/>
              <w:rPr>
                <w:color w:val="auto"/>
                <w:sz w:val="24"/>
                <w:szCs w:val="24"/>
                <w:highlight w:val="none"/>
              </w:rPr>
            </w:pPr>
            <w:r>
              <w:rPr>
                <w:color w:val="auto"/>
                <w:sz w:val="24"/>
                <w:szCs w:val="24"/>
                <w:highlight w:val="none"/>
              </w:rPr>
              <w:t>N——</w:t>
            </w:r>
            <w:r>
              <w:rPr>
                <w:rFonts w:hint="eastAsia" w:cs="宋体"/>
                <w:color w:val="auto"/>
                <w:sz w:val="24"/>
                <w:szCs w:val="24"/>
                <w:highlight w:val="none"/>
              </w:rPr>
              <w:t>室内声源总数。</w:t>
            </w:r>
          </w:p>
          <w:p w14:paraId="174EA482">
            <w:pPr>
              <w:spacing w:line="360" w:lineRule="auto"/>
              <w:ind w:firstLine="480" w:firstLineChars="200"/>
              <w:rPr>
                <w:color w:val="auto"/>
                <w:sz w:val="24"/>
                <w:szCs w:val="24"/>
                <w:highlight w:val="none"/>
              </w:rPr>
            </w:pPr>
            <w:r>
              <w:rPr>
                <w:rFonts w:hint="eastAsia" w:cs="宋体"/>
                <w:color w:val="auto"/>
                <w:sz w:val="24"/>
                <w:szCs w:val="24"/>
                <w:highlight w:val="none"/>
              </w:rPr>
              <w:t>然后按下式将室外声源的声压级和透过面积换算成等效的室外声源，计算出中心位置位于透声面积（</w:t>
            </w:r>
            <w:r>
              <w:rPr>
                <w:color w:val="auto"/>
                <w:sz w:val="24"/>
                <w:szCs w:val="24"/>
                <w:highlight w:val="none"/>
              </w:rPr>
              <w:t>S</w:t>
            </w:r>
            <w:r>
              <w:rPr>
                <w:rFonts w:hint="eastAsia" w:cs="宋体"/>
                <w:color w:val="auto"/>
                <w:sz w:val="24"/>
                <w:szCs w:val="24"/>
                <w:highlight w:val="none"/>
              </w:rPr>
              <w:t>）处的等效声源的倍频带声功率级。</w:t>
            </w:r>
          </w:p>
          <w:p w14:paraId="72204BE7">
            <w:pPr>
              <w:spacing w:line="360" w:lineRule="auto"/>
              <w:jc w:val="center"/>
              <w:rPr>
                <w:color w:val="auto"/>
                <w:sz w:val="24"/>
                <w:szCs w:val="24"/>
                <w:highlight w:val="none"/>
              </w:rPr>
            </w:pPr>
            <w:r>
              <w:rPr>
                <w:color w:val="auto"/>
                <w:sz w:val="24"/>
                <w:szCs w:val="24"/>
                <w:highlight w:val="none"/>
              </w:rPr>
              <w:drawing>
                <wp:inline distT="0" distB="0" distL="114300" distR="114300">
                  <wp:extent cx="1880870" cy="301625"/>
                  <wp:effectExtent l="0" t="0" r="8890" b="3175"/>
                  <wp:docPr id="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pic:cNvPicPr>
                            <a:picLocks noChangeAspect="1"/>
                          </pic:cNvPicPr>
                        </pic:nvPicPr>
                        <pic:blipFill>
                          <a:blip r:embed="rId18"/>
                          <a:stretch>
                            <a:fillRect/>
                          </a:stretch>
                        </pic:blipFill>
                        <pic:spPr>
                          <a:xfrm>
                            <a:off x="0" y="0"/>
                            <a:ext cx="1880870" cy="301625"/>
                          </a:xfrm>
                          <a:prstGeom prst="rect">
                            <a:avLst/>
                          </a:prstGeom>
                          <a:noFill/>
                          <a:ln>
                            <a:noFill/>
                          </a:ln>
                        </pic:spPr>
                      </pic:pic>
                    </a:graphicData>
                  </a:graphic>
                </wp:inline>
              </w:drawing>
            </w:r>
          </w:p>
          <w:p w14:paraId="73697252">
            <w:pPr>
              <w:spacing w:line="360" w:lineRule="auto"/>
              <w:ind w:firstLine="480" w:firstLineChars="200"/>
              <w:rPr>
                <w:color w:val="auto"/>
                <w:sz w:val="24"/>
                <w:szCs w:val="24"/>
                <w:highlight w:val="none"/>
              </w:rPr>
            </w:pPr>
            <w:r>
              <w:rPr>
                <w:rFonts w:hint="eastAsia" w:cs="宋体"/>
                <w:color w:val="auto"/>
                <w:sz w:val="24"/>
                <w:szCs w:val="24"/>
                <w:highlight w:val="none"/>
              </w:rPr>
              <w:t>然后按室外声源预测方法计算预测点处的</w:t>
            </w:r>
            <w:r>
              <w:rPr>
                <w:color w:val="auto"/>
                <w:sz w:val="24"/>
                <w:szCs w:val="24"/>
                <w:highlight w:val="none"/>
              </w:rPr>
              <w:t xml:space="preserve"> A</w:t>
            </w:r>
            <w:r>
              <w:rPr>
                <w:rFonts w:hint="eastAsia" w:cs="宋体"/>
                <w:color w:val="auto"/>
                <w:sz w:val="24"/>
                <w:szCs w:val="24"/>
                <w:highlight w:val="none"/>
              </w:rPr>
              <w:t>声级。</w:t>
            </w:r>
          </w:p>
          <w:p w14:paraId="1A56A0E3">
            <w:pPr>
              <w:spacing w:line="360" w:lineRule="auto"/>
              <w:ind w:firstLine="480" w:firstLineChars="200"/>
              <w:rPr>
                <w:color w:val="auto"/>
                <w:sz w:val="24"/>
                <w:szCs w:val="24"/>
                <w:highlight w:val="none"/>
              </w:rPr>
            </w:pPr>
            <w:r>
              <w:rPr>
                <w:rFonts w:hint="eastAsia" w:cs="宋体"/>
                <w:color w:val="auto"/>
                <w:sz w:val="24"/>
                <w:szCs w:val="24"/>
                <w:highlight w:val="none"/>
              </w:rPr>
              <w:t>③噪声贡献值计算</w:t>
            </w:r>
          </w:p>
          <w:p w14:paraId="022F6DFB">
            <w:pPr>
              <w:spacing w:line="360" w:lineRule="auto"/>
              <w:ind w:firstLine="480" w:firstLineChars="200"/>
              <w:rPr>
                <w:color w:val="auto"/>
                <w:sz w:val="24"/>
                <w:szCs w:val="24"/>
                <w:highlight w:val="none"/>
              </w:rPr>
            </w:pPr>
            <w:r>
              <w:rPr>
                <w:rFonts w:hint="eastAsia" w:cs="宋体"/>
                <w:color w:val="auto"/>
                <w:sz w:val="24"/>
                <w:szCs w:val="24"/>
                <w:highlight w:val="none"/>
              </w:rPr>
              <w:t>设第</w:t>
            </w:r>
            <w:r>
              <w:rPr>
                <w:color w:val="auto"/>
                <w:sz w:val="24"/>
                <w:szCs w:val="24"/>
                <w:highlight w:val="none"/>
              </w:rPr>
              <w:t>i</w:t>
            </w:r>
            <w:r>
              <w:rPr>
                <w:rFonts w:hint="eastAsia" w:cs="宋体"/>
                <w:color w:val="auto"/>
                <w:sz w:val="24"/>
                <w:szCs w:val="24"/>
                <w:highlight w:val="none"/>
              </w:rPr>
              <w:t>个室外声源在预测点产生的</w:t>
            </w:r>
            <w:r>
              <w:rPr>
                <w:color w:val="auto"/>
                <w:sz w:val="24"/>
                <w:szCs w:val="24"/>
                <w:highlight w:val="none"/>
              </w:rPr>
              <w:t>A</w:t>
            </w:r>
            <w:r>
              <w:rPr>
                <w:rFonts w:hint="eastAsia" w:cs="宋体"/>
                <w:color w:val="auto"/>
                <w:sz w:val="24"/>
                <w:szCs w:val="24"/>
                <w:highlight w:val="none"/>
              </w:rPr>
              <w:t>声级为</w:t>
            </w:r>
            <w:r>
              <w:rPr>
                <w:color w:val="auto"/>
                <w:sz w:val="24"/>
                <w:szCs w:val="24"/>
                <w:highlight w:val="none"/>
              </w:rPr>
              <w:t>LAi</w:t>
            </w:r>
            <w:r>
              <w:rPr>
                <w:rFonts w:hint="eastAsia" w:cs="宋体"/>
                <w:color w:val="auto"/>
                <w:sz w:val="24"/>
                <w:szCs w:val="24"/>
                <w:highlight w:val="none"/>
              </w:rPr>
              <w:t>，在</w:t>
            </w:r>
            <w:r>
              <w:rPr>
                <w:color w:val="auto"/>
                <w:sz w:val="24"/>
                <w:szCs w:val="24"/>
                <w:highlight w:val="none"/>
              </w:rPr>
              <w:t>T</w:t>
            </w:r>
            <w:r>
              <w:rPr>
                <w:rFonts w:hint="eastAsia" w:cs="宋体"/>
                <w:color w:val="auto"/>
                <w:sz w:val="24"/>
                <w:szCs w:val="24"/>
                <w:highlight w:val="none"/>
              </w:rPr>
              <w:t>时间内该声源工作时间为</w:t>
            </w:r>
            <w:r>
              <w:rPr>
                <w:color w:val="auto"/>
                <w:sz w:val="24"/>
                <w:szCs w:val="24"/>
                <w:highlight w:val="none"/>
              </w:rPr>
              <w:t>ti</w:t>
            </w:r>
            <w:r>
              <w:rPr>
                <w:rFonts w:hint="eastAsia" w:cs="宋体"/>
                <w:color w:val="auto"/>
                <w:sz w:val="24"/>
                <w:szCs w:val="24"/>
                <w:highlight w:val="none"/>
              </w:rPr>
              <w:t>；第</w:t>
            </w:r>
            <w:r>
              <w:rPr>
                <w:color w:val="auto"/>
                <w:sz w:val="24"/>
                <w:szCs w:val="24"/>
                <w:highlight w:val="none"/>
              </w:rPr>
              <w:t>j</w:t>
            </w:r>
            <w:r>
              <w:rPr>
                <w:rFonts w:hint="eastAsia" w:cs="宋体"/>
                <w:color w:val="auto"/>
                <w:sz w:val="24"/>
                <w:szCs w:val="24"/>
                <w:highlight w:val="none"/>
              </w:rPr>
              <w:t>个等效室外声源在预测点产生的</w:t>
            </w:r>
            <w:r>
              <w:rPr>
                <w:color w:val="auto"/>
                <w:sz w:val="24"/>
                <w:szCs w:val="24"/>
                <w:highlight w:val="none"/>
              </w:rPr>
              <w:t>A</w:t>
            </w:r>
            <w:r>
              <w:rPr>
                <w:rFonts w:hint="eastAsia" w:cs="宋体"/>
                <w:color w:val="auto"/>
                <w:sz w:val="24"/>
                <w:szCs w:val="24"/>
                <w:highlight w:val="none"/>
              </w:rPr>
              <w:t>声级为</w:t>
            </w:r>
            <w:r>
              <w:rPr>
                <w:color w:val="auto"/>
                <w:sz w:val="24"/>
                <w:szCs w:val="24"/>
                <w:highlight w:val="none"/>
              </w:rPr>
              <w:t>LAj</w:t>
            </w:r>
            <w:r>
              <w:rPr>
                <w:rFonts w:hint="eastAsia" w:cs="宋体"/>
                <w:color w:val="auto"/>
                <w:sz w:val="24"/>
                <w:szCs w:val="24"/>
                <w:highlight w:val="none"/>
              </w:rPr>
              <w:t>，在</w:t>
            </w:r>
            <w:r>
              <w:rPr>
                <w:color w:val="auto"/>
                <w:sz w:val="24"/>
                <w:szCs w:val="24"/>
                <w:highlight w:val="none"/>
              </w:rPr>
              <w:t>T</w:t>
            </w:r>
            <w:r>
              <w:rPr>
                <w:rFonts w:hint="eastAsia" w:cs="宋体"/>
                <w:color w:val="auto"/>
                <w:sz w:val="24"/>
                <w:szCs w:val="24"/>
                <w:highlight w:val="none"/>
              </w:rPr>
              <w:t>时间内该声源工作时间为</w:t>
            </w:r>
            <w:r>
              <w:rPr>
                <w:color w:val="auto"/>
                <w:sz w:val="24"/>
                <w:szCs w:val="24"/>
                <w:highlight w:val="none"/>
              </w:rPr>
              <w:t>tj</w:t>
            </w:r>
            <w:r>
              <w:rPr>
                <w:rFonts w:hint="eastAsia" w:cs="宋体"/>
                <w:color w:val="auto"/>
                <w:sz w:val="24"/>
                <w:szCs w:val="24"/>
                <w:highlight w:val="none"/>
              </w:rPr>
              <w:t>，则拟建工程声源对预测点产生的贡献值（</w:t>
            </w:r>
            <w:r>
              <w:rPr>
                <w:color w:val="auto"/>
                <w:sz w:val="24"/>
                <w:szCs w:val="24"/>
                <w:highlight w:val="none"/>
              </w:rPr>
              <w:t>Leqg</w:t>
            </w:r>
            <w:r>
              <w:rPr>
                <w:rFonts w:hint="eastAsia" w:cs="宋体"/>
                <w:color w:val="auto"/>
                <w:sz w:val="24"/>
                <w:szCs w:val="24"/>
                <w:highlight w:val="none"/>
              </w:rPr>
              <w:t>）为：</w:t>
            </w:r>
          </w:p>
          <w:p w14:paraId="41F03924">
            <w:pPr>
              <w:spacing w:line="360" w:lineRule="auto"/>
              <w:jc w:val="center"/>
              <w:rPr>
                <w:color w:val="auto"/>
                <w:sz w:val="24"/>
                <w:szCs w:val="24"/>
                <w:highlight w:val="none"/>
              </w:rPr>
            </w:pPr>
            <w:r>
              <w:rPr>
                <w:color w:val="auto"/>
                <w:sz w:val="24"/>
                <w:szCs w:val="24"/>
                <w:highlight w:val="none"/>
              </w:rPr>
              <w:drawing>
                <wp:inline distT="0" distB="0" distL="114300" distR="114300">
                  <wp:extent cx="3898900" cy="690245"/>
                  <wp:effectExtent l="0" t="0" r="2540" b="10795"/>
                  <wp:docPr id="1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pic:cNvPicPr>
                            <a:picLocks noChangeAspect="1"/>
                          </pic:cNvPicPr>
                        </pic:nvPicPr>
                        <pic:blipFill>
                          <a:blip r:embed="rId19"/>
                          <a:stretch>
                            <a:fillRect/>
                          </a:stretch>
                        </pic:blipFill>
                        <pic:spPr>
                          <a:xfrm>
                            <a:off x="0" y="0"/>
                            <a:ext cx="3898900" cy="690245"/>
                          </a:xfrm>
                          <a:prstGeom prst="rect">
                            <a:avLst/>
                          </a:prstGeom>
                          <a:noFill/>
                          <a:ln>
                            <a:noFill/>
                          </a:ln>
                        </pic:spPr>
                      </pic:pic>
                    </a:graphicData>
                  </a:graphic>
                </wp:inline>
              </w:drawing>
            </w:r>
          </w:p>
          <w:p w14:paraId="42CD2D6D">
            <w:pPr>
              <w:spacing w:line="360" w:lineRule="auto"/>
              <w:ind w:firstLine="480" w:firstLineChars="200"/>
              <w:rPr>
                <w:color w:val="auto"/>
                <w:sz w:val="24"/>
                <w:szCs w:val="24"/>
                <w:highlight w:val="none"/>
              </w:rPr>
            </w:pPr>
            <w:r>
              <w:rPr>
                <w:rFonts w:hint="eastAsia" w:cs="宋体"/>
                <w:color w:val="auto"/>
                <w:sz w:val="24"/>
                <w:szCs w:val="24"/>
                <w:highlight w:val="none"/>
              </w:rPr>
              <w:t>式中：</w:t>
            </w:r>
            <w:r>
              <w:rPr>
                <w:color w:val="auto"/>
                <w:sz w:val="24"/>
                <w:szCs w:val="24"/>
                <w:highlight w:val="none"/>
              </w:rPr>
              <w:t>tj——</w:t>
            </w:r>
            <w:r>
              <w:rPr>
                <w:rFonts w:hint="eastAsia" w:cs="宋体"/>
                <w:color w:val="auto"/>
                <w:sz w:val="24"/>
                <w:szCs w:val="24"/>
                <w:highlight w:val="none"/>
              </w:rPr>
              <w:t>在</w:t>
            </w:r>
            <w:r>
              <w:rPr>
                <w:color w:val="auto"/>
                <w:sz w:val="24"/>
                <w:szCs w:val="24"/>
                <w:highlight w:val="none"/>
              </w:rPr>
              <w:t>T</w:t>
            </w:r>
            <w:r>
              <w:rPr>
                <w:rFonts w:hint="eastAsia" w:cs="宋体"/>
                <w:color w:val="auto"/>
                <w:sz w:val="24"/>
                <w:szCs w:val="24"/>
                <w:highlight w:val="none"/>
              </w:rPr>
              <w:t>时间内</w:t>
            </w:r>
            <w:r>
              <w:rPr>
                <w:color w:val="auto"/>
                <w:sz w:val="24"/>
                <w:szCs w:val="24"/>
                <w:highlight w:val="none"/>
              </w:rPr>
              <w:t>j</w:t>
            </w:r>
            <w:r>
              <w:rPr>
                <w:rFonts w:hint="eastAsia" w:cs="宋体"/>
                <w:color w:val="auto"/>
                <w:sz w:val="24"/>
                <w:szCs w:val="24"/>
                <w:highlight w:val="none"/>
              </w:rPr>
              <w:t>声源工作时间，</w:t>
            </w:r>
            <w:r>
              <w:rPr>
                <w:color w:val="auto"/>
                <w:sz w:val="24"/>
                <w:szCs w:val="24"/>
                <w:highlight w:val="none"/>
              </w:rPr>
              <w:t>s</w:t>
            </w:r>
            <w:r>
              <w:rPr>
                <w:rFonts w:hint="eastAsia" w:cs="宋体"/>
                <w:color w:val="auto"/>
                <w:sz w:val="24"/>
                <w:szCs w:val="24"/>
                <w:highlight w:val="none"/>
              </w:rPr>
              <w:t>；</w:t>
            </w:r>
          </w:p>
          <w:p w14:paraId="6FB37BDD">
            <w:pPr>
              <w:spacing w:line="360" w:lineRule="auto"/>
              <w:ind w:firstLine="1200" w:firstLineChars="500"/>
              <w:rPr>
                <w:color w:val="auto"/>
                <w:sz w:val="24"/>
                <w:szCs w:val="24"/>
                <w:highlight w:val="none"/>
              </w:rPr>
            </w:pPr>
            <w:r>
              <w:rPr>
                <w:color w:val="auto"/>
                <w:sz w:val="24"/>
                <w:szCs w:val="24"/>
                <w:highlight w:val="none"/>
              </w:rPr>
              <w:t>ti——</w:t>
            </w:r>
            <w:r>
              <w:rPr>
                <w:rFonts w:hint="eastAsia" w:cs="宋体"/>
                <w:color w:val="auto"/>
                <w:sz w:val="24"/>
                <w:szCs w:val="24"/>
                <w:highlight w:val="none"/>
              </w:rPr>
              <w:t>在</w:t>
            </w:r>
            <w:r>
              <w:rPr>
                <w:color w:val="auto"/>
                <w:sz w:val="24"/>
                <w:szCs w:val="24"/>
                <w:highlight w:val="none"/>
              </w:rPr>
              <w:t>T</w:t>
            </w:r>
            <w:r>
              <w:rPr>
                <w:rFonts w:hint="eastAsia" w:cs="宋体"/>
                <w:color w:val="auto"/>
                <w:sz w:val="24"/>
                <w:szCs w:val="24"/>
                <w:highlight w:val="none"/>
              </w:rPr>
              <w:t>时间内</w:t>
            </w:r>
            <w:r>
              <w:rPr>
                <w:color w:val="auto"/>
                <w:sz w:val="24"/>
                <w:szCs w:val="24"/>
                <w:highlight w:val="none"/>
              </w:rPr>
              <w:t>i</w:t>
            </w:r>
            <w:r>
              <w:rPr>
                <w:rFonts w:hint="eastAsia" w:cs="宋体"/>
                <w:color w:val="auto"/>
                <w:sz w:val="24"/>
                <w:szCs w:val="24"/>
                <w:highlight w:val="none"/>
              </w:rPr>
              <w:t>声源工作时间，</w:t>
            </w:r>
            <w:r>
              <w:rPr>
                <w:color w:val="auto"/>
                <w:sz w:val="24"/>
                <w:szCs w:val="24"/>
                <w:highlight w:val="none"/>
              </w:rPr>
              <w:t>s</w:t>
            </w:r>
            <w:r>
              <w:rPr>
                <w:rFonts w:hint="eastAsia" w:cs="宋体"/>
                <w:color w:val="auto"/>
                <w:sz w:val="24"/>
                <w:szCs w:val="24"/>
                <w:highlight w:val="none"/>
              </w:rPr>
              <w:t>；</w:t>
            </w:r>
          </w:p>
          <w:p w14:paraId="2B70A70F">
            <w:pPr>
              <w:spacing w:line="360" w:lineRule="auto"/>
              <w:ind w:firstLine="1200" w:firstLineChars="500"/>
              <w:rPr>
                <w:color w:val="auto"/>
                <w:sz w:val="24"/>
                <w:szCs w:val="24"/>
                <w:highlight w:val="none"/>
              </w:rPr>
            </w:pPr>
            <w:r>
              <w:rPr>
                <w:color w:val="auto"/>
                <w:sz w:val="24"/>
                <w:szCs w:val="24"/>
                <w:highlight w:val="none"/>
              </w:rPr>
              <w:t>T——</w:t>
            </w:r>
            <w:r>
              <w:rPr>
                <w:rFonts w:hint="eastAsia" w:cs="宋体"/>
                <w:color w:val="auto"/>
                <w:sz w:val="24"/>
                <w:szCs w:val="24"/>
                <w:highlight w:val="none"/>
              </w:rPr>
              <w:t>用于计算等效声级的时间，</w:t>
            </w:r>
            <w:r>
              <w:rPr>
                <w:color w:val="auto"/>
                <w:sz w:val="24"/>
                <w:szCs w:val="24"/>
                <w:highlight w:val="none"/>
              </w:rPr>
              <w:t>s</w:t>
            </w:r>
            <w:r>
              <w:rPr>
                <w:rFonts w:hint="eastAsia" w:cs="宋体"/>
                <w:color w:val="auto"/>
                <w:sz w:val="24"/>
                <w:szCs w:val="24"/>
                <w:highlight w:val="none"/>
              </w:rPr>
              <w:t>；</w:t>
            </w:r>
          </w:p>
          <w:p w14:paraId="63BF9F68">
            <w:pPr>
              <w:spacing w:line="360" w:lineRule="auto"/>
              <w:ind w:firstLine="1200" w:firstLineChars="500"/>
              <w:rPr>
                <w:color w:val="auto"/>
                <w:sz w:val="24"/>
                <w:szCs w:val="24"/>
                <w:highlight w:val="none"/>
              </w:rPr>
            </w:pPr>
            <w:r>
              <w:rPr>
                <w:color w:val="auto"/>
                <w:sz w:val="24"/>
                <w:szCs w:val="24"/>
                <w:highlight w:val="none"/>
              </w:rPr>
              <w:t>N——</w:t>
            </w:r>
            <w:r>
              <w:rPr>
                <w:rFonts w:hint="eastAsia" w:cs="宋体"/>
                <w:color w:val="auto"/>
                <w:sz w:val="24"/>
                <w:szCs w:val="24"/>
                <w:highlight w:val="none"/>
              </w:rPr>
              <w:t>室外声源个数；</w:t>
            </w:r>
          </w:p>
          <w:p w14:paraId="3242B0D6">
            <w:pPr>
              <w:spacing w:line="360" w:lineRule="auto"/>
              <w:ind w:firstLine="1200" w:firstLineChars="500"/>
              <w:rPr>
                <w:color w:val="auto"/>
                <w:sz w:val="24"/>
                <w:szCs w:val="24"/>
                <w:highlight w:val="none"/>
              </w:rPr>
            </w:pPr>
            <w:r>
              <w:rPr>
                <w:color w:val="auto"/>
                <w:sz w:val="24"/>
                <w:szCs w:val="24"/>
                <w:highlight w:val="none"/>
              </w:rPr>
              <w:t>M——</w:t>
            </w:r>
            <w:r>
              <w:rPr>
                <w:rFonts w:hint="eastAsia" w:cs="宋体"/>
                <w:color w:val="auto"/>
                <w:sz w:val="24"/>
                <w:szCs w:val="24"/>
                <w:highlight w:val="none"/>
              </w:rPr>
              <w:t>等效室外声源个数。</w:t>
            </w:r>
          </w:p>
          <w:p w14:paraId="60D10FFE">
            <w:pPr>
              <w:tabs>
                <w:tab w:val="left" w:pos="1219"/>
              </w:tabs>
              <w:autoSpaceDE w:val="0"/>
              <w:autoSpaceDN w:val="0"/>
              <w:adjustRightInd w:val="0"/>
              <w:spacing w:line="360" w:lineRule="auto"/>
              <w:ind w:left="762" w:leftChars="228" w:right="193" w:hanging="283" w:hangingChars="118"/>
              <w:rPr>
                <w:rFonts w:hint="eastAsia" w:cs="宋体"/>
                <w:color w:val="auto"/>
                <w:sz w:val="24"/>
                <w:szCs w:val="24"/>
                <w:highlight w:val="none"/>
              </w:rPr>
            </w:pPr>
            <w:r>
              <w:rPr>
                <w:rFonts w:hint="eastAsia" w:cs="宋体"/>
                <w:color w:val="auto"/>
                <w:sz w:val="24"/>
                <w:szCs w:val="24"/>
                <w:highlight w:val="none"/>
              </w:rPr>
              <w:t>④预测结果</w:t>
            </w:r>
          </w:p>
          <w:p w14:paraId="421D4084">
            <w:pPr>
              <w:tabs>
                <w:tab w:val="left" w:pos="1219"/>
              </w:tabs>
              <w:autoSpaceDE w:val="0"/>
              <w:autoSpaceDN w:val="0"/>
              <w:adjustRightInd w:val="0"/>
              <w:spacing w:line="360" w:lineRule="auto"/>
              <w:ind w:right="193" w:firstLine="480" w:firstLineChars="200"/>
              <w:rPr>
                <w:color w:val="auto"/>
                <w:sz w:val="24"/>
                <w:szCs w:val="24"/>
                <w:highlight w:val="none"/>
              </w:rPr>
            </w:pPr>
            <w:r>
              <w:rPr>
                <w:rFonts w:hint="eastAsia" w:cs="宋体"/>
                <w:color w:val="auto"/>
                <w:sz w:val="24"/>
                <w:szCs w:val="24"/>
                <w:highlight w:val="none"/>
                <w:lang w:eastAsia="zh-CN"/>
              </w:rPr>
              <w:t>本项目</w:t>
            </w:r>
            <w:r>
              <w:rPr>
                <w:rFonts w:hint="eastAsia" w:cs="宋体"/>
                <w:color w:val="auto"/>
                <w:sz w:val="24"/>
                <w:szCs w:val="24"/>
                <w:highlight w:val="none"/>
              </w:rPr>
              <w:t>预测结果详见下表</w:t>
            </w:r>
            <w:r>
              <w:rPr>
                <w:color w:val="auto"/>
                <w:kern w:val="0"/>
                <w:sz w:val="24"/>
                <w:szCs w:val="24"/>
                <w:highlight w:val="none"/>
              </w:rPr>
              <w:t>4-1</w:t>
            </w:r>
            <w:r>
              <w:rPr>
                <w:rFonts w:hint="eastAsia"/>
                <w:color w:val="auto"/>
                <w:kern w:val="0"/>
                <w:sz w:val="24"/>
                <w:szCs w:val="24"/>
                <w:highlight w:val="none"/>
                <w:lang w:val="en-US" w:eastAsia="zh-CN"/>
              </w:rPr>
              <w:t>2</w:t>
            </w:r>
            <w:r>
              <w:rPr>
                <w:rFonts w:hint="eastAsia" w:cs="宋体"/>
                <w:color w:val="auto"/>
                <w:sz w:val="24"/>
                <w:szCs w:val="24"/>
                <w:highlight w:val="none"/>
              </w:rPr>
              <w:t>。</w:t>
            </w:r>
          </w:p>
          <w:p w14:paraId="5CA6018F">
            <w:pPr>
              <w:jc w:val="center"/>
              <w:rPr>
                <w:color w:val="auto"/>
                <w:sz w:val="22"/>
                <w:szCs w:val="22"/>
                <w:highlight w:val="none"/>
              </w:rPr>
            </w:pPr>
            <w:r>
              <w:rPr>
                <w:rFonts w:hint="eastAsia" w:cs="宋体"/>
                <w:color w:val="auto"/>
                <w:sz w:val="22"/>
                <w:szCs w:val="22"/>
                <w:highlight w:val="none"/>
              </w:rPr>
              <w:t>表</w:t>
            </w:r>
            <w:r>
              <w:rPr>
                <w:color w:val="auto"/>
                <w:sz w:val="22"/>
                <w:szCs w:val="22"/>
                <w:highlight w:val="none"/>
              </w:rPr>
              <w:t>4-1</w:t>
            </w:r>
            <w:r>
              <w:rPr>
                <w:rFonts w:hint="eastAsia"/>
                <w:color w:val="auto"/>
                <w:sz w:val="22"/>
                <w:szCs w:val="22"/>
                <w:highlight w:val="none"/>
                <w:lang w:val="en-US" w:eastAsia="zh-CN"/>
              </w:rPr>
              <w:t>2</w:t>
            </w:r>
            <w:r>
              <w:rPr>
                <w:color w:val="auto"/>
                <w:sz w:val="22"/>
                <w:szCs w:val="22"/>
                <w:highlight w:val="none"/>
              </w:rPr>
              <w:t xml:space="preserve">  </w:t>
            </w:r>
            <w:r>
              <w:rPr>
                <w:rFonts w:hint="eastAsia" w:cs="宋体"/>
                <w:color w:val="auto"/>
                <w:sz w:val="22"/>
                <w:szCs w:val="22"/>
                <w:highlight w:val="none"/>
              </w:rPr>
              <w:t>厂界噪声预测结果一览表</w:t>
            </w:r>
          </w:p>
          <w:tbl>
            <w:tblPr>
              <w:tblStyle w:val="37"/>
              <w:tblpPr w:leftFromText="180" w:rightFromText="180" w:vertAnchor="text" w:horzAnchor="page" w:tblpXSpec="center" w:tblpY="315"/>
              <w:tblOverlap w:val="never"/>
              <w:tblW w:w="80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8"/>
              <w:gridCol w:w="963"/>
              <w:gridCol w:w="963"/>
              <w:gridCol w:w="963"/>
              <w:gridCol w:w="964"/>
              <w:gridCol w:w="1453"/>
              <w:gridCol w:w="1234"/>
            </w:tblGrid>
            <w:tr w14:paraId="29EA7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2" w:hRule="atLeast"/>
                <w:jc w:val="center"/>
              </w:trPr>
              <w:tc>
                <w:tcPr>
                  <w:tcW w:w="1498" w:type="dxa"/>
                  <w:vMerge w:val="restart"/>
                  <w:tcBorders>
                    <w:top w:val="single" w:color="auto" w:sz="4" w:space="0"/>
                    <w:left w:val="single" w:color="auto" w:sz="4" w:space="0"/>
                    <w:right w:val="single" w:color="auto" w:sz="4" w:space="0"/>
                  </w:tcBorders>
                  <w:vAlign w:val="center"/>
                </w:tcPr>
                <w:p w14:paraId="78A4F7FC">
                  <w:pPr>
                    <w:jc w:val="center"/>
                    <w:rPr>
                      <w:color w:val="auto"/>
                      <w:sz w:val="22"/>
                      <w:szCs w:val="22"/>
                      <w:highlight w:val="none"/>
                    </w:rPr>
                  </w:pPr>
                  <w:r>
                    <w:rPr>
                      <w:rFonts w:hint="eastAsia" w:cs="宋体"/>
                      <w:color w:val="auto"/>
                      <w:sz w:val="22"/>
                      <w:szCs w:val="22"/>
                      <w:highlight w:val="none"/>
                    </w:rPr>
                    <w:t>厂界</w:t>
                  </w:r>
                </w:p>
              </w:tc>
              <w:tc>
                <w:tcPr>
                  <w:tcW w:w="1926" w:type="dxa"/>
                  <w:gridSpan w:val="2"/>
                  <w:tcBorders>
                    <w:top w:val="single" w:color="auto" w:sz="4" w:space="0"/>
                    <w:left w:val="single" w:color="auto" w:sz="4" w:space="0"/>
                    <w:bottom w:val="single" w:color="auto" w:sz="4" w:space="0"/>
                    <w:right w:val="single" w:color="auto" w:sz="4" w:space="0"/>
                  </w:tcBorders>
                  <w:vAlign w:val="center"/>
                </w:tcPr>
                <w:p w14:paraId="1C9DF873">
                  <w:pPr>
                    <w:jc w:val="center"/>
                    <w:rPr>
                      <w:color w:val="auto"/>
                      <w:sz w:val="22"/>
                      <w:szCs w:val="22"/>
                      <w:highlight w:val="none"/>
                    </w:rPr>
                  </w:pPr>
                  <w:r>
                    <w:rPr>
                      <w:rFonts w:hint="eastAsia" w:cs="宋体"/>
                      <w:color w:val="auto"/>
                      <w:sz w:val="22"/>
                      <w:szCs w:val="22"/>
                      <w:highlight w:val="none"/>
                      <w:lang w:eastAsia="zh-CN"/>
                    </w:rPr>
                    <w:t>贡献值</w:t>
                  </w:r>
                </w:p>
              </w:tc>
              <w:tc>
                <w:tcPr>
                  <w:tcW w:w="1927" w:type="dxa"/>
                  <w:gridSpan w:val="2"/>
                  <w:tcBorders>
                    <w:top w:val="single" w:color="auto" w:sz="4" w:space="0"/>
                    <w:left w:val="single" w:color="auto" w:sz="4" w:space="0"/>
                    <w:right w:val="single" w:color="auto" w:sz="4" w:space="0"/>
                  </w:tcBorders>
                  <w:vAlign w:val="center"/>
                </w:tcPr>
                <w:p w14:paraId="432752C9">
                  <w:pPr>
                    <w:jc w:val="center"/>
                    <w:rPr>
                      <w:rFonts w:hint="eastAsia"/>
                      <w:color w:val="auto"/>
                      <w:sz w:val="22"/>
                      <w:szCs w:val="22"/>
                      <w:highlight w:val="none"/>
                    </w:rPr>
                  </w:pPr>
                  <w:r>
                    <w:rPr>
                      <w:rFonts w:hint="eastAsia"/>
                      <w:color w:val="auto"/>
                      <w:sz w:val="22"/>
                      <w:szCs w:val="22"/>
                      <w:highlight w:val="none"/>
                    </w:rPr>
                    <w:t>标准值</w:t>
                  </w:r>
                </w:p>
              </w:tc>
              <w:tc>
                <w:tcPr>
                  <w:tcW w:w="1453" w:type="dxa"/>
                  <w:vMerge w:val="restart"/>
                  <w:tcBorders>
                    <w:top w:val="single" w:color="auto" w:sz="4" w:space="0"/>
                    <w:left w:val="single" w:color="auto" w:sz="4" w:space="0"/>
                    <w:right w:val="single" w:color="auto" w:sz="4" w:space="0"/>
                  </w:tcBorders>
                  <w:vAlign w:val="center"/>
                </w:tcPr>
                <w:p w14:paraId="2A1359EC">
                  <w:pPr>
                    <w:jc w:val="center"/>
                    <w:rPr>
                      <w:rFonts w:cs="宋体"/>
                      <w:color w:val="auto"/>
                      <w:sz w:val="22"/>
                      <w:szCs w:val="22"/>
                      <w:highlight w:val="none"/>
                    </w:rPr>
                  </w:pPr>
                  <w:r>
                    <w:rPr>
                      <w:rFonts w:hint="eastAsia" w:cs="宋体"/>
                      <w:color w:val="auto"/>
                      <w:sz w:val="22"/>
                      <w:szCs w:val="22"/>
                      <w:highlight w:val="none"/>
                    </w:rPr>
                    <w:t>评价标准</w:t>
                  </w:r>
                </w:p>
              </w:tc>
              <w:tc>
                <w:tcPr>
                  <w:tcW w:w="1234" w:type="dxa"/>
                  <w:vMerge w:val="restart"/>
                  <w:tcBorders>
                    <w:top w:val="single" w:color="auto" w:sz="4" w:space="0"/>
                    <w:left w:val="single" w:color="auto" w:sz="4" w:space="0"/>
                    <w:right w:val="single" w:color="auto" w:sz="4" w:space="0"/>
                  </w:tcBorders>
                  <w:vAlign w:val="center"/>
                </w:tcPr>
                <w:p w14:paraId="14F2999D">
                  <w:pPr>
                    <w:jc w:val="center"/>
                    <w:rPr>
                      <w:color w:val="auto"/>
                      <w:sz w:val="22"/>
                      <w:szCs w:val="22"/>
                      <w:highlight w:val="none"/>
                    </w:rPr>
                  </w:pPr>
                  <w:r>
                    <w:rPr>
                      <w:rFonts w:hint="eastAsia" w:cs="宋体"/>
                      <w:color w:val="auto"/>
                      <w:sz w:val="22"/>
                      <w:szCs w:val="22"/>
                      <w:highlight w:val="none"/>
                    </w:rPr>
                    <w:t>达标情况</w:t>
                  </w:r>
                </w:p>
              </w:tc>
            </w:tr>
            <w:tr w14:paraId="0DF4F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1498" w:type="dxa"/>
                  <w:vMerge w:val="continue"/>
                  <w:tcBorders>
                    <w:left w:val="single" w:color="auto" w:sz="4" w:space="0"/>
                    <w:bottom w:val="single" w:color="auto" w:sz="4" w:space="0"/>
                    <w:right w:val="single" w:color="auto" w:sz="4" w:space="0"/>
                  </w:tcBorders>
                  <w:vAlign w:val="center"/>
                </w:tcPr>
                <w:p w14:paraId="3C0CF830">
                  <w:pPr>
                    <w:jc w:val="center"/>
                    <w:rPr>
                      <w:color w:val="auto"/>
                    </w:rPr>
                  </w:pPr>
                </w:p>
              </w:tc>
              <w:tc>
                <w:tcPr>
                  <w:tcW w:w="963" w:type="dxa"/>
                  <w:tcBorders>
                    <w:top w:val="single" w:color="auto" w:sz="4" w:space="0"/>
                    <w:left w:val="single" w:color="auto" w:sz="4" w:space="0"/>
                    <w:bottom w:val="single" w:color="auto" w:sz="4" w:space="0"/>
                    <w:right w:val="single" w:color="auto" w:sz="4" w:space="0"/>
                  </w:tcBorders>
                  <w:vAlign w:val="center"/>
                </w:tcPr>
                <w:p w14:paraId="2645DAD1">
                  <w:pPr>
                    <w:jc w:val="center"/>
                    <w:rPr>
                      <w:rFonts w:hint="eastAsia" w:eastAsia="宋体" w:cs="宋体"/>
                      <w:color w:val="auto"/>
                      <w:sz w:val="22"/>
                      <w:szCs w:val="22"/>
                      <w:highlight w:val="none"/>
                      <w:lang w:eastAsia="zh-CN"/>
                    </w:rPr>
                  </w:pPr>
                  <w:r>
                    <w:rPr>
                      <w:rFonts w:hint="eastAsia" w:cs="宋体"/>
                      <w:color w:val="auto"/>
                      <w:sz w:val="22"/>
                      <w:szCs w:val="22"/>
                      <w:highlight w:val="none"/>
                      <w:lang w:eastAsia="zh-CN"/>
                    </w:rPr>
                    <w:t>昼间</w:t>
                  </w:r>
                </w:p>
              </w:tc>
              <w:tc>
                <w:tcPr>
                  <w:tcW w:w="963" w:type="dxa"/>
                  <w:tcBorders>
                    <w:top w:val="single" w:color="auto" w:sz="4" w:space="0"/>
                    <w:left w:val="single" w:color="auto" w:sz="4" w:space="0"/>
                    <w:bottom w:val="single" w:color="auto" w:sz="4" w:space="0"/>
                    <w:right w:val="single" w:color="auto" w:sz="4" w:space="0"/>
                  </w:tcBorders>
                  <w:vAlign w:val="center"/>
                </w:tcPr>
                <w:p w14:paraId="0992687A">
                  <w:pPr>
                    <w:jc w:val="center"/>
                    <w:rPr>
                      <w:rFonts w:hint="eastAsia" w:eastAsia="宋体" w:cs="宋体"/>
                      <w:color w:val="auto"/>
                      <w:sz w:val="22"/>
                      <w:szCs w:val="22"/>
                      <w:highlight w:val="none"/>
                      <w:lang w:eastAsia="zh-CN"/>
                    </w:rPr>
                  </w:pPr>
                  <w:r>
                    <w:rPr>
                      <w:rFonts w:hint="eastAsia" w:cs="宋体"/>
                      <w:color w:val="auto"/>
                      <w:sz w:val="22"/>
                      <w:szCs w:val="22"/>
                      <w:highlight w:val="none"/>
                      <w:lang w:eastAsia="zh-CN"/>
                    </w:rPr>
                    <w:t>夜间</w:t>
                  </w:r>
                </w:p>
              </w:tc>
              <w:tc>
                <w:tcPr>
                  <w:tcW w:w="963" w:type="dxa"/>
                  <w:tcBorders>
                    <w:left w:val="single" w:color="auto" w:sz="4" w:space="0"/>
                    <w:bottom w:val="single" w:color="auto" w:sz="4" w:space="0"/>
                    <w:right w:val="single" w:color="auto" w:sz="4" w:space="0"/>
                  </w:tcBorders>
                  <w:vAlign w:val="center"/>
                </w:tcPr>
                <w:p w14:paraId="58A73946">
                  <w:pPr>
                    <w:jc w:val="center"/>
                    <w:rPr>
                      <w:rFonts w:hint="eastAsia" w:cs="宋体"/>
                      <w:color w:val="auto"/>
                      <w:sz w:val="22"/>
                      <w:szCs w:val="22"/>
                      <w:highlight w:val="none"/>
                    </w:rPr>
                  </w:pPr>
                  <w:r>
                    <w:rPr>
                      <w:rFonts w:hint="eastAsia" w:cs="宋体"/>
                      <w:color w:val="auto"/>
                      <w:sz w:val="22"/>
                      <w:szCs w:val="22"/>
                      <w:highlight w:val="none"/>
                      <w:lang w:eastAsia="zh-CN"/>
                    </w:rPr>
                    <w:t>昼间</w:t>
                  </w:r>
                </w:p>
              </w:tc>
              <w:tc>
                <w:tcPr>
                  <w:tcW w:w="964" w:type="dxa"/>
                  <w:tcBorders>
                    <w:left w:val="single" w:color="auto" w:sz="4" w:space="0"/>
                    <w:bottom w:val="single" w:color="auto" w:sz="4" w:space="0"/>
                    <w:right w:val="single" w:color="auto" w:sz="4" w:space="0"/>
                  </w:tcBorders>
                  <w:vAlign w:val="center"/>
                </w:tcPr>
                <w:p w14:paraId="55900A83">
                  <w:pPr>
                    <w:jc w:val="center"/>
                    <w:rPr>
                      <w:rFonts w:hint="eastAsia" w:cs="宋体"/>
                      <w:color w:val="auto"/>
                      <w:sz w:val="22"/>
                      <w:szCs w:val="22"/>
                      <w:highlight w:val="none"/>
                    </w:rPr>
                  </w:pPr>
                  <w:r>
                    <w:rPr>
                      <w:rFonts w:hint="eastAsia" w:cs="宋体"/>
                      <w:color w:val="auto"/>
                      <w:sz w:val="22"/>
                      <w:szCs w:val="22"/>
                      <w:highlight w:val="none"/>
                      <w:lang w:eastAsia="zh-CN"/>
                    </w:rPr>
                    <w:t>夜间</w:t>
                  </w:r>
                </w:p>
              </w:tc>
              <w:tc>
                <w:tcPr>
                  <w:tcW w:w="1453" w:type="dxa"/>
                  <w:vMerge w:val="continue"/>
                  <w:tcBorders>
                    <w:left w:val="single" w:color="auto" w:sz="4" w:space="0"/>
                    <w:bottom w:val="single" w:color="auto" w:sz="4" w:space="0"/>
                    <w:right w:val="single" w:color="auto" w:sz="4" w:space="0"/>
                  </w:tcBorders>
                  <w:vAlign w:val="center"/>
                </w:tcPr>
                <w:p w14:paraId="7D39C30A">
                  <w:pPr>
                    <w:jc w:val="center"/>
                    <w:rPr>
                      <w:rFonts w:hint="eastAsia" w:cs="宋体"/>
                      <w:color w:val="auto"/>
                      <w:sz w:val="22"/>
                      <w:szCs w:val="22"/>
                      <w:highlight w:val="none"/>
                    </w:rPr>
                  </w:pPr>
                </w:p>
              </w:tc>
              <w:tc>
                <w:tcPr>
                  <w:tcW w:w="1234" w:type="dxa"/>
                  <w:vMerge w:val="continue"/>
                  <w:tcBorders>
                    <w:left w:val="single" w:color="auto" w:sz="4" w:space="0"/>
                    <w:bottom w:val="single" w:color="auto" w:sz="4" w:space="0"/>
                    <w:right w:val="single" w:color="auto" w:sz="4" w:space="0"/>
                  </w:tcBorders>
                  <w:vAlign w:val="center"/>
                </w:tcPr>
                <w:p w14:paraId="5987CE40">
                  <w:pPr>
                    <w:jc w:val="center"/>
                    <w:rPr>
                      <w:rFonts w:hint="eastAsia" w:cs="宋体"/>
                      <w:color w:val="auto"/>
                      <w:sz w:val="22"/>
                      <w:szCs w:val="22"/>
                      <w:highlight w:val="none"/>
                    </w:rPr>
                  </w:pPr>
                </w:p>
              </w:tc>
            </w:tr>
            <w:tr w14:paraId="72859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1498" w:type="dxa"/>
                  <w:tcBorders>
                    <w:top w:val="single" w:color="auto" w:sz="4" w:space="0"/>
                    <w:left w:val="single" w:color="auto" w:sz="4" w:space="0"/>
                    <w:bottom w:val="single" w:color="auto" w:sz="4" w:space="0"/>
                    <w:right w:val="single" w:color="auto" w:sz="4" w:space="0"/>
                  </w:tcBorders>
                  <w:vAlign w:val="center"/>
                </w:tcPr>
                <w:p w14:paraId="2E5126E8">
                  <w:pPr>
                    <w:jc w:val="center"/>
                    <w:rPr>
                      <w:color w:val="auto"/>
                      <w:sz w:val="22"/>
                      <w:szCs w:val="22"/>
                      <w:highlight w:val="none"/>
                    </w:rPr>
                  </w:pPr>
                  <w:r>
                    <w:rPr>
                      <w:rFonts w:hint="eastAsia" w:cs="宋体"/>
                      <w:color w:val="auto"/>
                      <w:sz w:val="22"/>
                      <w:szCs w:val="22"/>
                      <w:highlight w:val="none"/>
                    </w:rPr>
                    <w:t>厂界东侧</w:t>
                  </w:r>
                </w:p>
              </w:tc>
              <w:tc>
                <w:tcPr>
                  <w:tcW w:w="963" w:type="dxa"/>
                  <w:tcBorders>
                    <w:top w:val="single" w:color="auto" w:sz="4" w:space="0"/>
                    <w:left w:val="single" w:color="auto" w:sz="4" w:space="0"/>
                    <w:bottom w:val="single" w:color="auto" w:sz="4" w:space="0"/>
                    <w:right w:val="single" w:color="auto" w:sz="4" w:space="0"/>
                  </w:tcBorders>
                  <w:vAlign w:val="center"/>
                </w:tcPr>
                <w:p w14:paraId="6DDC04F0">
                  <w:pPr>
                    <w:jc w:val="center"/>
                    <w:rPr>
                      <w:color w:val="auto"/>
                      <w:sz w:val="22"/>
                      <w:szCs w:val="22"/>
                      <w:highlight w:val="none"/>
                    </w:rPr>
                  </w:pPr>
                  <w:r>
                    <w:rPr>
                      <w:rFonts w:hint="eastAsia"/>
                      <w:color w:val="auto"/>
                      <w:sz w:val="22"/>
                      <w:szCs w:val="22"/>
                      <w:highlight w:val="none"/>
                    </w:rPr>
                    <w:t>5</w:t>
                  </w:r>
                  <w:r>
                    <w:rPr>
                      <w:rFonts w:hint="eastAsia"/>
                      <w:color w:val="auto"/>
                      <w:sz w:val="22"/>
                      <w:szCs w:val="22"/>
                      <w:highlight w:val="none"/>
                      <w:lang w:val="en-US" w:eastAsia="zh-CN"/>
                    </w:rPr>
                    <w:t>2</w:t>
                  </w:r>
                  <w:r>
                    <w:rPr>
                      <w:rFonts w:hint="eastAsia"/>
                      <w:color w:val="auto"/>
                      <w:sz w:val="22"/>
                      <w:szCs w:val="22"/>
                      <w:highlight w:val="none"/>
                    </w:rPr>
                    <w:t>.5</w:t>
                  </w:r>
                </w:p>
              </w:tc>
              <w:tc>
                <w:tcPr>
                  <w:tcW w:w="963" w:type="dxa"/>
                  <w:tcBorders>
                    <w:top w:val="single" w:color="auto" w:sz="4" w:space="0"/>
                    <w:left w:val="single" w:color="auto" w:sz="4" w:space="0"/>
                    <w:bottom w:val="single" w:color="auto" w:sz="4" w:space="0"/>
                    <w:right w:val="single" w:color="auto" w:sz="4" w:space="0"/>
                  </w:tcBorders>
                  <w:vAlign w:val="center"/>
                </w:tcPr>
                <w:p w14:paraId="4F17D1B9">
                  <w:pPr>
                    <w:jc w:val="center"/>
                    <w:rPr>
                      <w:rFonts w:hint="default" w:eastAsia="宋体"/>
                      <w:color w:val="auto"/>
                      <w:sz w:val="22"/>
                      <w:szCs w:val="22"/>
                      <w:highlight w:val="none"/>
                      <w:lang w:val="en-US" w:eastAsia="zh-CN"/>
                    </w:rPr>
                  </w:pPr>
                  <w:r>
                    <w:rPr>
                      <w:rFonts w:hint="eastAsia"/>
                      <w:color w:val="auto"/>
                      <w:sz w:val="22"/>
                      <w:szCs w:val="22"/>
                      <w:highlight w:val="none"/>
                    </w:rPr>
                    <w:t>5</w:t>
                  </w:r>
                  <w:r>
                    <w:rPr>
                      <w:rFonts w:hint="eastAsia"/>
                      <w:color w:val="auto"/>
                      <w:sz w:val="22"/>
                      <w:szCs w:val="22"/>
                      <w:highlight w:val="none"/>
                      <w:lang w:val="en-US" w:eastAsia="zh-CN"/>
                    </w:rPr>
                    <w:t>2</w:t>
                  </w:r>
                  <w:r>
                    <w:rPr>
                      <w:rFonts w:hint="eastAsia"/>
                      <w:color w:val="auto"/>
                      <w:sz w:val="22"/>
                      <w:szCs w:val="22"/>
                      <w:highlight w:val="none"/>
                    </w:rPr>
                    <w:t>.5</w:t>
                  </w:r>
                </w:p>
              </w:tc>
              <w:tc>
                <w:tcPr>
                  <w:tcW w:w="963" w:type="dxa"/>
                  <w:tcBorders>
                    <w:top w:val="single" w:color="auto" w:sz="4" w:space="0"/>
                    <w:left w:val="single" w:color="auto" w:sz="4" w:space="0"/>
                    <w:bottom w:val="single" w:color="auto" w:sz="4" w:space="0"/>
                    <w:right w:val="single" w:color="auto" w:sz="4" w:space="0"/>
                  </w:tcBorders>
                  <w:vAlign w:val="center"/>
                </w:tcPr>
                <w:p w14:paraId="37FCF780">
                  <w:pPr>
                    <w:jc w:val="center"/>
                    <w:rPr>
                      <w:rFonts w:hint="eastAsia" w:eastAsia="宋体"/>
                      <w:color w:val="auto"/>
                      <w:sz w:val="22"/>
                      <w:szCs w:val="22"/>
                      <w:highlight w:val="none"/>
                      <w:lang w:eastAsia="zh-CN"/>
                    </w:rPr>
                  </w:pPr>
                  <w:r>
                    <w:rPr>
                      <w:rFonts w:hint="eastAsia"/>
                      <w:color w:val="auto"/>
                      <w:sz w:val="22"/>
                      <w:szCs w:val="22"/>
                      <w:highlight w:val="none"/>
                    </w:rPr>
                    <w:t>6</w:t>
                  </w:r>
                  <w:r>
                    <w:rPr>
                      <w:rFonts w:hint="eastAsia"/>
                      <w:color w:val="auto"/>
                      <w:sz w:val="22"/>
                      <w:szCs w:val="22"/>
                      <w:highlight w:val="none"/>
                      <w:lang w:val="en-US" w:eastAsia="zh-CN"/>
                    </w:rPr>
                    <w:t>5</w:t>
                  </w:r>
                </w:p>
              </w:tc>
              <w:tc>
                <w:tcPr>
                  <w:tcW w:w="964" w:type="dxa"/>
                  <w:tcBorders>
                    <w:top w:val="single" w:color="auto" w:sz="4" w:space="0"/>
                    <w:left w:val="single" w:color="auto" w:sz="4" w:space="0"/>
                    <w:bottom w:val="single" w:color="auto" w:sz="4" w:space="0"/>
                    <w:right w:val="single" w:color="auto" w:sz="4" w:space="0"/>
                  </w:tcBorders>
                  <w:vAlign w:val="center"/>
                </w:tcPr>
                <w:p w14:paraId="3772F948">
                  <w:pPr>
                    <w:jc w:val="center"/>
                    <w:rPr>
                      <w:rFonts w:hint="default" w:eastAsia="宋体"/>
                      <w:color w:val="auto"/>
                      <w:sz w:val="22"/>
                      <w:szCs w:val="22"/>
                      <w:highlight w:val="none"/>
                      <w:lang w:val="en-US" w:eastAsia="zh-CN"/>
                    </w:rPr>
                  </w:pPr>
                  <w:r>
                    <w:rPr>
                      <w:rFonts w:hint="eastAsia"/>
                      <w:color w:val="auto"/>
                      <w:sz w:val="22"/>
                      <w:szCs w:val="22"/>
                      <w:highlight w:val="none"/>
                      <w:lang w:val="en-US" w:eastAsia="zh-CN"/>
                    </w:rPr>
                    <w:t>55</w:t>
                  </w:r>
                </w:p>
              </w:tc>
              <w:tc>
                <w:tcPr>
                  <w:tcW w:w="1453" w:type="dxa"/>
                  <w:vMerge w:val="restart"/>
                  <w:tcBorders>
                    <w:top w:val="single" w:color="auto" w:sz="4" w:space="0"/>
                    <w:left w:val="single" w:color="auto" w:sz="4" w:space="0"/>
                    <w:right w:val="single" w:color="auto" w:sz="4" w:space="0"/>
                  </w:tcBorders>
                  <w:vAlign w:val="center"/>
                </w:tcPr>
                <w:p w14:paraId="74C2AF9A">
                  <w:pPr>
                    <w:jc w:val="center"/>
                    <w:rPr>
                      <w:rFonts w:cs="宋体"/>
                      <w:color w:val="auto"/>
                      <w:sz w:val="22"/>
                      <w:szCs w:val="22"/>
                      <w:highlight w:val="none"/>
                    </w:rPr>
                  </w:pPr>
                  <w:r>
                    <w:rPr>
                      <w:rFonts w:hint="eastAsia" w:cs="宋体"/>
                      <w:color w:val="auto"/>
                      <w:sz w:val="22"/>
                      <w:szCs w:val="22"/>
                      <w:highlight w:val="none"/>
                    </w:rPr>
                    <w:t>《工业企业厂界环境噪声排放标准》（</w:t>
                  </w:r>
                  <w:r>
                    <w:rPr>
                      <w:color w:val="auto"/>
                      <w:sz w:val="22"/>
                      <w:szCs w:val="22"/>
                      <w:highlight w:val="none"/>
                    </w:rPr>
                    <w:t>GB12348-2008</w:t>
                  </w:r>
                  <w:r>
                    <w:rPr>
                      <w:rFonts w:hint="eastAsia" w:cs="宋体"/>
                      <w:color w:val="auto"/>
                      <w:sz w:val="22"/>
                      <w:szCs w:val="22"/>
                      <w:highlight w:val="none"/>
                    </w:rPr>
                    <w:t>）中</w:t>
                  </w:r>
                  <w:r>
                    <w:rPr>
                      <w:rFonts w:hint="eastAsia"/>
                      <w:color w:val="auto"/>
                      <w:sz w:val="22"/>
                      <w:szCs w:val="22"/>
                      <w:highlight w:val="none"/>
                      <w:lang w:val="en-US" w:eastAsia="zh-CN"/>
                    </w:rPr>
                    <w:t>3</w:t>
                  </w:r>
                  <w:r>
                    <w:rPr>
                      <w:rFonts w:hint="eastAsia" w:cs="宋体"/>
                      <w:color w:val="auto"/>
                      <w:sz w:val="22"/>
                      <w:szCs w:val="22"/>
                      <w:highlight w:val="none"/>
                    </w:rPr>
                    <w:t>类标准</w:t>
                  </w:r>
                </w:p>
              </w:tc>
              <w:tc>
                <w:tcPr>
                  <w:tcW w:w="1234" w:type="dxa"/>
                  <w:tcBorders>
                    <w:top w:val="single" w:color="auto" w:sz="4" w:space="0"/>
                    <w:left w:val="single" w:color="auto" w:sz="4" w:space="0"/>
                    <w:bottom w:val="single" w:color="auto" w:sz="4" w:space="0"/>
                    <w:right w:val="single" w:color="auto" w:sz="4" w:space="0"/>
                  </w:tcBorders>
                  <w:vAlign w:val="center"/>
                </w:tcPr>
                <w:p w14:paraId="1B34574A">
                  <w:pPr>
                    <w:jc w:val="center"/>
                    <w:rPr>
                      <w:color w:val="auto"/>
                      <w:sz w:val="22"/>
                      <w:szCs w:val="22"/>
                      <w:highlight w:val="none"/>
                    </w:rPr>
                  </w:pPr>
                  <w:r>
                    <w:rPr>
                      <w:rFonts w:hint="eastAsia" w:cs="宋体"/>
                      <w:color w:val="auto"/>
                      <w:sz w:val="22"/>
                      <w:szCs w:val="22"/>
                      <w:highlight w:val="none"/>
                    </w:rPr>
                    <w:t>达标</w:t>
                  </w:r>
                </w:p>
              </w:tc>
            </w:tr>
            <w:tr w14:paraId="454F0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1498" w:type="dxa"/>
                  <w:tcBorders>
                    <w:top w:val="single" w:color="auto" w:sz="4" w:space="0"/>
                    <w:left w:val="single" w:color="auto" w:sz="4" w:space="0"/>
                    <w:bottom w:val="single" w:color="auto" w:sz="4" w:space="0"/>
                    <w:right w:val="single" w:color="auto" w:sz="4" w:space="0"/>
                  </w:tcBorders>
                  <w:vAlign w:val="center"/>
                </w:tcPr>
                <w:p w14:paraId="5C9B0C45">
                  <w:pPr>
                    <w:jc w:val="center"/>
                    <w:rPr>
                      <w:color w:val="auto"/>
                      <w:sz w:val="22"/>
                      <w:szCs w:val="22"/>
                      <w:highlight w:val="none"/>
                    </w:rPr>
                  </w:pPr>
                  <w:r>
                    <w:rPr>
                      <w:rFonts w:hint="eastAsia" w:cs="宋体"/>
                      <w:color w:val="auto"/>
                      <w:sz w:val="22"/>
                      <w:szCs w:val="22"/>
                      <w:highlight w:val="none"/>
                    </w:rPr>
                    <w:t>厂界南侧</w:t>
                  </w:r>
                </w:p>
              </w:tc>
              <w:tc>
                <w:tcPr>
                  <w:tcW w:w="963" w:type="dxa"/>
                  <w:tcBorders>
                    <w:top w:val="single" w:color="auto" w:sz="4" w:space="0"/>
                    <w:left w:val="single" w:color="auto" w:sz="4" w:space="0"/>
                    <w:bottom w:val="single" w:color="auto" w:sz="4" w:space="0"/>
                    <w:right w:val="single" w:color="auto" w:sz="4" w:space="0"/>
                  </w:tcBorders>
                  <w:vAlign w:val="center"/>
                </w:tcPr>
                <w:p w14:paraId="4CD53E0E">
                  <w:pPr>
                    <w:jc w:val="center"/>
                    <w:rPr>
                      <w:color w:val="auto"/>
                      <w:sz w:val="22"/>
                      <w:szCs w:val="22"/>
                      <w:highlight w:val="none"/>
                    </w:rPr>
                  </w:pPr>
                  <w:r>
                    <w:rPr>
                      <w:rFonts w:hint="eastAsia"/>
                      <w:color w:val="auto"/>
                      <w:sz w:val="22"/>
                      <w:szCs w:val="22"/>
                      <w:highlight w:val="none"/>
                    </w:rPr>
                    <w:t>4</w:t>
                  </w:r>
                  <w:r>
                    <w:rPr>
                      <w:rFonts w:hint="eastAsia"/>
                      <w:color w:val="auto"/>
                      <w:sz w:val="22"/>
                      <w:szCs w:val="22"/>
                      <w:highlight w:val="none"/>
                      <w:lang w:val="en-US" w:eastAsia="zh-CN"/>
                    </w:rPr>
                    <w:t>8</w:t>
                  </w:r>
                  <w:r>
                    <w:rPr>
                      <w:rFonts w:hint="eastAsia"/>
                      <w:color w:val="auto"/>
                      <w:sz w:val="22"/>
                      <w:szCs w:val="22"/>
                      <w:highlight w:val="none"/>
                    </w:rPr>
                    <w:t>.7</w:t>
                  </w:r>
                </w:p>
              </w:tc>
              <w:tc>
                <w:tcPr>
                  <w:tcW w:w="963" w:type="dxa"/>
                  <w:tcBorders>
                    <w:top w:val="single" w:color="auto" w:sz="4" w:space="0"/>
                    <w:left w:val="single" w:color="auto" w:sz="4" w:space="0"/>
                    <w:bottom w:val="single" w:color="auto" w:sz="4" w:space="0"/>
                    <w:right w:val="single" w:color="auto" w:sz="4" w:space="0"/>
                  </w:tcBorders>
                  <w:vAlign w:val="center"/>
                </w:tcPr>
                <w:p w14:paraId="4A8A129A">
                  <w:pPr>
                    <w:jc w:val="center"/>
                    <w:rPr>
                      <w:rFonts w:hint="default" w:eastAsia="宋体"/>
                      <w:color w:val="auto"/>
                      <w:sz w:val="22"/>
                      <w:szCs w:val="22"/>
                      <w:highlight w:val="none"/>
                      <w:lang w:val="en-US" w:eastAsia="zh-CN"/>
                    </w:rPr>
                  </w:pPr>
                  <w:r>
                    <w:rPr>
                      <w:rFonts w:hint="eastAsia"/>
                      <w:color w:val="auto"/>
                      <w:sz w:val="22"/>
                      <w:szCs w:val="22"/>
                      <w:highlight w:val="none"/>
                    </w:rPr>
                    <w:t>4</w:t>
                  </w:r>
                  <w:r>
                    <w:rPr>
                      <w:rFonts w:hint="eastAsia"/>
                      <w:color w:val="auto"/>
                      <w:sz w:val="22"/>
                      <w:szCs w:val="22"/>
                      <w:highlight w:val="none"/>
                      <w:lang w:val="en-US" w:eastAsia="zh-CN"/>
                    </w:rPr>
                    <w:t>8</w:t>
                  </w:r>
                  <w:r>
                    <w:rPr>
                      <w:rFonts w:hint="eastAsia"/>
                      <w:color w:val="auto"/>
                      <w:sz w:val="22"/>
                      <w:szCs w:val="22"/>
                      <w:highlight w:val="none"/>
                    </w:rPr>
                    <w:t>.7</w:t>
                  </w:r>
                </w:p>
              </w:tc>
              <w:tc>
                <w:tcPr>
                  <w:tcW w:w="963" w:type="dxa"/>
                  <w:tcBorders>
                    <w:top w:val="single" w:color="auto" w:sz="4" w:space="0"/>
                    <w:left w:val="single" w:color="auto" w:sz="4" w:space="0"/>
                    <w:bottom w:val="single" w:color="auto" w:sz="4" w:space="0"/>
                    <w:right w:val="single" w:color="auto" w:sz="4" w:space="0"/>
                  </w:tcBorders>
                  <w:vAlign w:val="center"/>
                </w:tcPr>
                <w:p w14:paraId="151EAA8D">
                  <w:pPr>
                    <w:jc w:val="center"/>
                    <w:rPr>
                      <w:rFonts w:hint="eastAsia" w:eastAsia="宋体"/>
                      <w:color w:val="auto"/>
                      <w:sz w:val="22"/>
                      <w:szCs w:val="22"/>
                      <w:highlight w:val="none"/>
                      <w:lang w:eastAsia="zh-CN"/>
                    </w:rPr>
                  </w:pPr>
                  <w:r>
                    <w:rPr>
                      <w:rFonts w:hint="eastAsia"/>
                      <w:color w:val="auto"/>
                      <w:sz w:val="22"/>
                      <w:szCs w:val="22"/>
                      <w:highlight w:val="none"/>
                    </w:rPr>
                    <w:t>6</w:t>
                  </w:r>
                  <w:r>
                    <w:rPr>
                      <w:rFonts w:hint="eastAsia"/>
                      <w:color w:val="auto"/>
                      <w:sz w:val="22"/>
                      <w:szCs w:val="22"/>
                      <w:highlight w:val="none"/>
                      <w:lang w:val="en-US" w:eastAsia="zh-CN"/>
                    </w:rPr>
                    <w:t>5</w:t>
                  </w:r>
                </w:p>
              </w:tc>
              <w:tc>
                <w:tcPr>
                  <w:tcW w:w="964" w:type="dxa"/>
                  <w:tcBorders>
                    <w:top w:val="single" w:color="auto" w:sz="4" w:space="0"/>
                    <w:left w:val="single" w:color="auto" w:sz="4" w:space="0"/>
                    <w:bottom w:val="single" w:color="auto" w:sz="4" w:space="0"/>
                    <w:right w:val="single" w:color="auto" w:sz="4" w:space="0"/>
                  </w:tcBorders>
                  <w:vAlign w:val="center"/>
                </w:tcPr>
                <w:p w14:paraId="173567F6">
                  <w:pPr>
                    <w:jc w:val="center"/>
                    <w:rPr>
                      <w:rFonts w:hint="default" w:eastAsia="宋体"/>
                      <w:color w:val="auto"/>
                      <w:sz w:val="22"/>
                      <w:szCs w:val="22"/>
                      <w:highlight w:val="none"/>
                      <w:lang w:val="en-US" w:eastAsia="zh-CN"/>
                    </w:rPr>
                  </w:pPr>
                  <w:r>
                    <w:rPr>
                      <w:rFonts w:hint="eastAsia"/>
                      <w:color w:val="auto"/>
                      <w:sz w:val="22"/>
                      <w:szCs w:val="22"/>
                      <w:highlight w:val="none"/>
                      <w:lang w:val="en-US" w:eastAsia="zh-CN"/>
                    </w:rPr>
                    <w:t>55</w:t>
                  </w:r>
                </w:p>
              </w:tc>
              <w:tc>
                <w:tcPr>
                  <w:tcW w:w="1453" w:type="dxa"/>
                  <w:vMerge w:val="continue"/>
                  <w:tcBorders>
                    <w:left w:val="single" w:color="auto" w:sz="4" w:space="0"/>
                    <w:right w:val="single" w:color="auto" w:sz="4" w:space="0"/>
                  </w:tcBorders>
                  <w:vAlign w:val="center"/>
                </w:tcPr>
                <w:p w14:paraId="5075CBCC">
                  <w:pPr>
                    <w:jc w:val="center"/>
                    <w:rPr>
                      <w:color w:val="auto"/>
                      <w:sz w:val="22"/>
                      <w:szCs w:val="22"/>
                      <w:highlight w:val="none"/>
                    </w:rPr>
                  </w:pPr>
                </w:p>
              </w:tc>
              <w:tc>
                <w:tcPr>
                  <w:tcW w:w="1234" w:type="dxa"/>
                  <w:tcBorders>
                    <w:top w:val="single" w:color="auto" w:sz="4" w:space="0"/>
                    <w:left w:val="single" w:color="auto" w:sz="4" w:space="0"/>
                    <w:bottom w:val="single" w:color="auto" w:sz="4" w:space="0"/>
                    <w:right w:val="single" w:color="auto" w:sz="4" w:space="0"/>
                  </w:tcBorders>
                  <w:vAlign w:val="center"/>
                </w:tcPr>
                <w:p w14:paraId="0B587325">
                  <w:pPr>
                    <w:jc w:val="center"/>
                    <w:rPr>
                      <w:color w:val="auto"/>
                      <w:sz w:val="22"/>
                      <w:szCs w:val="22"/>
                      <w:highlight w:val="none"/>
                    </w:rPr>
                  </w:pPr>
                  <w:r>
                    <w:rPr>
                      <w:rFonts w:hint="eastAsia" w:cs="宋体"/>
                      <w:color w:val="auto"/>
                      <w:sz w:val="22"/>
                      <w:szCs w:val="22"/>
                      <w:highlight w:val="none"/>
                    </w:rPr>
                    <w:t>达标</w:t>
                  </w:r>
                </w:p>
              </w:tc>
            </w:tr>
            <w:tr w14:paraId="4A7E0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1498" w:type="dxa"/>
                  <w:tcBorders>
                    <w:top w:val="single" w:color="auto" w:sz="4" w:space="0"/>
                    <w:left w:val="single" w:color="auto" w:sz="4" w:space="0"/>
                    <w:bottom w:val="single" w:color="auto" w:sz="4" w:space="0"/>
                    <w:right w:val="single" w:color="auto" w:sz="4" w:space="0"/>
                  </w:tcBorders>
                  <w:vAlign w:val="center"/>
                </w:tcPr>
                <w:p w14:paraId="56F87FA1">
                  <w:pPr>
                    <w:jc w:val="center"/>
                    <w:rPr>
                      <w:color w:val="auto"/>
                      <w:sz w:val="22"/>
                      <w:szCs w:val="22"/>
                      <w:highlight w:val="none"/>
                    </w:rPr>
                  </w:pPr>
                  <w:r>
                    <w:rPr>
                      <w:rFonts w:hint="eastAsia" w:cs="宋体"/>
                      <w:color w:val="auto"/>
                      <w:sz w:val="22"/>
                      <w:szCs w:val="22"/>
                      <w:highlight w:val="none"/>
                    </w:rPr>
                    <w:t>厂界西侧</w:t>
                  </w:r>
                </w:p>
              </w:tc>
              <w:tc>
                <w:tcPr>
                  <w:tcW w:w="963" w:type="dxa"/>
                  <w:tcBorders>
                    <w:top w:val="single" w:color="auto" w:sz="4" w:space="0"/>
                    <w:left w:val="single" w:color="auto" w:sz="4" w:space="0"/>
                    <w:bottom w:val="single" w:color="auto" w:sz="4" w:space="0"/>
                    <w:right w:val="single" w:color="auto" w:sz="4" w:space="0"/>
                  </w:tcBorders>
                  <w:vAlign w:val="center"/>
                </w:tcPr>
                <w:p w14:paraId="656EF228">
                  <w:pPr>
                    <w:jc w:val="center"/>
                    <w:rPr>
                      <w:color w:val="auto"/>
                      <w:sz w:val="22"/>
                      <w:szCs w:val="22"/>
                      <w:highlight w:val="none"/>
                    </w:rPr>
                  </w:pPr>
                  <w:r>
                    <w:rPr>
                      <w:color w:val="auto"/>
                      <w:sz w:val="22"/>
                      <w:szCs w:val="22"/>
                      <w:highlight w:val="none"/>
                    </w:rPr>
                    <w:t>5</w:t>
                  </w:r>
                  <w:r>
                    <w:rPr>
                      <w:rFonts w:hint="eastAsia"/>
                      <w:color w:val="auto"/>
                      <w:sz w:val="22"/>
                      <w:szCs w:val="22"/>
                      <w:highlight w:val="none"/>
                      <w:lang w:val="en-US" w:eastAsia="zh-CN"/>
                    </w:rPr>
                    <w:t>1</w:t>
                  </w:r>
                  <w:r>
                    <w:rPr>
                      <w:color w:val="auto"/>
                      <w:sz w:val="22"/>
                      <w:szCs w:val="22"/>
                      <w:highlight w:val="none"/>
                    </w:rPr>
                    <w:t>.</w:t>
                  </w:r>
                  <w:r>
                    <w:rPr>
                      <w:rFonts w:hint="eastAsia"/>
                      <w:color w:val="auto"/>
                      <w:sz w:val="22"/>
                      <w:szCs w:val="22"/>
                      <w:highlight w:val="none"/>
                    </w:rPr>
                    <w:t>3</w:t>
                  </w:r>
                </w:p>
              </w:tc>
              <w:tc>
                <w:tcPr>
                  <w:tcW w:w="963" w:type="dxa"/>
                  <w:tcBorders>
                    <w:top w:val="single" w:color="auto" w:sz="4" w:space="0"/>
                    <w:left w:val="single" w:color="auto" w:sz="4" w:space="0"/>
                    <w:bottom w:val="single" w:color="auto" w:sz="4" w:space="0"/>
                    <w:right w:val="single" w:color="auto" w:sz="4" w:space="0"/>
                  </w:tcBorders>
                  <w:vAlign w:val="center"/>
                </w:tcPr>
                <w:p w14:paraId="239C7108">
                  <w:pPr>
                    <w:jc w:val="center"/>
                    <w:rPr>
                      <w:rFonts w:hint="default" w:eastAsia="宋体"/>
                      <w:color w:val="auto"/>
                      <w:sz w:val="22"/>
                      <w:szCs w:val="22"/>
                      <w:highlight w:val="none"/>
                      <w:lang w:val="en-US" w:eastAsia="zh-CN"/>
                    </w:rPr>
                  </w:pPr>
                  <w:r>
                    <w:rPr>
                      <w:color w:val="auto"/>
                      <w:sz w:val="22"/>
                      <w:szCs w:val="22"/>
                      <w:highlight w:val="none"/>
                    </w:rPr>
                    <w:t>5</w:t>
                  </w:r>
                  <w:r>
                    <w:rPr>
                      <w:rFonts w:hint="eastAsia"/>
                      <w:color w:val="auto"/>
                      <w:sz w:val="22"/>
                      <w:szCs w:val="22"/>
                      <w:highlight w:val="none"/>
                      <w:lang w:val="en-US" w:eastAsia="zh-CN"/>
                    </w:rPr>
                    <w:t>1</w:t>
                  </w:r>
                  <w:r>
                    <w:rPr>
                      <w:color w:val="auto"/>
                      <w:sz w:val="22"/>
                      <w:szCs w:val="22"/>
                      <w:highlight w:val="none"/>
                    </w:rPr>
                    <w:t>.</w:t>
                  </w:r>
                  <w:r>
                    <w:rPr>
                      <w:rFonts w:hint="eastAsia"/>
                      <w:color w:val="auto"/>
                      <w:sz w:val="22"/>
                      <w:szCs w:val="22"/>
                      <w:highlight w:val="none"/>
                    </w:rPr>
                    <w:t>3</w:t>
                  </w:r>
                </w:p>
              </w:tc>
              <w:tc>
                <w:tcPr>
                  <w:tcW w:w="963" w:type="dxa"/>
                  <w:tcBorders>
                    <w:top w:val="single" w:color="auto" w:sz="4" w:space="0"/>
                    <w:left w:val="single" w:color="auto" w:sz="4" w:space="0"/>
                    <w:bottom w:val="single" w:color="auto" w:sz="4" w:space="0"/>
                    <w:right w:val="single" w:color="auto" w:sz="4" w:space="0"/>
                  </w:tcBorders>
                  <w:vAlign w:val="center"/>
                </w:tcPr>
                <w:p w14:paraId="320C95A5">
                  <w:pPr>
                    <w:jc w:val="center"/>
                    <w:rPr>
                      <w:rFonts w:hint="eastAsia" w:eastAsia="宋体"/>
                      <w:color w:val="auto"/>
                      <w:sz w:val="22"/>
                      <w:szCs w:val="22"/>
                      <w:highlight w:val="none"/>
                      <w:lang w:eastAsia="zh-CN"/>
                    </w:rPr>
                  </w:pPr>
                  <w:r>
                    <w:rPr>
                      <w:rFonts w:hint="eastAsia"/>
                      <w:color w:val="auto"/>
                      <w:sz w:val="22"/>
                      <w:szCs w:val="22"/>
                      <w:highlight w:val="none"/>
                    </w:rPr>
                    <w:t>6</w:t>
                  </w:r>
                  <w:r>
                    <w:rPr>
                      <w:rFonts w:hint="eastAsia"/>
                      <w:color w:val="auto"/>
                      <w:sz w:val="22"/>
                      <w:szCs w:val="22"/>
                      <w:highlight w:val="none"/>
                      <w:lang w:val="en-US" w:eastAsia="zh-CN"/>
                    </w:rPr>
                    <w:t>5</w:t>
                  </w:r>
                </w:p>
              </w:tc>
              <w:tc>
                <w:tcPr>
                  <w:tcW w:w="964" w:type="dxa"/>
                  <w:tcBorders>
                    <w:top w:val="single" w:color="auto" w:sz="4" w:space="0"/>
                    <w:left w:val="single" w:color="auto" w:sz="4" w:space="0"/>
                    <w:bottom w:val="single" w:color="auto" w:sz="4" w:space="0"/>
                    <w:right w:val="single" w:color="auto" w:sz="4" w:space="0"/>
                  </w:tcBorders>
                  <w:vAlign w:val="center"/>
                </w:tcPr>
                <w:p w14:paraId="0EDC3267">
                  <w:pPr>
                    <w:jc w:val="center"/>
                    <w:rPr>
                      <w:rFonts w:hint="default" w:eastAsia="宋体"/>
                      <w:color w:val="auto"/>
                      <w:sz w:val="22"/>
                      <w:szCs w:val="22"/>
                      <w:highlight w:val="none"/>
                      <w:lang w:val="en-US" w:eastAsia="zh-CN"/>
                    </w:rPr>
                  </w:pPr>
                  <w:r>
                    <w:rPr>
                      <w:rFonts w:hint="eastAsia"/>
                      <w:color w:val="auto"/>
                      <w:sz w:val="22"/>
                      <w:szCs w:val="22"/>
                      <w:highlight w:val="none"/>
                      <w:lang w:val="en-US" w:eastAsia="zh-CN"/>
                    </w:rPr>
                    <w:t>55</w:t>
                  </w:r>
                </w:p>
              </w:tc>
              <w:tc>
                <w:tcPr>
                  <w:tcW w:w="1453" w:type="dxa"/>
                  <w:vMerge w:val="continue"/>
                  <w:tcBorders>
                    <w:left w:val="single" w:color="auto" w:sz="4" w:space="0"/>
                    <w:right w:val="single" w:color="auto" w:sz="4" w:space="0"/>
                  </w:tcBorders>
                  <w:vAlign w:val="center"/>
                </w:tcPr>
                <w:p w14:paraId="10EF5D44">
                  <w:pPr>
                    <w:jc w:val="center"/>
                    <w:rPr>
                      <w:color w:val="auto"/>
                      <w:sz w:val="22"/>
                      <w:szCs w:val="22"/>
                      <w:highlight w:val="none"/>
                    </w:rPr>
                  </w:pPr>
                </w:p>
              </w:tc>
              <w:tc>
                <w:tcPr>
                  <w:tcW w:w="1234" w:type="dxa"/>
                  <w:tcBorders>
                    <w:top w:val="single" w:color="auto" w:sz="4" w:space="0"/>
                    <w:left w:val="single" w:color="auto" w:sz="4" w:space="0"/>
                    <w:bottom w:val="single" w:color="auto" w:sz="4" w:space="0"/>
                    <w:right w:val="single" w:color="auto" w:sz="4" w:space="0"/>
                  </w:tcBorders>
                  <w:vAlign w:val="center"/>
                </w:tcPr>
                <w:p w14:paraId="63B7DB99">
                  <w:pPr>
                    <w:jc w:val="center"/>
                    <w:rPr>
                      <w:color w:val="auto"/>
                      <w:sz w:val="22"/>
                      <w:szCs w:val="22"/>
                      <w:highlight w:val="none"/>
                    </w:rPr>
                  </w:pPr>
                  <w:r>
                    <w:rPr>
                      <w:rFonts w:hint="eastAsia" w:cs="宋体"/>
                      <w:color w:val="auto"/>
                      <w:sz w:val="22"/>
                      <w:szCs w:val="22"/>
                      <w:highlight w:val="none"/>
                    </w:rPr>
                    <w:t>达标</w:t>
                  </w:r>
                </w:p>
              </w:tc>
            </w:tr>
            <w:tr w14:paraId="3F0B6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98" w:type="dxa"/>
                  <w:tcBorders>
                    <w:top w:val="single" w:color="auto" w:sz="4" w:space="0"/>
                    <w:left w:val="single" w:color="auto" w:sz="4" w:space="0"/>
                    <w:bottom w:val="single" w:color="auto" w:sz="4" w:space="0"/>
                    <w:right w:val="single" w:color="auto" w:sz="4" w:space="0"/>
                  </w:tcBorders>
                  <w:vAlign w:val="center"/>
                </w:tcPr>
                <w:p w14:paraId="6D6010E8">
                  <w:pPr>
                    <w:jc w:val="center"/>
                    <w:rPr>
                      <w:color w:val="auto"/>
                      <w:sz w:val="22"/>
                      <w:szCs w:val="22"/>
                      <w:highlight w:val="none"/>
                    </w:rPr>
                  </w:pPr>
                  <w:r>
                    <w:rPr>
                      <w:rFonts w:hint="eastAsia" w:cs="宋体"/>
                      <w:color w:val="auto"/>
                      <w:sz w:val="22"/>
                      <w:szCs w:val="22"/>
                      <w:highlight w:val="none"/>
                    </w:rPr>
                    <w:t>厂界北侧</w:t>
                  </w:r>
                </w:p>
              </w:tc>
              <w:tc>
                <w:tcPr>
                  <w:tcW w:w="963" w:type="dxa"/>
                  <w:tcBorders>
                    <w:top w:val="single" w:color="auto" w:sz="4" w:space="0"/>
                    <w:left w:val="single" w:color="auto" w:sz="4" w:space="0"/>
                    <w:bottom w:val="single" w:color="auto" w:sz="4" w:space="0"/>
                    <w:right w:val="single" w:color="auto" w:sz="4" w:space="0"/>
                  </w:tcBorders>
                  <w:vAlign w:val="center"/>
                </w:tcPr>
                <w:p w14:paraId="19D4AAA4">
                  <w:pPr>
                    <w:jc w:val="center"/>
                    <w:rPr>
                      <w:rFonts w:hint="eastAsia" w:eastAsia="宋体"/>
                      <w:color w:val="auto"/>
                      <w:sz w:val="22"/>
                      <w:szCs w:val="22"/>
                      <w:highlight w:val="none"/>
                      <w:lang w:eastAsia="zh-CN"/>
                    </w:rPr>
                  </w:pPr>
                  <w:r>
                    <w:rPr>
                      <w:rFonts w:hint="eastAsia"/>
                      <w:color w:val="auto"/>
                      <w:sz w:val="22"/>
                      <w:szCs w:val="22"/>
                      <w:highlight w:val="none"/>
                      <w:lang w:val="en-US" w:eastAsia="zh-CN"/>
                    </w:rPr>
                    <w:t>46</w:t>
                  </w:r>
                  <w:r>
                    <w:rPr>
                      <w:rFonts w:hint="eastAsia"/>
                      <w:color w:val="auto"/>
                      <w:sz w:val="22"/>
                      <w:szCs w:val="22"/>
                      <w:highlight w:val="none"/>
                    </w:rPr>
                    <w:t>.</w:t>
                  </w:r>
                  <w:r>
                    <w:rPr>
                      <w:rFonts w:hint="eastAsia"/>
                      <w:color w:val="auto"/>
                      <w:sz w:val="22"/>
                      <w:szCs w:val="22"/>
                      <w:highlight w:val="none"/>
                      <w:lang w:val="en-US" w:eastAsia="zh-CN"/>
                    </w:rPr>
                    <w:t>8</w:t>
                  </w:r>
                </w:p>
              </w:tc>
              <w:tc>
                <w:tcPr>
                  <w:tcW w:w="963" w:type="dxa"/>
                  <w:tcBorders>
                    <w:top w:val="single" w:color="auto" w:sz="4" w:space="0"/>
                    <w:left w:val="single" w:color="auto" w:sz="4" w:space="0"/>
                    <w:bottom w:val="single" w:color="auto" w:sz="4" w:space="0"/>
                    <w:right w:val="single" w:color="auto" w:sz="4" w:space="0"/>
                  </w:tcBorders>
                  <w:vAlign w:val="center"/>
                </w:tcPr>
                <w:p w14:paraId="14A91255">
                  <w:pPr>
                    <w:jc w:val="center"/>
                    <w:rPr>
                      <w:rFonts w:hint="default"/>
                      <w:color w:val="auto"/>
                      <w:sz w:val="22"/>
                      <w:szCs w:val="22"/>
                      <w:highlight w:val="none"/>
                      <w:lang w:val="en-US" w:eastAsia="zh-CN"/>
                    </w:rPr>
                  </w:pPr>
                  <w:r>
                    <w:rPr>
                      <w:rFonts w:hint="eastAsia"/>
                      <w:color w:val="auto"/>
                      <w:sz w:val="22"/>
                      <w:szCs w:val="22"/>
                      <w:highlight w:val="none"/>
                      <w:lang w:val="en-US" w:eastAsia="zh-CN"/>
                    </w:rPr>
                    <w:t>46</w:t>
                  </w:r>
                  <w:r>
                    <w:rPr>
                      <w:rFonts w:hint="eastAsia"/>
                      <w:color w:val="auto"/>
                      <w:sz w:val="22"/>
                      <w:szCs w:val="22"/>
                      <w:highlight w:val="none"/>
                    </w:rPr>
                    <w:t>.</w:t>
                  </w:r>
                  <w:r>
                    <w:rPr>
                      <w:rFonts w:hint="eastAsia"/>
                      <w:color w:val="auto"/>
                      <w:sz w:val="22"/>
                      <w:szCs w:val="22"/>
                      <w:highlight w:val="none"/>
                      <w:lang w:val="en-US" w:eastAsia="zh-CN"/>
                    </w:rPr>
                    <w:t>8</w:t>
                  </w:r>
                </w:p>
              </w:tc>
              <w:tc>
                <w:tcPr>
                  <w:tcW w:w="963" w:type="dxa"/>
                  <w:tcBorders>
                    <w:top w:val="single" w:color="auto" w:sz="4" w:space="0"/>
                    <w:left w:val="single" w:color="auto" w:sz="4" w:space="0"/>
                    <w:bottom w:val="single" w:color="auto" w:sz="4" w:space="0"/>
                    <w:right w:val="single" w:color="auto" w:sz="4" w:space="0"/>
                  </w:tcBorders>
                  <w:vAlign w:val="center"/>
                </w:tcPr>
                <w:p w14:paraId="151B535B">
                  <w:pPr>
                    <w:jc w:val="center"/>
                    <w:rPr>
                      <w:rFonts w:hint="eastAsia" w:eastAsia="宋体"/>
                      <w:color w:val="auto"/>
                      <w:sz w:val="22"/>
                      <w:szCs w:val="22"/>
                      <w:highlight w:val="none"/>
                      <w:lang w:eastAsia="zh-CN"/>
                    </w:rPr>
                  </w:pPr>
                  <w:r>
                    <w:rPr>
                      <w:rFonts w:hint="eastAsia"/>
                      <w:color w:val="auto"/>
                      <w:sz w:val="22"/>
                      <w:szCs w:val="22"/>
                      <w:highlight w:val="none"/>
                    </w:rPr>
                    <w:t>6</w:t>
                  </w:r>
                  <w:r>
                    <w:rPr>
                      <w:rFonts w:hint="eastAsia"/>
                      <w:color w:val="auto"/>
                      <w:sz w:val="22"/>
                      <w:szCs w:val="22"/>
                      <w:highlight w:val="none"/>
                      <w:lang w:val="en-US" w:eastAsia="zh-CN"/>
                    </w:rPr>
                    <w:t>5</w:t>
                  </w:r>
                </w:p>
              </w:tc>
              <w:tc>
                <w:tcPr>
                  <w:tcW w:w="964" w:type="dxa"/>
                  <w:tcBorders>
                    <w:top w:val="single" w:color="auto" w:sz="4" w:space="0"/>
                    <w:left w:val="single" w:color="auto" w:sz="4" w:space="0"/>
                    <w:bottom w:val="single" w:color="auto" w:sz="4" w:space="0"/>
                    <w:right w:val="single" w:color="auto" w:sz="4" w:space="0"/>
                  </w:tcBorders>
                  <w:vAlign w:val="center"/>
                </w:tcPr>
                <w:p w14:paraId="403B930B">
                  <w:pPr>
                    <w:jc w:val="center"/>
                    <w:rPr>
                      <w:rFonts w:hint="default" w:eastAsia="宋体"/>
                      <w:color w:val="auto"/>
                      <w:sz w:val="22"/>
                      <w:szCs w:val="22"/>
                      <w:highlight w:val="none"/>
                      <w:lang w:val="en-US" w:eastAsia="zh-CN"/>
                    </w:rPr>
                  </w:pPr>
                  <w:r>
                    <w:rPr>
                      <w:rFonts w:hint="eastAsia"/>
                      <w:color w:val="auto"/>
                      <w:sz w:val="22"/>
                      <w:szCs w:val="22"/>
                      <w:highlight w:val="none"/>
                      <w:lang w:val="en-US" w:eastAsia="zh-CN"/>
                    </w:rPr>
                    <w:t>55</w:t>
                  </w:r>
                </w:p>
              </w:tc>
              <w:tc>
                <w:tcPr>
                  <w:tcW w:w="1453" w:type="dxa"/>
                  <w:vMerge w:val="continue"/>
                  <w:tcBorders>
                    <w:left w:val="single" w:color="auto" w:sz="4" w:space="0"/>
                    <w:bottom w:val="single" w:color="auto" w:sz="4" w:space="0"/>
                    <w:right w:val="single" w:color="auto" w:sz="4" w:space="0"/>
                  </w:tcBorders>
                  <w:vAlign w:val="center"/>
                </w:tcPr>
                <w:p w14:paraId="2A66784B">
                  <w:pPr>
                    <w:jc w:val="center"/>
                    <w:rPr>
                      <w:color w:val="auto"/>
                      <w:sz w:val="22"/>
                      <w:szCs w:val="22"/>
                      <w:highlight w:val="none"/>
                    </w:rPr>
                  </w:pPr>
                </w:p>
              </w:tc>
              <w:tc>
                <w:tcPr>
                  <w:tcW w:w="1234" w:type="dxa"/>
                  <w:tcBorders>
                    <w:top w:val="single" w:color="auto" w:sz="4" w:space="0"/>
                    <w:left w:val="single" w:color="auto" w:sz="4" w:space="0"/>
                    <w:bottom w:val="single" w:color="auto" w:sz="4" w:space="0"/>
                    <w:right w:val="single" w:color="auto" w:sz="4" w:space="0"/>
                  </w:tcBorders>
                  <w:vAlign w:val="center"/>
                </w:tcPr>
                <w:p w14:paraId="7EDA27CD">
                  <w:pPr>
                    <w:jc w:val="center"/>
                    <w:rPr>
                      <w:color w:val="auto"/>
                      <w:sz w:val="22"/>
                      <w:szCs w:val="22"/>
                      <w:highlight w:val="none"/>
                    </w:rPr>
                  </w:pPr>
                  <w:r>
                    <w:rPr>
                      <w:rFonts w:hint="eastAsia" w:cs="宋体"/>
                      <w:color w:val="auto"/>
                      <w:sz w:val="22"/>
                      <w:szCs w:val="22"/>
                      <w:highlight w:val="none"/>
                    </w:rPr>
                    <w:t>达标</w:t>
                  </w:r>
                </w:p>
              </w:tc>
            </w:tr>
          </w:tbl>
          <w:p w14:paraId="632E5201">
            <w:pPr>
              <w:tabs>
                <w:tab w:val="left" w:pos="900"/>
              </w:tabs>
              <w:spacing w:before="240" w:beforeLines="100" w:line="360" w:lineRule="auto"/>
              <w:ind w:firstLine="480" w:firstLineChars="200"/>
              <w:rPr>
                <w:color w:val="auto"/>
                <w:sz w:val="24"/>
                <w:szCs w:val="24"/>
                <w:highlight w:val="none"/>
              </w:rPr>
            </w:pPr>
            <w:r>
              <w:rPr>
                <w:rFonts w:hint="eastAsia" w:cs="宋体"/>
                <w:color w:val="auto"/>
                <w:sz w:val="24"/>
                <w:szCs w:val="24"/>
                <w:highlight w:val="none"/>
              </w:rPr>
              <w:t>由上表可见，项目采取以上噪声防治措施后，项目厂界噪声可以达到《工业企业厂界环境噪声排放标准》（</w:t>
            </w:r>
            <w:r>
              <w:rPr>
                <w:color w:val="auto"/>
                <w:sz w:val="24"/>
                <w:szCs w:val="24"/>
                <w:highlight w:val="none"/>
              </w:rPr>
              <w:t>GB12348-2008</w:t>
            </w:r>
            <w:r>
              <w:rPr>
                <w:rFonts w:hint="eastAsia" w:cs="宋体"/>
                <w:color w:val="auto"/>
                <w:sz w:val="24"/>
                <w:szCs w:val="24"/>
                <w:highlight w:val="none"/>
              </w:rPr>
              <w:t>）中</w:t>
            </w:r>
            <w:r>
              <w:rPr>
                <w:rFonts w:hint="eastAsia"/>
                <w:color w:val="auto"/>
                <w:sz w:val="24"/>
                <w:szCs w:val="24"/>
                <w:highlight w:val="none"/>
                <w:lang w:val="en-US" w:eastAsia="zh-CN"/>
              </w:rPr>
              <w:t>3</w:t>
            </w:r>
            <w:r>
              <w:rPr>
                <w:rFonts w:hint="eastAsia" w:cs="宋体"/>
                <w:color w:val="auto"/>
                <w:sz w:val="24"/>
                <w:szCs w:val="24"/>
                <w:highlight w:val="none"/>
              </w:rPr>
              <w:t>类标准。</w:t>
            </w:r>
          </w:p>
          <w:p w14:paraId="581B5F4B">
            <w:pPr>
              <w:tabs>
                <w:tab w:val="left" w:pos="900"/>
              </w:tabs>
              <w:spacing w:line="360" w:lineRule="auto"/>
              <w:ind w:firstLine="480" w:firstLineChars="200"/>
              <w:rPr>
                <w:color w:val="auto"/>
                <w:sz w:val="24"/>
                <w:szCs w:val="24"/>
                <w:highlight w:val="none"/>
              </w:rPr>
            </w:pPr>
            <w:r>
              <w:rPr>
                <w:rFonts w:hint="eastAsia" w:cs="宋体"/>
                <w:color w:val="auto"/>
                <w:sz w:val="24"/>
                <w:szCs w:val="24"/>
                <w:highlight w:val="none"/>
              </w:rPr>
              <w:t>根据现场查勘，本项目</w:t>
            </w:r>
            <w:r>
              <w:rPr>
                <w:color w:val="auto"/>
                <w:sz w:val="24"/>
                <w:szCs w:val="24"/>
                <w:highlight w:val="none"/>
              </w:rPr>
              <w:t>50</w:t>
            </w:r>
            <w:r>
              <w:rPr>
                <w:rFonts w:hint="eastAsia" w:cs="宋体"/>
                <w:color w:val="auto"/>
                <w:sz w:val="24"/>
                <w:szCs w:val="24"/>
                <w:highlight w:val="none"/>
              </w:rPr>
              <w:t>米范围内无环境敏感点，综上，本项目噪声对区域声环境影响较小。</w:t>
            </w:r>
          </w:p>
          <w:p w14:paraId="189C0217">
            <w:pPr>
              <w:tabs>
                <w:tab w:val="left" w:pos="900"/>
              </w:tabs>
              <w:spacing w:line="360" w:lineRule="auto"/>
              <w:ind w:firstLine="480" w:firstLineChars="200"/>
              <w:rPr>
                <w:color w:val="auto"/>
                <w:sz w:val="24"/>
                <w:szCs w:val="24"/>
                <w:highlight w:val="none"/>
              </w:rPr>
            </w:pPr>
            <w:r>
              <w:rPr>
                <w:rFonts w:hint="eastAsia" w:cs="宋体"/>
                <w:color w:val="auto"/>
                <w:sz w:val="24"/>
                <w:szCs w:val="24"/>
                <w:highlight w:val="none"/>
              </w:rPr>
              <w:t>经治理后噪声设备可隔声</w:t>
            </w:r>
            <w:r>
              <w:rPr>
                <w:color w:val="auto"/>
                <w:sz w:val="24"/>
                <w:szCs w:val="24"/>
                <w:highlight w:val="none"/>
              </w:rPr>
              <w:t>15~20GB(A)</w:t>
            </w:r>
            <w:r>
              <w:rPr>
                <w:rFonts w:hint="eastAsia" w:cs="宋体"/>
                <w:color w:val="auto"/>
                <w:sz w:val="24"/>
                <w:szCs w:val="24"/>
                <w:highlight w:val="none"/>
              </w:rPr>
              <w:t>，再通过厂房隔声，通常厂房的隔声量为</w:t>
            </w:r>
            <w:r>
              <w:rPr>
                <w:color w:val="auto"/>
                <w:sz w:val="24"/>
                <w:szCs w:val="24"/>
                <w:highlight w:val="none"/>
              </w:rPr>
              <w:t>15</w:t>
            </w:r>
            <w:r>
              <w:rPr>
                <w:rFonts w:hint="eastAsia" w:cs="宋体"/>
                <w:color w:val="auto"/>
                <w:sz w:val="24"/>
                <w:szCs w:val="24"/>
                <w:highlight w:val="none"/>
              </w:rPr>
              <w:t>～</w:t>
            </w:r>
            <w:r>
              <w:rPr>
                <w:color w:val="auto"/>
                <w:sz w:val="24"/>
                <w:szCs w:val="24"/>
                <w:highlight w:val="none"/>
              </w:rPr>
              <w:t>25GB(A)</w:t>
            </w:r>
            <w:r>
              <w:rPr>
                <w:rFonts w:hint="eastAsia" w:cs="宋体"/>
                <w:color w:val="auto"/>
                <w:sz w:val="24"/>
                <w:szCs w:val="24"/>
                <w:highlight w:val="none"/>
              </w:rPr>
              <w:t>，最后厂界噪声能满足《工业企业厂界环境噪声排放标准》（</w:t>
            </w:r>
            <w:r>
              <w:rPr>
                <w:color w:val="auto"/>
                <w:sz w:val="24"/>
                <w:szCs w:val="24"/>
                <w:highlight w:val="none"/>
              </w:rPr>
              <w:t>GB12348-2008</w:t>
            </w:r>
            <w:r>
              <w:rPr>
                <w:rFonts w:hint="eastAsia" w:cs="宋体"/>
                <w:color w:val="auto"/>
                <w:sz w:val="24"/>
                <w:szCs w:val="24"/>
                <w:highlight w:val="none"/>
              </w:rPr>
              <w:t>）中的</w:t>
            </w:r>
            <w:r>
              <w:rPr>
                <w:rFonts w:hint="eastAsia"/>
                <w:color w:val="auto"/>
                <w:sz w:val="24"/>
                <w:szCs w:val="24"/>
                <w:highlight w:val="none"/>
                <w:lang w:val="en-US" w:eastAsia="zh-CN"/>
              </w:rPr>
              <w:t>3</w:t>
            </w:r>
            <w:r>
              <w:rPr>
                <w:rFonts w:hint="eastAsia" w:cs="宋体"/>
                <w:color w:val="auto"/>
                <w:sz w:val="24"/>
                <w:szCs w:val="24"/>
                <w:highlight w:val="none"/>
              </w:rPr>
              <w:t>类标准，不会对周围声环境造成影响。</w:t>
            </w:r>
          </w:p>
          <w:p w14:paraId="2DA8FF0B">
            <w:pPr>
              <w:tabs>
                <w:tab w:val="left" w:pos="900"/>
              </w:tabs>
              <w:spacing w:line="360" w:lineRule="auto"/>
              <w:ind w:firstLine="480" w:firstLineChars="200"/>
              <w:rPr>
                <w:color w:val="auto"/>
                <w:sz w:val="24"/>
                <w:szCs w:val="24"/>
                <w:highlight w:val="none"/>
              </w:rPr>
            </w:pPr>
            <w:r>
              <w:rPr>
                <w:rFonts w:hint="eastAsia" w:cs="宋体"/>
                <w:color w:val="auto"/>
                <w:sz w:val="24"/>
                <w:szCs w:val="24"/>
                <w:highlight w:val="none"/>
              </w:rPr>
              <w:t>为进一步减小本项目对区域声环境的影响，企业应加强噪声的治理，具体治理措施如下：</w:t>
            </w:r>
          </w:p>
          <w:p w14:paraId="20624C61">
            <w:pPr>
              <w:spacing w:line="360" w:lineRule="auto"/>
              <w:ind w:firstLine="480" w:firstLineChars="200"/>
              <w:rPr>
                <w:color w:val="auto"/>
                <w:sz w:val="24"/>
                <w:szCs w:val="24"/>
                <w:highlight w:val="none"/>
              </w:rPr>
            </w:pPr>
            <w:r>
              <w:rPr>
                <w:color w:val="auto"/>
                <w:sz w:val="24"/>
                <w:szCs w:val="24"/>
                <w:highlight w:val="none"/>
              </w:rPr>
              <w:t>1</w:t>
            </w:r>
            <w:r>
              <w:rPr>
                <w:rFonts w:hint="eastAsia" w:cs="宋体"/>
                <w:color w:val="auto"/>
                <w:sz w:val="24"/>
                <w:szCs w:val="24"/>
                <w:highlight w:val="none"/>
              </w:rPr>
              <w:t>）在生产过程中严格操作规程，做好生产设备运行期间的维护保养，以使其处于正常工况；</w:t>
            </w:r>
          </w:p>
          <w:p w14:paraId="1D0A2918">
            <w:pPr>
              <w:spacing w:line="360" w:lineRule="auto"/>
              <w:ind w:firstLine="480" w:firstLineChars="200"/>
              <w:rPr>
                <w:color w:val="auto"/>
                <w:sz w:val="24"/>
                <w:szCs w:val="24"/>
                <w:highlight w:val="none"/>
              </w:rPr>
            </w:pPr>
            <w:r>
              <w:rPr>
                <w:color w:val="auto"/>
                <w:sz w:val="24"/>
                <w:szCs w:val="24"/>
                <w:highlight w:val="none"/>
              </w:rPr>
              <w:t>2</w:t>
            </w:r>
            <w:r>
              <w:rPr>
                <w:rFonts w:hint="eastAsia" w:cs="宋体"/>
                <w:color w:val="auto"/>
                <w:sz w:val="24"/>
                <w:szCs w:val="24"/>
                <w:highlight w:val="none"/>
              </w:rPr>
              <w:t>）在厂区内应对产生噪声的机械设备进行合理布局，使高噪声设备远离厂界。</w:t>
            </w:r>
          </w:p>
          <w:p w14:paraId="592D89DC">
            <w:pPr>
              <w:spacing w:line="360" w:lineRule="auto"/>
              <w:ind w:firstLine="482" w:firstLineChars="200"/>
              <w:jc w:val="left"/>
              <w:rPr>
                <w:rStyle w:val="85"/>
                <w:b/>
                <w:bCs/>
                <w:color w:val="auto"/>
                <w:highlight w:val="none"/>
              </w:rPr>
            </w:pPr>
            <w:r>
              <w:rPr>
                <w:rStyle w:val="85"/>
                <w:b/>
                <w:bCs/>
                <w:color w:val="auto"/>
                <w:highlight w:val="none"/>
              </w:rPr>
              <w:t xml:space="preserve">3.2 </w:t>
            </w:r>
            <w:r>
              <w:rPr>
                <w:rStyle w:val="85"/>
                <w:rFonts w:hint="eastAsia" w:cs="宋体"/>
                <w:b/>
                <w:bCs/>
                <w:color w:val="auto"/>
                <w:highlight w:val="none"/>
              </w:rPr>
              <w:t>噪声环境监测计划</w:t>
            </w:r>
          </w:p>
          <w:p w14:paraId="3C348E5A">
            <w:pPr>
              <w:pStyle w:val="45"/>
              <w:ind w:firstLine="480" w:firstLineChars="200"/>
              <w:rPr>
                <w:b w:val="0"/>
                <w:bCs/>
                <w:color w:val="auto"/>
                <w:kern w:val="2"/>
                <w:highlight w:val="none"/>
              </w:rPr>
            </w:pPr>
            <w:r>
              <w:rPr>
                <w:rFonts w:hint="eastAsia" w:cs="宋体"/>
                <w:b w:val="0"/>
                <w:bCs/>
                <w:color w:val="auto"/>
                <w:kern w:val="2"/>
                <w:highlight w:val="none"/>
              </w:rPr>
              <w:t>本项目噪声监测计划如下：</w:t>
            </w:r>
          </w:p>
          <w:p w14:paraId="5BA1FE33">
            <w:pPr>
              <w:pStyle w:val="113"/>
              <w:spacing w:beforeLines="50" w:after="120" w:afterLines="50" w:line="240" w:lineRule="auto"/>
              <w:ind w:left="210" w:firstLine="220"/>
              <w:rPr>
                <w:rFonts w:eastAsia="宋体"/>
                <w:color w:val="auto"/>
                <w:sz w:val="22"/>
                <w:szCs w:val="22"/>
                <w:highlight w:val="none"/>
              </w:rPr>
            </w:pPr>
            <w:r>
              <w:rPr>
                <w:rFonts w:hint="eastAsia" w:eastAsia="宋体" w:cs="宋体"/>
                <w:color w:val="auto"/>
                <w:sz w:val="22"/>
                <w:szCs w:val="22"/>
                <w:highlight w:val="none"/>
              </w:rPr>
              <w:t>表</w:t>
            </w:r>
            <w:r>
              <w:rPr>
                <w:rFonts w:eastAsia="宋体"/>
                <w:color w:val="auto"/>
                <w:sz w:val="22"/>
                <w:szCs w:val="22"/>
                <w:highlight w:val="none"/>
              </w:rPr>
              <w:t>4-1</w:t>
            </w:r>
            <w:r>
              <w:rPr>
                <w:rFonts w:hint="eastAsia" w:eastAsia="宋体"/>
                <w:color w:val="auto"/>
                <w:sz w:val="22"/>
                <w:szCs w:val="22"/>
                <w:highlight w:val="none"/>
                <w:lang w:val="en-US" w:eastAsia="zh-CN"/>
              </w:rPr>
              <w:t>3</w:t>
            </w:r>
            <w:r>
              <w:rPr>
                <w:rFonts w:eastAsia="宋体"/>
                <w:color w:val="auto"/>
                <w:sz w:val="22"/>
                <w:szCs w:val="22"/>
                <w:highlight w:val="none"/>
              </w:rPr>
              <w:t xml:space="preserve">  </w:t>
            </w:r>
            <w:r>
              <w:rPr>
                <w:rFonts w:hint="eastAsia" w:eastAsia="宋体" w:cs="宋体"/>
                <w:color w:val="auto"/>
                <w:sz w:val="22"/>
                <w:szCs w:val="22"/>
                <w:highlight w:val="none"/>
              </w:rPr>
              <w:t>声环境监测计划一览表</w:t>
            </w:r>
          </w:p>
          <w:tbl>
            <w:tblPr>
              <w:tblStyle w:val="37"/>
              <w:tblW w:w="8077"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85"/>
              <w:gridCol w:w="1730"/>
              <w:gridCol w:w="1164"/>
              <w:gridCol w:w="1119"/>
              <w:gridCol w:w="1169"/>
              <w:gridCol w:w="2310"/>
            </w:tblGrid>
            <w:tr w14:paraId="4D7B51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722" w:hRule="atLeast"/>
                <w:jc w:val="center"/>
              </w:trPr>
              <w:tc>
                <w:tcPr>
                  <w:tcW w:w="362" w:type="pct"/>
                  <w:tcBorders>
                    <w:top w:val="single" w:color="auto" w:sz="6" w:space="0"/>
                    <w:left w:val="single" w:color="auto" w:sz="6" w:space="0"/>
                    <w:bottom w:val="single" w:color="auto" w:sz="6" w:space="0"/>
                    <w:right w:val="single" w:color="auto" w:sz="6" w:space="0"/>
                  </w:tcBorders>
                  <w:vAlign w:val="center"/>
                </w:tcPr>
                <w:p w14:paraId="2871BBF4">
                  <w:pPr>
                    <w:jc w:val="center"/>
                    <w:rPr>
                      <w:color w:val="auto"/>
                      <w:highlight w:val="none"/>
                    </w:rPr>
                  </w:pPr>
                  <w:r>
                    <w:rPr>
                      <w:rFonts w:hint="eastAsia"/>
                      <w:color w:val="auto"/>
                      <w:highlight w:val="none"/>
                    </w:rPr>
                    <w:t>序号</w:t>
                  </w:r>
                </w:p>
              </w:tc>
              <w:tc>
                <w:tcPr>
                  <w:tcW w:w="1070" w:type="pct"/>
                  <w:tcBorders>
                    <w:top w:val="single" w:color="auto" w:sz="6" w:space="0"/>
                    <w:left w:val="single" w:color="auto" w:sz="6" w:space="0"/>
                    <w:bottom w:val="single" w:color="auto" w:sz="6" w:space="0"/>
                    <w:right w:val="single" w:color="auto" w:sz="6" w:space="0"/>
                  </w:tcBorders>
                  <w:vAlign w:val="center"/>
                </w:tcPr>
                <w:p w14:paraId="7FD15A5D">
                  <w:pPr>
                    <w:jc w:val="center"/>
                    <w:rPr>
                      <w:color w:val="auto"/>
                      <w:highlight w:val="none"/>
                    </w:rPr>
                  </w:pPr>
                  <w:r>
                    <w:rPr>
                      <w:rFonts w:hint="eastAsia"/>
                      <w:color w:val="auto"/>
                      <w:highlight w:val="none"/>
                    </w:rPr>
                    <w:t>监测点位</w:t>
                  </w:r>
                </w:p>
              </w:tc>
              <w:tc>
                <w:tcPr>
                  <w:tcW w:w="720" w:type="pct"/>
                  <w:tcBorders>
                    <w:top w:val="single" w:color="auto" w:sz="6" w:space="0"/>
                    <w:left w:val="single" w:color="auto" w:sz="6" w:space="0"/>
                    <w:bottom w:val="single" w:color="auto" w:sz="6" w:space="0"/>
                    <w:right w:val="single" w:color="auto" w:sz="6" w:space="0"/>
                  </w:tcBorders>
                  <w:vAlign w:val="center"/>
                </w:tcPr>
                <w:p w14:paraId="12AE2BA2">
                  <w:pPr>
                    <w:jc w:val="center"/>
                    <w:rPr>
                      <w:color w:val="auto"/>
                      <w:highlight w:val="none"/>
                    </w:rPr>
                  </w:pPr>
                  <w:r>
                    <w:rPr>
                      <w:rFonts w:hint="eastAsia"/>
                      <w:color w:val="auto"/>
                      <w:highlight w:val="none"/>
                    </w:rPr>
                    <w:t>监测项目</w:t>
                  </w:r>
                </w:p>
              </w:tc>
              <w:tc>
                <w:tcPr>
                  <w:tcW w:w="692" w:type="pct"/>
                  <w:tcBorders>
                    <w:top w:val="single" w:color="auto" w:sz="6" w:space="0"/>
                    <w:left w:val="single" w:color="auto" w:sz="6" w:space="0"/>
                    <w:bottom w:val="single" w:color="auto" w:sz="6" w:space="0"/>
                    <w:right w:val="single" w:color="auto" w:sz="6" w:space="0"/>
                  </w:tcBorders>
                  <w:vAlign w:val="center"/>
                </w:tcPr>
                <w:p w14:paraId="06666360">
                  <w:pPr>
                    <w:jc w:val="center"/>
                    <w:rPr>
                      <w:color w:val="auto"/>
                      <w:highlight w:val="none"/>
                    </w:rPr>
                  </w:pPr>
                  <w:r>
                    <w:rPr>
                      <w:rFonts w:hint="eastAsia"/>
                      <w:color w:val="auto"/>
                      <w:highlight w:val="none"/>
                    </w:rPr>
                    <w:t>频率</w:t>
                  </w:r>
                </w:p>
              </w:tc>
              <w:tc>
                <w:tcPr>
                  <w:tcW w:w="723" w:type="pct"/>
                  <w:tcBorders>
                    <w:top w:val="single" w:color="auto" w:sz="6" w:space="0"/>
                    <w:left w:val="single" w:color="auto" w:sz="6" w:space="0"/>
                    <w:bottom w:val="single" w:color="auto" w:sz="4" w:space="0"/>
                    <w:right w:val="single" w:color="auto" w:sz="6" w:space="0"/>
                  </w:tcBorders>
                  <w:vAlign w:val="center"/>
                </w:tcPr>
                <w:p w14:paraId="4F3FDFC6">
                  <w:pPr>
                    <w:jc w:val="center"/>
                    <w:rPr>
                      <w:color w:val="auto"/>
                      <w:highlight w:val="none"/>
                    </w:rPr>
                  </w:pPr>
                  <w:r>
                    <w:rPr>
                      <w:rFonts w:hint="eastAsia"/>
                      <w:color w:val="auto"/>
                      <w:highlight w:val="none"/>
                    </w:rPr>
                    <w:t>实施单位</w:t>
                  </w:r>
                </w:p>
              </w:tc>
              <w:tc>
                <w:tcPr>
                  <w:tcW w:w="1429" w:type="pct"/>
                  <w:tcBorders>
                    <w:top w:val="single" w:color="auto" w:sz="6" w:space="0"/>
                    <w:left w:val="single" w:color="auto" w:sz="6" w:space="0"/>
                    <w:bottom w:val="single" w:color="auto" w:sz="4" w:space="0"/>
                    <w:right w:val="single" w:color="auto" w:sz="6" w:space="0"/>
                  </w:tcBorders>
                  <w:vAlign w:val="center"/>
                </w:tcPr>
                <w:p w14:paraId="24D93E14">
                  <w:pPr>
                    <w:jc w:val="center"/>
                    <w:rPr>
                      <w:color w:val="auto"/>
                      <w:highlight w:val="none"/>
                    </w:rPr>
                  </w:pPr>
                  <w:r>
                    <w:rPr>
                      <w:rFonts w:hint="eastAsia"/>
                      <w:color w:val="auto"/>
                      <w:highlight w:val="none"/>
                    </w:rPr>
                    <w:t>执行标准</w:t>
                  </w:r>
                </w:p>
              </w:tc>
            </w:tr>
            <w:tr w14:paraId="7F0A85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341" w:hRule="atLeast"/>
                <w:jc w:val="center"/>
              </w:trPr>
              <w:tc>
                <w:tcPr>
                  <w:tcW w:w="362" w:type="pct"/>
                  <w:tcBorders>
                    <w:top w:val="single" w:color="auto" w:sz="6" w:space="0"/>
                    <w:left w:val="single" w:color="auto" w:sz="6" w:space="0"/>
                    <w:bottom w:val="single" w:color="auto" w:sz="6" w:space="0"/>
                    <w:right w:val="single" w:color="auto" w:sz="6" w:space="0"/>
                  </w:tcBorders>
                  <w:vAlign w:val="center"/>
                </w:tcPr>
                <w:p w14:paraId="7CB33940">
                  <w:pPr>
                    <w:jc w:val="center"/>
                    <w:rPr>
                      <w:color w:val="auto"/>
                      <w:highlight w:val="none"/>
                    </w:rPr>
                  </w:pPr>
                  <w:r>
                    <w:rPr>
                      <w:color w:val="auto"/>
                      <w:highlight w:val="none"/>
                    </w:rPr>
                    <w:t>1</w:t>
                  </w:r>
                </w:p>
              </w:tc>
              <w:tc>
                <w:tcPr>
                  <w:tcW w:w="1070" w:type="pct"/>
                  <w:tcBorders>
                    <w:top w:val="single" w:color="auto" w:sz="6" w:space="0"/>
                    <w:left w:val="single" w:color="auto" w:sz="6" w:space="0"/>
                    <w:bottom w:val="single" w:color="auto" w:sz="6" w:space="0"/>
                    <w:right w:val="single" w:color="auto" w:sz="6" w:space="0"/>
                  </w:tcBorders>
                  <w:vAlign w:val="center"/>
                </w:tcPr>
                <w:p w14:paraId="190841EF">
                  <w:pPr>
                    <w:jc w:val="center"/>
                    <w:rPr>
                      <w:color w:val="auto"/>
                      <w:highlight w:val="none"/>
                    </w:rPr>
                  </w:pPr>
                  <w:r>
                    <w:rPr>
                      <w:rFonts w:hint="eastAsia"/>
                      <w:color w:val="auto"/>
                      <w:highlight w:val="none"/>
                    </w:rPr>
                    <w:t>项目厂界四周，东南西北各一个监测点</w:t>
                  </w:r>
                </w:p>
              </w:tc>
              <w:tc>
                <w:tcPr>
                  <w:tcW w:w="720" w:type="pct"/>
                  <w:tcBorders>
                    <w:top w:val="single" w:color="auto" w:sz="6" w:space="0"/>
                    <w:left w:val="single" w:color="auto" w:sz="6" w:space="0"/>
                    <w:bottom w:val="single" w:color="auto" w:sz="6" w:space="0"/>
                    <w:right w:val="single" w:color="auto" w:sz="6" w:space="0"/>
                  </w:tcBorders>
                  <w:vAlign w:val="center"/>
                </w:tcPr>
                <w:p w14:paraId="23999647">
                  <w:pPr>
                    <w:jc w:val="center"/>
                    <w:rPr>
                      <w:color w:val="auto"/>
                      <w:highlight w:val="none"/>
                    </w:rPr>
                  </w:pPr>
                  <w:r>
                    <w:rPr>
                      <w:rFonts w:hint="eastAsia"/>
                      <w:color w:val="auto"/>
                      <w:highlight w:val="none"/>
                    </w:rPr>
                    <w:t>噪声</w:t>
                  </w:r>
                </w:p>
              </w:tc>
              <w:tc>
                <w:tcPr>
                  <w:tcW w:w="692" w:type="pct"/>
                  <w:tcBorders>
                    <w:top w:val="single" w:color="auto" w:sz="6" w:space="0"/>
                    <w:left w:val="single" w:color="auto" w:sz="6" w:space="0"/>
                    <w:bottom w:val="single" w:color="auto" w:sz="6" w:space="0"/>
                    <w:right w:val="single" w:color="auto" w:sz="6" w:space="0"/>
                  </w:tcBorders>
                  <w:vAlign w:val="center"/>
                </w:tcPr>
                <w:p w14:paraId="01289E92">
                  <w:pPr>
                    <w:jc w:val="center"/>
                    <w:rPr>
                      <w:color w:val="auto"/>
                      <w:highlight w:val="none"/>
                    </w:rPr>
                  </w:pPr>
                  <w:r>
                    <w:rPr>
                      <w:color w:val="auto"/>
                      <w:highlight w:val="none"/>
                    </w:rPr>
                    <w:t>1</w:t>
                  </w:r>
                  <w:r>
                    <w:rPr>
                      <w:rFonts w:hint="eastAsia"/>
                      <w:color w:val="auto"/>
                      <w:highlight w:val="none"/>
                    </w:rPr>
                    <w:t>次</w:t>
                  </w:r>
                  <w:r>
                    <w:rPr>
                      <w:color w:val="auto"/>
                      <w:highlight w:val="none"/>
                    </w:rPr>
                    <w:t>/</w:t>
                  </w:r>
                  <w:r>
                    <w:rPr>
                      <w:rFonts w:hint="eastAsia"/>
                      <w:color w:val="auto"/>
                      <w:highlight w:val="none"/>
                    </w:rPr>
                    <w:t>季度</w:t>
                  </w:r>
                </w:p>
              </w:tc>
              <w:tc>
                <w:tcPr>
                  <w:tcW w:w="723" w:type="pct"/>
                  <w:tcBorders>
                    <w:top w:val="single" w:color="auto" w:sz="6" w:space="0"/>
                    <w:left w:val="single" w:color="auto" w:sz="6" w:space="0"/>
                    <w:bottom w:val="single" w:color="auto" w:sz="6" w:space="0"/>
                    <w:right w:val="single" w:color="auto" w:sz="6" w:space="0"/>
                  </w:tcBorders>
                  <w:vAlign w:val="center"/>
                </w:tcPr>
                <w:p w14:paraId="210B1D7C">
                  <w:pPr>
                    <w:jc w:val="center"/>
                    <w:rPr>
                      <w:color w:val="auto"/>
                      <w:highlight w:val="none"/>
                    </w:rPr>
                  </w:pPr>
                  <w:r>
                    <w:rPr>
                      <w:rFonts w:hint="eastAsia"/>
                      <w:color w:val="auto"/>
                      <w:highlight w:val="none"/>
                    </w:rPr>
                    <w:t>有资质的监测单位</w:t>
                  </w:r>
                </w:p>
              </w:tc>
              <w:tc>
                <w:tcPr>
                  <w:tcW w:w="1429" w:type="pct"/>
                  <w:tcBorders>
                    <w:top w:val="single" w:color="auto" w:sz="6" w:space="0"/>
                    <w:left w:val="single" w:color="auto" w:sz="6" w:space="0"/>
                    <w:bottom w:val="single" w:color="auto" w:sz="6" w:space="0"/>
                    <w:right w:val="single" w:color="auto" w:sz="6" w:space="0"/>
                  </w:tcBorders>
                  <w:vAlign w:val="center"/>
                </w:tcPr>
                <w:p w14:paraId="21205E5E">
                  <w:pPr>
                    <w:jc w:val="center"/>
                    <w:rPr>
                      <w:color w:val="auto"/>
                      <w:highlight w:val="none"/>
                    </w:rPr>
                  </w:pPr>
                  <w:r>
                    <w:rPr>
                      <w:rFonts w:hint="eastAsia"/>
                      <w:color w:val="auto"/>
                      <w:highlight w:val="none"/>
                    </w:rPr>
                    <w:t>《工业企业厂界环境噪声排放标准》（</w:t>
                  </w:r>
                  <w:r>
                    <w:rPr>
                      <w:color w:val="auto"/>
                      <w:highlight w:val="none"/>
                    </w:rPr>
                    <w:t>GB12348-2008</w:t>
                  </w:r>
                  <w:r>
                    <w:rPr>
                      <w:rFonts w:hint="eastAsia"/>
                      <w:color w:val="auto"/>
                      <w:highlight w:val="none"/>
                    </w:rPr>
                    <w:t>）</w:t>
                  </w:r>
                  <w:r>
                    <w:rPr>
                      <w:rFonts w:hint="eastAsia"/>
                      <w:color w:val="auto"/>
                      <w:highlight w:val="none"/>
                      <w:lang w:val="en-US" w:eastAsia="zh-CN"/>
                    </w:rPr>
                    <w:t>3</w:t>
                  </w:r>
                  <w:r>
                    <w:rPr>
                      <w:rFonts w:hint="eastAsia"/>
                      <w:color w:val="auto"/>
                      <w:highlight w:val="none"/>
                    </w:rPr>
                    <w:t>类标准要求</w:t>
                  </w:r>
                </w:p>
              </w:tc>
            </w:tr>
          </w:tbl>
          <w:p w14:paraId="078DF6CA">
            <w:pPr>
              <w:pStyle w:val="2"/>
              <w:spacing w:before="240" w:beforeLines="100" w:after="0" w:line="360" w:lineRule="auto"/>
              <w:ind w:firstLine="482" w:firstLineChars="200"/>
              <w:rPr>
                <w:rStyle w:val="85"/>
                <w:rFonts w:ascii="Times New Roman" w:hAnsi="Times New Roman" w:cs="Times New Roman"/>
                <w:b/>
                <w:bCs/>
                <w:color w:val="auto"/>
                <w:highlight w:val="none"/>
              </w:rPr>
            </w:pPr>
            <w:r>
              <w:rPr>
                <w:rStyle w:val="85"/>
                <w:rFonts w:hint="eastAsia" w:ascii="Times New Roman" w:hAnsi="Times New Roman" w:cs="Times New Roman"/>
                <w:b/>
                <w:bCs/>
                <w:color w:val="auto"/>
                <w:highlight w:val="none"/>
              </w:rPr>
              <w:t xml:space="preserve">4 </w:t>
            </w:r>
            <w:r>
              <w:rPr>
                <w:rStyle w:val="85"/>
                <w:rFonts w:hint="eastAsia" w:ascii="Times New Roman" w:hAnsi="Times New Roman" w:cs="宋体"/>
                <w:b/>
                <w:bCs/>
                <w:color w:val="auto"/>
                <w:highlight w:val="none"/>
              </w:rPr>
              <w:t>固体废物环境影响及保护措施</w:t>
            </w:r>
          </w:p>
          <w:p w14:paraId="09491A25">
            <w:pPr>
              <w:spacing w:line="360" w:lineRule="auto"/>
              <w:ind w:firstLine="482" w:firstLineChars="200"/>
              <w:jc w:val="left"/>
              <w:rPr>
                <w:rFonts w:hint="default" w:eastAsia="宋体" w:cs="宋体"/>
                <w:color w:val="auto"/>
                <w:sz w:val="24"/>
                <w:szCs w:val="24"/>
                <w:highlight w:val="none"/>
                <w:lang w:val="en-US" w:eastAsia="zh-CN"/>
              </w:rPr>
            </w:pPr>
            <w:r>
              <w:rPr>
                <w:rStyle w:val="85"/>
                <w:rFonts w:hint="eastAsia" w:ascii="Times New Roman" w:hAnsi="Times New Roman" w:eastAsia="宋体" w:cs="宋体"/>
                <w:b/>
                <w:bCs/>
                <w:color w:val="auto"/>
                <w:highlight w:val="none"/>
                <w:lang w:val="en-US" w:eastAsia="zh-CN"/>
              </w:rPr>
              <w:t xml:space="preserve">4.1 </w:t>
            </w:r>
            <w:r>
              <w:rPr>
                <w:rStyle w:val="85"/>
                <w:rFonts w:hint="eastAsia" w:ascii="Times New Roman" w:hAnsi="Times New Roman" w:eastAsia="宋体" w:cs="宋体"/>
                <w:b/>
                <w:bCs/>
                <w:color w:val="auto"/>
                <w:highlight w:val="none"/>
              </w:rPr>
              <w:t>固体</w:t>
            </w:r>
            <w:r>
              <w:rPr>
                <w:rStyle w:val="85"/>
                <w:rFonts w:hint="eastAsia" w:ascii="Times New Roman" w:hAnsi="Times New Roman" w:cs="宋体"/>
                <w:b/>
                <w:bCs/>
                <w:color w:val="auto"/>
                <w:highlight w:val="none"/>
              </w:rPr>
              <w:t>废物源强</w:t>
            </w:r>
          </w:p>
          <w:p w14:paraId="5FF6611D">
            <w:pPr>
              <w:spacing w:line="360" w:lineRule="auto"/>
              <w:ind w:firstLine="480" w:firstLineChars="200"/>
              <w:jc w:val="left"/>
              <w:rPr>
                <w:rFonts w:hint="eastAsia" w:cs="宋体"/>
                <w:color w:val="auto"/>
                <w:sz w:val="24"/>
                <w:szCs w:val="24"/>
                <w:highlight w:val="none"/>
              </w:rPr>
            </w:pPr>
            <w:r>
              <w:rPr>
                <w:rFonts w:hint="eastAsia" w:cs="宋体"/>
                <w:color w:val="auto"/>
                <w:sz w:val="24"/>
                <w:szCs w:val="24"/>
                <w:highlight w:val="none"/>
              </w:rPr>
              <w:t>本项目固体废弃物主要为除尘器收集的粉尘</w:t>
            </w:r>
            <w:r>
              <w:rPr>
                <w:rFonts w:hint="eastAsia" w:cs="宋体"/>
                <w:color w:val="auto"/>
                <w:sz w:val="24"/>
                <w:szCs w:val="24"/>
                <w:highlight w:val="none"/>
                <w:lang w:eastAsia="zh-CN"/>
              </w:rPr>
              <w:t>、废机油、废油桶、废含油抹布、劳保用品</w:t>
            </w:r>
            <w:r>
              <w:rPr>
                <w:rFonts w:hint="eastAsia" w:cs="宋体"/>
                <w:color w:val="auto"/>
                <w:sz w:val="24"/>
                <w:szCs w:val="24"/>
                <w:highlight w:val="none"/>
              </w:rPr>
              <w:t>和生活垃圾。</w:t>
            </w:r>
          </w:p>
          <w:p w14:paraId="7AB89AEB">
            <w:pPr>
              <w:spacing w:line="360" w:lineRule="auto"/>
              <w:ind w:firstLine="480" w:firstLineChars="200"/>
              <w:jc w:val="left"/>
              <w:rPr>
                <w:rFonts w:cs="宋体"/>
                <w:color w:val="auto"/>
                <w:sz w:val="24"/>
                <w:szCs w:val="24"/>
                <w:highlight w:val="none"/>
              </w:rPr>
            </w:pPr>
            <w:r>
              <w:rPr>
                <w:rFonts w:hint="eastAsia" w:cs="宋体"/>
                <w:color w:val="auto"/>
                <w:sz w:val="24"/>
                <w:szCs w:val="24"/>
                <w:highlight w:val="none"/>
              </w:rPr>
              <w:t>（1）除尘器收集的粉尘</w:t>
            </w:r>
          </w:p>
          <w:p w14:paraId="6606B59F">
            <w:pPr>
              <w:spacing w:line="360" w:lineRule="auto"/>
              <w:ind w:firstLine="480" w:firstLineChars="200"/>
              <w:jc w:val="left"/>
              <w:rPr>
                <w:rFonts w:cs="宋体"/>
                <w:color w:val="auto"/>
                <w:sz w:val="24"/>
                <w:szCs w:val="24"/>
                <w:highlight w:val="none"/>
              </w:rPr>
            </w:pPr>
            <w:r>
              <w:rPr>
                <w:rFonts w:cs="宋体"/>
                <w:color w:val="auto"/>
                <w:sz w:val="24"/>
                <w:szCs w:val="24"/>
                <w:highlight w:val="none"/>
              </w:rPr>
              <w:t>根据上文中的计算可知，布袋除尘器收集粉尘的量约为</w:t>
            </w:r>
            <w:r>
              <w:rPr>
                <w:rFonts w:hint="eastAsia" w:cs="宋体"/>
                <w:color w:val="auto"/>
                <w:sz w:val="24"/>
                <w:szCs w:val="24"/>
                <w:highlight w:val="none"/>
                <w:lang w:val="en-US" w:eastAsia="zh-CN"/>
              </w:rPr>
              <w:t>120.42</w:t>
            </w:r>
            <w:r>
              <w:rPr>
                <w:rFonts w:cs="宋体"/>
                <w:color w:val="auto"/>
                <w:sz w:val="24"/>
                <w:szCs w:val="24"/>
                <w:highlight w:val="none"/>
              </w:rPr>
              <w:t>t/a，</w:t>
            </w:r>
            <w:r>
              <w:rPr>
                <w:rFonts w:hint="eastAsia" w:cs="宋体"/>
                <w:color w:val="auto"/>
                <w:sz w:val="24"/>
                <w:szCs w:val="24"/>
                <w:highlight w:val="none"/>
              </w:rPr>
              <w:t>属于一般固废，固废代码为：</w:t>
            </w:r>
            <w:r>
              <w:rPr>
                <w:rFonts w:hint="eastAsia"/>
                <w:color w:val="auto"/>
                <w:sz w:val="22"/>
                <w:szCs w:val="22"/>
                <w:highlight w:val="none"/>
              </w:rPr>
              <w:t>900</w:t>
            </w:r>
            <w:r>
              <w:rPr>
                <w:color w:val="auto"/>
                <w:sz w:val="22"/>
                <w:szCs w:val="22"/>
                <w:highlight w:val="none"/>
              </w:rPr>
              <w:t>-</w:t>
            </w:r>
            <w:r>
              <w:rPr>
                <w:rFonts w:hint="eastAsia"/>
                <w:color w:val="auto"/>
                <w:sz w:val="22"/>
                <w:szCs w:val="22"/>
                <w:highlight w:val="none"/>
              </w:rPr>
              <w:t>999</w:t>
            </w:r>
            <w:r>
              <w:rPr>
                <w:color w:val="auto"/>
                <w:sz w:val="22"/>
                <w:szCs w:val="22"/>
                <w:highlight w:val="none"/>
              </w:rPr>
              <w:t>-</w:t>
            </w:r>
            <w:r>
              <w:rPr>
                <w:rFonts w:hint="eastAsia"/>
                <w:color w:val="auto"/>
                <w:sz w:val="22"/>
                <w:szCs w:val="22"/>
                <w:highlight w:val="none"/>
              </w:rPr>
              <w:t>66</w:t>
            </w:r>
            <w:r>
              <w:rPr>
                <w:rFonts w:hint="eastAsia"/>
                <w:color w:val="auto"/>
                <w:sz w:val="24"/>
                <w:szCs w:val="24"/>
                <w:highlight w:val="none"/>
              </w:rPr>
              <w:t>，</w:t>
            </w:r>
            <w:r>
              <w:rPr>
                <w:rFonts w:hint="eastAsia" w:cs="宋体"/>
                <w:color w:val="auto"/>
                <w:sz w:val="24"/>
                <w:szCs w:val="24"/>
                <w:highlight w:val="none"/>
              </w:rPr>
              <w:t>集中收集后</w:t>
            </w:r>
            <w:r>
              <w:rPr>
                <w:rFonts w:hint="eastAsia" w:cs="宋体"/>
                <w:color w:val="auto"/>
                <w:sz w:val="24"/>
                <w:szCs w:val="24"/>
                <w:highlight w:val="none"/>
                <w:lang w:eastAsia="zh-CN"/>
              </w:rPr>
              <w:t>暂存于一般固废暂存间，</w:t>
            </w:r>
            <w:r>
              <w:rPr>
                <w:rFonts w:hint="eastAsia" w:cs="宋体"/>
                <w:color w:val="auto"/>
                <w:sz w:val="24"/>
                <w:szCs w:val="24"/>
                <w:highlight w:val="none"/>
              </w:rPr>
              <w:t>回用于生产</w:t>
            </w:r>
            <w:r>
              <w:rPr>
                <w:rFonts w:cs="宋体"/>
                <w:color w:val="auto"/>
                <w:sz w:val="24"/>
                <w:szCs w:val="24"/>
                <w:highlight w:val="none"/>
              </w:rPr>
              <w:t>。</w:t>
            </w:r>
          </w:p>
          <w:p w14:paraId="5491DD60">
            <w:pPr>
              <w:numPr>
                <w:ilvl w:val="0"/>
                <w:numId w:val="0"/>
              </w:numPr>
              <w:spacing w:line="360" w:lineRule="auto"/>
              <w:ind w:leftChars="228"/>
              <w:rPr>
                <w:rFonts w:hint="eastAsia" w:cs="宋体"/>
                <w:color w:val="auto"/>
                <w:sz w:val="24"/>
                <w:szCs w:val="24"/>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cs="宋体"/>
                <w:color w:val="auto"/>
                <w:sz w:val="24"/>
                <w:szCs w:val="24"/>
                <w:highlight w:val="none"/>
              </w:rPr>
              <w:t>废机油</w:t>
            </w:r>
          </w:p>
          <w:p w14:paraId="2F3F58EB">
            <w:pPr>
              <w:numPr>
                <w:ilvl w:val="0"/>
                <w:numId w:val="0"/>
              </w:numPr>
              <w:spacing w:line="360" w:lineRule="auto"/>
              <w:ind w:firstLine="480" w:firstLineChars="200"/>
              <w:rPr>
                <w:rFonts w:hint="eastAsia" w:cs="宋体"/>
                <w:color w:val="auto"/>
                <w:sz w:val="24"/>
                <w:szCs w:val="24"/>
                <w:highlight w:val="none"/>
                <w:lang w:val="en-US" w:eastAsia="zh-CN"/>
              </w:rPr>
            </w:pPr>
            <w:r>
              <w:rPr>
                <w:rFonts w:hint="eastAsia" w:cs="宋体"/>
                <w:color w:val="auto"/>
                <w:sz w:val="24"/>
                <w:szCs w:val="24"/>
                <w:highlight w:val="none"/>
                <w:lang w:val="en-US" w:eastAsia="zh-CN"/>
              </w:rPr>
              <w:t>项目生产设备维护时会产生少量废机油，废机油产生量约为0.5t/a。对照《国家危险废物名录（2025年版）》（2024年11月26日 生态环境部、国家发展和改革委员会、公安部、交通运输部、国家卫生健康委员会令第36号公布，自2025年1月1日起施行），废机油属于危险废物，废物类别为HW08废矿物油与含废矿物油废物，废物代码为900-214-08。废机油经收集后放入专用的储存桶内暂存于车间内危险废物暂存间内，委托具有危险废物处理资质单位处置。</w:t>
            </w:r>
          </w:p>
          <w:p w14:paraId="451D879C">
            <w:pPr>
              <w:spacing w:line="360" w:lineRule="auto"/>
              <w:ind w:firstLine="480" w:firstLineChars="200"/>
              <w:rPr>
                <w:rFonts w:hint="eastAsia" w:cs="宋体"/>
                <w:color w:val="auto"/>
                <w:sz w:val="24"/>
                <w:szCs w:val="24"/>
                <w:highlight w:val="none"/>
                <w:lang w:val="en-US" w:eastAsia="zh-CN"/>
              </w:rPr>
            </w:pPr>
            <w:r>
              <w:rPr>
                <w:rFonts w:hint="eastAsia" w:cs="宋体"/>
                <w:color w:val="auto"/>
                <w:sz w:val="24"/>
                <w:szCs w:val="24"/>
                <w:highlight w:val="none"/>
                <w:lang w:val="en-US" w:eastAsia="zh-CN"/>
              </w:rPr>
              <w:t>（3）废液压油</w:t>
            </w:r>
          </w:p>
          <w:p w14:paraId="33828DDB">
            <w:pPr>
              <w:spacing w:line="360" w:lineRule="auto"/>
              <w:ind w:firstLine="480" w:firstLineChars="200"/>
              <w:rPr>
                <w:rFonts w:hint="eastAsia" w:cs="宋体"/>
                <w:color w:val="auto"/>
                <w:sz w:val="24"/>
                <w:szCs w:val="24"/>
                <w:highlight w:val="none"/>
                <w:lang w:val="en-US" w:eastAsia="zh-CN"/>
              </w:rPr>
            </w:pPr>
            <w:r>
              <w:rPr>
                <w:rFonts w:hint="eastAsia" w:cs="宋体"/>
                <w:color w:val="auto"/>
                <w:sz w:val="24"/>
                <w:szCs w:val="24"/>
                <w:highlight w:val="none"/>
                <w:lang w:val="en-US" w:eastAsia="zh-CN"/>
              </w:rPr>
              <w:t>项目生产设备维护时会产生少量废液压油，产生量约0.5t/a，对照《国家危险废物名录（2025年版）》（2024年11月26日 生态环境部、国家发展和改革委员会、公安部、交通运输部、国家卫生健康委员会令第36号公布，自2025年1月1日起施行），废液压油属于危险废物，废物类别为HW408废矿物油与含废矿物油废物，废物代码为900-218-08，收集后暂存于车间内危险废物暂存间内，委托具有危险废物处理资质单位处置。</w:t>
            </w:r>
          </w:p>
          <w:p w14:paraId="52963EE0">
            <w:pPr>
              <w:spacing w:line="360" w:lineRule="auto"/>
              <w:ind w:firstLine="480" w:firstLineChars="200"/>
              <w:rPr>
                <w:rFonts w:hint="eastAsia" w:cs="宋体"/>
                <w:color w:val="auto"/>
                <w:sz w:val="24"/>
                <w:szCs w:val="24"/>
                <w:highlight w:val="none"/>
                <w:lang w:val="en-US" w:eastAsia="zh-CN"/>
              </w:rPr>
            </w:pPr>
            <w:r>
              <w:rPr>
                <w:rFonts w:hint="eastAsia" w:cs="宋体"/>
                <w:color w:val="auto"/>
                <w:sz w:val="24"/>
                <w:szCs w:val="24"/>
                <w:highlight w:val="none"/>
                <w:lang w:val="en-US" w:eastAsia="zh-CN"/>
              </w:rPr>
              <w:t>（4）废油桶</w:t>
            </w:r>
          </w:p>
          <w:p w14:paraId="00D1FD4D">
            <w:pPr>
              <w:spacing w:line="360" w:lineRule="auto"/>
              <w:ind w:firstLine="480" w:firstLineChars="200"/>
              <w:rPr>
                <w:rFonts w:hint="eastAsia" w:cs="宋体"/>
                <w:color w:val="auto"/>
                <w:sz w:val="24"/>
                <w:szCs w:val="24"/>
                <w:highlight w:val="none"/>
                <w:lang w:val="en-US" w:eastAsia="zh-CN"/>
              </w:rPr>
            </w:pPr>
            <w:r>
              <w:rPr>
                <w:rFonts w:hint="eastAsia" w:cs="宋体"/>
                <w:color w:val="auto"/>
                <w:sz w:val="24"/>
                <w:szCs w:val="24"/>
                <w:highlight w:val="none"/>
                <w:lang w:val="en-US" w:eastAsia="zh-CN"/>
              </w:rPr>
              <w:t>项目生产设备维护时会产生少量废油桶，产生量约0.2t/a，对照《国家危险废物名录（2025年版）》（2024年11月26日 生态环境部、国家发展和改革委员会、公安部、交通运输部、国家卫生健康委员会令第36号公布，自2025年1月1日起施行），废油桶属于危险废物，废物类别为HW49其他废物，废物代码为900-041-49，收集后暂存于车间内危险废物暂存间内，委托具有危险废物处理资质单位处置。</w:t>
            </w:r>
          </w:p>
          <w:p w14:paraId="001A0CBC">
            <w:pPr>
              <w:spacing w:line="360" w:lineRule="auto"/>
              <w:ind w:left="719" w:leftChars="228" w:hanging="240" w:hangingChars="100"/>
              <w:rPr>
                <w:rFonts w:hint="eastAsia" w:ascii="Times New Roman" w:hAnsi="Times New Roman" w:eastAsia="宋体" w:cs="宋体"/>
                <w:color w:val="auto"/>
                <w:sz w:val="24"/>
                <w:szCs w:val="24"/>
                <w:highlight w:val="none"/>
                <w:lang w:val="en-US" w:eastAsia="zh-CN"/>
              </w:rPr>
            </w:pPr>
            <w:r>
              <w:rPr>
                <w:rFonts w:hint="eastAsia" w:cs="宋体"/>
                <w:color w:val="auto"/>
                <w:sz w:val="24"/>
                <w:szCs w:val="24"/>
                <w:highlight w:val="none"/>
                <w:lang w:val="en-US" w:eastAsia="zh-CN"/>
              </w:rPr>
              <w:t>（5）废含油抹布、劳保用品</w:t>
            </w:r>
          </w:p>
          <w:p w14:paraId="19CFCEF6">
            <w:pPr>
              <w:spacing w:line="360" w:lineRule="auto"/>
              <w:ind w:firstLine="480" w:firstLineChars="200"/>
              <w:rPr>
                <w:rFonts w:cs="宋体"/>
                <w:color w:val="auto"/>
                <w:sz w:val="24"/>
                <w:szCs w:val="24"/>
                <w:highlight w:val="none"/>
              </w:rPr>
            </w:pPr>
            <w:r>
              <w:rPr>
                <w:rFonts w:hint="eastAsia" w:cs="宋体"/>
                <w:color w:val="auto"/>
                <w:sz w:val="24"/>
                <w:szCs w:val="24"/>
                <w:highlight w:val="none"/>
                <w:lang w:val="en-US" w:eastAsia="zh-CN"/>
              </w:rPr>
              <w:t>在维修设备等过程中会产生一定量的废弃含油抹布、劳保用品，根据估算，项目废含油抹布、劳保用品产生总量约为0.2t/a。对照《国家危险废物名录（2025年版）》（2024年11月26日 生态环境部、国家发展和改革委员会、公安部、交通运输部、国家卫生健康委员会令第36号公布，自2025年1月1日起施行），废弃含油抹布、劳保用品属于危险废物，废物类别为HW49其他废物，废物代码为900-041-49，收集后暂存于车间内危险废物暂存间内，委托具有危险废物处理资质单位处置。</w:t>
            </w:r>
            <w:r>
              <w:rPr>
                <w:rFonts w:hint="eastAsia" w:cs="宋体"/>
                <w:color w:val="auto"/>
                <w:sz w:val="24"/>
                <w:szCs w:val="24"/>
                <w:highlight w:val="none"/>
                <w:lang w:val="en-US" w:eastAsia="zh-CN"/>
              </w:rPr>
              <w:br w:type="textWrapping"/>
            </w:r>
            <w:r>
              <w:rPr>
                <w:rFonts w:hint="eastAsia" w:cs="宋体"/>
                <w:color w:val="auto"/>
                <w:sz w:val="24"/>
                <w:szCs w:val="24"/>
                <w:highlight w:val="none"/>
                <w:lang w:val="en-US" w:eastAsia="zh-CN"/>
              </w:rPr>
              <w:t xml:space="preserve">   （6）</w:t>
            </w:r>
            <w:r>
              <w:rPr>
                <w:rFonts w:hint="eastAsia" w:cs="宋体"/>
                <w:color w:val="auto"/>
                <w:sz w:val="24"/>
                <w:szCs w:val="24"/>
                <w:highlight w:val="none"/>
              </w:rPr>
              <w:t>生活垃圾</w:t>
            </w:r>
          </w:p>
          <w:p w14:paraId="55486F85">
            <w:pPr>
              <w:spacing w:line="360" w:lineRule="auto"/>
              <w:ind w:firstLine="480" w:firstLineChars="200"/>
              <w:rPr>
                <w:rFonts w:hint="eastAsia" w:cs="宋体"/>
                <w:color w:val="auto"/>
                <w:sz w:val="24"/>
                <w:szCs w:val="24"/>
                <w:highlight w:val="none"/>
              </w:rPr>
            </w:pPr>
            <w:r>
              <w:rPr>
                <w:rFonts w:hint="eastAsia" w:cs="宋体"/>
                <w:color w:val="auto"/>
                <w:sz w:val="24"/>
                <w:szCs w:val="24"/>
                <w:highlight w:val="none"/>
              </w:rPr>
              <w:t>本项目劳动人员</w:t>
            </w:r>
            <w:r>
              <w:rPr>
                <w:rFonts w:hint="eastAsia"/>
                <w:color w:val="auto"/>
                <w:sz w:val="24"/>
                <w:szCs w:val="24"/>
                <w:highlight w:val="none"/>
                <w:lang w:val="en-US" w:eastAsia="zh-CN"/>
              </w:rPr>
              <w:t>2</w:t>
            </w:r>
            <w:r>
              <w:rPr>
                <w:color w:val="auto"/>
                <w:sz w:val="24"/>
                <w:szCs w:val="24"/>
                <w:highlight w:val="none"/>
              </w:rPr>
              <w:t>0</w:t>
            </w:r>
            <w:r>
              <w:rPr>
                <w:rFonts w:hint="eastAsia" w:cs="宋体"/>
                <w:color w:val="auto"/>
                <w:sz w:val="24"/>
                <w:szCs w:val="24"/>
                <w:highlight w:val="none"/>
              </w:rPr>
              <w:t>人，生活垃圾产生量按</w:t>
            </w:r>
            <w:r>
              <w:rPr>
                <w:color w:val="auto"/>
                <w:sz w:val="24"/>
                <w:szCs w:val="24"/>
                <w:highlight w:val="none"/>
              </w:rPr>
              <w:t>1.0kg/</w:t>
            </w:r>
            <w:r>
              <w:rPr>
                <w:rFonts w:hint="eastAsia" w:cs="宋体"/>
                <w:color w:val="auto"/>
                <w:sz w:val="24"/>
                <w:szCs w:val="24"/>
                <w:highlight w:val="none"/>
              </w:rPr>
              <w:t>人</w:t>
            </w:r>
            <w:r>
              <w:rPr>
                <w:color w:val="auto"/>
                <w:sz w:val="24"/>
                <w:szCs w:val="24"/>
                <w:highlight w:val="none"/>
              </w:rPr>
              <w:t>·</w:t>
            </w:r>
            <w:r>
              <w:rPr>
                <w:rFonts w:hint="eastAsia" w:cs="宋体"/>
                <w:color w:val="auto"/>
                <w:sz w:val="24"/>
                <w:szCs w:val="24"/>
                <w:highlight w:val="none"/>
              </w:rPr>
              <w:t>天计，为</w:t>
            </w:r>
            <w:r>
              <w:rPr>
                <w:color w:val="auto"/>
                <w:sz w:val="24"/>
                <w:szCs w:val="24"/>
                <w:highlight w:val="none"/>
              </w:rPr>
              <w:t>0.0</w:t>
            </w:r>
            <w:r>
              <w:rPr>
                <w:rFonts w:hint="eastAsia"/>
                <w:color w:val="auto"/>
                <w:sz w:val="24"/>
                <w:szCs w:val="24"/>
                <w:highlight w:val="none"/>
                <w:lang w:val="en-US" w:eastAsia="zh-CN"/>
              </w:rPr>
              <w:t>2</w:t>
            </w:r>
            <w:r>
              <w:rPr>
                <w:color w:val="auto"/>
                <w:sz w:val="24"/>
                <w:szCs w:val="24"/>
                <w:highlight w:val="none"/>
              </w:rPr>
              <w:t>t/d</w:t>
            </w:r>
            <w:r>
              <w:rPr>
                <w:rFonts w:hint="eastAsia" w:cs="宋体"/>
                <w:color w:val="auto"/>
                <w:sz w:val="24"/>
                <w:szCs w:val="24"/>
                <w:highlight w:val="none"/>
              </w:rPr>
              <w:t>（</w:t>
            </w:r>
            <w:r>
              <w:rPr>
                <w:rFonts w:hint="eastAsia"/>
                <w:color w:val="auto"/>
                <w:sz w:val="24"/>
                <w:szCs w:val="24"/>
                <w:highlight w:val="none"/>
                <w:lang w:val="en-US" w:eastAsia="zh-CN"/>
              </w:rPr>
              <w:t>6</w:t>
            </w:r>
            <w:r>
              <w:rPr>
                <w:color w:val="auto"/>
                <w:sz w:val="24"/>
                <w:szCs w:val="24"/>
                <w:highlight w:val="none"/>
              </w:rPr>
              <w:t>t/a</w:t>
            </w:r>
            <w:r>
              <w:rPr>
                <w:rFonts w:hint="eastAsia" w:cs="宋体"/>
                <w:color w:val="auto"/>
                <w:sz w:val="24"/>
                <w:szCs w:val="24"/>
                <w:highlight w:val="none"/>
              </w:rPr>
              <w:t>），收集后交环卫部门处置。</w:t>
            </w:r>
          </w:p>
          <w:p w14:paraId="5A770ACC">
            <w:pPr>
              <w:spacing w:line="360" w:lineRule="auto"/>
              <w:jc w:val="center"/>
              <w:rPr>
                <w:color w:val="auto"/>
                <w:sz w:val="24"/>
                <w:szCs w:val="24"/>
                <w:highlight w:val="none"/>
              </w:rPr>
            </w:pPr>
            <w:r>
              <w:rPr>
                <w:rFonts w:hint="eastAsia" w:cs="宋体"/>
                <w:color w:val="auto"/>
                <w:sz w:val="22"/>
                <w:szCs w:val="22"/>
                <w:highlight w:val="none"/>
              </w:rPr>
              <w:t>表</w:t>
            </w:r>
            <w:r>
              <w:rPr>
                <w:color w:val="auto"/>
                <w:sz w:val="22"/>
                <w:szCs w:val="22"/>
                <w:highlight w:val="none"/>
              </w:rPr>
              <w:t>4-1</w:t>
            </w:r>
            <w:r>
              <w:rPr>
                <w:rFonts w:hint="eastAsia"/>
                <w:color w:val="auto"/>
                <w:sz w:val="22"/>
                <w:szCs w:val="22"/>
                <w:highlight w:val="none"/>
                <w:lang w:val="en-US" w:eastAsia="zh-CN"/>
              </w:rPr>
              <w:t>4</w:t>
            </w:r>
            <w:r>
              <w:rPr>
                <w:color w:val="auto"/>
                <w:sz w:val="22"/>
                <w:szCs w:val="22"/>
                <w:highlight w:val="none"/>
              </w:rPr>
              <w:t xml:space="preserve">  </w:t>
            </w:r>
            <w:r>
              <w:rPr>
                <w:rFonts w:hint="eastAsia" w:cs="宋体"/>
                <w:color w:val="auto"/>
                <w:sz w:val="22"/>
                <w:szCs w:val="22"/>
                <w:highlight w:val="none"/>
              </w:rPr>
              <w:t>固体废物产生及处理处置情况一览表</w:t>
            </w:r>
          </w:p>
          <w:tbl>
            <w:tblPr>
              <w:tblStyle w:val="37"/>
              <w:tblW w:w="80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3"/>
              <w:gridCol w:w="1404"/>
              <w:gridCol w:w="1174"/>
              <w:gridCol w:w="775"/>
              <w:gridCol w:w="1442"/>
              <w:gridCol w:w="1049"/>
              <w:gridCol w:w="1539"/>
            </w:tblGrid>
            <w:tr w14:paraId="6C7E5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653" w:type="dxa"/>
                  <w:tcBorders>
                    <w:top w:val="single" w:color="auto" w:sz="4" w:space="0"/>
                    <w:left w:val="single" w:color="auto" w:sz="4" w:space="0"/>
                    <w:bottom w:val="single" w:color="auto" w:sz="4" w:space="0"/>
                    <w:right w:val="single" w:color="auto" w:sz="4" w:space="0"/>
                  </w:tcBorders>
                  <w:vAlign w:val="center"/>
                </w:tcPr>
                <w:p w14:paraId="159B9E2D">
                  <w:pPr>
                    <w:jc w:val="center"/>
                    <w:rPr>
                      <w:rFonts w:hint="eastAsia" w:cs="宋体"/>
                      <w:color w:val="auto"/>
                      <w:highlight w:val="none"/>
                    </w:rPr>
                  </w:pPr>
                  <w:r>
                    <w:rPr>
                      <w:rFonts w:hint="eastAsia" w:cs="宋体"/>
                      <w:color w:val="auto"/>
                      <w:highlight w:val="none"/>
                    </w:rPr>
                    <w:t>序号</w:t>
                  </w:r>
                </w:p>
              </w:tc>
              <w:tc>
                <w:tcPr>
                  <w:tcW w:w="1404" w:type="dxa"/>
                  <w:tcBorders>
                    <w:top w:val="single" w:color="auto" w:sz="4" w:space="0"/>
                    <w:left w:val="single" w:color="auto" w:sz="4" w:space="0"/>
                    <w:bottom w:val="single" w:color="auto" w:sz="4" w:space="0"/>
                    <w:right w:val="single" w:color="auto" w:sz="4" w:space="0"/>
                  </w:tcBorders>
                  <w:vAlign w:val="center"/>
                </w:tcPr>
                <w:p w14:paraId="1C87813A">
                  <w:pPr>
                    <w:jc w:val="center"/>
                    <w:rPr>
                      <w:rFonts w:hint="eastAsia" w:cs="宋体"/>
                      <w:color w:val="auto"/>
                      <w:highlight w:val="none"/>
                    </w:rPr>
                  </w:pPr>
                  <w:r>
                    <w:rPr>
                      <w:rFonts w:hint="eastAsia" w:cs="宋体"/>
                      <w:color w:val="auto"/>
                      <w:highlight w:val="none"/>
                    </w:rPr>
                    <w:t>固废名称</w:t>
                  </w:r>
                </w:p>
              </w:tc>
              <w:tc>
                <w:tcPr>
                  <w:tcW w:w="1174" w:type="dxa"/>
                  <w:tcBorders>
                    <w:top w:val="single" w:color="auto" w:sz="4" w:space="0"/>
                    <w:left w:val="single" w:color="auto" w:sz="4" w:space="0"/>
                    <w:bottom w:val="single" w:color="auto" w:sz="4" w:space="0"/>
                    <w:right w:val="single" w:color="auto" w:sz="4" w:space="0"/>
                  </w:tcBorders>
                  <w:vAlign w:val="center"/>
                </w:tcPr>
                <w:p w14:paraId="12AF5EF1">
                  <w:pPr>
                    <w:jc w:val="center"/>
                    <w:rPr>
                      <w:rFonts w:hint="eastAsia" w:cs="宋体"/>
                      <w:color w:val="auto"/>
                      <w:highlight w:val="none"/>
                    </w:rPr>
                  </w:pPr>
                  <w:r>
                    <w:rPr>
                      <w:rFonts w:hint="eastAsia" w:cs="宋体"/>
                      <w:color w:val="auto"/>
                      <w:highlight w:val="none"/>
                    </w:rPr>
                    <w:t>属性</w:t>
                  </w:r>
                </w:p>
              </w:tc>
              <w:tc>
                <w:tcPr>
                  <w:tcW w:w="775" w:type="dxa"/>
                  <w:tcBorders>
                    <w:top w:val="single" w:color="auto" w:sz="4" w:space="0"/>
                    <w:left w:val="single" w:color="auto" w:sz="4" w:space="0"/>
                    <w:bottom w:val="single" w:color="auto" w:sz="4" w:space="0"/>
                    <w:right w:val="single" w:color="auto" w:sz="4" w:space="0"/>
                  </w:tcBorders>
                  <w:vAlign w:val="center"/>
                </w:tcPr>
                <w:p w14:paraId="7F00D49E">
                  <w:pPr>
                    <w:jc w:val="center"/>
                    <w:rPr>
                      <w:rFonts w:hint="eastAsia" w:cs="宋体"/>
                      <w:color w:val="auto"/>
                      <w:highlight w:val="none"/>
                    </w:rPr>
                  </w:pPr>
                  <w:r>
                    <w:rPr>
                      <w:rFonts w:hint="eastAsia" w:cs="宋体"/>
                      <w:color w:val="auto"/>
                      <w:highlight w:val="none"/>
                    </w:rPr>
                    <w:t>性状</w:t>
                  </w:r>
                </w:p>
              </w:tc>
              <w:tc>
                <w:tcPr>
                  <w:tcW w:w="1442" w:type="dxa"/>
                  <w:tcBorders>
                    <w:top w:val="single" w:color="auto" w:sz="4" w:space="0"/>
                    <w:left w:val="single" w:color="auto" w:sz="4" w:space="0"/>
                    <w:bottom w:val="single" w:color="auto" w:sz="4" w:space="0"/>
                    <w:right w:val="single" w:color="auto" w:sz="4" w:space="0"/>
                  </w:tcBorders>
                  <w:vAlign w:val="center"/>
                </w:tcPr>
                <w:p w14:paraId="609C0730">
                  <w:pPr>
                    <w:jc w:val="center"/>
                    <w:rPr>
                      <w:rFonts w:hint="eastAsia" w:cs="宋体"/>
                      <w:color w:val="auto"/>
                      <w:highlight w:val="none"/>
                    </w:rPr>
                  </w:pPr>
                  <w:r>
                    <w:rPr>
                      <w:rFonts w:hint="eastAsia" w:cs="宋体"/>
                      <w:color w:val="auto"/>
                      <w:highlight w:val="none"/>
                    </w:rPr>
                    <w:t>废物代码</w:t>
                  </w:r>
                </w:p>
              </w:tc>
              <w:tc>
                <w:tcPr>
                  <w:tcW w:w="1049" w:type="dxa"/>
                  <w:tcBorders>
                    <w:top w:val="single" w:color="auto" w:sz="4" w:space="0"/>
                    <w:left w:val="single" w:color="auto" w:sz="4" w:space="0"/>
                    <w:bottom w:val="single" w:color="auto" w:sz="4" w:space="0"/>
                    <w:right w:val="single" w:color="auto" w:sz="4" w:space="0"/>
                  </w:tcBorders>
                  <w:vAlign w:val="center"/>
                </w:tcPr>
                <w:p w14:paraId="1B3FB4AA">
                  <w:pPr>
                    <w:jc w:val="center"/>
                    <w:rPr>
                      <w:rFonts w:hint="eastAsia" w:cs="宋体"/>
                      <w:color w:val="auto"/>
                      <w:highlight w:val="none"/>
                    </w:rPr>
                  </w:pPr>
                  <w:r>
                    <w:rPr>
                      <w:rFonts w:hint="eastAsia" w:cs="宋体"/>
                      <w:color w:val="auto"/>
                      <w:highlight w:val="none"/>
                    </w:rPr>
                    <w:t>年产生量</w:t>
                  </w:r>
                </w:p>
              </w:tc>
              <w:tc>
                <w:tcPr>
                  <w:tcW w:w="1539" w:type="dxa"/>
                  <w:tcBorders>
                    <w:top w:val="single" w:color="auto" w:sz="4" w:space="0"/>
                    <w:left w:val="single" w:color="auto" w:sz="4" w:space="0"/>
                    <w:bottom w:val="single" w:color="auto" w:sz="4" w:space="0"/>
                    <w:right w:val="single" w:color="auto" w:sz="4" w:space="0"/>
                  </w:tcBorders>
                  <w:vAlign w:val="center"/>
                </w:tcPr>
                <w:p w14:paraId="41ED4557">
                  <w:pPr>
                    <w:jc w:val="center"/>
                    <w:rPr>
                      <w:rFonts w:hint="eastAsia" w:cs="宋体"/>
                      <w:color w:val="auto"/>
                      <w:highlight w:val="none"/>
                    </w:rPr>
                  </w:pPr>
                  <w:r>
                    <w:rPr>
                      <w:rFonts w:hint="eastAsia" w:cs="宋体"/>
                      <w:color w:val="auto"/>
                      <w:highlight w:val="none"/>
                    </w:rPr>
                    <w:t>去向</w:t>
                  </w:r>
                </w:p>
              </w:tc>
            </w:tr>
            <w:tr w14:paraId="1EB20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653" w:type="dxa"/>
                  <w:tcBorders>
                    <w:top w:val="single" w:color="auto" w:sz="4" w:space="0"/>
                    <w:left w:val="single" w:color="auto" w:sz="4" w:space="0"/>
                    <w:right w:val="single" w:color="auto" w:sz="4" w:space="0"/>
                  </w:tcBorders>
                  <w:vAlign w:val="center"/>
                </w:tcPr>
                <w:p w14:paraId="63146BEF">
                  <w:pPr>
                    <w:jc w:val="center"/>
                    <w:rPr>
                      <w:rFonts w:hint="eastAsia" w:cs="宋体"/>
                      <w:color w:val="auto"/>
                      <w:highlight w:val="none"/>
                    </w:rPr>
                  </w:pPr>
                  <w:r>
                    <w:rPr>
                      <w:rFonts w:hint="eastAsia" w:cs="宋体"/>
                      <w:color w:val="auto"/>
                      <w:highlight w:val="none"/>
                    </w:rPr>
                    <w:t>1</w:t>
                  </w:r>
                </w:p>
              </w:tc>
              <w:tc>
                <w:tcPr>
                  <w:tcW w:w="1404" w:type="dxa"/>
                  <w:tcBorders>
                    <w:top w:val="single" w:color="auto" w:sz="4" w:space="0"/>
                    <w:left w:val="single" w:color="auto" w:sz="4" w:space="0"/>
                    <w:right w:val="single" w:color="auto" w:sz="4" w:space="0"/>
                  </w:tcBorders>
                  <w:vAlign w:val="center"/>
                </w:tcPr>
                <w:p w14:paraId="6EC3EFE0">
                  <w:pPr>
                    <w:jc w:val="center"/>
                    <w:rPr>
                      <w:rFonts w:hint="eastAsia" w:cs="宋体"/>
                      <w:color w:val="auto"/>
                      <w:highlight w:val="none"/>
                    </w:rPr>
                  </w:pPr>
                  <w:r>
                    <w:rPr>
                      <w:rFonts w:hint="eastAsia" w:cs="宋体"/>
                      <w:color w:val="auto"/>
                      <w:highlight w:val="none"/>
                    </w:rPr>
                    <w:t>除尘器收集的粉尘</w:t>
                  </w:r>
                </w:p>
              </w:tc>
              <w:tc>
                <w:tcPr>
                  <w:tcW w:w="1174" w:type="dxa"/>
                  <w:tcBorders>
                    <w:top w:val="single" w:color="auto" w:sz="4" w:space="0"/>
                    <w:left w:val="single" w:color="auto" w:sz="4" w:space="0"/>
                    <w:right w:val="single" w:color="auto" w:sz="4" w:space="0"/>
                  </w:tcBorders>
                  <w:vAlign w:val="center"/>
                </w:tcPr>
                <w:p w14:paraId="6CA09FDA">
                  <w:pPr>
                    <w:jc w:val="center"/>
                    <w:rPr>
                      <w:rFonts w:hint="eastAsia" w:cs="宋体"/>
                      <w:color w:val="auto"/>
                      <w:highlight w:val="none"/>
                    </w:rPr>
                  </w:pPr>
                  <w:r>
                    <w:rPr>
                      <w:rFonts w:hint="eastAsia" w:cs="宋体"/>
                      <w:color w:val="auto"/>
                      <w:highlight w:val="none"/>
                    </w:rPr>
                    <w:t>一般固废</w:t>
                  </w:r>
                </w:p>
              </w:tc>
              <w:tc>
                <w:tcPr>
                  <w:tcW w:w="775" w:type="dxa"/>
                  <w:tcBorders>
                    <w:top w:val="single" w:color="auto" w:sz="4" w:space="0"/>
                    <w:left w:val="single" w:color="auto" w:sz="4" w:space="0"/>
                    <w:right w:val="single" w:color="auto" w:sz="4" w:space="0"/>
                  </w:tcBorders>
                  <w:vAlign w:val="center"/>
                </w:tcPr>
                <w:p w14:paraId="1F4BA56F">
                  <w:pPr>
                    <w:jc w:val="center"/>
                    <w:rPr>
                      <w:rFonts w:hint="eastAsia" w:cs="宋体"/>
                      <w:color w:val="auto"/>
                      <w:highlight w:val="none"/>
                    </w:rPr>
                  </w:pPr>
                  <w:r>
                    <w:rPr>
                      <w:rFonts w:hint="eastAsia" w:cs="宋体"/>
                      <w:color w:val="auto"/>
                      <w:highlight w:val="none"/>
                    </w:rPr>
                    <w:t>固态</w:t>
                  </w:r>
                </w:p>
              </w:tc>
              <w:tc>
                <w:tcPr>
                  <w:tcW w:w="1442" w:type="dxa"/>
                  <w:tcBorders>
                    <w:top w:val="single" w:color="auto" w:sz="4" w:space="0"/>
                    <w:left w:val="single" w:color="auto" w:sz="4" w:space="0"/>
                    <w:right w:val="single" w:color="auto" w:sz="4" w:space="0"/>
                  </w:tcBorders>
                  <w:vAlign w:val="center"/>
                </w:tcPr>
                <w:p w14:paraId="2E1030AB">
                  <w:pPr>
                    <w:jc w:val="center"/>
                    <w:rPr>
                      <w:rFonts w:hint="eastAsia" w:cs="宋体"/>
                      <w:color w:val="auto"/>
                      <w:highlight w:val="none"/>
                    </w:rPr>
                  </w:pPr>
                  <w:r>
                    <w:rPr>
                      <w:rFonts w:hint="eastAsia" w:cs="宋体"/>
                      <w:color w:val="auto"/>
                      <w:highlight w:val="none"/>
                    </w:rPr>
                    <w:t>900-999-66</w:t>
                  </w:r>
                </w:p>
              </w:tc>
              <w:tc>
                <w:tcPr>
                  <w:tcW w:w="1049" w:type="dxa"/>
                  <w:tcBorders>
                    <w:top w:val="single" w:color="auto" w:sz="4" w:space="0"/>
                    <w:left w:val="single" w:color="auto" w:sz="4" w:space="0"/>
                    <w:bottom w:val="single" w:color="auto" w:sz="4" w:space="0"/>
                    <w:right w:val="single" w:color="auto" w:sz="4" w:space="0"/>
                  </w:tcBorders>
                  <w:vAlign w:val="center"/>
                </w:tcPr>
                <w:p w14:paraId="35B59CA2">
                  <w:pPr>
                    <w:jc w:val="center"/>
                    <w:rPr>
                      <w:rFonts w:hint="eastAsia" w:cs="宋体"/>
                      <w:color w:val="auto"/>
                      <w:highlight w:val="none"/>
                    </w:rPr>
                  </w:pPr>
                  <w:r>
                    <w:rPr>
                      <w:rFonts w:hint="eastAsia" w:cs="宋体"/>
                      <w:color w:val="auto"/>
                      <w:highlight w:val="none"/>
                      <w:lang w:eastAsia="zh-CN"/>
                    </w:rPr>
                    <w:t>120.42</w:t>
                  </w:r>
                  <w:r>
                    <w:rPr>
                      <w:rFonts w:hint="eastAsia" w:cs="宋体"/>
                      <w:color w:val="auto"/>
                      <w:highlight w:val="none"/>
                    </w:rPr>
                    <w:t>t/a</w:t>
                  </w:r>
                </w:p>
              </w:tc>
              <w:tc>
                <w:tcPr>
                  <w:tcW w:w="1539" w:type="dxa"/>
                  <w:tcBorders>
                    <w:top w:val="single" w:color="auto" w:sz="4" w:space="0"/>
                    <w:left w:val="single" w:color="auto" w:sz="4" w:space="0"/>
                    <w:right w:val="single" w:color="auto" w:sz="4" w:space="0"/>
                  </w:tcBorders>
                  <w:vAlign w:val="center"/>
                </w:tcPr>
                <w:p w14:paraId="1CDDCA4C">
                  <w:pPr>
                    <w:jc w:val="center"/>
                    <w:rPr>
                      <w:rFonts w:hint="eastAsia" w:cs="宋体"/>
                      <w:color w:val="auto"/>
                      <w:highlight w:val="none"/>
                    </w:rPr>
                  </w:pPr>
                  <w:r>
                    <w:rPr>
                      <w:rFonts w:hint="eastAsia" w:cs="宋体"/>
                      <w:color w:val="auto"/>
                      <w:highlight w:val="none"/>
                    </w:rPr>
                    <w:t>回用于生产</w:t>
                  </w:r>
                </w:p>
              </w:tc>
            </w:tr>
            <w:tr w14:paraId="4E033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653" w:type="dxa"/>
                  <w:tcBorders>
                    <w:top w:val="single" w:color="auto" w:sz="4" w:space="0"/>
                    <w:left w:val="single" w:color="auto" w:sz="4" w:space="0"/>
                    <w:right w:val="single" w:color="auto" w:sz="4" w:space="0"/>
                  </w:tcBorders>
                  <w:vAlign w:val="center"/>
                </w:tcPr>
                <w:p w14:paraId="7E7B411B">
                  <w:pPr>
                    <w:jc w:val="center"/>
                    <w:rPr>
                      <w:rFonts w:hint="eastAsia" w:cs="宋体"/>
                      <w:color w:val="auto"/>
                      <w:highlight w:val="none"/>
                      <w:lang w:val="en-US" w:eastAsia="zh-CN"/>
                    </w:rPr>
                  </w:pPr>
                  <w:r>
                    <w:rPr>
                      <w:rFonts w:hint="eastAsia" w:cs="宋体"/>
                      <w:color w:val="auto"/>
                      <w:highlight w:val="none"/>
                      <w:lang w:val="en-US" w:eastAsia="zh-CN"/>
                    </w:rPr>
                    <w:t>2</w:t>
                  </w:r>
                </w:p>
              </w:tc>
              <w:tc>
                <w:tcPr>
                  <w:tcW w:w="1404" w:type="dxa"/>
                  <w:tcBorders>
                    <w:top w:val="single" w:color="auto" w:sz="4" w:space="0"/>
                    <w:left w:val="single" w:color="auto" w:sz="4" w:space="0"/>
                    <w:right w:val="single" w:color="auto" w:sz="4" w:space="0"/>
                  </w:tcBorders>
                  <w:vAlign w:val="center"/>
                </w:tcPr>
                <w:p w14:paraId="2BBC2502">
                  <w:pPr>
                    <w:jc w:val="center"/>
                    <w:rPr>
                      <w:rFonts w:hint="eastAsia" w:cs="宋体"/>
                      <w:color w:val="auto"/>
                      <w:highlight w:val="none"/>
                    </w:rPr>
                  </w:pPr>
                  <w:r>
                    <w:rPr>
                      <w:rFonts w:hint="eastAsia" w:cs="宋体"/>
                      <w:color w:val="auto"/>
                      <w:highlight w:val="none"/>
                      <w:lang w:val="en-US" w:eastAsia="zh-CN"/>
                    </w:rPr>
                    <w:t>废机油</w:t>
                  </w:r>
                </w:p>
              </w:tc>
              <w:tc>
                <w:tcPr>
                  <w:tcW w:w="1174" w:type="dxa"/>
                  <w:tcBorders>
                    <w:top w:val="single" w:color="auto" w:sz="4" w:space="0"/>
                    <w:left w:val="single" w:color="auto" w:sz="4" w:space="0"/>
                    <w:right w:val="single" w:color="auto" w:sz="4" w:space="0"/>
                  </w:tcBorders>
                  <w:vAlign w:val="center"/>
                </w:tcPr>
                <w:p w14:paraId="0DD24FD2">
                  <w:pPr>
                    <w:jc w:val="center"/>
                    <w:rPr>
                      <w:rFonts w:hint="eastAsia" w:cs="宋体"/>
                      <w:color w:val="auto"/>
                      <w:highlight w:val="none"/>
                      <w:lang w:eastAsia="zh-CN"/>
                    </w:rPr>
                  </w:pPr>
                  <w:r>
                    <w:rPr>
                      <w:rFonts w:hint="eastAsia" w:cs="宋体"/>
                      <w:color w:val="auto"/>
                      <w:highlight w:val="none"/>
                      <w:lang w:eastAsia="zh-CN"/>
                    </w:rPr>
                    <w:t>危险废物</w:t>
                  </w:r>
                </w:p>
              </w:tc>
              <w:tc>
                <w:tcPr>
                  <w:tcW w:w="775" w:type="dxa"/>
                  <w:tcBorders>
                    <w:top w:val="single" w:color="auto" w:sz="4" w:space="0"/>
                    <w:left w:val="single" w:color="auto" w:sz="4" w:space="0"/>
                    <w:right w:val="single" w:color="auto" w:sz="4" w:space="0"/>
                  </w:tcBorders>
                  <w:vAlign w:val="center"/>
                </w:tcPr>
                <w:p w14:paraId="1EA58999">
                  <w:pPr>
                    <w:jc w:val="center"/>
                    <w:rPr>
                      <w:rFonts w:hint="eastAsia" w:cs="宋体"/>
                      <w:color w:val="auto"/>
                      <w:highlight w:val="none"/>
                    </w:rPr>
                  </w:pPr>
                  <w:r>
                    <w:rPr>
                      <w:rFonts w:hint="eastAsia" w:cs="宋体"/>
                      <w:color w:val="auto"/>
                      <w:highlight w:val="none"/>
                    </w:rPr>
                    <w:t>液态</w:t>
                  </w:r>
                </w:p>
              </w:tc>
              <w:tc>
                <w:tcPr>
                  <w:tcW w:w="1442" w:type="dxa"/>
                  <w:tcBorders>
                    <w:top w:val="single" w:color="auto" w:sz="4" w:space="0"/>
                    <w:left w:val="single" w:color="auto" w:sz="4" w:space="0"/>
                    <w:right w:val="single" w:color="auto" w:sz="4" w:space="0"/>
                  </w:tcBorders>
                  <w:vAlign w:val="center"/>
                </w:tcPr>
                <w:p w14:paraId="3AB14041">
                  <w:pPr>
                    <w:jc w:val="center"/>
                    <w:rPr>
                      <w:rFonts w:hint="eastAsia" w:cs="宋体"/>
                      <w:color w:val="auto"/>
                      <w:highlight w:val="none"/>
                    </w:rPr>
                  </w:pPr>
                  <w:r>
                    <w:rPr>
                      <w:rFonts w:hint="eastAsia" w:cs="宋体"/>
                      <w:color w:val="auto"/>
                      <w:highlight w:val="none"/>
                      <w:lang w:val="en-US" w:eastAsia="zh-CN"/>
                    </w:rPr>
                    <w:t>900-214-08</w:t>
                  </w:r>
                </w:p>
              </w:tc>
              <w:tc>
                <w:tcPr>
                  <w:tcW w:w="1049" w:type="dxa"/>
                  <w:tcBorders>
                    <w:top w:val="single" w:color="auto" w:sz="4" w:space="0"/>
                    <w:left w:val="single" w:color="auto" w:sz="4" w:space="0"/>
                    <w:bottom w:val="single" w:color="auto" w:sz="4" w:space="0"/>
                    <w:right w:val="single" w:color="auto" w:sz="4" w:space="0"/>
                  </w:tcBorders>
                  <w:vAlign w:val="center"/>
                </w:tcPr>
                <w:p w14:paraId="756832AB">
                  <w:pPr>
                    <w:jc w:val="center"/>
                    <w:rPr>
                      <w:rFonts w:hint="default" w:cs="宋体"/>
                      <w:color w:val="auto"/>
                      <w:highlight w:val="none"/>
                      <w:lang w:val="en-US" w:eastAsia="zh-CN"/>
                    </w:rPr>
                  </w:pPr>
                  <w:r>
                    <w:rPr>
                      <w:rFonts w:hint="eastAsia" w:cs="宋体"/>
                      <w:color w:val="auto"/>
                      <w:highlight w:val="none"/>
                      <w:lang w:val="en-US" w:eastAsia="zh-CN"/>
                    </w:rPr>
                    <w:t>0.5</w:t>
                  </w:r>
                </w:p>
              </w:tc>
              <w:tc>
                <w:tcPr>
                  <w:tcW w:w="1539" w:type="dxa"/>
                  <w:vMerge w:val="restart"/>
                  <w:tcBorders>
                    <w:top w:val="single" w:color="auto" w:sz="4" w:space="0"/>
                    <w:left w:val="single" w:color="auto" w:sz="4" w:space="0"/>
                    <w:right w:val="single" w:color="auto" w:sz="4" w:space="0"/>
                  </w:tcBorders>
                  <w:vAlign w:val="center"/>
                </w:tcPr>
                <w:p w14:paraId="6FAC65BF">
                  <w:pPr>
                    <w:jc w:val="center"/>
                    <w:rPr>
                      <w:rFonts w:hint="eastAsia" w:cs="宋体"/>
                      <w:color w:val="auto"/>
                      <w:highlight w:val="none"/>
                    </w:rPr>
                  </w:pPr>
                  <w:r>
                    <w:rPr>
                      <w:rFonts w:hint="eastAsia" w:cs="宋体"/>
                      <w:color w:val="auto"/>
                      <w:highlight w:val="none"/>
                    </w:rPr>
                    <w:t>集中收集后暂存于车间内</w:t>
                  </w:r>
                  <w:r>
                    <w:rPr>
                      <w:rFonts w:hint="eastAsia" w:cs="宋体"/>
                      <w:color w:val="auto"/>
                      <w:highlight w:val="none"/>
                      <w:lang w:eastAsia="zh-CN"/>
                    </w:rPr>
                    <w:t>危险废物暂存间</w:t>
                  </w:r>
                  <w:r>
                    <w:rPr>
                      <w:rFonts w:hint="eastAsia" w:cs="宋体"/>
                      <w:color w:val="auto"/>
                      <w:highlight w:val="none"/>
                    </w:rPr>
                    <w:t>内，委托具有危险废物处理资质单位处置</w:t>
                  </w:r>
                </w:p>
              </w:tc>
            </w:tr>
            <w:tr w14:paraId="5AAA6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653" w:type="dxa"/>
                  <w:tcBorders>
                    <w:top w:val="single" w:color="auto" w:sz="4" w:space="0"/>
                    <w:left w:val="single" w:color="auto" w:sz="4" w:space="0"/>
                    <w:right w:val="single" w:color="auto" w:sz="4" w:space="0"/>
                  </w:tcBorders>
                  <w:vAlign w:val="center"/>
                </w:tcPr>
                <w:p w14:paraId="2BA04C35">
                  <w:pPr>
                    <w:jc w:val="center"/>
                    <w:rPr>
                      <w:rFonts w:hint="eastAsia" w:cs="宋体"/>
                      <w:color w:val="auto"/>
                      <w:highlight w:val="none"/>
                      <w:lang w:val="en-US" w:eastAsia="zh-CN"/>
                    </w:rPr>
                  </w:pPr>
                  <w:r>
                    <w:rPr>
                      <w:rFonts w:hint="eastAsia" w:cs="宋体"/>
                      <w:color w:val="auto"/>
                      <w:highlight w:val="none"/>
                      <w:lang w:val="en-US" w:eastAsia="zh-CN"/>
                    </w:rPr>
                    <w:t>3</w:t>
                  </w:r>
                </w:p>
              </w:tc>
              <w:tc>
                <w:tcPr>
                  <w:tcW w:w="1404" w:type="dxa"/>
                  <w:tcBorders>
                    <w:top w:val="single" w:color="auto" w:sz="4" w:space="0"/>
                    <w:left w:val="single" w:color="auto" w:sz="4" w:space="0"/>
                    <w:right w:val="single" w:color="auto" w:sz="4" w:space="0"/>
                  </w:tcBorders>
                  <w:vAlign w:val="center"/>
                </w:tcPr>
                <w:p w14:paraId="285E80C2">
                  <w:pPr>
                    <w:jc w:val="center"/>
                    <w:rPr>
                      <w:rFonts w:hint="eastAsia" w:cs="宋体"/>
                      <w:color w:val="auto"/>
                      <w:highlight w:val="none"/>
                      <w:lang w:val="en-US" w:eastAsia="zh-CN"/>
                    </w:rPr>
                  </w:pPr>
                  <w:r>
                    <w:rPr>
                      <w:rFonts w:hint="eastAsia" w:cs="宋体"/>
                      <w:color w:val="auto"/>
                      <w:highlight w:val="none"/>
                      <w:lang w:val="en-US" w:eastAsia="zh-CN"/>
                    </w:rPr>
                    <w:t>废液压油</w:t>
                  </w:r>
                </w:p>
              </w:tc>
              <w:tc>
                <w:tcPr>
                  <w:tcW w:w="1174" w:type="dxa"/>
                  <w:tcBorders>
                    <w:top w:val="single" w:color="auto" w:sz="4" w:space="0"/>
                    <w:left w:val="single" w:color="auto" w:sz="4" w:space="0"/>
                    <w:right w:val="single" w:color="auto" w:sz="4" w:space="0"/>
                  </w:tcBorders>
                  <w:vAlign w:val="center"/>
                </w:tcPr>
                <w:p w14:paraId="5C6A8501">
                  <w:pPr>
                    <w:jc w:val="center"/>
                    <w:rPr>
                      <w:rFonts w:hint="eastAsia" w:cs="宋体"/>
                      <w:color w:val="auto"/>
                      <w:highlight w:val="none"/>
                      <w:lang w:eastAsia="zh-CN"/>
                    </w:rPr>
                  </w:pPr>
                  <w:r>
                    <w:rPr>
                      <w:rFonts w:hint="eastAsia" w:cs="宋体"/>
                      <w:color w:val="auto"/>
                      <w:highlight w:val="none"/>
                      <w:lang w:eastAsia="zh-CN"/>
                    </w:rPr>
                    <w:t>危险废物</w:t>
                  </w:r>
                </w:p>
              </w:tc>
              <w:tc>
                <w:tcPr>
                  <w:tcW w:w="775" w:type="dxa"/>
                  <w:tcBorders>
                    <w:top w:val="single" w:color="auto" w:sz="4" w:space="0"/>
                    <w:left w:val="single" w:color="auto" w:sz="4" w:space="0"/>
                    <w:right w:val="single" w:color="auto" w:sz="4" w:space="0"/>
                  </w:tcBorders>
                  <w:vAlign w:val="center"/>
                </w:tcPr>
                <w:p w14:paraId="75A6FBFA">
                  <w:pPr>
                    <w:jc w:val="center"/>
                    <w:rPr>
                      <w:rFonts w:hint="eastAsia" w:cs="宋体"/>
                      <w:color w:val="auto"/>
                      <w:highlight w:val="none"/>
                    </w:rPr>
                  </w:pPr>
                  <w:r>
                    <w:rPr>
                      <w:rFonts w:hint="eastAsia" w:cs="宋体"/>
                      <w:color w:val="auto"/>
                      <w:highlight w:val="none"/>
                    </w:rPr>
                    <w:t>液态</w:t>
                  </w:r>
                </w:p>
              </w:tc>
              <w:tc>
                <w:tcPr>
                  <w:tcW w:w="1442" w:type="dxa"/>
                  <w:tcBorders>
                    <w:top w:val="single" w:color="auto" w:sz="4" w:space="0"/>
                    <w:left w:val="single" w:color="auto" w:sz="4" w:space="0"/>
                    <w:right w:val="single" w:color="auto" w:sz="4" w:space="0"/>
                  </w:tcBorders>
                  <w:vAlign w:val="center"/>
                </w:tcPr>
                <w:p w14:paraId="45A09EA5">
                  <w:pPr>
                    <w:jc w:val="center"/>
                    <w:rPr>
                      <w:rFonts w:hint="eastAsia" w:cs="宋体"/>
                      <w:color w:val="auto"/>
                      <w:highlight w:val="none"/>
                      <w:lang w:val="en-US" w:eastAsia="zh-CN"/>
                    </w:rPr>
                  </w:pPr>
                  <w:r>
                    <w:rPr>
                      <w:rFonts w:hint="eastAsia" w:cs="宋体"/>
                      <w:color w:val="auto"/>
                      <w:highlight w:val="none"/>
                      <w:lang w:val="en-US" w:eastAsia="zh-CN"/>
                    </w:rPr>
                    <w:t>900-218-08</w:t>
                  </w:r>
                </w:p>
              </w:tc>
              <w:tc>
                <w:tcPr>
                  <w:tcW w:w="1049" w:type="dxa"/>
                  <w:tcBorders>
                    <w:top w:val="single" w:color="auto" w:sz="4" w:space="0"/>
                    <w:left w:val="single" w:color="auto" w:sz="4" w:space="0"/>
                    <w:bottom w:val="single" w:color="auto" w:sz="4" w:space="0"/>
                    <w:right w:val="single" w:color="auto" w:sz="4" w:space="0"/>
                  </w:tcBorders>
                  <w:vAlign w:val="center"/>
                </w:tcPr>
                <w:p w14:paraId="42F848A2">
                  <w:pPr>
                    <w:jc w:val="center"/>
                    <w:rPr>
                      <w:rFonts w:hint="eastAsia" w:cs="宋体"/>
                      <w:color w:val="auto"/>
                      <w:highlight w:val="none"/>
                      <w:lang w:val="en-US" w:eastAsia="zh-CN"/>
                    </w:rPr>
                  </w:pPr>
                  <w:r>
                    <w:rPr>
                      <w:rFonts w:hint="eastAsia" w:cs="宋体"/>
                      <w:color w:val="auto"/>
                      <w:highlight w:val="none"/>
                      <w:lang w:val="en-US" w:eastAsia="zh-CN"/>
                    </w:rPr>
                    <w:t>0.5</w:t>
                  </w:r>
                </w:p>
              </w:tc>
              <w:tc>
                <w:tcPr>
                  <w:tcW w:w="1539" w:type="dxa"/>
                  <w:vMerge w:val="continue"/>
                  <w:tcBorders>
                    <w:left w:val="single" w:color="auto" w:sz="4" w:space="0"/>
                    <w:right w:val="single" w:color="auto" w:sz="4" w:space="0"/>
                  </w:tcBorders>
                  <w:vAlign w:val="center"/>
                </w:tcPr>
                <w:p w14:paraId="3D1C99C1">
                  <w:pPr>
                    <w:jc w:val="center"/>
                    <w:rPr>
                      <w:rFonts w:hint="eastAsia" w:cs="宋体"/>
                      <w:color w:val="auto"/>
                      <w:highlight w:val="none"/>
                    </w:rPr>
                  </w:pPr>
                </w:p>
              </w:tc>
            </w:tr>
            <w:tr w14:paraId="7CEA3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653" w:type="dxa"/>
                  <w:tcBorders>
                    <w:top w:val="single" w:color="auto" w:sz="4" w:space="0"/>
                    <w:left w:val="single" w:color="auto" w:sz="4" w:space="0"/>
                    <w:right w:val="single" w:color="auto" w:sz="4" w:space="0"/>
                  </w:tcBorders>
                  <w:vAlign w:val="center"/>
                </w:tcPr>
                <w:p w14:paraId="2FBE31ED">
                  <w:pPr>
                    <w:jc w:val="center"/>
                    <w:rPr>
                      <w:rFonts w:hint="default" w:cs="宋体"/>
                      <w:color w:val="auto"/>
                      <w:highlight w:val="none"/>
                      <w:lang w:val="en-US" w:eastAsia="zh-CN"/>
                    </w:rPr>
                  </w:pPr>
                  <w:r>
                    <w:rPr>
                      <w:rFonts w:hint="eastAsia" w:cs="宋体"/>
                      <w:color w:val="auto"/>
                      <w:highlight w:val="none"/>
                      <w:lang w:val="en-US" w:eastAsia="zh-CN"/>
                    </w:rPr>
                    <w:t>4</w:t>
                  </w:r>
                </w:p>
              </w:tc>
              <w:tc>
                <w:tcPr>
                  <w:tcW w:w="1404" w:type="dxa"/>
                  <w:tcBorders>
                    <w:top w:val="single" w:color="auto" w:sz="4" w:space="0"/>
                    <w:left w:val="single" w:color="auto" w:sz="4" w:space="0"/>
                    <w:right w:val="single" w:color="auto" w:sz="4" w:space="0"/>
                  </w:tcBorders>
                  <w:vAlign w:val="center"/>
                </w:tcPr>
                <w:p w14:paraId="5219244C">
                  <w:pPr>
                    <w:jc w:val="center"/>
                    <w:rPr>
                      <w:rFonts w:hint="eastAsia" w:cs="宋体"/>
                      <w:color w:val="auto"/>
                      <w:highlight w:val="none"/>
                    </w:rPr>
                  </w:pPr>
                  <w:r>
                    <w:rPr>
                      <w:rFonts w:hint="eastAsia" w:cs="宋体"/>
                      <w:color w:val="auto"/>
                      <w:highlight w:val="none"/>
                      <w:lang w:val="en-US" w:eastAsia="zh-CN"/>
                    </w:rPr>
                    <w:t>废油桶</w:t>
                  </w:r>
                </w:p>
              </w:tc>
              <w:tc>
                <w:tcPr>
                  <w:tcW w:w="1174" w:type="dxa"/>
                  <w:tcBorders>
                    <w:top w:val="single" w:color="auto" w:sz="4" w:space="0"/>
                    <w:left w:val="single" w:color="auto" w:sz="4" w:space="0"/>
                    <w:right w:val="single" w:color="auto" w:sz="4" w:space="0"/>
                  </w:tcBorders>
                  <w:vAlign w:val="center"/>
                </w:tcPr>
                <w:p w14:paraId="0A29D6BF">
                  <w:pPr>
                    <w:jc w:val="center"/>
                    <w:rPr>
                      <w:rFonts w:hint="eastAsia" w:cs="宋体"/>
                      <w:color w:val="auto"/>
                      <w:highlight w:val="none"/>
                    </w:rPr>
                  </w:pPr>
                  <w:r>
                    <w:rPr>
                      <w:rFonts w:hint="eastAsia" w:cs="宋体"/>
                      <w:color w:val="auto"/>
                      <w:highlight w:val="none"/>
                      <w:lang w:eastAsia="zh-CN"/>
                    </w:rPr>
                    <w:t>危险废物</w:t>
                  </w:r>
                </w:p>
              </w:tc>
              <w:tc>
                <w:tcPr>
                  <w:tcW w:w="775" w:type="dxa"/>
                  <w:tcBorders>
                    <w:top w:val="single" w:color="auto" w:sz="4" w:space="0"/>
                    <w:left w:val="single" w:color="auto" w:sz="4" w:space="0"/>
                    <w:right w:val="single" w:color="auto" w:sz="4" w:space="0"/>
                  </w:tcBorders>
                  <w:vAlign w:val="center"/>
                </w:tcPr>
                <w:p w14:paraId="62501E73">
                  <w:pPr>
                    <w:jc w:val="center"/>
                    <w:rPr>
                      <w:rFonts w:hint="eastAsia" w:cs="宋体"/>
                      <w:color w:val="auto"/>
                      <w:highlight w:val="none"/>
                    </w:rPr>
                  </w:pPr>
                  <w:r>
                    <w:rPr>
                      <w:rFonts w:hint="eastAsia" w:cs="宋体"/>
                      <w:color w:val="auto"/>
                      <w:highlight w:val="none"/>
                    </w:rPr>
                    <w:t>固态</w:t>
                  </w:r>
                </w:p>
              </w:tc>
              <w:tc>
                <w:tcPr>
                  <w:tcW w:w="1442" w:type="dxa"/>
                  <w:tcBorders>
                    <w:top w:val="single" w:color="auto" w:sz="4" w:space="0"/>
                    <w:left w:val="single" w:color="auto" w:sz="4" w:space="0"/>
                    <w:right w:val="single" w:color="auto" w:sz="4" w:space="0"/>
                  </w:tcBorders>
                  <w:vAlign w:val="center"/>
                </w:tcPr>
                <w:p w14:paraId="3DB94625">
                  <w:pPr>
                    <w:jc w:val="center"/>
                    <w:rPr>
                      <w:rFonts w:hint="eastAsia" w:cs="宋体"/>
                      <w:color w:val="auto"/>
                      <w:highlight w:val="none"/>
                    </w:rPr>
                  </w:pPr>
                  <w:r>
                    <w:rPr>
                      <w:rFonts w:hint="eastAsia" w:cs="宋体"/>
                      <w:color w:val="auto"/>
                      <w:highlight w:val="none"/>
                      <w:lang w:val="en-US" w:eastAsia="zh-CN"/>
                    </w:rPr>
                    <w:t>900-041-49</w:t>
                  </w:r>
                </w:p>
              </w:tc>
              <w:tc>
                <w:tcPr>
                  <w:tcW w:w="1049" w:type="dxa"/>
                  <w:tcBorders>
                    <w:top w:val="single" w:color="auto" w:sz="4" w:space="0"/>
                    <w:left w:val="single" w:color="auto" w:sz="4" w:space="0"/>
                    <w:bottom w:val="single" w:color="auto" w:sz="4" w:space="0"/>
                    <w:right w:val="single" w:color="auto" w:sz="4" w:space="0"/>
                  </w:tcBorders>
                  <w:vAlign w:val="center"/>
                </w:tcPr>
                <w:p w14:paraId="6B42CC44">
                  <w:pPr>
                    <w:jc w:val="center"/>
                    <w:rPr>
                      <w:rFonts w:hint="default" w:cs="宋体"/>
                      <w:color w:val="auto"/>
                      <w:highlight w:val="none"/>
                      <w:lang w:val="en-US" w:eastAsia="zh-CN"/>
                    </w:rPr>
                  </w:pPr>
                  <w:r>
                    <w:rPr>
                      <w:rFonts w:hint="eastAsia" w:cs="宋体"/>
                      <w:color w:val="auto"/>
                      <w:highlight w:val="none"/>
                      <w:lang w:val="en-US" w:eastAsia="zh-CN"/>
                    </w:rPr>
                    <w:t>0.2</w:t>
                  </w:r>
                </w:p>
              </w:tc>
              <w:tc>
                <w:tcPr>
                  <w:tcW w:w="1539" w:type="dxa"/>
                  <w:vMerge w:val="continue"/>
                  <w:tcBorders>
                    <w:left w:val="single" w:color="auto" w:sz="4" w:space="0"/>
                    <w:right w:val="single" w:color="auto" w:sz="4" w:space="0"/>
                  </w:tcBorders>
                  <w:vAlign w:val="center"/>
                </w:tcPr>
                <w:p w14:paraId="162ED31E">
                  <w:pPr>
                    <w:jc w:val="center"/>
                    <w:rPr>
                      <w:rFonts w:hint="eastAsia" w:cs="宋体"/>
                      <w:color w:val="auto"/>
                      <w:highlight w:val="none"/>
                    </w:rPr>
                  </w:pPr>
                </w:p>
              </w:tc>
            </w:tr>
            <w:tr w14:paraId="4F0FE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653" w:type="dxa"/>
                  <w:tcBorders>
                    <w:top w:val="single" w:color="auto" w:sz="4" w:space="0"/>
                    <w:left w:val="single" w:color="auto" w:sz="4" w:space="0"/>
                    <w:right w:val="single" w:color="auto" w:sz="4" w:space="0"/>
                  </w:tcBorders>
                  <w:vAlign w:val="center"/>
                </w:tcPr>
                <w:p w14:paraId="1C02B016">
                  <w:pPr>
                    <w:jc w:val="center"/>
                    <w:rPr>
                      <w:rFonts w:hint="default" w:cs="宋体"/>
                      <w:color w:val="auto"/>
                      <w:highlight w:val="none"/>
                      <w:lang w:val="en-US" w:eastAsia="zh-CN"/>
                    </w:rPr>
                  </w:pPr>
                  <w:r>
                    <w:rPr>
                      <w:rFonts w:hint="eastAsia" w:cs="宋体"/>
                      <w:color w:val="auto"/>
                      <w:highlight w:val="none"/>
                      <w:lang w:val="en-US" w:eastAsia="zh-CN"/>
                    </w:rPr>
                    <w:t>5</w:t>
                  </w:r>
                </w:p>
              </w:tc>
              <w:tc>
                <w:tcPr>
                  <w:tcW w:w="1404" w:type="dxa"/>
                  <w:tcBorders>
                    <w:top w:val="single" w:color="auto" w:sz="4" w:space="0"/>
                    <w:left w:val="single" w:color="auto" w:sz="4" w:space="0"/>
                    <w:right w:val="single" w:color="auto" w:sz="4" w:space="0"/>
                  </w:tcBorders>
                  <w:vAlign w:val="center"/>
                </w:tcPr>
                <w:p w14:paraId="4D53CD5D">
                  <w:pPr>
                    <w:jc w:val="center"/>
                    <w:rPr>
                      <w:rFonts w:hint="eastAsia" w:cs="宋体"/>
                      <w:color w:val="auto"/>
                      <w:highlight w:val="none"/>
                    </w:rPr>
                  </w:pPr>
                  <w:r>
                    <w:rPr>
                      <w:rFonts w:hint="eastAsia" w:cs="宋体"/>
                      <w:color w:val="auto"/>
                      <w:highlight w:val="none"/>
                      <w:lang w:val="en-US" w:eastAsia="zh-CN"/>
                    </w:rPr>
                    <w:t>废含油抹布、劳保用品</w:t>
                  </w:r>
                </w:p>
              </w:tc>
              <w:tc>
                <w:tcPr>
                  <w:tcW w:w="1174" w:type="dxa"/>
                  <w:tcBorders>
                    <w:top w:val="single" w:color="auto" w:sz="4" w:space="0"/>
                    <w:left w:val="single" w:color="auto" w:sz="4" w:space="0"/>
                    <w:right w:val="single" w:color="auto" w:sz="4" w:space="0"/>
                  </w:tcBorders>
                  <w:vAlign w:val="center"/>
                </w:tcPr>
                <w:p w14:paraId="6E411CA4">
                  <w:pPr>
                    <w:jc w:val="center"/>
                    <w:rPr>
                      <w:rFonts w:hint="eastAsia" w:cs="宋体"/>
                      <w:color w:val="auto"/>
                      <w:highlight w:val="none"/>
                    </w:rPr>
                  </w:pPr>
                  <w:r>
                    <w:rPr>
                      <w:rFonts w:hint="eastAsia" w:cs="宋体"/>
                      <w:color w:val="auto"/>
                      <w:highlight w:val="none"/>
                      <w:lang w:eastAsia="zh-CN"/>
                    </w:rPr>
                    <w:t>危险废物</w:t>
                  </w:r>
                </w:p>
              </w:tc>
              <w:tc>
                <w:tcPr>
                  <w:tcW w:w="775" w:type="dxa"/>
                  <w:tcBorders>
                    <w:top w:val="single" w:color="auto" w:sz="4" w:space="0"/>
                    <w:left w:val="single" w:color="auto" w:sz="4" w:space="0"/>
                    <w:right w:val="single" w:color="auto" w:sz="4" w:space="0"/>
                  </w:tcBorders>
                  <w:vAlign w:val="center"/>
                </w:tcPr>
                <w:p w14:paraId="2AEDE5BE">
                  <w:pPr>
                    <w:jc w:val="center"/>
                    <w:rPr>
                      <w:rFonts w:hint="eastAsia" w:cs="宋体"/>
                      <w:color w:val="auto"/>
                      <w:highlight w:val="none"/>
                    </w:rPr>
                  </w:pPr>
                  <w:r>
                    <w:rPr>
                      <w:rFonts w:hint="eastAsia" w:cs="宋体"/>
                      <w:color w:val="auto"/>
                      <w:highlight w:val="none"/>
                    </w:rPr>
                    <w:t>固态</w:t>
                  </w:r>
                </w:p>
              </w:tc>
              <w:tc>
                <w:tcPr>
                  <w:tcW w:w="1442" w:type="dxa"/>
                  <w:tcBorders>
                    <w:top w:val="single" w:color="auto" w:sz="4" w:space="0"/>
                    <w:left w:val="single" w:color="auto" w:sz="4" w:space="0"/>
                    <w:right w:val="single" w:color="auto" w:sz="4" w:space="0"/>
                  </w:tcBorders>
                  <w:vAlign w:val="center"/>
                </w:tcPr>
                <w:p w14:paraId="7684825D">
                  <w:pPr>
                    <w:jc w:val="center"/>
                    <w:rPr>
                      <w:rFonts w:hint="eastAsia" w:cs="宋体"/>
                      <w:color w:val="auto"/>
                      <w:highlight w:val="none"/>
                    </w:rPr>
                  </w:pPr>
                  <w:r>
                    <w:rPr>
                      <w:rFonts w:hint="eastAsia" w:cs="宋体"/>
                      <w:color w:val="auto"/>
                      <w:highlight w:val="none"/>
                      <w:lang w:val="en-US" w:eastAsia="zh-CN"/>
                    </w:rPr>
                    <w:t>900-041-49</w:t>
                  </w:r>
                </w:p>
              </w:tc>
              <w:tc>
                <w:tcPr>
                  <w:tcW w:w="1049" w:type="dxa"/>
                  <w:tcBorders>
                    <w:top w:val="single" w:color="auto" w:sz="4" w:space="0"/>
                    <w:left w:val="single" w:color="auto" w:sz="4" w:space="0"/>
                    <w:bottom w:val="single" w:color="auto" w:sz="4" w:space="0"/>
                    <w:right w:val="single" w:color="auto" w:sz="4" w:space="0"/>
                  </w:tcBorders>
                  <w:vAlign w:val="center"/>
                </w:tcPr>
                <w:p w14:paraId="400E8ADC">
                  <w:pPr>
                    <w:jc w:val="center"/>
                    <w:rPr>
                      <w:rFonts w:hint="default" w:cs="宋体"/>
                      <w:color w:val="auto"/>
                      <w:highlight w:val="none"/>
                      <w:lang w:val="en-US" w:eastAsia="zh-CN"/>
                    </w:rPr>
                  </w:pPr>
                  <w:r>
                    <w:rPr>
                      <w:rFonts w:hint="eastAsia" w:cs="宋体"/>
                      <w:color w:val="auto"/>
                      <w:highlight w:val="none"/>
                      <w:lang w:val="en-US" w:eastAsia="zh-CN"/>
                    </w:rPr>
                    <w:t>0.2</w:t>
                  </w:r>
                </w:p>
              </w:tc>
              <w:tc>
                <w:tcPr>
                  <w:tcW w:w="1539" w:type="dxa"/>
                  <w:vMerge w:val="continue"/>
                  <w:tcBorders>
                    <w:left w:val="single" w:color="auto" w:sz="4" w:space="0"/>
                    <w:right w:val="single" w:color="auto" w:sz="4" w:space="0"/>
                  </w:tcBorders>
                  <w:vAlign w:val="center"/>
                </w:tcPr>
                <w:p w14:paraId="2C4096C8">
                  <w:pPr>
                    <w:jc w:val="center"/>
                    <w:rPr>
                      <w:rFonts w:hint="eastAsia" w:cs="宋体"/>
                      <w:color w:val="auto"/>
                      <w:highlight w:val="none"/>
                    </w:rPr>
                  </w:pPr>
                </w:p>
              </w:tc>
            </w:tr>
            <w:tr w14:paraId="3121D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653" w:type="dxa"/>
                  <w:tcBorders>
                    <w:top w:val="single" w:color="auto" w:sz="4" w:space="0"/>
                    <w:left w:val="single" w:color="auto" w:sz="4" w:space="0"/>
                    <w:bottom w:val="single" w:color="auto" w:sz="4" w:space="0"/>
                    <w:right w:val="single" w:color="auto" w:sz="4" w:space="0"/>
                  </w:tcBorders>
                  <w:vAlign w:val="center"/>
                </w:tcPr>
                <w:p w14:paraId="4A1C1C06">
                  <w:pPr>
                    <w:jc w:val="center"/>
                    <w:rPr>
                      <w:rFonts w:hint="default" w:cs="宋体"/>
                      <w:color w:val="auto"/>
                      <w:highlight w:val="none"/>
                      <w:lang w:val="en-US" w:eastAsia="zh-CN"/>
                    </w:rPr>
                  </w:pPr>
                  <w:r>
                    <w:rPr>
                      <w:rFonts w:hint="eastAsia" w:cs="宋体"/>
                      <w:color w:val="auto"/>
                      <w:highlight w:val="none"/>
                      <w:lang w:val="en-US" w:eastAsia="zh-CN"/>
                    </w:rPr>
                    <w:t>6</w:t>
                  </w:r>
                </w:p>
              </w:tc>
              <w:tc>
                <w:tcPr>
                  <w:tcW w:w="1404" w:type="dxa"/>
                  <w:tcBorders>
                    <w:top w:val="single" w:color="auto" w:sz="4" w:space="0"/>
                    <w:left w:val="single" w:color="auto" w:sz="4" w:space="0"/>
                    <w:bottom w:val="single" w:color="auto" w:sz="4" w:space="0"/>
                    <w:right w:val="single" w:color="auto" w:sz="4" w:space="0"/>
                  </w:tcBorders>
                  <w:vAlign w:val="center"/>
                </w:tcPr>
                <w:p w14:paraId="3EE74322">
                  <w:pPr>
                    <w:jc w:val="center"/>
                    <w:rPr>
                      <w:rFonts w:hint="eastAsia" w:cs="宋体"/>
                      <w:color w:val="auto"/>
                      <w:highlight w:val="none"/>
                    </w:rPr>
                  </w:pPr>
                  <w:r>
                    <w:rPr>
                      <w:rFonts w:hint="eastAsia" w:cs="宋体"/>
                      <w:color w:val="auto"/>
                      <w:highlight w:val="none"/>
                    </w:rPr>
                    <w:t>生活垃圾</w:t>
                  </w:r>
                </w:p>
              </w:tc>
              <w:tc>
                <w:tcPr>
                  <w:tcW w:w="1174" w:type="dxa"/>
                  <w:tcBorders>
                    <w:top w:val="single" w:color="auto" w:sz="4" w:space="0"/>
                    <w:left w:val="single" w:color="auto" w:sz="4" w:space="0"/>
                    <w:bottom w:val="single" w:color="auto" w:sz="4" w:space="0"/>
                    <w:right w:val="single" w:color="auto" w:sz="4" w:space="0"/>
                  </w:tcBorders>
                  <w:vAlign w:val="center"/>
                </w:tcPr>
                <w:p w14:paraId="6AD5F138">
                  <w:pPr>
                    <w:jc w:val="center"/>
                    <w:rPr>
                      <w:rFonts w:hint="eastAsia" w:cs="宋体"/>
                      <w:color w:val="auto"/>
                      <w:highlight w:val="none"/>
                    </w:rPr>
                  </w:pPr>
                  <w:r>
                    <w:rPr>
                      <w:rFonts w:hint="eastAsia" w:cs="宋体"/>
                      <w:color w:val="auto"/>
                      <w:highlight w:val="none"/>
                    </w:rPr>
                    <w:t>/</w:t>
                  </w:r>
                </w:p>
              </w:tc>
              <w:tc>
                <w:tcPr>
                  <w:tcW w:w="775" w:type="dxa"/>
                  <w:tcBorders>
                    <w:top w:val="single" w:color="auto" w:sz="4" w:space="0"/>
                    <w:left w:val="single" w:color="auto" w:sz="4" w:space="0"/>
                    <w:bottom w:val="single" w:color="auto" w:sz="4" w:space="0"/>
                    <w:right w:val="single" w:color="auto" w:sz="4" w:space="0"/>
                  </w:tcBorders>
                  <w:vAlign w:val="center"/>
                </w:tcPr>
                <w:p w14:paraId="31248132">
                  <w:pPr>
                    <w:jc w:val="center"/>
                    <w:rPr>
                      <w:rFonts w:hint="eastAsia" w:cs="宋体"/>
                      <w:color w:val="auto"/>
                      <w:highlight w:val="none"/>
                    </w:rPr>
                  </w:pPr>
                  <w:r>
                    <w:rPr>
                      <w:rFonts w:hint="eastAsia" w:cs="宋体"/>
                      <w:color w:val="auto"/>
                      <w:highlight w:val="none"/>
                    </w:rPr>
                    <w:t>固态</w:t>
                  </w:r>
                </w:p>
              </w:tc>
              <w:tc>
                <w:tcPr>
                  <w:tcW w:w="1442" w:type="dxa"/>
                  <w:tcBorders>
                    <w:top w:val="single" w:color="auto" w:sz="4" w:space="0"/>
                    <w:left w:val="single" w:color="auto" w:sz="4" w:space="0"/>
                    <w:bottom w:val="single" w:color="auto" w:sz="4" w:space="0"/>
                    <w:right w:val="single" w:color="auto" w:sz="4" w:space="0"/>
                  </w:tcBorders>
                  <w:vAlign w:val="center"/>
                </w:tcPr>
                <w:p w14:paraId="490306FE">
                  <w:pPr>
                    <w:jc w:val="center"/>
                    <w:rPr>
                      <w:rFonts w:hint="eastAsia" w:cs="宋体"/>
                      <w:color w:val="auto"/>
                      <w:highlight w:val="none"/>
                    </w:rPr>
                  </w:pPr>
                  <w:r>
                    <w:rPr>
                      <w:rFonts w:hint="eastAsia" w:cs="宋体"/>
                      <w:color w:val="auto"/>
                      <w:highlight w:val="none"/>
                    </w:rPr>
                    <w:t>/</w:t>
                  </w:r>
                </w:p>
              </w:tc>
              <w:tc>
                <w:tcPr>
                  <w:tcW w:w="1049" w:type="dxa"/>
                  <w:tcBorders>
                    <w:top w:val="single" w:color="auto" w:sz="4" w:space="0"/>
                    <w:left w:val="single" w:color="auto" w:sz="4" w:space="0"/>
                    <w:bottom w:val="single" w:color="auto" w:sz="4" w:space="0"/>
                    <w:right w:val="single" w:color="auto" w:sz="4" w:space="0"/>
                  </w:tcBorders>
                  <w:vAlign w:val="center"/>
                </w:tcPr>
                <w:p w14:paraId="2D4FC5A9">
                  <w:pPr>
                    <w:jc w:val="center"/>
                    <w:rPr>
                      <w:rFonts w:hint="eastAsia" w:cs="宋体"/>
                      <w:color w:val="auto"/>
                      <w:highlight w:val="none"/>
                    </w:rPr>
                  </w:pPr>
                  <w:r>
                    <w:rPr>
                      <w:rFonts w:hint="eastAsia" w:cs="宋体"/>
                      <w:color w:val="auto"/>
                      <w:highlight w:val="none"/>
                      <w:lang w:val="en-US" w:eastAsia="zh-CN"/>
                    </w:rPr>
                    <w:t>6</w:t>
                  </w:r>
                  <w:r>
                    <w:rPr>
                      <w:rFonts w:hint="eastAsia" w:cs="宋体"/>
                      <w:color w:val="auto"/>
                      <w:highlight w:val="none"/>
                    </w:rPr>
                    <w:t>t/a</w:t>
                  </w:r>
                </w:p>
              </w:tc>
              <w:tc>
                <w:tcPr>
                  <w:tcW w:w="1539" w:type="dxa"/>
                  <w:tcBorders>
                    <w:left w:val="single" w:color="auto" w:sz="4" w:space="0"/>
                    <w:bottom w:val="single" w:color="auto" w:sz="4" w:space="0"/>
                    <w:right w:val="single" w:color="auto" w:sz="4" w:space="0"/>
                  </w:tcBorders>
                  <w:vAlign w:val="center"/>
                </w:tcPr>
                <w:p w14:paraId="36BF3452">
                  <w:pPr>
                    <w:jc w:val="center"/>
                    <w:rPr>
                      <w:rFonts w:hint="eastAsia" w:cs="宋体"/>
                      <w:color w:val="auto"/>
                      <w:highlight w:val="none"/>
                    </w:rPr>
                  </w:pPr>
                  <w:r>
                    <w:rPr>
                      <w:rFonts w:hint="eastAsia" w:cs="宋体"/>
                      <w:color w:val="auto"/>
                      <w:highlight w:val="none"/>
                    </w:rPr>
                    <w:t>环卫部门定期清运</w:t>
                  </w:r>
                </w:p>
              </w:tc>
            </w:tr>
          </w:tbl>
          <w:p w14:paraId="5F96F858">
            <w:pPr>
              <w:spacing w:before="240" w:beforeLines="100" w:line="360" w:lineRule="auto"/>
              <w:ind w:firstLine="482" w:firstLineChars="200"/>
              <w:rPr>
                <w:rFonts w:hint="eastAsia" w:cs="宋体"/>
                <w:color w:val="auto"/>
                <w:sz w:val="24"/>
                <w:szCs w:val="24"/>
                <w:highlight w:val="none"/>
              </w:rPr>
            </w:pPr>
            <w:r>
              <w:rPr>
                <w:rStyle w:val="85"/>
                <w:rFonts w:hint="eastAsia" w:ascii="Times New Roman" w:hAnsi="Times New Roman" w:eastAsia="宋体" w:cs="宋体"/>
                <w:b/>
                <w:bCs/>
                <w:color w:val="auto"/>
                <w:highlight w:val="none"/>
                <w:lang w:val="en-US" w:eastAsia="zh-CN"/>
              </w:rPr>
              <w:br w:type="textWrapping"/>
            </w:r>
            <w:r>
              <w:rPr>
                <w:rStyle w:val="85"/>
                <w:rFonts w:hint="eastAsia" w:cs="宋体"/>
                <w:b/>
                <w:bCs/>
                <w:color w:val="auto"/>
                <w:highlight w:val="none"/>
                <w:lang w:val="en-US" w:eastAsia="zh-CN"/>
              </w:rPr>
              <w:t xml:space="preserve">    </w:t>
            </w:r>
            <w:r>
              <w:rPr>
                <w:rStyle w:val="85"/>
                <w:rFonts w:hint="eastAsia" w:ascii="Times New Roman" w:hAnsi="Times New Roman" w:eastAsia="宋体" w:cs="宋体"/>
                <w:b/>
                <w:bCs/>
                <w:color w:val="auto"/>
                <w:highlight w:val="none"/>
                <w:lang w:val="en-US" w:eastAsia="zh-CN"/>
              </w:rPr>
              <w:t>4.2 一般</w:t>
            </w:r>
            <w:r>
              <w:rPr>
                <w:rStyle w:val="85"/>
                <w:rFonts w:hint="eastAsia" w:cs="宋体"/>
                <w:b/>
                <w:bCs/>
                <w:color w:val="auto"/>
                <w:highlight w:val="none"/>
                <w:lang w:val="en-US" w:eastAsia="zh-CN"/>
              </w:rPr>
              <w:t>工业</w:t>
            </w:r>
            <w:r>
              <w:rPr>
                <w:rStyle w:val="85"/>
                <w:rFonts w:hint="eastAsia" w:ascii="Times New Roman" w:hAnsi="Times New Roman" w:eastAsia="宋体" w:cs="宋体"/>
                <w:b/>
                <w:bCs/>
                <w:color w:val="auto"/>
                <w:highlight w:val="none"/>
                <w:lang w:val="en-US" w:eastAsia="zh-CN"/>
              </w:rPr>
              <w:t>固废</w:t>
            </w:r>
          </w:p>
          <w:p w14:paraId="3E95049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新宋体" w:hAnsi="新宋体" w:eastAsia="新宋体" w:cs="新宋体"/>
                <w:color w:val="auto"/>
                <w:sz w:val="24"/>
                <w:highlight w:val="none"/>
                <w:lang w:val="en-US" w:bidi="zh-CN"/>
              </w:rPr>
            </w:pPr>
            <w:r>
              <w:rPr>
                <w:rFonts w:hint="eastAsia" w:ascii="新宋体" w:hAnsi="新宋体" w:eastAsia="新宋体" w:cs="新宋体"/>
                <w:color w:val="auto"/>
                <w:sz w:val="24"/>
                <w:highlight w:val="none"/>
                <w:lang w:val="en-US" w:bidi="zh-CN"/>
              </w:rPr>
              <w:t>本项目生产时产生的除尘器收集的粉尘为一般工业固废，具有利用价值，集中收集后回用于生产。</w:t>
            </w:r>
          </w:p>
          <w:p w14:paraId="17BE3A2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新宋体" w:hAnsi="新宋体" w:eastAsia="新宋体" w:cs="新宋体"/>
                <w:color w:val="auto"/>
                <w:sz w:val="24"/>
                <w:highlight w:val="none"/>
                <w:lang w:val="en-US" w:bidi="zh-CN"/>
              </w:rPr>
            </w:pPr>
            <w:r>
              <w:rPr>
                <w:rFonts w:hint="eastAsia" w:ascii="新宋体" w:hAnsi="新宋体" w:eastAsia="新宋体" w:cs="新宋体"/>
                <w:color w:val="auto"/>
                <w:sz w:val="24"/>
                <w:highlight w:val="none"/>
                <w:lang w:val="en-US" w:bidi="zh-CN"/>
              </w:rPr>
              <w:t>本项目设置一般固废暂存间位于生产车间内西侧（10m</w:t>
            </w:r>
            <w:r>
              <w:rPr>
                <w:rFonts w:hint="eastAsia" w:ascii="新宋体" w:hAnsi="新宋体" w:eastAsia="新宋体" w:cs="新宋体"/>
                <w:color w:val="auto"/>
                <w:sz w:val="24"/>
                <w:highlight w:val="none"/>
                <w:vertAlign w:val="superscript"/>
                <w:lang w:val="en-US" w:bidi="zh-CN"/>
              </w:rPr>
              <w:t>2</w:t>
            </w:r>
            <w:r>
              <w:rPr>
                <w:rFonts w:hint="eastAsia" w:ascii="新宋体" w:hAnsi="新宋体" w:eastAsia="新宋体" w:cs="新宋体"/>
                <w:color w:val="auto"/>
                <w:sz w:val="24"/>
                <w:highlight w:val="none"/>
                <w:lang w:val="en-US" w:bidi="zh-CN"/>
              </w:rPr>
              <w:t>），暂存点的设置应符合《一般工业固体废物贮存和填埋污染控制标准》（GB18599-2020）的要求：</w:t>
            </w:r>
          </w:p>
          <w:p w14:paraId="28B201E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新宋体" w:hAnsi="新宋体" w:eastAsia="新宋体" w:cs="新宋体"/>
                <w:color w:val="auto"/>
                <w:sz w:val="24"/>
                <w:highlight w:val="none"/>
                <w:lang w:val="en-US" w:bidi="zh-CN"/>
              </w:rPr>
            </w:pPr>
            <w:r>
              <w:rPr>
                <w:rFonts w:hint="eastAsia" w:ascii="新宋体" w:hAnsi="新宋体" w:eastAsia="新宋体" w:cs="新宋体"/>
                <w:color w:val="auto"/>
                <w:sz w:val="24"/>
                <w:highlight w:val="none"/>
                <w:lang w:val="en-US" w:bidi="zh-CN"/>
              </w:rPr>
              <w:t>a、设分区暂存，确保各类一般固废得到合理处置；</w:t>
            </w:r>
          </w:p>
          <w:p w14:paraId="2BA9C22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新宋体" w:hAnsi="新宋体" w:eastAsia="新宋体" w:cs="新宋体"/>
                <w:color w:val="auto"/>
                <w:sz w:val="24"/>
                <w:highlight w:val="none"/>
                <w:lang w:val="en-US" w:bidi="zh-CN"/>
              </w:rPr>
            </w:pPr>
            <w:r>
              <w:rPr>
                <w:rFonts w:hint="eastAsia" w:ascii="新宋体" w:hAnsi="新宋体" w:eastAsia="新宋体" w:cs="新宋体"/>
                <w:color w:val="auto"/>
                <w:sz w:val="24"/>
                <w:highlight w:val="none"/>
                <w:lang w:val="en-US" w:bidi="zh-CN"/>
              </w:rPr>
              <w:t>b、防扬散、防流失、防渗漏，分区暂存各固废；</w:t>
            </w:r>
          </w:p>
          <w:p w14:paraId="0F8D2CF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新宋体" w:hAnsi="新宋体" w:eastAsia="新宋体" w:cs="新宋体"/>
                <w:color w:val="auto"/>
                <w:sz w:val="24"/>
                <w:highlight w:val="none"/>
                <w:lang w:val="en-US" w:bidi="zh-CN"/>
              </w:rPr>
            </w:pPr>
            <w:r>
              <w:rPr>
                <w:rFonts w:hint="eastAsia" w:ascii="新宋体" w:hAnsi="新宋体" w:eastAsia="新宋体" w:cs="新宋体"/>
                <w:color w:val="auto"/>
                <w:sz w:val="24"/>
                <w:highlight w:val="none"/>
                <w:lang w:val="en-US" w:bidi="zh-CN"/>
              </w:rPr>
              <w:t>c、一般固废在运输过程中要防止散落地面，以免产生二次污染；</w:t>
            </w:r>
          </w:p>
          <w:p w14:paraId="53C6918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新宋体" w:hAnsi="新宋体" w:eastAsia="新宋体" w:cs="新宋体"/>
                <w:color w:val="auto"/>
                <w:sz w:val="24"/>
                <w:highlight w:val="none"/>
                <w:lang w:val="en-US" w:bidi="zh-CN"/>
              </w:rPr>
            </w:pPr>
            <w:r>
              <w:rPr>
                <w:rFonts w:hint="eastAsia" w:ascii="新宋体" w:hAnsi="新宋体" w:eastAsia="新宋体" w:cs="新宋体"/>
                <w:color w:val="auto"/>
                <w:sz w:val="24"/>
                <w:highlight w:val="none"/>
                <w:lang w:val="en-US" w:bidi="zh-CN"/>
              </w:rPr>
              <w:t>d、一般固废均按其资源化、无害化的方式进行处置；</w:t>
            </w:r>
          </w:p>
          <w:p w14:paraId="3B7B296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新宋体" w:hAnsi="新宋体" w:eastAsia="新宋体" w:cs="新宋体"/>
                <w:color w:val="auto"/>
                <w:sz w:val="24"/>
                <w:highlight w:val="none"/>
                <w:lang w:val="en-US" w:bidi="zh-CN"/>
              </w:rPr>
            </w:pPr>
            <w:r>
              <w:rPr>
                <w:rFonts w:hint="eastAsia" w:ascii="新宋体" w:hAnsi="新宋体" w:eastAsia="新宋体" w:cs="新宋体"/>
                <w:color w:val="auto"/>
                <w:sz w:val="24"/>
                <w:highlight w:val="none"/>
                <w:lang w:val="en-US" w:bidi="zh-CN"/>
              </w:rPr>
              <w:t>e、场所地面与裙角要用竖固、防渗的建筑材料建造，基础必须防渗，应设计建造径流疏导系统，保证能防止暴雨不会流到临时堆放的场所；</w:t>
            </w:r>
          </w:p>
          <w:p w14:paraId="07538F5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新宋体" w:hAnsi="新宋体" w:eastAsia="新宋体" w:cs="新宋体"/>
                <w:color w:val="auto"/>
                <w:sz w:val="24"/>
                <w:highlight w:val="none"/>
                <w:lang w:val="en-US" w:bidi="zh-CN"/>
              </w:rPr>
            </w:pPr>
            <w:r>
              <w:rPr>
                <w:rFonts w:hint="eastAsia" w:ascii="新宋体" w:hAnsi="新宋体" w:eastAsia="新宋体" w:cs="新宋体"/>
                <w:color w:val="auto"/>
                <w:sz w:val="24"/>
                <w:highlight w:val="none"/>
                <w:lang w:val="en-US" w:bidi="zh-CN"/>
              </w:rPr>
              <w:t>f、“防风、防雨、防晒”，外围设置围堰，并做好密闭处理，禁止危险废物及生活垃混入。</w:t>
            </w:r>
          </w:p>
          <w:p w14:paraId="79345EBA">
            <w:pPr>
              <w:spacing w:line="360" w:lineRule="auto"/>
              <w:ind w:firstLine="482" w:firstLineChars="200"/>
              <w:rPr>
                <w:rStyle w:val="85"/>
                <w:b/>
                <w:bCs/>
                <w:color w:val="auto"/>
                <w:highlight w:val="none"/>
              </w:rPr>
            </w:pPr>
            <w:r>
              <w:rPr>
                <w:rStyle w:val="85"/>
                <w:rFonts w:hint="eastAsia" w:ascii="Times New Roman" w:hAnsi="Times New Roman" w:eastAsia="宋体" w:cs="宋体"/>
                <w:b/>
                <w:bCs/>
                <w:color w:val="auto"/>
                <w:highlight w:val="none"/>
                <w:lang w:val="en-US" w:eastAsia="zh-CN"/>
              </w:rPr>
              <w:t xml:space="preserve">4.3 </w:t>
            </w:r>
            <w:r>
              <w:rPr>
                <w:rStyle w:val="85"/>
                <w:rFonts w:hint="eastAsia" w:cs="宋体"/>
                <w:b/>
                <w:bCs/>
                <w:color w:val="auto"/>
                <w:highlight w:val="none"/>
                <w:lang w:val="en-US" w:eastAsia="zh-CN"/>
              </w:rPr>
              <w:t>危险固废</w:t>
            </w:r>
          </w:p>
          <w:p w14:paraId="157C28AB">
            <w:pPr>
              <w:spacing w:line="360" w:lineRule="auto"/>
              <w:ind w:firstLine="480" w:firstLineChars="200"/>
              <w:jc w:val="left"/>
              <w:rPr>
                <w:rFonts w:hint="default" w:ascii="Times New Roman" w:hAnsi="Times New Roman" w:eastAsia="宋体" w:cs="Times New Roman"/>
                <w:color w:val="auto"/>
                <w:highlight w:val="none"/>
              </w:rPr>
            </w:pP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1</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根据环境保护部2017 年第43 号公告《建设项目危险废物环境影响评价指南》，并结合《国家危险废物名录》（202</w:t>
            </w:r>
            <w:r>
              <w:rPr>
                <w:rFonts w:hint="eastAsia" w:ascii="Times New Roman" w:hAnsi="Times New Roman"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年版），针对危险废物列明危险废物的名称、数量、类别、形态、危险特性和污染防治措施等内容，本项目危险废物汇总表如下：</w:t>
            </w:r>
          </w:p>
          <w:p w14:paraId="2424E107">
            <w:pPr>
              <w:keepNext/>
              <w:keepLines/>
              <w:tabs>
                <w:tab w:val="left" w:pos="0"/>
                <w:tab w:val="left" w:pos="180"/>
                <w:tab w:val="left" w:pos="1418"/>
                <w:tab w:val="left" w:pos="2976"/>
              </w:tabs>
              <w:spacing w:line="360" w:lineRule="auto"/>
              <w:jc w:val="center"/>
              <w:outlineLvl w:val="7"/>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表4-</w:t>
            </w:r>
            <w:r>
              <w:rPr>
                <w:rFonts w:hint="eastAsia" w:cs="Times New Roman"/>
                <w:b w:val="0"/>
                <w:bCs w:val="0"/>
                <w:color w:val="auto"/>
                <w:highlight w:val="none"/>
                <w:lang w:val="en-US" w:eastAsia="zh-CN"/>
              </w:rPr>
              <w:t>15</w:t>
            </w:r>
            <w:r>
              <w:rPr>
                <w:rFonts w:hint="default" w:ascii="Times New Roman" w:hAnsi="Times New Roman" w:eastAsia="宋体" w:cs="Times New Roman"/>
                <w:b w:val="0"/>
                <w:bCs w:val="0"/>
                <w:color w:val="auto"/>
                <w:highlight w:val="none"/>
              </w:rPr>
              <w:t xml:space="preserve">  危险废物相关信息汇总表</w:t>
            </w:r>
          </w:p>
          <w:tbl>
            <w:tblPr>
              <w:tblStyle w:val="37"/>
              <w:tblW w:w="493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8"/>
              <w:gridCol w:w="1086"/>
              <w:gridCol w:w="1086"/>
              <w:gridCol w:w="1540"/>
              <w:gridCol w:w="981"/>
              <w:gridCol w:w="921"/>
              <w:gridCol w:w="1044"/>
            </w:tblGrid>
            <w:tr w14:paraId="6C6ED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751" w:type="pct"/>
                  <w:tcBorders>
                    <w:top w:val="single" w:color="auto" w:sz="4" w:space="0"/>
                    <w:left w:val="single" w:color="auto" w:sz="4" w:space="0"/>
                    <w:bottom w:val="single" w:color="auto" w:sz="4" w:space="0"/>
                    <w:right w:val="single" w:color="auto" w:sz="4" w:space="0"/>
                  </w:tcBorders>
                  <w:noWrap w:val="0"/>
                  <w:vAlign w:val="center"/>
                </w:tcPr>
                <w:p w14:paraId="52307213">
                  <w:pPr>
                    <w:pStyle w:val="75"/>
                    <w:bidi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危险废物名称</w:t>
                  </w:r>
                </w:p>
              </w:tc>
              <w:tc>
                <w:tcPr>
                  <w:tcW w:w="692" w:type="pct"/>
                  <w:tcBorders>
                    <w:top w:val="single" w:color="auto" w:sz="4" w:space="0"/>
                    <w:left w:val="single" w:color="auto" w:sz="4" w:space="0"/>
                    <w:bottom w:val="single" w:color="auto" w:sz="4" w:space="0"/>
                    <w:right w:val="single" w:color="auto" w:sz="4" w:space="0"/>
                  </w:tcBorders>
                  <w:noWrap w:val="0"/>
                  <w:vAlign w:val="center"/>
                </w:tcPr>
                <w:p w14:paraId="05972418">
                  <w:pPr>
                    <w:pStyle w:val="75"/>
                    <w:bidi w:val="0"/>
                    <w:ind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形态</w:t>
                  </w:r>
                </w:p>
              </w:tc>
              <w:tc>
                <w:tcPr>
                  <w:tcW w:w="692" w:type="pct"/>
                  <w:tcBorders>
                    <w:top w:val="single" w:color="auto" w:sz="4" w:space="0"/>
                    <w:left w:val="single" w:color="auto" w:sz="4" w:space="0"/>
                    <w:bottom w:val="single" w:color="auto" w:sz="4" w:space="0"/>
                    <w:right w:val="single" w:color="auto" w:sz="4" w:space="0"/>
                  </w:tcBorders>
                  <w:noWrap w:val="0"/>
                  <w:vAlign w:val="center"/>
                </w:tcPr>
                <w:p w14:paraId="4521828E">
                  <w:pPr>
                    <w:pStyle w:val="75"/>
                    <w:bidi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危废类别</w:t>
                  </w:r>
                </w:p>
              </w:tc>
              <w:tc>
                <w:tcPr>
                  <w:tcW w:w="982" w:type="pct"/>
                  <w:tcBorders>
                    <w:top w:val="single" w:color="auto" w:sz="4" w:space="0"/>
                    <w:left w:val="single" w:color="auto" w:sz="4" w:space="0"/>
                    <w:bottom w:val="single" w:color="auto" w:sz="4" w:space="0"/>
                    <w:right w:val="single" w:color="auto" w:sz="4" w:space="0"/>
                  </w:tcBorders>
                  <w:noWrap w:val="0"/>
                  <w:vAlign w:val="center"/>
                </w:tcPr>
                <w:p w14:paraId="25D25CBF">
                  <w:pPr>
                    <w:pStyle w:val="75"/>
                    <w:bidi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废物代码</w:t>
                  </w:r>
                </w:p>
              </w:tc>
              <w:tc>
                <w:tcPr>
                  <w:tcW w:w="625" w:type="pct"/>
                  <w:tcBorders>
                    <w:top w:val="single" w:color="auto" w:sz="4" w:space="0"/>
                    <w:left w:val="single" w:color="auto" w:sz="4" w:space="0"/>
                    <w:bottom w:val="single" w:color="auto" w:sz="4" w:space="0"/>
                    <w:right w:val="single" w:color="auto" w:sz="4" w:space="0"/>
                  </w:tcBorders>
                  <w:noWrap w:val="0"/>
                  <w:vAlign w:val="center"/>
                </w:tcPr>
                <w:p w14:paraId="1E6E623B">
                  <w:pPr>
                    <w:pStyle w:val="75"/>
                    <w:bidi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产生量t/a</w:t>
                  </w:r>
                </w:p>
              </w:tc>
              <w:tc>
                <w:tcPr>
                  <w:tcW w:w="587" w:type="pct"/>
                  <w:tcBorders>
                    <w:top w:val="single" w:color="auto" w:sz="4" w:space="0"/>
                    <w:left w:val="single" w:color="auto" w:sz="4" w:space="0"/>
                    <w:bottom w:val="single" w:color="auto" w:sz="4" w:space="0"/>
                    <w:right w:val="single" w:color="auto" w:sz="4" w:space="0"/>
                  </w:tcBorders>
                  <w:noWrap w:val="0"/>
                  <w:vAlign w:val="center"/>
                </w:tcPr>
                <w:p w14:paraId="64187C78">
                  <w:pPr>
                    <w:pStyle w:val="75"/>
                    <w:bidi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危险特性</w:t>
                  </w:r>
                </w:p>
              </w:tc>
              <w:tc>
                <w:tcPr>
                  <w:tcW w:w="666" w:type="pct"/>
                  <w:tcBorders>
                    <w:top w:val="single" w:color="auto" w:sz="4" w:space="0"/>
                    <w:left w:val="single" w:color="auto" w:sz="4" w:space="0"/>
                    <w:bottom w:val="single" w:color="auto" w:sz="4" w:space="0"/>
                    <w:right w:val="single" w:color="auto" w:sz="4" w:space="0"/>
                  </w:tcBorders>
                  <w:noWrap w:val="0"/>
                  <w:vAlign w:val="center"/>
                </w:tcPr>
                <w:p w14:paraId="4675327B">
                  <w:pPr>
                    <w:pStyle w:val="75"/>
                    <w:bidi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污染防治措施</w:t>
                  </w:r>
                </w:p>
              </w:tc>
            </w:tr>
            <w:tr w14:paraId="08DB3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751" w:type="pct"/>
                  <w:tcBorders>
                    <w:top w:val="single" w:color="auto" w:sz="4" w:space="0"/>
                    <w:left w:val="single" w:color="auto" w:sz="4" w:space="0"/>
                    <w:bottom w:val="single" w:color="auto" w:sz="4" w:space="0"/>
                    <w:right w:val="single" w:color="auto" w:sz="4" w:space="0"/>
                  </w:tcBorders>
                  <w:noWrap w:val="0"/>
                  <w:vAlign w:val="center"/>
                </w:tcPr>
                <w:p w14:paraId="1DD6023A">
                  <w:pPr>
                    <w:jc w:val="center"/>
                    <w:rPr>
                      <w:rFonts w:hint="default" w:ascii="Times New Roman" w:hAnsi="Times New Roman" w:eastAsia="宋体" w:cs="Times New Roman"/>
                      <w:bCs/>
                      <w:color w:val="auto"/>
                      <w:sz w:val="21"/>
                      <w:szCs w:val="21"/>
                      <w:highlight w:val="none"/>
                    </w:rPr>
                  </w:pPr>
                  <w:r>
                    <w:rPr>
                      <w:rFonts w:hint="eastAsia" w:cs="宋体"/>
                      <w:color w:val="auto"/>
                      <w:highlight w:val="none"/>
                      <w:lang w:val="en-US" w:eastAsia="zh-CN"/>
                    </w:rPr>
                    <w:t>废机油</w:t>
                  </w:r>
                </w:p>
              </w:tc>
              <w:tc>
                <w:tcPr>
                  <w:tcW w:w="692" w:type="pct"/>
                  <w:tcBorders>
                    <w:top w:val="single" w:color="auto" w:sz="4" w:space="0"/>
                    <w:left w:val="single" w:color="auto" w:sz="4" w:space="0"/>
                    <w:bottom w:val="single" w:color="auto" w:sz="4" w:space="0"/>
                    <w:right w:val="single" w:color="auto" w:sz="4" w:space="0"/>
                  </w:tcBorders>
                  <w:noWrap w:val="0"/>
                  <w:vAlign w:val="center"/>
                </w:tcPr>
                <w:p w14:paraId="00D3FD14">
                  <w:pPr>
                    <w:jc w:val="center"/>
                    <w:rPr>
                      <w:rFonts w:hint="eastAsia" w:ascii="Times New Roman" w:hAnsi="Times New Roman" w:eastAsia="宋体" w:cs="Times New Roman"/>
                      <w:bCs/>
                      <w:color w:val="auto"/>
                      <w:sz w:val="21"/>
                      <w:szCs w:val="21"/>
                      <w:highlight w:val="none"/>
                      <w:lang w:eastAsia="zh-CN"/>
                    </w:rPr>
                  </w:pPr>
                  <w:r>
                    <w:rPr>
                      <w:rFonts w:ascii="Times New Roman" w:hAnsi="Times New Roman" w:eastAsia="宋体" w:cs="Times New Roman"/>
                      <w:bCs/>
                      <w:color w:val="auto"/>
                      <w:sz w:val="21"/>
                      <w:szCs w:val="21"/>
                      <w:highlight w:val="none"/>
                    </w:rPr>
                    <w:t>液态</w:t>
                  </w:r>
                </w:p>
              </w:tc>
              <w:tc>
                <w:tcPr>
                  <w:tcW w:w="692" w:type="pct"/>
                  <w:tcBorders>
                    <w:top w:val="single" w:color="auto" w:sz="4" w:space="0"/>
                    <w:left w:val="single" w:color="auto" w:sz="4" w:space="0"/>
                    <w:bottom w:val="single" w:color="auto" w:sz="4" w:space="0"/>
                    <w:right w:val="single" w:color="auto" w:sz="4" w:space="0"/>
                  </w:tcBorders>
                  <w:noWrap w:val="0"/>
                  <w:vAlign w:val="center"/>
                </w:tcPr>
                <w:p w14:paraId="71A8C698">
                  <w:pP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HW</w:t>
                  </w:r>
                  <w:r>
                    <w:rPr>
                      <w:rFonts w:hint="eastAsia" w:ascii="Times New Roman" w:hAnsi="Times New Roman" w:eastAsia="宋体" w:cs="Times New Roman"/>
                      <w:bCs/>
                      <w:color w:val="auto"/>
                      <w:sz w:val="21"/>
                      <w:szCs w:val="21"/>
                      <w:highlight w:val="none"/>
                      <w:lang w:val="en-US" w:eastAsia="zh-CN"/>
                    </w:rPr>
                    <w:t>08</w:t>
                  </w:r>
                </w:p>
              </w:tc>
              <w:tc>
                <w:tcPr>
                  <w:tcW w:w="982" w:type="pct"/>
                  <w:tcBorders>
                    <w:top w:val="single" w:color="auto" w:sz="4" w:space="0"/>
                    <w:left w:val="single" w:color="auto" w:sz="4" w:space="0"/>
                    <w:bottom w:val="single" w:color="auto" w:sz="4" w:space="0"/>
                    <w:right w:val="single" w:color="auto" w:sz="4" w:space="0"/>
                  </w:tcBorders>
                  <w:noWrap w:val="0"/>
                  <w:vAlign w:val="center"/>
                </w:tcPr>
                <w:p w14:paraId="43C56518">
                  <w:pP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900-2</w:t>
                  </w:r>
                  <w:r>
                    <w:rPr>
                      <w:rFonts w:hint="eastAsia" w:cs="Times New Roman"/>
                      <w:bCs/>
                      <w:color w:val="auto"/>
                      <w:sz w:val="21"/>
                      <w:szCs w:val="21"/>
                      <w:highlight w:val="none"/>
                      <w:lang w:val="en-US" w:eastAsia="zh-CN"/>
                    </w:rPr>
                    <w:t>14</w:t>
                  </w:r>
                  <w:r>
                    <w:rPr>
                      <w:rFonts w:hint="default" w:ascii="Times New Roman" w:hAnsi="Times New Roman" w:eastAsia="宋体" w:cs="Times New Roman"/>
                      <w:bCs/>
                      <w:color w:val="auto"/>
                      <w:sz w:val="21"/>
                      <w:szCs w:val="21"/>
                      <w:highlight w:val="none"/>
                      <w:lang w:val="en-US" w:eastAsia="zh-CN"/>
                    </w:rPr>
                    <w:t>-08</w:t>
                  </w:r>
                </w:p>
              </w:tc>
              <w:tc>
                <w:tcPr>
                  <w:tcW w:w="625" w:type="pct"/>
                  <w:tcBorders>
                    <w:top w:val="single" w:color="auto" w:sz="4" w:space="0"/>
                    <w:left w:val="single" w:color="auto" w:sz="4" w:space="0"/>
                    <w:bottom w:val="single" w:color="auto" w:sz="4" w:space="0"/>
                    <w:right w:val="single" w:color="auto" w:sz="4" w:space="0"/>
                  </w:tcBorders>
                  <w:noWrap w:val="0"/>
                  <w:vAlign w:val="center"/>
                </w:tcPr>
                <w:p w14:paraId="709B6503">
                  <w:pPr>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w:t>
                  </w:r>
                  <w:r>
                    <w:rPr>
                      <w:rFonts w:hint="eastAsia" w:ascii="Times New Roman" w:hAnsi="Times New Roman" w:cs="Times New Roman"/>
                      <w:bCs/>
                      <w:color w:val="auto"/>
                      <w:sz w:val="21"/>
                      <w:szCs w:val="21"/>
                      <w:highlight w:val="none"/>
                      <w:lang w:val="en-US" w:eastAsia="zh-CN"/>
                    </w:rPr>
                    <w:t>5</w:t>
                  </w:r>
                </w:p>
              </w:tc>
              <w:tc>
                <w:tcPr>
                  <w:tcW w:w="587" w:type="pct"/>
                  <w:tcBorders>
                    <w:top w:val="single" w:color="auto" w:sz="4" w:space="0"/>
                    <w:left w:val="single" w:color="auto" w:sz="4" w:space="0"/>
                    <w:bottom w:val="single" w:color="auto" w:sz="4" w:space="0"/>
                    <w:right w:val="single" w:color="auto" w:sz="4" w:space="0"/>
                  </w:tcBorders>
                  <w:noWrap w:val="0"/>
                  <w:vAlign w:val="center"/>
                </w:tcPr>
                <w:p w14:paraId="2D8F2C1B">
                  <w:pPr>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T，I</w:t>
                  </w:r>
                </w:p>
              </w:tc>
              <w:tc>
                <w:tcPr>
                  <w:tcW w:w="666" w:type="pct"/>
                  <w:vMerge w:val="restart"/>
                  <w:tcBorders>
                    <w:left w:val="single" w:color="auto" w:sz="4" w:space="0"/>
                    <w:right w:val="single" w:color="auto" w:sz="4" w:space="0"/>
                  </w:tcBorders>
                  <w:noWrap w:val="0"/>
                  <w:vAlign w:val="center"/>
                </w:tcPr>
                <w:p w14:paraId="3ABABF62">
                  <w:pPr>
                    <w:pStyle w:val="75"/>
                    <w:bidi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集中收集后暂存于车间内</w:t>
                  </w:r>
                  <w:r>
                    <w:rPr>
                      <w:rFonts w:hint="eastAsia" w:ascii="Times New Roman" w:hAnsi="Times New Roman" w:eastAsia="宋体" w:cs="Times New Roman"/>
                      <w:color w:val="auto"/>
                      <w:highlight w:val="none"/>
                      <w:lang w:eastAsia="zh-CN"/>
                    </w:rPr>
                    <w:t>危险废物暂存间</w:t>
                  </w:r>
                  <w:r>
                    <w:rPr>
                      <w:rFonts w:hint="default" w:ascii="Times New Roman" w:hAnsi="Times New Roman" w:eastAsia="宋体" w:cs="Times New Roman"/>
                      <w:color w:val="auto"/>
                      <w:highlight w:val="none"/>
                    </w:rPr>
                    <w:t>内，委托具有危险废物处理资质单位处置</w:t>
                  </w:r>
                </w:p>
              </w:tc>
            </w:tr>
            <w:tr w14:paraId="55B24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751" w:type="pct"/>
                  <w:tcBorders>
                    <w:top w:val="single" w:color="auto" w:sz="4" w:space="0"/>
                    <w:left w:val="single" w:color="auto" w:sz="4" w:space="0"/>
                    <w:bottom w:val="single" w:color="auto" w:sz="4" w:space="0"/>
                    <w:right w:val="single" w:color="auto" w:sz="4" w:space="0"/>
                  </w:tcBorders>
                  <w:noWrap w:val="0"/>
                  <w:vAlign w:val="center"/>
                </w:tcPr>
                <w:p w14:paraId="344C4A41">
                  <w:pPr>
                    <w:jc w:val="center"/>
                    <w:rPr>
                      <w:rFonts w:hint="eastAsia" w:cs="宋体"/>
                      <w:color w:val="auto"/>
                      <w:highlight w:val="none"/>
                      <w:lang w:val="en-US" w:eastAsia="zh-CN"/>
                    </w:rPr>
                  </w:pPr>
                  <w:r>
                    <w:rPr>
                      <w:rFonts w:hint="eastAsia" w:cs="宋体"/>
                      <w:color w:val="auto"/>
                      <w:highlight w:val="none"/>
                      <w:lang w:val="en-US" w:eastAsia="zh-CN"/>
                    </w:rPr>
                    <w:t>废液压油</w:t>
                  </w:r>
                </w:p>
              </w:tc>
              <w:tc>
                <w:tcPr>
                  <w:tcW w:w="1086" w:type="dxa"/>
                  <w:tcBorders>
                    <w:top w:val="single" w:color="auto" w:sz="4" w:space="0"/>
                    <w:left w:val="single" w:color="auto" w:sz="4" w:space="0"/>
                    <w:bottom w:val="single" w:color="auto" w:sz="4" w:space="0"/>
                    <w:right w:val="single" w:color="auto" w:sz="4" w:space="0"/>
                  </w:tcBorders>
                  <w:noWrap w:val="0"/>
                  <w:vAlign w:val="center"/>
                </w:tcPr>
                <w:p w14:paraId="6987BCE8">
                  <w:pPr>
                    <w:jc w:val="center"/>
                    <w:rPr>
                      <w:rFonts w:ascii="Times New Roman" w:hAnsi="Times New Roman" w:eastAsia="宋体" w:cs="Times New Roman"/>
                      <w:bCs/>
                      <w:color w:val="auto"/>
                      <w:sz w:val="21"/>
                      <w:szCs w:val="21"/>
                      <w:highlight w:val="none"/>
                    </w:rPr>
                  </w:pPr>
                  <w:r>
                    <w:rPr>
                      <w:rFonts w:ascii="Times New Roman" w:hAnsi="Times New Roman" w:eastAsia="宋体" w:cs="Times New Roman"/>
                      <w:bCs/>
                      <w:color w:val="auto"/>
                      <w:sz w:val="21"/>
                      <w:szCs w:val="21"/>
                      <w:highlight w:val="none"/>
                    </w:rPr>
                    <w:t>液态</w:t>
                  </w:r>
                </w:p>
              </w:tc>
              <w:tc>
                <w:tcPr>
                  <w:tcW w:w="1086" w:type="dxa"/>
                  <w:tcBorders>
                    <w:top w:val="single" w:color="auto" w:sz="4" w:space="0"/>
                    <w:left w:val="single" w:color="auto" w:sz="4" w:space="0"/>
                    <w:bottom w:val="single" w:color="auto" w:sz="4" w:space="0"/>
                    <w:right w:val="single" w:color="auto" w:sz="4" w:space="0"/>
                  </w:tcBorders>
                  <w:noWrap w:val="0"/>
                  <w:vAlign w:val="center"/>
                </w:tcPr>
                <w:p w14:paraId="019F2BCE">
                  <w:pP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HW</w:t>
                  </w:r>
                  <w:r>
                    <w:rPr>
                      <w:rFonts w:hint="eastAsia" w:ascii="Times New Roman" w:hAnsi="Times New Roman" w:eastAsia="宋体" w:cs="Times New Roman"/>
                      <w:bCs/>
                      <w:color w:val="auto"/>
                      <w:sz w:val="21"/>
                      <w:szCs w:val="21"/>
                      <w:highlight w:val="none"/>
                      <w:lang w:val="en-US" w:eastAsia="zh-CN"/>
                    </w:rPr>
                    <w:t>08</w:t>
                  </w:r>
                </w:p>
              </w:tc>
              <w:tc>
                <w:tcPr>
                  <w:tcW w:w="1540" w:type="dxa"/>
                  <w:tcBorders>
                    <w:top w:val="single" w:color="auto" w:sz="4" w:space="0"/>
                    <w:left w:val="single" w:color="auto" w:sz="4" w:space="0"/>
                    <w:bottom w:val="single" w:color="auto" w:sz="4" w:space="0"/>
                    <w:right w:val="single" w:color="auto" w:sz="4" w:space="0"/>
                  </w:tcBorders>
                  <w:noWrap w:val="0"/>
                  <w:vAlign w:val="center"/>
                </w:tcPr>
                <w:p w14:paraId="6F327719">
                  <w:pP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900-2</w:t>
                  </w:r>
                  <w:r>
                    <w:rPr>
                      <w:rFonts w:hint="eastAsia" w:cs="Times New Roman"/>
                      <w:bCs/>
                      <w:color w:val="auto"/>
                      <w:sz w:val="21"/>
                      <w:szCs w:val="21"/>
                      <w:highlight w:val="none"/>
                      <w:lang w:val="en-US" w:eastAsia="zh-CN"/>
                    </w:rPr>
                    <w:t>18</w:t>
                  </w:r>
                  <w:r>
                    <w:rPr>
                      <w:rFonts w:hint="default" w:ascii="Times New Roman" w:hAnsi="Times New Roman" w:eastAsia="宋体" w:cs="Times New Roman"/>
                      <w:bCs/>
                      <w:color w:val="auto"/>
                      <w:sz w:val="21"/>
                      <w:szCs w:val="21"/>
                      <w:highlight w:val="none"/>
                      <w:lang w:val="en-US" w:eastAsia="zh-CN"/>
                    </w:rPr>
                    <w:t>-08</w:t>
                  </w:r>
                </w:p>
              </w:tc>
              <w:tc>
                <w:tcPr>
                  <w:tcW w:w="981" w:type="dxa"/>
                  <w:tcBorders>
                    <w:top w:val="single" w:color="auto" w:sz="4" w:space="0"/>
                    <w:left w:val="single" w:color="auto" w:sz="4" w:space="0"/>
                    <w:bottom w:val="single" w:color="auto" w:sz="4" w:space="0"/>
                    <w:right w:val="single" w:color="auto" w:sz="4" w:space="0"/>
                  </w:tcBorders>
                  <w:noWrap w:val="0"/>
                  <w:vAlign w:val="center"/>
                </w:tcPr>
                <w:p w14:paraId="5008A81D">
                  <w:pPr>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w:t>
                  </w:r>
                  <w:r>
                    <w:rPr>
                      <w:rFonts w:hint="eastAsia" w:ascii="Times New Roman" w:hAnsi="Times New Roman" w:cs="Times New Roman"/>
                      <w:bCs/>
                      <w:color w:val="auto"/>
                      <w:sz w:val="21"/>
                      <w:szCs w:val="21"/>
                      <w:highlight w:val="none"/>
                      <w:lang w:val="en-US" w:eastAsia="zh-CN"/>
                    </w:rPr>
                    <w:t>5</w:t>
                  </w:r>
                </w:p>
              </w:tc>
              <w:tc>
                <w:tcPr>
                  <w:tcW w:w="921" w:type="dxa"/>
                  <w:tcBorders>
                    <w:top w:val="single" w:color="auto" w:sz="4" w:space="0"/>
                    <w:left w:val="single" w:color="auto" w:sz="4" w:space="0"/>
                    <w:bottom w:val="single" w:color="auto" w:sz="4" w:space="0"/>
                    <w:right w:val="single" w:color="auto" w:sz="4" w:space="0"/>
                  </w:tcBorders>
                  <w:noWrap w:val="0"/>
                  <w:vAlign w:val="center"/>
                </w:tcPr>
                <w:p w14:paraId="1892D382">
                  <w:pPr>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T，I</w:t>
                  </w:r>
                </w:p>
              </w:tc>
              <w:tc>
                <w:tcPr>
                  <w:tcW w:w="666" w:type="pct"/>
                  <w:vMerge w:val="continue"/>
                  <w:tcBorders>
                    <w:left w:val="single" w:color="auto" w:sz="4" w:space="0"/>
                    <w:right w:val="single" w:color="auto" w:sz="4" w:space="0"/>
                  </w:tcBorders>
                  <w:noWrap w:val="0"/>
                  <w:vAlign w:val="center"/>
                </w:tcPr>
                <w:p w14:paraId="5302757B">
                  <w:pPr>
                    <w:pStyle w:val="75"/>
                    <w:bidi w:val="0"/>
                    <w:jc w:val="center"/>
                    <w:rPr>
                      <w:rFonts w:hint="default" w:ascii="Times New Roman" w:hAnsi="Times New Roman" w:eastAsia="宋体" w:cs="Times New Roman"/>
                      <w:color w:val="auto"/>
                      <w:highlight w:val="none"/>
                    </w:rPr>
                  </w:pPr>
                </w:p>
              </w:tc>
            </w:tr>
            <w:tr w14:paraId="209B2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751" w:type="pct"/>
                  <w:tcBorders>
                    <w:top w:val="single" w:color="auto" w:sz="4" w:space="0"/>
                    <w:left w:val="single" w:color="auto" w:sz="4" w:space="0"/>
                    <w:bottom w:val="single" w:color="auto" w:sz="4" w:space="0"/>
                    <w:right w:val="single" w:color="auto" w:sz="4" w:space="0"/>
                  </w:tcBorders>
                  <w:noWrap w:val="0"/>
                  <w:vAlign w:val="center"/>
                </w:tcPr>
                <w:p w14:paraId="70DE0237">
                  <w:pPr>
                    <w:jc w:val="center"/>
                    <w:rPr>
                      <w:rFonts w:hint="default" w:ascii="Times New Roman" w:hAnsi="Times New Roman" w:eastAsia="宋体" w:cs="Times New Roman"/>
                      <w:bCs/>
                      <w:color w:val="auto"/>
                      <w:sz w:val="21"/>
                      <w:szCs w:val="21"/>
                      <w:highlight w:val="none"/>
                    </w:rPr>
                  </w:pPr>
                  <w:r>
                    <w:rPr>
                      <w:rFonts w:hint="eastAsia" w:cs="宋体"/>
                      <w:color w:val="auto"/>
                      <w:highlight w:val="none"/>
                      <w:lang w:val="en-US" w:eastAsia="zh-CN"/>
                    </w:rPr>
                    <w:t>废油桶</w:t>
                  </w:r>
                </w:p>
              </w:tc>
              <w:tc>
                <w:tcPr>
                  <w:tcW w:w="692" w:type="pct"/>
                  <w:tcBorders>
                    <w:top w:val="single" w:color="auto" w:sz="4" w:space="0"/>
                    <w:left w:val="single" w:color="auto" w:sz="4" w:space="0"/>
                    <w:bottom w:val="single" w:color="auto" w:sz="4" w:space="0"/>
                    <w:right w:val="single" w:color="auto" w:sz="4" w:space="0"/>
                  </w:tcBorders>
                  <w:noWrap w:val="0"/>
                  <w:vAlign w:val="center"/>
                </w:tcPr>
                <w:p w14:paraId="467C6BBF">
                  <w:pPr>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eastAsia="zh-CN"/>
                    </w:rPr>
                    <w:t>固态</w:t>
                  </w:r>
                  <w:r>
                    <w:rPr>
                      <w:rFonts w:hint="eastAsia" w:cs="Times New Roman"/>
                      <w:bCs/>
                      <w:color w:val="auto"/>
                      <w:sz w:val="21"/>
                      <w:szCs w:val="21"/>
                      <w:highlight w:val="none"/>
                      <w:lang w:val="en-US" w:eastAsia="zh-CN"/>
                    </w:rPr>
                    <w:t>n</w:t>
                  </w:r>
                </w:p>
              </w:tc>
              <w:tc>
                <w:tcPr>
                  <w:tcW w:w="692" w:type="pct"/>
                  <w:tcBorders>
                    <w:top w:val="single" w:color="auto" w:sz="4" w:space="0"/>
                    <w:left w:val="single" w:color="auto" w:sz="4" w:space="0"/>
                    <w:bottom w:val="single" w:color="auto" w:sz="4" w:space="0"/>
                    <w:right w:val="single" w:color="auto" w:sz="4" w:space="0"/>
                  </w:tcBorders>
                  <w:noWrap w:val="0"/>
                  <w:vAlign w:val="center"/>
                </w:tcPr>
                <w:p w14:paraId="70F9B36B">
                  <w:pP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HW</w:t>
                  </w:r>
                  <w:r>
                    <w:rPr>
                      <w:rFonts w:hint="eastAsia" w:ascii="Times New Roman" w:hAnsi="Times New Roman" w:eastAsia="宋体" w:cs="Times New Roman"/>
                      <w:bCs/>
                      <w:color w:val="auto"/>
                      <w:sz w:val="21"/>
                      <w:szCs w:val="21"/>
                      <w:highlight w:val="none"/>
                      <w:lang w:val="en-US" w:eastAsia="zh-CN"/>
                    </w:rPr>
                    <w:t>08</w:t>
                  </w:r>
                </w:p>
              </w:tc>
              <w:tc>
                <w:tcPr>
                  <w:tcW w:w="982" w:type="pct"/>
                  <w:tcBorders>
                    <w:top w:val="single" w:color="auto" w:sz="4" w:space="0"/>
                    <w:left w:val="single" w:color="auto" w:sz="4" w:space="0"/>
                    <w:bottom w:val="single" w:color="auto" w:sz="4" w:space="0"/>
                    <w:right w:val="single" w:color="auto" w:sz="4" w:space="0"/>
                  </w:tcBorders>
                  <w:noWrap w:val="0"/>
                  <w:vAlign w:val="center"/>
                </w:tcPr>
                <w:p w14:paraId="6ABC37A6">
                  <w:pPr>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900-249-08</w:t>
                  </w:r>
                </w:p>
              </w:tc>
              <w:tc>
                <w:tcPr>
                  <w:tcW w:w="625" w:type="pct"/>
                  <w:tcBorders>
                    <w:top w:val="single" w:color="auto" w:sz="4" w:space="0"/>
                    <w:left w:val="single" w:color="auto" w:sz="4" w:space="0"/>
                    <w:bottom w:val="single" w:color="auto" w:sz="4" w:space="0"/>
                    <w:right w:val="single" w:color="auto" w:sz="4" w:space="0"/>
                  </w:tcBorders>
                  <w:noWrap w:val="0"/>
                  <w:vAlign w:val="center"/>
                </w:tcPr>
                <w:p w14:paraId="2C8D3FE1">
                  <w:pPr>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w:t>
                  </w:r>
                  <w:r>
                    <w:rPr>
                      <w:rFonts w:hint="eastAsia" w:ascii="Times New Roman" w:hAnsi="Times New Roman" w:cs="Times New Roman"/>
                      <w:bCs/>
                      <w:color w:val="auto"/>
                      <w:sz w:val="21"/>
                      <w:szCs w:val="21"/>
                      <w:highlight w:val="none"/>
                      <w:lang w:val="en-US" w:eastAsia="zh-CN"/>
                    </w:rPr>
                    <w:t>2</w:t>
                  </w:r>
                </w:p>
              </w:tc>
              <w:tc>
                <w:tcPr>
                  <w:tcW w:w="587" w:type="pct"/>
                  <w:tcBorders>
                    <w:top w:val="single" w:color="auto" w:sz="4" w:space="0"/>
                    <w:left w:val="single" w:color="auto" w:sz="4" w:space="0"/>
                    <w:bottom w:val="single" w:color="auto" w:sz="4" w:space="0"/>
                    <w:right w:val="single" w:color="auto" w:sz="4" w:space="0"/>
                  </w:tcBorders>
                  <w:noWrap w:val="0"/>
                  <w:vAlign w:val="center"/>
                </w:tcPr>
                <w:p w14:paraId="12CB6363">
                  <w:pPr>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T，I</w:t>
                  </w:r>
                </w:p>
              </w:tc>
              <w:tc>
                <w:tcPr>
                  <w:tcW w:w="666" w:type="pct"/>
                  <w:vMerge w:val="continue"/>
                  <w:tcBorders>
                    <w:left w:val="single" w:color="auto" w:sz="4" w:space="0"/>
                    <w:right w:val="single" w:color="auto" w:sz="4" w:space="0"/>
                  </w:tcBorders>
                  <w:noWrap w:val="0"/>
                  <w:vAlign w:val="center"/>
                </w:tcPr>
                <w:p w14:paraId="3B7A7537">
                  <w:pPr>
                    <w:pStyle w:val="75"/>
                    <w:bidi w:val="0"/>
                    <w:jc w:val="center"/>
                    <w:rPr>
                      <w:rFonts w:hint="default" w:ascii="Times New Roman" w:hAnsi="Times New Roman" w:eastAsia="宋体" w:cs="Times New Roman"/>
                      <w:color w:val="auto"/>
                      <w:highlight w:val="none"/>
                    </w:rPr>
                  </w:pPr>
                </w:p>
              </w:tc>
            </w:tr>
            <w:tr w14:paraId="57F31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85" w:hRule="atLeast"/>
                <w:jc w:val="center"/>
              </w:trPr>
              <w:tc>
                <w:tcPr>
                  <w:tcW w:w="751" w:type="pct"/>
                  <w:tcBorders>
                    <w:top w:val="single" w:color="auto" w:sz="4" w:space="0"/>
                    <w:left w:val="single" w:color="auto" w:sz="4" w:space="0"/>
                    <w:bottom w:val="single" w:color="auto" w:sz="4" w:space="0"/>
                    <w:right w:val="single" w:color="auto" w:sz="4" w:space="0"/>
                  </w:tcBorders>
                  <w:noWrap w:val="0"/>
                  <w:vAlign w:val="center"/>
                </w:tcPr>
                <w:p w14:paraId="58A9A0C8">
                  <w:pPr>
                    <w:jc w:val="center"/>
                    <w:rPr>
                      <w:rFonts w:hint="eastAsia" w:ascii="Times New Roman" w:hAnsi="Times New Roman" w:eastAsia="宋体" w:cs="Times New Roman"/>
                      <w:bCs/>
                      <w:color w:val="auto"/>
                      <w:sz w:val="21"/>
                      <w:szCs w:val="21"/>
                      <w:highlight w:val="none"/>
                    </w:rPr>
                  </w:pPr>
                  <w:r>
                    <w:rPr>
                      <w:rFonts w:hint="eastAsia" w:cs="宋体"/>
                      <w:color w:val="auto"/>
                      <w:highlight w:val="none"/>
                      <w:lang w:val="en-US" w:eastAsia="zh-CN"/>
                    </w:rPr>
                    <w:t>废含油抹布、劳保用品</w:t>
                  </w:r>
                </w:p>
              </w:tc>
              <w:tc>
                <w:tcPr>
                  <w:tcW w:w="692" w:type="pct"/>
                  <w:tcBorders>
                    <w:top w:val="single" w:color="auto" w:sz="4" w:space="0"/>
                    <w:left w:val="single" w:color="auto" w:sz="4" w:space="0"/>
                    <w:bottom w:val="single" w:color="auto" w:sz="4" w:space="0"/>
                    <w:right w:val="single" w:color="auto" w:sz="4" w:space="0"/>
                  </w:tcBorders>
                  <w:noWrap w:val="0"/>
                  <w:vAlign w:val="center"/>
                </w:tcPr>
                <w:p w14:paraId="0545A3A9">
                  <w:pPr>
                    <w:jc w:val="center"/>
                    <w:rPr>
                      <w:rFonts w:hint="eastAsia" w:ascii="Times New Roman" w:hAnsi="Times New Roman" w:eastAsia="宋体" w:cs="Times New Roman"/>
                      <w:bCs/>
                      <w:color w:val="auto"/>
                      <w:sz w:val="21"/>
                      <w:szCs w:val="21"/>
                      <w:highlight w:val="none"/>
                      <w:lang w:eastAsia="zh-CN"/>
                    </w:rPr>
                  </w:pPr>
                  <w:r>
                    <w:rPr>
                      <w:rFonts w:hint="eastAsia" w:ascii="Times New Roman" w:hAnsi="Times New Roman" w:eastAsia="宋体" w:cs="Times New Roman"/>
                      <w:bCs/>
                      <w:color w:val="auto"/>
                      <w:sz w:val="21"/>
                      <w:szCs w:val="21"/>
                      <w:highlight w:val="none"/>
                      <w:lang w:eastAsia="zh-CN"/>
                    </w:rPr>
                    <w:t>固态</w:t>
                  </w:r>
                </w:p>
              </w:tc>
              <w:tc>
                <w:tcPr>
                  <w:tcW w:w="692" w:type="pct"/>
                  <w:tcBorders>
                    <w:top w:val="single" w:color="auto" w:sz="4" w:space="0"/>
                    <w:left w:val="single" w:color="auto" w:sz="4" w:space="0"/>
                    <w:bottom w:val="single" w:color="auto" w:sz="4" w:space="0"/>
                    <w:right w:val="single" w:color="auto" w:sz="4" w:space="0"/>
                  </w:tcBorders>
                  <w:noWrap w:val="0"/>
                  <w:vAlign w:val="center"/>
                </w:tcPr>
                <w:p w14:paraId="01E4905B">
                  <w:pP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HW49</w:t>
                  </w:r>
                </w:p>
              </w:tc>
              <w:tc>
                <w:tcPr>
                  <w:tcW w:w="982" w:type="pct"/>
                  <w:tcBorders>
                    <w:top w:val="single" w:color="auto" w:sz="4" w:space="0"/>
                    <w:left w:val="single" w:color="auto" w:sz="4" w:space="0"/>
                    <w:bottom w:val="single" w:color="auto" w:sz="4" w:space="0"/>
                    <w:right w:val="single" w:color="auto" w:sz="4" w:space="0"/>
                  </w:tcBorders>
                  <w:noWrap w:val="0"/>
                  <w:vAlign w:val="center"/>
                </w:tcPr>
                <w:p w14:paraId="720B2079">
                  <w:pPr>
                    <w:jc w:val="center"/>
                    <w:rPr>
                      <w:rFonts w:hint="eastAsia"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900-041-49</w:t>
                  </w:r>
                </w:p>
              </w:tc>
              <w:tc>
                <w:tcPr>
                  <w:tcW w:w="625" w:type="pct"/>
                  <w:tcBorders>
                    <w:top w:val="single" w:color="auto" w:sz="4" w:space="0"/>
                    <w:left w:val="single" w:color="auto" w:sz="4" w:space="0"/>
                    <w:bottom w:val="single" w:color="auto" w:sz="4" w:space="0"/>
                    <w:right w:val="single" w:color="auto" w:sz="4" w:space="0"/>
                  </w:tcBorders>
                  <w:noWrap w:val="0"/>
                  <w:vAlign w:val="center"/>
                </w:tcPr>
                <w:p w14:paraId="2A91E1A4">
                  <w:pPr>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w:t>
                  </w:r>
                  <w:r>
                    <w:rPr>
                      <w:rFonts w:hint="eastAsia" w:ascii="Times New Roman" w:hAnsi="Times New Roman" w:cs="Times New Roman"/>
                      <w:bCs/>
                      <w:color w:val="auto"/>
                      <w:sz w:val="21"/>
                      <w:szCs w:val="21"/>
                      <w:highlight w:val="none"/>
                      <w:lang w:val="en-US" w:eastAsia="zh-CN"/>
                    </w:rPr>
                    <w:t>2</w:t>
                  </w:r>
                </w:p>
              </w:tc>
              <w:tc>
                <w:tcPr>
                  <w:tcW w:w="587" w:type="pct"/>
                  <w:tcBorders>
                    <w:top w:val="single" w:color="auto" w:sz="4" w:space="0"/>
                    <w:left w:val="single" w:color="auto" w:sz="4" w:space="0"/>
                    <w:bottom w:val="single" w:color="auto" w:sz="4" w:space="0"/>
                    <w:right w:val="single" w:color="auto" w:sz="4" w:space="0"/>
                  </w:tcBorders>
                  <w:noWrap w:val="0"/>
                  <w:vAlign w:val="center"/>
                </w:tcPr>
                <w:p w14:paraId="61249EB2">
                  <w:pPr>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T/In</w:t>
                  </w:r>
                </w:p>
              </w:tc>
              <w:tc>
                <w:tcPr>
                  <w:tcW w:w="666" w:type="pct"/>
                  <w:vMerge w:val="continue"/>
                  <w:tcBorders>
                    <w:left w:val="single" w:color="auto" w:sz="4" w:space="0"/>
                    <w:right w:val="single" w:color="auto" w:sz="4" w:space="0"/>
                  </w:tcBorders>
                  <w:noWrap w:val="0"/>
                  <w:vAlign w:val="center"/>
                </w:tcPr>
                <w:p w14:paraId="390764CA">
                  <w:pPr>
                    <w:pStyle w:val="75"/>
                    <w:bidi w:val="0"/>
                    <w:jc w:val="center"/>
                    <w:rPr>
                      <w:rFonts w:hint="default" w:ascii="Times New Roman" w:hAnsi="Times New Roman" w:eastAsia="宋体" w:cs="Times New Roman"/>
                      <w:color w:val="auto"/>
                      <w:highlight w:val="none"/>
                    </w:rPr>
                  </w:pPr>
                </w:p>
              </w:tc>
            </w:tr>
          </w:tbl>
          <w:p w14:paraId="11819D22">
            <w:pPr>
              <w:pStyle w:val="143"/>
              <w:keepNext w:val="0"/>
              <w:keepLines w:val="0"/>
              <w:pageBreakBefore w:val="0"/>
              <w:widowControl w:val="0"/>
              <w:kinsoku/>
              <w:wordWrap/>
              <w:overflowPunct/>
              <w:topLinePunct w:val="0"/>
              <w:autoSpaceDE/>
              <w:autoSpaceDN/>
              <w:bidi w:val="0"/>
              <w:adjustRightInd/>
              <w:snapToGrid/>
              <w:spacing w:before="313" w:beforeLines="100"/>
              <w:ind w:firstLine="31680"/>
              <w:textAlignment w:val="auto"/>
              <w:rPr>
                <w:rFonts w:hint="default" w:ascii="Times New Roman" w:hAnsi="Times New Roman" w:eastAsia="宋体" w:cs="Times New Roman"/>
                <w:color w:val="auto"/>
                <w:highlight w:val="none"/>
              </w:rPr>
            </w:pPr>
            <w:r>
              <w:rPr>
                <w:rFonts w:hint="eastAsia" w:ascii="Times New Roman" w:hAnsi="Times New Roman" w:cs="Times New Roman"/>
                <w:color w:val="auto"/>
                <w:highlight w:val="none"/>
                <w:lang w:val="en-US" w:eastAsia="zh-CN"/>
              </w:rPr>
              <w:t>（2）</w:t>
            </w:r>
            <w:r>
              <w:rPr>
                <w:rFonts w:hint="default" w:ascii="Times New Roman" w:hAnsi="Times New Roman" w:eastAsia="宋体" w:cs="Times New Roman"/>
                <w:color w:val="auto"/>
                <w:highlight w:val="none"/>
              </w:rPr>
              <w:t>按照危险固废处置的有关规定，对属于国家规定危险废物之列的固体废物，必须委托有资质单位进行妥善处理。外运时需要严格按照《危险废物转移联单管理办法》的相关规定报批危险废物转移计划，应做到不沿途抛洒；因此，必须加强对固体废弃物的管理，确保各类固体废弃物的妥善处置，固体废弃物贮存场所所应有明显的标志，并有防雨、防晒等设施。</w:t>
            </w:r>
          </w:p>
          <w:p w14:paraId="7159391D">
            <w:pPr>
              <w:pStyle w:val="143"/>
              <w:ind w:firstLine="31680"/>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eastAsia="zh-CN"/>
              </w:rPr>
              <w:t>本项目设置</w:t>
            </w:r>
            <w:r>
              <w:rPr>
                <w:rFonts w:hint="default" w:ascii="Times New Roman" w:hAnsi="Times New Roman" w:eastAsia="宋体" w:cs="Times New Roman"/>
                <w:color w:val="auto"/>
                <w:highlight w:val="none"/>
              </w:rPr>
              <w:t>危险废物暂存</w:t>
            </w:r>
            <w:r>
              <w:rPr>
                <w:rFonts w:hint="eastAsia" w:ascii="Times New Roman" w:hAnsi="Times New Roman" w:eastAsia="宋体" w:cs="Times New Roman"/>
                <w:color w:val="auto"/>
                <w:highlight w:val="none"/>
                <w:lang w:eastAsia="zh-CN"/>
              </w:rPr>
              <w:t>间（</w:t>
            </w:r>
            <w:r>
              <w:rPr>
                <w:rFonts w:hint="eastAsia" w:ascii="Times New Roman" w:hAnsi="Times New Roman" w:eastAsia="宋体" w:cs="Times New Roman"/>
                <w:color w:val="auto"/>
                <w:highlight w:val="none"/>
                <w:lang w:val="en-US" w:eastAsia="zh-CN"/>
              </w:rPr>
              <w:t>10m</w:t>
            </w:r>
            <w:r>
              <w:rPr>
                <w:rFonts w:hint="eastAsia" w:ascii="Times New Roman" w:hAnsi="Times New Roman" w:eastAsia="宋体" w:cs="Times New Roman"/>
                <w:color w:val="auto"/>
                <w:highlight w:val="none"/>
                <w:vertAlign w:val="superscript"/>
                <w:lang w:val="en-US" w:eastAsia="zh-CN"/>
              </w:rPr>
              <w:t>2</w:t>
            </w:r>
            <w:r>
              <w:rPr>
                <w:rFonts w:hint="eastAsia" w:ascii="Times New Roman" w:hAnsi="Times New Roman" w:eastAsia="宋体" w:cs="Times New Roman"/>
                <w:color w:val="auto"/>
                <w:highlight w:val="none"/>
                <w:lang w:eastAsia="zh-CN"/>
              </w:rPr>
              <w:t>），位于生产车间内</w:t>
            </w:r>
            <w:r>
              <w:rPr>
                <w:rFonts w:hint="eastAsia" w:ascii="Times New Roman" w:hAnsi="Times New Roman" w:cs="Times New Roman"/>
                <w:color w:val="auto"/>
                <w:highlight w:val="none"/>
                <w:lang w:eastAsia="zh-CN"/>
              </w:rPr>
              <w:t>西侧</w:t>
            </w:r>
            <w:r>
              <w:rPr>
                <w:rFonts w:hint="eastAsia" w:ascii="Times New Roman" w:hAnsi="Times New Roman" w:eastAsia="宋体" w:cs="Times New Roman"/>
                <w:color w:val="auto"/>
                <w:highlight w:val="none"/>
                <w:lang w:eastAsia="zh-CN"/>
              </w:rPr>
              <w:t>，产生的废机油</w:t>
            </w:r>
            <w:r>
              <w:rPr>
                <w:rFonts w:hint="eastAsia" w:ascii="Times New Roman" w:hAnsi="Times New Roman" w:cs="Times New Roman"/>
                <w:color w:val="auto"/>
                <w:highlight w:val="none"/>
                <w:lang w:eastAsia="zh-CN"/>
              </w:rPr>
              <w:t>、废液压油、</w:t>
            </w:r>
            <w:r>
              <w:rPr>
                <w:rFonts w:hint="eastAsia" w:ascii="Times New Roman" w:hAnsi="Times New Roman" w:eastAsia="宋体" w:cs="Times New Roman"/>
                <w:color w:val="auto"/>
                <w:highlight w:val="none"/>
                <w:lang w:eastAsia="zh-CN"/>
              </w:rPr>
              <w:t>废油桶</w:t>
            </w:r>
            <w:r>
              <w:rPr>
                <w:rFonts w:hint="eastAsia" w:ascii="Times New Roman" w:hAnsi="Times New Roman" w:cs="Times New Roman"/>
                <w:color w:val="auto"/>
                <w:highlight w:val="none"/>
                <w:lang w:eastAsia="zh-CN"/>
              </w:rPr>
              <w:t>、</w:t>
            </w:r>
            <w:r>
              <w:rPr>
                <w:rFonts w:hint="eastAsia" w:ascii="Times New Roman" w:hAnsi="Times New Roman" w:eastAsia="宋体" w:cs="Times New Roman"/>
                <w:color w:val="auto"/>
                <w:highlight w:val="none"/>
                <w:lang w:eastAsia="zh-CN"/>
              </w:rPr>
              <w:t>废含油抹</w:t>
            </w:r>
            <w:r>
              <w:rPr>
                <w:rFonts w:hint="eastAsia" w:ascii="Times New Roman" w:hAnsi="Times New Roman" w:cs="Times New Roman"/>
                <w:color w:val="auto"/>
                <w:highlight w:val="none"/>
                <w:lang w:eastAsia="zh-CN"/>
              </w:rPr>
              <w:t>、劳保用品</w:t>
            </w:r>
            <w:r>
              <w:rPr>
                <w:rFonts w:hint="default" w:ascii="Times New Roman" w:hAnsi="Times New Roman" w:eastAsia="宋体" w:cs="Times New Roman"/>
                <w:color w:val="auto"/>
                <w:highlight w:val="none"/>
              </w:rPr>
              <w:t>集中收集后暂存于车间内</w:t>
            </w:r>
            <w:r>
              <w:rPr>
                <w:rFonts w:hint="eastAsia" w:ascii="Times New Roman" w:hAnsi="Times New Roman" w:eastAsia="宋体" w:cs="Times New Roman"/>
                <w:color w:val="auto"/>
                <w:highlight w:val="none"/>
                <w:lang w:eastAsia="zh-CN"/>
              </w:rPr>
              <w:t>危险废物暂存间</w:t>
            </w:r>
            <w:r>
              <w:rPr>
                <w:rFonts w:hint="default" w:ascii="Times New Roman" w:hAnsi="Times New Roman" w:eastAsia="宋体" w:cs="Times New Roman"/>
                <w:color w:val="auto"/>
                <w:highlight w:val="none"/>
              </w:rPr>
              <w:t>内，委托具有危险废物处理资质单位处置</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应按照《危险废物贮存污染物控制标准》（GB18597-2023）的规定设置，具体要求如下：</w:t>
            </w:r>
          </w:p>
          <w:p w14:paraId="03614F7E">
            <w:pPr>
              <w:pStyle w:val="143"/>
              <w:ind w:firstLine="3168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根据《国家危险废物名录》，本项目生产过程中产生的废机油</w:t>
            </w:r>
            <w:r>
              <w:rPr>
                <w:rFonts w:hint="eastAsia" w:ascii="Times New Roman" w:hAnsi="Times New Roman" w:cs="Times New Roman"/>
                <w:color w:val="auto"/>
                <w:highlight w:val="none"/>
                <w:lang w:val="en-US" w:eastAsia="zh-CN"/>
              </w:rPr>
              <w:t>、废液压油、</w:t>
            </w:r>
            <w:r>
              <w:rPr>
                <w:rFonts w:hint="default" w:ascii="Times New Roman" w:hAnsi="Times New Roman" w:eastAsia="宋体" w:cs="Times New Roman"/>
                <w:color w:val="auto"/>
                <w:highlight w:val="none"/>
              </w:rPr>
              <w:t>废油桶</w:t>
            </w:r>
            <w:r>
              <w:rPr>
                <w:rFonts w:hint="eastAsia" w:ascii="Times New Roman" w:hAnsi="Times New Roman" w:cs="Times New Roman"/>
                <w:color w:val="auto"/>
                <w:highlight w:val="none"/>
                <w:lang w:eastAsia="zh-CN"/>
              </w:rPr>
              <w:t>、</w:t>
            </w:r>
            <w:r>
              <w:rPr>
                <w:rFonts w:hint="default" w:ascii="Times New Roman" w:hAnsi="Times New Roman" w:eastAsia="宋体" w:cs="Times New Roman"/>
                <w:color w:val="auto"/>
                <w:highlight w:val="none"/>
              </w:rPr>
              <w:t>废含油抹布、劳保用品等属危险废物，在厂内贮存按《危险废物贮存污染控制标准》（GB18597-2023）要求建立</w:t>
            </w:r>
            <w:r>
              <w:rPr>
                <w:rFonts w:hint="eastAsia" w:ascii="Times New Roman" w:hAnsi="Times New Roman" w:cs="Times New Roman"/>
                <w:color w:val="auto"/>
                <w:highlight w:val="none"/>
                <w:lang w:eastAsia="zh-CN"/>
              </w:rPr>
              <w:t>危险废物暂存间</w:t>
            </w:r>
            <w:r>
              <w:rPr>
                <w:rFonts w:hint="default" w:ascii="Times New Roman" w:hAnsi="Times New Roman" w:eastAsia="宋体" w:cs="Times New Roman"/>
                <w:color w:val="auto"/>
                <w:highlight w:val="none"/>
              </w:rPr>
              <w:t>，建设要求如下：①基础必须防渗，防渗层为至少1米厚粘土层渗透系数≤10</w:t>
            </w:r>
            <w:r>
              <w:rPr>
                <w:rFonts w:hint="default" w:ascii="Times New Roman" w:hAnsi="Times New Roman" w:eastAsia="宋体" w:cs="Times New Roman"/>
                <w:color w:val="auto"/>
                <w:highlight w:val="none"/>
                <w:vertAlign w:val="superscript"/>
              </w:rPr>
              <w:t>-7</w:t>
            </w:r>
            <w:r>
              <w:rPr>
                <w:rFonts w:hint="default" w:ascii="Times New Roman" w:hAnsi="Times New Roman" w:eastAsia="宋体" w:cs="Times New Roman"/>
                <w:color w:val="auto"/>
                <w:highlight w:val="none"/>
              </w:rPr>
              <w:t>cm/s或2mm高密度聚乙烯，或至少2mm其它人工材料</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渗透系数≤10</w:t>
            </w:r>
            <w:r>
              <w:rPr>
                <w:rFonts w:hint="default" w:ascii="Times New Roman" w:hAnsi="Times New Roman" w:eastAsia="宋体" w:cs="Times New Roman"/>
                <w:color w:val="auto"/>
                <w:highlight w:val="none"/>
                <w:vertAlign w:val="superscript"/>
              </w:rPr>
              <w:t>-10</w:t>
            </w:r>
            <w:r>
              <w:rPr>
                <w:rFonts w:hint="default" w:ascii="Times New Roman" w:hAnsi="Times New Roman" w:eastAsia="宋体" w:cs="Times New Roman"/>
                <w:color w:val="auto"/>
                <w:highlight w:val="none"/>
              </w:rPr>
              <w:t>cm/s。</w:t>
            </w:r>
          </w:p>
          <w:p w14:paraId="20B381BB">
            <w:pPr>
              <w:pStyle w:val="143"/>
              <w:ind w:firstLine="3168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②堆放危险废物的高度应根据地面承载能力确定。</w:t>
            </w:r>
          </w:p>
          <w:p w14:paraId="77B28F82">
            <w:pPr>
              <w:pStyle w:val="143"/>
              <w:ind w:firstLine="3168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③衬里放在一个基础或底座上。</w:t>
            </w:r>
          </w:p>
          <w:p w14:paraId="77814C64">
            <w:pPr>
              <w:pStyle w:val="143"/>
              <w:ind w:firstLine="316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④衬里要能够覆盖危险废物或其溶出物可能涉及到的范围。</w:t>
            </w:r>
          </w:p>
          <w:p w14:paraId="537C8B49">
            <w:pPr>
              <w:pStyle w:val="143"/>
              <w:ind w:firstLine="3168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⑤衬里材料与堆放危险废物相容。</w:t>
            </w:r>
          </w:p>
          <w:p w14:paraId="6ACA32A5">
            <w:pPr>
              <w:pStyle w:val="143"/>
              <w:ind w:firstLine="3168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⑥在衬里上设计、建造浸出液收集清除系统。</w:t>
            </w:r>
          </w:p>
          <w:p w14:paraId="5DC37A19">
            <w:pPr>
              <w:pStyle w:val="143"/>
              <w:ind w:firstLine="3168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⑦应建造径流疏导系统保证能防25年一遇的暴雨不会流到危险废物堆里。</w:t>
            </w:r>
          </w:p>
          <w:p w14:paraId="6B5AE0A7">
            <w:pPr>
              <w:pStyle w:val="143"/>
              <w:ind w:firstLine="3168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⑧危险废物堆要防风、防雨、防晒。产生量大的危险废物可以散装方式堆放贮存在按上述要求设计的废物堆里。</w:t>
            </w:r>
          </w:p>
          <w:p w14:paraId="3EBB2BFA">
            <w:pPr>
              <w:pStyle w:val="143"/>
              <w:ind w:firstLine="3168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⑨不相容的危险废物不能堆放在一起。</w:t>
            </w:r>
          </w:p>
          <w:p w14:paraId="1B9E594C">
            <w:pPr>
              <w:pStyle w:val="143"/>
              <w:ind w:firstLine="316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对危险废物实行</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五联单</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管理制度，运输车辆应设置明显的标志并经常维护保养，必须由专业运输车辆和专业人员承运。</w:t>
            </w:r>
          </w:p>
          <w:p w14:paraId="636ED2BB">
            <w:pPr>
              <w:pStyle w:val="143"/>
              <w:ind w:firstLine="3168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危险废物要用不易破损、变形、老化、能有效地防止渗透、扩散的容器贮存，装有危险废物的容器必须贴有标签，在标签上详细表明危险废物的名称、重量、成分、特性及发生泄漏的处理方法等。按规定要求，用以存放装载固体危险废物容器的地方，必须有耐腐蚀的硬化地面，做好防腐防渗防漏处置。危险固废储存于阴凉、通风、隔离的库房。应与禁配物分开存放，切忌混储。储区备有泄漏应急处理设备和合适的收容材料。起运时包装要完整，装载应稳妥。</w:t>
            </w:r>
          </w:p>
          <w:p w14:paraId="340CB1B9">
            <w:pPr>
              <w:pStyle w:val="143"/>
              <w:ind w:firstLine="3168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运输过程中需要确保容器不泄漏、不倒塌、不坠落、不损坏。严禁与易燃及其它禁配物混装混运。运输时运输车辆应配备泄漏应急处理设备。运输途中应防暴晒、雨淋、防高温。运输时要按规定的线路行驶，勿在居民区和人口稠密区停留。</w:t>
            </w:r>
          </w:p>
          <w:p w14:paraId="04E79060">
            <w:pPr>
              <w:pStyle w:val="143"/>
              <w:ind w:firstLine="316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日常管理中，企业须做好危险废物的申报登记，建立台帐管理制度，记录上须注明危险废物的名称、来源、数量、特征和包装容器的类别、入库时间、存放位置、废物出库日期及接受单位名称。同时在危险废物转运的时候必须报请当地环保局批准，同时填写危险废物转运单。企业须按照国家有关规定处置危险废物，不得擅自倾倒、堆放。收集、贮存危险废物须按照危险废物特性分类进行。禁止混合收集、贮存、运输、处置性质不相容而未经安全性处置的危险废物。</w:t>
            </w:r>
          </w:p>
          <w:p w14:paraId="56C41194">
            <w:pPr>
              <w:pStyle w:val="143"/>
              <w:ind w:firstLine="316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综上，项目产生的各类固废均能得到综合利用和妥善处理，满足环保要求，对环境影响较小。</w:t>
            </w:r>
          </w:p>
          <w:p w14:paraId="3815E9FB">
            <w:pPr>
              <w:spacing w:line="360" w:lineRule="auto"/>
              <w:ind w:firstLine="482" w:firstLineChars="200"/>
              <w:rPr>
                <w:b/>
                <w:bCs/>
                <w:color w:val="auto"/>
                <w:sz w:val="24"/>
                <w:szCs w:val="24"/>
                <w:highlight w:val="none"/>
              </w:rPr>
            </w:pPr>
            <w:r>
              <w:rPr>
                <w:b/>
                <w:bCs/>
                <w:color w:val="auto"/>
                <w:sz w:val="24"/>
                <w:szCs w:val="24"/>
                <w:highlight w:val="none"/>
              </w:rPr>
              <w:t>5</w:t>
            </w:r>
            <w:r>
              <w:rPr>
                <w:rFonts w:hint="eastAsia"/>
                <w:b/>
                <w:bCs/>
                <w:color w:val="auto"/>
                <w:sz w:val="24"/>
                <w:szCs w:val="24"/>
                <w:highlight w:val="none"/>
              </w:rPr>
              <w:t xml:space="preserve"> </w:t>
            </w:r>
            <w:r>
              <w:rPr>
                <w:rFonts w:hint="eastAsia" w:cs="宋体"/>
                <w:b/>
                <w:bCs/>
                <w:color w:val="auto"/>
                <w:sz w:val="24"/>
                <w:szCs w:val="24"/>
                <w:highlight w:val="none"/>
              </w:rPr>
              <w:t>地下水、土壤环境影响及保护措施</w:t>
            </w:r>
          </w:p>
          <w:p w14:paraId="2986F4E8">
            <w:pPr>
              <w:spacing w:line="360" w:lineRule="auto"/>
              <w:ind w:firstLine="480" w:firstLineChars="200"/>
              <w:rPr>
                <w:rFonts w:hint="eastAsia" w:cs="宋体"/>
                <w:color w:val="auto"/>
                <w:sz w:val="24"/>
                <w:szCs w:val="24"/>
                <w:highlight w:val="none"/>
              </w:rPr>
            </w:pPr>
            <w:r>
              <w:rPr>
                <w:rFonts w:hint="eastAsia" w:cs="宋体"/>
                <w:color w:val="auto"/>
                <w:sz w:val="24"/>
                <w:szCs w:val="24"/>
                <w:highlight w:val="none"/>
              </w:rPr>
              <w:t>本项目不开采利用地下水，无地下构筑物，项目建设和运营过程不会引起地下水流场或地下水位变化，不会导致新的环境水文地质问题的产生。厂区地面采用水泥硬地化处理，防止渗漏的产生。项目排放的废气污染物不涉及土壤污染因子。因此，本项目的建设不会对地下水及土壤环境产生影响。</w:t>
            </w:r>
            <w:r>
              <w:rPr>
                <w:rFonts w:hint="eastAsia" w:cs="宋体"/>
                <w:color w:val="auto"/>
                <w:sz w:val="24"/>
                <w:szCs w:val="24"/>
                <w:highlight w:val="none"/>
              </w:rPr>
              <w:br w:type="textWrapping"/>
            </w:r>
            <w:r>
              <w:rPr>
                <w:rFonts w:hint="eastAsia" w:cs="宋体"/>
                <w:color w:val="auto"/>
                <w:sz w:val="24"/>
                <w:szCs w:val="24"/>
                <w:highlight w:val="none"/>
                <w:lang w:val="en-US" w:eastAsia="zh-CN"/>
              </w:rPr>
              <w:t xml:space="preserve">    </w:t>
            </w:r>
            <w:r>
              <w:rPr>
                <w:rFonts w:hint="eastAsia" w:cs="宋体"/>
                <w:color w:val="auto"/>
                <w:sz w:val="24"/>
                <w:szCs w:val="24"/>
                <w:highlight w:val="none"/>
              </w:rPr>
              <w:t>本项目污染防渗区分为</w:t>
            </w:r>
            <w:r>
              <w:rPr>
                <w:rFonts w:hint="eastAsia" w:cs="宋体"/>
                <w:color w:val="auto"/>
                <w:sz w:val="24"/>
                <w:szCs w:val="24"/>
                <w:highlight w:val="none"/>
                <w:lang w:eastAsia="zh-CN"/>
              </w:rPr>
              <w:t>简单防渗区、</w:t>
            </w:r>
            <w:r>
              <w:rPr>
                <w:rFonts w:hint="eastAsia" w:cs="宋体"/>
                <w:color w:val="auto"/>
                <w:sz w:val="24"/>
                <w:szCs w:val="24"/>
                <w:highlight w:val="none"/>
              </w:rPr>
              <w:t>一般防渗场区、重点防渗区</w:t>
            </w:r>
            <w:r>
              <w:rPr>
                <w:rFonts w:hint="eastAsia" w:cs="宋体"/>
                <w:color w:val="auto"/>
                <w:sz w:val="24"/>
                <w:szCs w:val="24"/>
                <w:highlight w:val="none"/>
                <w:lang w:eastAsia="zh-CN"/>
              </w:rPr>
              <w:t>，</w:t>
            </w:r>
            <w:r>
              <w:rPr>
                <w:rFonts w:hint="eastAsia" w:cs="宋体"/>
                <w:color w:val="auto"/>
                <w:sz w:val="24"/>
                <w:szCs w:val="24"/>
                <w:highlight w:val="none"/>
                <w:lang w:val="en-US" w:eastAsia="zh-CN"/>
              </w:rPr>
              <w:t>分区防渗图见附图4</w:t>
            </w:r>
            <w:r>
              <w:rPr>
                <w:rFonts w:hint="eastAsia" w:cs="宋体"/>
                <w:color w:val="auto"/>
                <w:sz w:val="24"/>
                <w:szCs w:val="24"/>
                <w:highlight w:val="none"/>
              </w:rPr>
              <w:t>：</w:t>
            </w:r>
          </w:p>
          <w:p w14:paraId="5E6DDF10">
            <w:pPr>
              <w:spacing w:line="360" w:lineRule="auto"/>
              <w:ind w:firstLine="480" w:firstLineChars="200"/>
              <w:rPr>
                <w:color w:val="auto"/>
                <w:sz w:val="24"/>
                <w:szCs w:val="24"/>
                <w:highlight w:val="none"/>
              </w:rPr>
            </w:pPr>
            <w:r>
              <w:rPr>
                <w:color w:val="auto"/>
                <w:sz w:val="24"/>
                <w:szCs w:val="24"/>
                <w:highlight w:val="none"/>
              </w:rPr>
              <w:t>A</w:t>
            </w:r>
            <w:r>
              <w:rPr>
                <w:rFonts w:hint="eastAsia" w:cs="宋体"/>
                <w:color w:val="auto"/>
                <w:sz w:val="24"/>
                <w:szCs w:val="24"/>
                <w:highlight w:val="none"/>
              </w:rPr>
              <w:t>、重点防渗区：对土壤和地下水环境有污染的物料或污染物泄漏后不易及时发现和处理的区域和部位。重点防渗区</w:t>
            </w:r>
            <w:r>
              <w:rPr>
                <w:rFonts w:hint="eastAsia" w:cs="宋体"/>
                <w:color w:val="auto"/>
                <w:sz w:val="24"/>
                <w:szCs w:val="24"/>
                <w:highlight w:val="none"/>
                <w:lang w:val="en-US" w:eastAsia="zh-CN"/>
              </w:rPr>
              <w:t>参照《危险废物贮存污染控制标准》（GB18597-2023）中相关要求：</w:t>
            </w:r>
            <w:r>
              <w:rPr>
                <w:rFonts w:hint="default" w:cs="宋体"/>
                <w:color w:val="auto"/>
                <w:sz w:val="24"/>
                <w:szCs w:val="24"/>
                <w:highlight w:val="none"/>
              </w:rPr>
              <w:t>①基础必须防渗，防渗层为至少1米厚粘土层渗透系数≤10</w:t>
            </w:r>
            <w:r>
              <w:rPr>
                <w:rFonts w:hint="default" w:cs="宋体"/>
                <w:color w:val="auto"/>
                <w:sz w:val="24"/>
                <w:szCs w:val="24"/>
                <w:highlight w:val="none"/>
                <w:vertAlign w:val="superscript"/>
              </w:rPr>
              <w:t>-7</w:t>
            </w:r>
            <w:r>
              <w:rPr>
                <w:rFonts w:hint="default" w:cs="宋体"/>
                <w:color w:val="auto"/>
                <w:sz w:val="24"/>
                <w:szCs w:val="24"/>
                <w:highlight w:val="none"/>
              </w:rPr>
              <w:t>cm/s或2mm高密度聚乙烯，或至少2mm其它人工材料</w:t>
            </w:r>
            <w:r>
              <w:rPr>
                <w:rFonts w:hint="default" w:cs="宋体"/>
                <w:color w:val="auto"/>
                <w:sz w:val="24"/>
                <w:szCs w:val="24"/>
                <w:highlight w:val="none"/>
                <w:lang w:eastAsia="zh-CN"/>
              </w:rPr>
              <w:t>，</w:t>
            </w:r>
            <w:r>
              <w:rPr>
                <w:rFonts w:hint="default" w:cs="宋体"/>
                <w:color w:val="auto"/>
                <w:sz w:val="24"/>
                <w:szCs w:val="24"/>
                <w:highlight w:val="none"/>
              </w:rPr>
              <w:t>渗透系数≤10</w:t>
            </w:r>
            <w:r>
              <w:rPr>
                <w:rFonts w:hint="default" w:cs="宋体"/>
                <w:color w:val="auto"/>
                <w:sz w:val="24"/>
                <w:szCs w:val="24"/>
                <w:highlight w:val="none"/>
                <w:vertAlign w:val="superscript"/>
              </w:rPr>
              <w:t>-10</w:t>
            </w:r>
            <w:r>
              <w:rPr>
                <w:rFonts w:hint="default" w:cs="宋体"/>
                <w:color w:val="auto"/>
                <w:sz w:val="24"/>
                <w:szCs w:val="24"/>
                <w:highlight w:val="none"/>
              </w:rPr>
              <w:t>cm/s。</w:t>
            </w:r>
            <w:r>
              <w:rPr>
                <w:rFonts w:hint="eastAsia" w:cs="宋体"/>
                <w:color w:val="auto"/>
                <w:sz w:val="24"/>
                <w:szCs w:val="24"/>
                <w:highlight w:val="none"/>
              </w:rPr>
              <w:br w:type="textWrapping"/>
            </w:r>
            <w:r>
              <w:rPr>
                <w:rFonts w:hint="eastAsia" w:cs="宋体"/>
                <w:color w:val="auto"/>
                <w:sz w:val="24"/>
                <w:szCs w:val="24"/>
                <w:highlight w:val="none"/>
                <w:lang w:val="en-US" w:eastAsia="zh-CN"/>
              </w:rPr>
              <w:t xml:space="preserve">    </w:t>
            </w:r>
            <w:r>
              <w:rPr>
                <w:color w:val="auto"/>
                <w:sz w:val="24"/>
                <w:szCs w:val="24"/>
                <w:highlight w:val="none"/>
              </w:rPr>
              <w:t>B</w:t>
            </w:r>
            <w:r>
              <w:rPr>
                <w:rFonts w:hint="eastAsia" w:cs="宋体"/>
                <w:color w:val="auto"/>
                <w:sz w:val="24"/>
                <w:szCs w:val="24"/>
                <w:highlight w:val="none"/>
              </w:rPr>
              <w:t>、一般防渗区：对土壤和地下水环境有污染的物料或污染物泄漏后可及时发现和处理的区域和部位。污染物污染防治区参照《一般工业固体废物贮存和填埋污染控制标准》（</w:t>
            </w:r>
            <w:r>
              <w:rPr>
                <w:color w:val="auto"/>
                <w:sz w:val="24"/>
                <w:szCs w:val="24"/>
                <w:highlight w:val="none"/>
              </w:rPr>
              <w:t>GB18599-2020</w:t>
            </w:r>
            <w:r>
              <w:rPr>
                <w:rFonts w:hint="eastAsia" w:cs="宋体"/>
                <w:color w:val="auto"/>
                <w:sz w:val="24"/>
                <w:szCs w:val="24"/>
                <w:highlight w:val="none"/>
              </w:rPr>
              <w:t>）。一般防渗场区防渗层的性能应不低于</w:t>
            </w:r>
            <w:r>
              <w:rPr>
                <w:color w:val="auto"/>
                <w:sz w:val="24"/>
                <w:szCs w:val="24"/>
                <w:highlight w:val="none"/>
              </w:rPr>
              <w:t>1.5m</w:t>
            </w:r>
            <w:r>
              <w:rPr>
                <w:rFonts w:hint="eastAsia" w:cs="宋体"/>
                <w:color w:val="auto"/>
                <w:sz w:val="24"/>
                <w:szCs w:val="24"/>
                <w:highlight w:val="none"/>
              </w:rPr>
              <w:t>厚渗透系数≤</w:t>
            </w:r>
            <w:r>
              <w:rPr>
                <w:color w:val="auto"/>
                <w:sz w:val="24"/>
                <w:szCs w:val="24"/>
                <w:highlight w:val="none"/>
              </w:rPr>
              <w:t>1.0</w:t>
            </w:r>
            <w:r>
              <w:rPr>
                <w:rFonts w:hint="eastAsia" w:cs="宋体"/>
                <w:color w:val="auto"/>
                <w:sz w:val="24"/>
                <w:szCs w:val="24"/>
                <w:highlight w:val="none"/>
              </w:rPr>
              <w:t>×</w:t>
            </w:r>
            <w:r>
              <w:rPr>
                <w:color w:val="auto"/>
                <w:sz w:val="24"/>
                <w:szCs w:val="24"/>
                <w:highlight w:val="none"/>
              </w:rPr>
              <w:t>10</w:t>
            </w:r>
            <w:r>
              <w:rPr>
                <w:color w:val="auto"/>
                <w:sz w:val="24"/>
                <w:szCs w:val="24"/>
                <w:highlight w:val="none"/>
                <w:vertAlign w:val="superscript"/>
              </w:rPr>
              <w:t>-7</w:t>
            </w:r>
            <w:r>
              <w:rPr>
                <w:color w:val="auto"/>
                <w:sz w:val="24"/>
                <w:szCs w:val="24"/>
                <w:highlight w:val="none"/>
              </w:rPr>
              <w:t>cm/s</w:t>
            </w:r>
            <w:r>
              <w:rPr>
                <w:rFonts w:hint="eastAsia" w:cs="宋体"/>
                <w:color w:val="auto"/>
                <w:sz w:val="24"/>
                <w:szCs w:val="24"/>
                <w:highlight w:val="none"/>
              </w:rPr>
              <w:t>的天然材料防渗结构或厚度不低于</w:t>
            </w:r>
            <w:r>
              <w:rPr>
                <w:color w:val="auto"/>
                <w:sz w:val="24"/>
                <w:szCs w:val="24"/>
                <w:highlight w:val="none"/>
              </w:rPr>
              <w:t>1.5mm</w:t>
            </w:r>
            <w:r>
              <w:rPr>
                <w:rFonts w:hint="eastAsia" w:cs="宋体"/>
                <w:color w:val="auto"/>
                <w:sz w:val="24"/>
                <w:szCs w:val="24"/>
                <w:highlight w:val="none"/>
              </w:rPr>
              <w:t>厚的土工膜。</w:t>
            </w:r>
          </w:p>
          <w:p w14:paraId="48A27C1A">
            <w:pPr>
              <w:spacing w:line="360" w:lineRule="auto"/>
              <w:ind w:firstLine="480" w:firstLineChars="200"/>
              <w:rPr>
                <w:rFonts w:hint="default" w:eastAsia="宋体" w:cs="宋体"/>
                <w:color w:val="auto"/>
                <w:sz w:val="24"/>
                <w:szCs w:val="24"/>
                <w:highlight w:val="none"/>
                <w:lang w:val="en-US" w:eastAsia="zh-CN"/>
              </w:rPr>
            </w:pPr>
            <w:r>
              <w:rPr>
                <w:rFonts w:hint="eastAsia" w:cs="宋体"/>
                <w:color w:val="auto"/>
                <w:sz w:val="24"/>
                <w:szCs w:val="24"/>
                <w:highlight w:val="none"/>
                <w:lang w:val="en-US" w:eastAsia="zh-CN"/>
              </w:rPr>
              <w:t>C、简单防渗区：</w:t>
            </w:r>
            <w:r>
              <w:rPr>
                <w:rFonts w:hint="eastAsia" w:ascii="Times New Roman" w:hAnsi="Times New Roman" w:eastAsia="宋体" w:cs="Times New Roman"/>
                <w:color w:val="auto"/>
                <w:sz w:val="24"/>
                <w:szCs w:val="24"/>
                <w:highlight w:val="none"/>
                <w:lang w:val="en-US" w:eastAsia="zh-CN"/>
              </w:rPr>
              <w:t>仅对地面进行硬化。</w:t>
            </w:r>
          </w:p>
          <w:p w14:paraId="55DFC68A">
            <w:pPr>
              <w:spacing w:line="360" w:lineRule="auto"/>
              <w:ind w:firstLine="480" w:firstLineChars="200"/>
              <w:rPr>
                <w:color w:val="auto"/>
                <w:sz w:val="24"/>
                <w:szCs w:val="24"/>
                <w:highlight w:val="none"/>
              </w:rPr>
            </w:pPr>
            <w:r>
              <w:rPr>
                <w:rFonts w:hint="eastAsia" w:cs="宋体"/>
                <w:color w:val="auto"/>
                <w:sz w:val="24"/>
                <w:szCs w:val="24"/>
                <w:highlight w:val="none"/>
              </w:rPr>
              <w:t>确定本项目污染防治分区情况详见下表。</w:t>
            </w:r>
          </w:p>
          <w:p w14:paraId="76B26739">
            <w:pPr>
              <w:spacing w:line="360" w:lineRule="auto"/>
              <w:jc w:val="center"/>
              <w:rPr>
                <w:color w:val="auto"/>
                <w:sz w:val="22"/>
                <w:szCs w:val="22"/>
                <w:highlight w:val="none"/>
              </w:rPr>
            </w:pPr>
            <w:r>
              <w:rPr>
                <w:rFonts w:hint="eastAsia" w:cs="宋体"/>
                <w:b w:val="0"/>
                <w:bCs w:val="0"/>
                <w:color w:val="auto"/>
                <w:sz w:val="22"/>
                <w:szCs w:val="22"/>
                <w:highlight w:val="none"/>
              </w:rPr>
              <w:t>表</w:t>
            </w:r>
            <w:r>
              <w:rPr>
                <w:b w:val="0"/>
                <w:bCs w:val="0"/>
                <w:color w:val="auto"/>
                <w:sz w:val="22"/>
                <w:szCs w:val="22"/>
                <w:highlight w:val="none"/>
              </w:rPr>
              <w:t>4-1</w:t>
            </w:r>
            <w:r>
              <w:rPr>
                <w:rFonts w:hint="eastAsia"/>
                <w:b w:val="0"/>
                <w:bCs w:val="0"/>
                <w:color w:val="auto"/>
                <w:sz w:val="22"/>
                <w:szCs w:val="22"/>
                <w:highlight w:val="none"/>
                <w:lang w:val="en-US" w:eastAsia="zh-CN"/>
              </w:rPr>
              <w:t>6</w:t>
            </w:r>
            <w:r>
              <w:rPr>
                <w:b w:val="0"/>
                <w:bCs w:val="0"/>
                <w:color w:val="auto"/>
                <w:sz w:val="22"/>
                <w:szCs w:val="22"/>
                <w:highlight w:val="none"/>
              </w:rPr>
              <w:t xml:space="preserve"> </w:t>
            </w:r>
            <w:r>
              <w:rPr>
                <w:rFonts w:hint="eastAsia" w:cs="宋体"/>
                <w:b w:val="0"/>
                <w:bCs w:val="0"/>
                <w:color w:val="auto"/>
                <w:sz w:val="22"/>
                <w:szCs w:val="22"/>
                <w:highlight w:val="none"/>
              </w:rPr>
              <w:t>地下水、土壤污染防治分区情况表</w:t>
            </w:r>
          </w:p>
          <w:tbl>
            <w:tblPr>
              <w:tblStyle w:val="37"/>
              <w:tblW w:w="7999"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1290"/>
              <w:gridCol w:w="5716"/>
            </w:tblGrid>
            <w:tr w14:paraId="52E6E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6" w:hRule="atLeast"/>
              </w:trPr>
              <w:tc>
                <w:tcPr>
                  <w:tcW w:w="993" w:type="dxa"/>
                  <w:tcBorders>
                    <w:top w:val="single" w:color="auto" w:sz="4" w:space="0"/>
                    <w:left w:val="single" w:color="auto" w:sz="4" w:space="0"/>
                    <w:bottom w:val="single" w:color="auto" w:sz="4" w:space="0"/>
                    <w:right w:val="single" w:color="auto" w:sz="4" w:space="0"/>
                  </w:tcBorders>
                  <w:vAlign w:val="center"/>
                </w:tcPr>
                <w:p w14:paraId="7FE11968">
                  <w:pPr>
                    <w:jc w:val="center"/>
                    <w:rPr>
                      <w:color w:val="auto"/>
                      <w:sz w:val="22"/>
                      <w:szCs w:val="22"/>
                      <w:highlight w:val="none"/>
                    </w:rPr>
                  </w:pPr>
                  <w:r>
                    <w:rPr>
                      <w:rFonts w:hint="eastAsia" w:cs="宋体"/>
                      <w:color w:val="auto"/>
                      <w:sz w:val="22"/>
                      <w:szCs w:val="22"/>
                      <w:highlight w:val="none"/>
                    </w:rPr>
                    <w:t>重点污染防渗区</w:t>
                  </w:r>
                </w:p>
              </w:tc>
              <w:tc>
                <w:tcPr>
                  <w:tcW w:w="1290" w:type="dxa"/>
                  <w:tcBorders>
                    <w:top w:val="single" w:color="auto" w:sz="4" w:space="0"/>
                    <w:left w:val="single" w:color="auto" w:sz="4" w:space="0"/>
                    <w:bottom w:val="single" w:color="auto" w:sz="4" w:space="0"/>
                    <w:right w:val="single" w:color="auto" w:sz="4" w:space="0"/>
                  </w:tcBorders>
                  <w:vAlign w:val="center"/>
                </w:tcPr>
                <w:p w14:paraId="6F9C2418">
                  <w:pPr>
                    <w:jc w:val="center"/>
                    <w:rPr>
                      <w:rFonts w:hint="eastAsia" w:eastAsia="宋体"/>
                      <w:color w:val="auto"/>
                      <w:sz w:val="22"/>
                      <w:szCs w:val="22"/>
                      <w:highlight w:val="none"/>
                      <w:lang w:eastAsia="zh-CN"/>
                    </w:rPr>
                  </w:pPr>
                  <w:r>
                    <w:rPr>
                      <w:rFonts w:hint="eastAsia" w:cs="宋体"/>
                      <w:color w:val="auto"/>
                      <w:sz w:val="22"/>
                      <w:szCs w:val="22"/>
                      <w:highlight w:val="none"/>
                      <w:lang w:eastAsia="zh-CN"/>
                    </w:rPr>
                    <w:t>危险废物暂存间</w:t>
                  </w:r>
                </w:p>
              </w:tc>
              <w:tc>
                <w:tcPr>
                  <w:tcW w:w="5716" w:type="dxa"/>
                  <w:tcBorders>
                    <w:top w:val="single" w:color="auto" w:sz="4" w:space="0"/>
                    <w:left w:val="single" w:color="auto" w:sz="4" w:space="0"/>
                    <w:bottom w:val="single" w:color="auto" w:sz="4" w:space="0"/>
                    <w:right w:val="single" w:color="auto" w:sz="4" w:space="0"/>
                  </w:tcBorders>
                  <w:vAlign w:val="center"/>
                </w:tcPr>
                <w:p w14:paraId="01AA7643">
                  <w:pPr>
                    <w:jc w:val="center"/>
                    <w:rPr>
                      <w:color w:val="auto"/>
                      <w:sz w:val="22"/>
                      <w:szCs w:val="22"/>
                      <w:highlight w:val="none"/>
                    </w:rPr>
                  </w:pPr>
                  <w:r>
                    <w:rPr>
                      <w:rFonts w:hint="eastAsia" w:cs="宋体"/>
                      <w:color w:val="auto"/>
                      <w:sz w:val="22"/>
                      <w:szCs w:val="22"/>
                      <w:highlight w:val="none"/>
                    </w:rPr>
                    <w:t>防渗层需满足</w:t>
                  </w:r>
                  <w:r>
                    <w:rPr>
                      <w:rFonts w:hint="eastAsia" w:cs="宋体"/>
                      <w:color w:val="auto"/>
                      <w:sz w:val="22"/>
                      <w:szCs w:val="22"/>
                      <w:highlight w:val="none"/>
                      <w:lang w:val="en-US" w:eastAsia="zh-CN"/>
                    </w:rPr>
                    <w:t>《危险废物贮存污染控制标准》（GB18597-2023）中相关要求：</w:t>
                  </w:r>
                  <w:r>
                    <w:rPr>
                      <w:rFonts w:hint="default" w:ascii="Times New Roman" w:hAnsi="Times New Roman" w:eastAsia="宋体" w:cs="Times New Roman"/>
                      <w:color w:val="auto"/>
                      <w:highlight w:val="none"/>
                    </w:rPr>
                    <w:t>①基础必须防渗，防渗层为至少1米厚粘土层渗透系数≤10</w:t>
                  </w:r>
                  <w:r>
                    <w:rPr>
                      <w:rFonts w:hint="default" w:ascii="Times New Roman" w:hAnsi="Times New Roman" w:eastAsia="宋体" w:cs="Times New Roman"/>
                      <w:color w:val="auto"/>
                      <w:highlight w:val="none"/>
                      <w:vertAlign w:val="superscript"/>
                    </w:rPr>
                    <w:t>-7</w:t>
                  </w:r>
                  <w:r>
                    <w:rPr>
                      <w:rFonts w:hint="default" w:ascii="Times New Roman" w:hAnsi="Times New Roman" w:eastAsia="宋体" w:cs="Times New Roman"/>
                      <w:color w:val="auto"/>
                      <w:highlight w:val="none"/>
                    </w:rPr>
                    <w:t>cm/s或2mm高密度聚乙烯，或至少2mm其它人工材料</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渗透系数≤10</w:t>
                  </w:r>
                  <w:r>
                    <w:rPr>
                      <w:rFonts w:hint="default" w:ascii="Times New Roman" w:hAnsi="Times New Roman" w:eastAsia="宋体" w:cs="Times New Roman"/>
                      <w:color w:val="auto"/>
                      <w:highlight w:val="none"/>
                      <w:vertAlign w:val="superscript"/>
                    </w:rPr>
                    <w:t>-10</w:t>
                  </w:r>
                  <w:r>
                    <w:rPr>
                      <w:rFonts w:hint="default" w:ascii="Times New Roman" w:hAnsi="Times New Roman" w:eastAsia="宋体" w:cs="Times New Roman"/>
                      <w:color w:val="auto"/>
                      <w:highlight w:val="none"/>
                    </w:rPr>
                    <w:t>cm/s。</w:t>
                  </w:r>
                </w:p>
              </w:tc>
            </w:tr>
            <w:tr w14:paraId="69B10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4" w:hRule="atLeast"/>
              </w:trPr>
              <w:tc>
                <w:tcPr>
                  <w:tcW w:w="993" w:type="dxa"/>
                  <w:tcBorders>
                    <w:top w:val="single" w:color="auto" w:sz="4" w:space="0"/>
                    <w:left w:val="single" w:color="auto" w:sz="4" w:space="0"/>
                    <w:bottom w:val="single" w:color="auto" w:sz="4" w:space="0"/>
                    <w:right w:val="single" w:color="auto" w:sz="4" w:space="0"/>
                  </w:tcBorders>
                  <w:vAlign w:val="center"/>
                </w:tcPr>
                <w:p w14:paraId="60E1860F">
                  <w:pPr>
                    <w:jc w:val="center"/>
                    <w:rPr>
                      <w:color w:val="auto"/>
                      <w:sz w:val="22"/>
                      <w:szCs w:val="22"/>
                      <w:highlight w:val="none"/>
                    </w:rPr>
                  </w:pPr>
                  <w:r>
                    <w:rPr>
                      <w:rFonts w:hint="eastAsia" w:cs="宋体"/>
                      <w:color w:val="auto"/>
                      <w:sz w:val="22"/>
                      <w:szCs w:val="22"/>
                      <w:highlight w:val="none"/>
                    </w:rPr>
                    <w:t>一般污染防渗区</w:t>
                  </w:r>
                </w:p>
              </w:tc>
              <w:tc>
                <w:tcPr>
                  <w:tcW w:w="1290" w:type="dxa"/>
                  <w:tcBorders>
                    <w:top w:val="single" w:color="auto" w:sz="4" w:space="0"/>
                    <w:left w:val="single" w:color="auto" w:sz="4" w:space="0"/>
                    <w:bottom w:val="single" w:color="auto" w:sz="4" w:space="0"/>
                    <w:right w:val="single" w:color="auto" w:sz="4" w:space="0"/>
                  </w:tcBorders>
                  <w:vAlign w:val="center"/>
                </w:tcPr>
                <w:p w14:paraId="490499C3">
                  <w:pPr>
                    <w:jc w:val="center"/>
                    <w:rPr>
                      <w:rFonts w:hint="eastAsia" w:eastAsia="宋体"/>
                      <w:color w:val="auto"/>
                      <w:sz w:val="22"/>
                      <w:szCs w:val="22"/>
                      <w:highlight w:val="none"/>
                      <w:lang w:eastAsia="zh-CN"/>
                    </w:rPr>
                  </w:pPr>
                  <w:r>
                    <w:rPr>
                      <w:rFonts w:hint="eastAsia" w:cs="宋体"/>
                      <w:color w:val="auto"/>
                      <w:sz w:val="22"/>
                      <w:szCs w:val="22"/>
                      <w:highlight w:val="none"/>
                      <w:lang w:eastAsia="zh-CN"/>
                    </w:rPr>
                    <w:t>物料库及</w:t>
                  </w:r>
                  <w:r>
                    <w:rPr>
                      <w:rFonts w:hint="eastAsia" w:cs="宋体"/>
                      <w:color w:val="auto"/>
                      <w:sz w:val="22"/>
                      <w:szCs w:val="22"/>
                      <w:highlight w:val="none"/>
                    </w:rPr>
                    <w:t>生产车间</w:t>
                  </w:r>
                  <w:r>
                    <w:rPr>
                      <w:rFonts w:hint="eastAsia" w:cs="宋体"/>
                      <w:color w:val="auto"/>
                      <w:sz w:val="22"/>
                      <w:szCs w:val="22"/>
                      <w:highlight w:val="none"/>
                      <w:lang w:eastAsia="zh-CN"/>
                    </w:rPr>
                    <w:t>内除去重点防渗外</w:t>
                  </w:r>
                  <w:r>
                    <w:rPr>
                      <w:rFonts w:hint="eastAsia" w:cs="宋体"/>
                      <w:color w:val="auto"/>
                      <w:sz w:val="22"/>
                      <w:szCs w:val="22"/>
                      <w:highlight w:val="none"/>
                    </w:rPr>
                    <w:t>其他区域</w:t>
                  </w:r>
                </w:p>
              </w:tc>
              <w:tc>
                <w:tcPr>
                  <w:tcW w:w="5716" w:type="dxa"/>
                  <w:tcBorders>
                    <w:top w:val="single" w:color="auto" w:sz="4" w:space="0"/>
                    <w:left w:val="single" w:color="auto" w:sz="4" w:space="0"/>
                    <w:bottom w:val="single" w:color="auto" w:sz="4" w:space="0"/>
                    <w:right w:val="single" w:color="auto" w:sz="4" w:space="0"/>
                  </w:tcBorders>
                  <w:vAlign w:val="center"/>
                </w:tcPr>
                <w:p w14:paraId="0A103284">
                  <w:pPr>
                    <w:jc w:val="center"/>
                    <w:rPr>
                      <w:color w:val="auto"/>
                      <w:sz w:val="22"/>
                      <w:szCs w:val="22"/>
                      <w:highlight w:val="none"/>
                    </w:rPr>
                  </w:pPr>
                  <w:r>
                    <w:rPr>
                      <w:rFonts w:hint="eastAsia" w:cs="宋体"/>
                      <w:color w:val="auto"/>
                      <w:sz w:val="22"/>
                      <w:szCs w:val="22"/>
                      <w:highlight w:val="none"/>
                    </w:rPr>
                    <w:t>防渗层需满足等效黏土防水层</w:t>
                  </w:r>
                  <w:r>
                    <w:rPr>
                      <w:color w:val="auto"/>
                      <w:sz w:val="22"/>
                      <w:szCs w:val="22"/>
                      <w:highlight w:val="none"/>
                    </w:rPr>
                    <w:t>Mb</w:t>
                  </w:r>
                  <w:r>
                    <w:rPr>
                      <w:rFonts w:hint="eastAsia" w:cs="宋体"/>
                      <w:color w:val="auto"/>
                      <w:sz w:val="22"/>
                      <w:szCs w:val="22"/>
                      <w:highlight w:val="none"/>
                    </w:rPr>
                    <w:t>≥</w:t>
                  </w:r>
                  <w:r>
                    <w:rPr>
                      <w:color w:val="auto"/>
                      <w:sz w:val="22"/>
                      <w:szCs w:val="22"/>
                      <w:highlight w:val="none"/>
                    </w:rPr>
                    <w:t>1.5m</w:t>
                  </w:r>
                  <w:r>
                    <w:rPr>
                      <w:rFonts w:hint="eastAsia" w:cs="宋体"/>
                      <w:color w:val="auto"/>
                      <w:sz w:val="22"/>
                      <w:szCs w:val="22"/>
                      <w:highlight w:val="none"/>
                    </w:rPr>
                    <w:t>，</w:t>
                  </w:r>
                  <w:r>
                    <w:rPr>
                      <w:color w:val="auto"/>
                      <w:sz w:val="22"/>
                      <w:szCs w:val="22"/>
                      <w:highlight w:val="none"/>
                    </w:rPr>
                    <w:t>K</w:t>
                  </w:r>
                  <w:r>
                    <w:rPr>
                      <w:rFonts w:hint="eastAsia" w:cs="宋体"/>
                      <w:color w:val="auto"/>
                      <w:sz w:val="22"/>
                      <w:szCs w:val="22"/>
                      <w:highlight w:val="none"/>
                    </w:rPr>
                    <w:t>≤</w:t>
                  </w:r>
                  <w:r>
                    <w:rPr>
                      <w:color w:val="auto"/>
                      <w:sz w:val="22"/>
                      <w:szCs w:val="22"/>
                      <w:highlight w:val="none"/>
                    </w:rPr>
                    <w:t>1.0</w:t>
                  </w:r>
                  <w:r>
                    <w:rPr>
                      <w:rFonts w:hint="eastAsia" w:cs="宋体"/>
                      <w:color w:val="auto"/>
                      <w:sz w:val="22"/>
                      <w:szCs w:val="22"/>
                      <w:highlight w:val="none"/>
                    </w:rPr>
                    <w:t>×</w:t>
                  </w:r>
                  <w:r>
                    <w:rPr>
                      <w:color w:val="auto"/>
                      <w:sz w:val="22"/>
                      <w:szCs w:val="22"/>
                      <w:highlight w:val="none"/>
                    </w:rPr>
                    <w:t>10</w:t>
                  </w:r>
                  <w:r>
                    <w:rPr>
                      <w:color w:val="auto"/>
                      <w:sz w:val="22"/>
                      <w:szCs w:val="22"/>
                      <w:highlight w:val="none"/>
                      <w:vertAlign w:val="superscript"/>
                    </w:rPr>
                    <w:t>-7</w:t>
                  </w:r>
                  <w:r>
                    <w:rPr>
                      <w:color w:val="auto"/>
                      <w:sz w:val="22"/>
                      <w:szCs w:val="22"/>
                      <w:highlight w:val="none"/>
                    </w:rPr>
                    <w:t>cm/s</w:t>
                  </w:r>
                  <w:r>
                    <w:rPr>
                      <w:rFonts w:hint="eastAsia" w:cs="宋体"/>
                      <w:color w:val="auto"/>
                      <w:sz w:val="22"/>
                      <w:szCs w:val="22"/>
                      <w:highlight w:val="none"/>
                    </w:rPr>
                    <w:t>；或参照《一般工业固体废弃物贮存和填埋污染控制标准》（</w:t>
                  </w:r>
                  <w:r>
                    <w:rPr>
                      <w:color w:val="auto"/>
                      <w:sz w:val="22"/>
                      <w:szCs w:val="22"/>
                      <w:highlight w:val="none"/>
                    </w:rPr>
                    <w:t>GB18599-2020</w:t>
                  </w:r>
                  <w:r>
                    <w:rPr>
                      <w:rFonts w:hint="eastAsia" w:cs="宋体"/>
                      <w:color w:val="auto"/>
                      <w:sz w:val="22"/>
                      <w:szCs w:val="22"/>
                      <w:highlight w:val="none"/>
                    </w:rPr>
                    <w:t>）的要求：“当天然基础层的渗透系统大于</w:t>
                  </w:r>
                  <w:r>
                    <w:rPr>
                      <w:color w:val="auto"/>
                      <w:sz w:val="22"/>
                      <w:szCs w:val="22"/>
                      <w:highlight w:val="none"/>
                    </w:rPr>
                    <w:t>1.0</w:t>
                  </w:r>
                  <w:r>
                    <w:rPr>
                      <w:rFonts w:hint="eastAsia" w:cs="宋体"/>
                      <w:color w:val="auto"/>
                      <w:sz w:val="22"/>
                      <w:szCs w:val="22"/>
                      <w:highlight w:val="none"/>
                    </w:rPr>
                    <w:t>×</w:t>
                  </w:r>
                  <w:r>
                    <w:rPr>
                      <w:color w:val="auto"/>
                      <w:sz w:val="22"/>
                      <w:szCs w:val="22"/>
                      <w:highlight w:val="none"/>
                    </w:rPr>
                    <w:t>10</w:t>
                  </w:r>
                  <w:r>
                    <w:rPr>
                      <w:color w:val="auto"/>
                      <w:sz w:val="22"/>
                      <w:szCs w:val="22"/>
                      <w:highlight w:val="none"/>
                      <w:vertAlign w:val="superscript"/>
                    </w:rPr>
                    <w:t>-7</w:t>
                  </w:r>
                  <w:r>
                    <w:rPr>
                      <w:color w:val="auto"/>
                      <w:sz w:val="22"/>
                      <w:szCs w:val="22"/>
                      <w:highlight w:val="none"/>
                    </w:rPr>
                    <w:t>cm/s</w:t>
                  </w:r>
                  <w:r>
                    <w:rPr>
                      <w:rFonts w:hint="eastAsia" w:cs="宋体"/>
                      <w:color w:val="auto"/>
                      <w:sz w:val="22"/>
                      <w:szCs w:val="22"/>
                      <w:highlight w:val="none"/>
                    </w:rPr>
                    <w:t>时，应采用天然或人工材料构筑防渗层，防渗层的厚度应相当于渗透系数</w:t>
                  </w:r>
                  <w:r>
                    <w:rPr>
                      <w:color w:val="auto"/>
                      <w:sz w:val="22"/>
                      <w:szCs w:val="22"/>
                      <w:highlight w:val="none"/>
                    </w:rPr>
                    <w:t>1.0</w:t>
                  </w:r>
                  <w:r>
                    <w:rPr>
                      <w:rFonts w:hint="eastAsia" w:cs="宋体"/>
                      <w:color w:val="auto"/>
                      <w:sz w:val="22"/>
                      <w:szCs w:val="22"/>
                      <w:highlight w:val="none"/>
                    </w:rPr>
                    <w:t>×</w:t>
                  </w:r>
                  <w:r>
                    <w:rPr>
                      <w:color w:val="auto"/>
                      <w:sz w:val="22"/>
                      <w:szCs w:val="22"/>
                      <w:highlight w:val="none"/>
                    </w:rPr>
                    <w:t>10</w:t>
                  </w:r>
                  <w:r>
                    <w:rPr>
                      <w:color w:val="auto"/>
                      <w:sz w:val="22"/>
                      <w:szCs w:val="22"/>
                      <w:highlight w:val="none"/>
                      <w:vertAlign w:val="superscript"/>
                    </w:rPr>
                    <w:t>-7</w:t>
                  </w:r>
                  <w:r>
                    <w:rPr>
                      <w:color w:val="auto"/>
                      <w:sz w:val="22"/>
                      <w:szCs w:val="22"/>
                      <w:highlight w:val="none"/>
                    </w:rPr>
                    <w:t>cm/s</w:t>
                  </w:r>
                  <w:r>
                    <w:rPr>
                      <w:rFonts w:hint="eastAsia" w:cs="宋体"/>
                      <w:color w:val="auto"/>
                      <w:sz w:val="22"/>
                      <w:szCs w:val="22"/>
                      <w:highlight w:val="none"/>
                    </w:rPr>
                    <w:t>和厚度</w:t>
                  </w:r>
                  <w:r>
                    <w:rPr>
                      <w:color w:val="auto"/>
                      <w:sz w:val="22"/>
                      <w:szCs w:val="22"/>
                      <w:highlight w:val="none"/>
                    </w:rPr>
                    <w:t>1.5m</w:t>
                  </w:r>
                  <w:r>
                    <w:rPr>
                      <w:rFonts w:hint="eastAsia" w:cs="宋体"/>
                      <w:color w:val="auto"/>
                      <w:sz w:val="22"/>
                      <w:szCs w:val="22"/>
                      <w:highlight w:val="none"/>
                    </w:rPr>
                    <w:t>的粘土层的防渗性能”。</w:t>
                  </w:r>
                </w:p>
              </w:tc>
            </w:tr>
            <w:tr w14:paraId="2D66E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993" w:type="dxa"/>
                  <w:tcBorders>
                    <w:top w:val="single" w:color="auto" w:sz="4" w:space="0"/>
                    <w:left w:val="single" w:color="auto" w:sz="4" w:space="0"/>
                    <w:bottom w:val="single" w:color="auto" w:sz="4" w:space="0"/>
                    <w:right w:val="single" w:color="auto" w:sz="4" w:space="0"/>
                  </w:tcBorders>
                  <w:vAlign w:val="center"/>
                </w:tcPr>
                <w:p w14:paraId="193D3054">
                  <w:pPr>
                    <w:jc w:val="center"/>
                    <w:rPr>
                      <w:rFonts w:hint="eastAsia" w:eastAsia="宋体" w:cs="宋体"/>
                      <w:color w:val="auto"/>
                      <w:sz w:val="22"/>
                      <w:szCs w:val="22"/>
                      <w:highlight w:val="none"/>
                      <w:lang w:eastAsia="zh-CN"/>
                    </w:rPr>
                  </w:pPr>
                  <w:r>
                    <w:rPr>
                      <w:rFonts w:hint="eastAsia"/>
                      <w:color w:val="auto"/>
                      <w:highlight w:val="none"/>
                      <w:lang w:eastAsia="zh-CN"/>
                    </w:rPr>
                    <w:t>简单防渗区</w:t>
                  </w:r>
                </w:p>
              </w:tc>
              <w:tc>
                <w:tcPr>
                  <w:tcW w:w="1290" w:type="dxa"/>
                  <w:tcBorders>
                    <w:top w:val="single" w:color="auto" w:sz="4" w:space="0"/>
                    <w:left w:val="single" w:color="auto" w:sz="4" w:space="0"/>
                    <w:bottom w:val="single" w:color="auto" w:sz="4" w:space="0"/>
                    <w:right w:val="single" w:color="auto" w:sz="4" w:space="0"/>
                  </w:tcBorders>
                  <w:vAlign w:val="center"/>
                </w:tcPr>
                <w:p w14:paraId="3D55F366">
                  <w:pPr>
                    <w:jc w:val="center"/>
                    <w:rPr>
                      <w:rFonts w:hint="eastAsia" w:cs="宋体"/>
                      <w:color w:val="auto"/>
                      <w:sz w:val="22"/>
                      <w:szCs w:val="22"/>
                      <w:highlight w:val="none"/>
                    </w:rPr>
                  </w:pPr>
                  <w:r>
                    <w:rPr>
                      <w:rFonts w:hint="eastAsia" w:cs="宋体"/>
                      <w:color w:val="auto"/>
                      <w:sz w:val="22"/>
                      <w:szCs w:val="22"/>
                      <w:highlight w:val="none"/>
                    </w:rPr>
                    <w:t>生产车间</w:t>
                  </w:r>
                  <w:r>
                    <w:rPr>
                      <w:rFonts w:hint="eastAsia" w:cs="宋体"/>
                      <w:color w:val="auto"/>
                      <w:sz w:val="22"/>
                      <w:szCs w:val="22"/>
                      <w:highlight w:val="none"/>
                      <w:lang w:eastAsia="zh-CN"/>
                    </w:rPr>
                    <w:t>外</w:t>
                  </w:r>
                  <w:r>
                    <w:rPr>
                      <w:rFonts w:hint="eastAsia"/>
                      <w:color w:val="auto"/>
                      <w:highlight w:val="none"/>
                      <w:lang w:val="en-US" w:eastAsia="zh-CN"/>
                    </w:rPr>
                    <w:t>其他区域</w:t>
                  </w:r>
                </w:p>
              </w:tc>
              <w:tc>
                <w:tcPr>
                  <w:tcW w:w="5716" w:type="dxa"/>
                  <w:tcBorders>
                    <w:top w:val="single" w:color="auto" w:sz="4" w:space="0"/>
                    <w:left w:val="single" w:color="auto" w:sz="4" w:space="0"/>
                    <w:bottom w:val="single" w:color="auto" w:sz="4" w:space="0"/>
                    <w:right w:val="single" w:color="auto" w:sz="4" w:space="0"/>
                  </w:tcBorders>
                  <w:vAlign w:val="center"/>
                </w:tcPr>
                <w:p w14:paraId="6750FA73">
                  <w:pPr>
                    <w:pStyle w:val="8"/>
                    <w:jc w:val="center"/>
                    <w:rPr>
                      <w:rFonts w:hint="eastAsia" w:eastAsia="宋体" w:cs="宋体"/>
                      <w:color w:val="auto"/>
                      <w:sz w:val="22"/>
                      <w:szCs w:val="22"/>
                      <w:highlight w:val="none"/>
                      <w:lang w:eastAsia="zh-CN"/>
                    </w:rPr>
                  </w:pPr>
                  <w:r>
                    <w:rPr>
                      <w:rFonts w:hint="eastAsia" w:cs="宋体"/>
                      <w:color w:val="auto"/>
                      <w:sz w:val="22"/>
                      <w:szCs w:val="22"/>
                      <w:highlight w:val="none"/>
                      <w:lang w:eastAsia="zh-CN"/>
                    </w:rPr>
                    <w:t>地面硬化</w:t>
                  </w:r>
                </w:p>
              </w:tc>
            </w:tr>
          </w:tbl>
          <w:p w14:paraId="6C0B4ABE">
            <w:pPr>
              <w:spacing w:line="360" w:lineRule="auto"/>
              <w:ind w:firstLine="480" w:firstLineChars="200"/>
              <w:rPr>
                <w:color w:val="auto"/>
                <w:sz w:val="24"/>
                <w:szCs w:val="24"/>
                <w:highlight w:val="none"/>
              </w:rPr>
            </w:pPr>
          </w:p>
          <w:p w14:paraId="6D3D174E">
            <w:pPr>
              <w:spacing w:before="240" w:beforeLines="100" w:line="360" w:lineRule="auto"/>
              <w:jc w:val="left"/>
              <w:rPr>
                <w:rStyle w:val="85"/>
                <w:b w:val="0"/>
                <w:bCs w:val="0"/>
                <w:color w:val="auto"/>
                <w:highlight w:val="none"/>
              </w:rPr>
            </w:pPr>
            <w:r>
              <w:rPr>
                <w:rStyle w:val="85"/>
                <w:rFonts w:hint="eastAsia"/>
                <w:b w:val="0"/>
                <w:bCs w:val="0"/>
                <w:color w:val="auto"/>
                <w:highlight w:val="none"/>
              </w:rPr>
              <w:t xml:space="preserve">   </w:t>
            </w:r>
            <w:r>
              <w:rPr>
                <w:rStyle w:val="85"/>
                <w:rFonts w:hint="eastAsia"/>
                <w:b/>
                <w:bCs/>
                <w:color w:val="auto"/>
                <w:highlight w:val="none"/>
              </w:rPr>
              <w:t xml:space="preserve"> </w:t>
            </w:r>
            <w:r>
              <w:rPr>
                <w:rStyle w:val="85"/>
                <w:rFonts w:hint="eastAsia"/>
                <w:b/>
                <w:bCs/>
                <w:color w:val="auto"/>
                <w:highlight w:val="none"/>
                <w:lang w:val="en-US"/>
              </w:rPr>
              <w:t>6</w:t>
            </w:r>
            <w:r>
              <w:rPr>
                <w:rStyle w:val="85"/>
                <w:rFonts w:hint="eastAsia"/>
                <w:b/>
                <w:bCs/>
                <w:color w:val="auto"/>
                <w:highlight w:val="none"/>
              </w:rPr>
              <w:t xml:space="preserve"> </w:t>
            </w:r>
            <w:r>
              <w:rPr>
                <w:rStyle w:val="85"/>
                <w:rFonts w:hint="eastAsia" w:cs="宋体"/>
                <w:b/>
                <w:bCs/>
                <w:color w:val="auto"/>
                <w:highlight w:val="none"/>
              </w:rPr>
              <w:t>环境风险</w:t>
            </w:r>
          </w:p>
          <w:p w14:paraId="2C0E3CEE">
            <w:pPr>
              <w:pStyle w:val="2"/>
              <w:spacing w:before="0" w:after="0" w:line="360" w:lineRule="auto"/>
              <w:rPr>
                <w:rStyle w:val="85"/>
                <w:rFonts w:ascii="Times New Roman" w:hAnsi="Times New Roman" w:cs="Times New Roman"/>
                <w:b w:val="0"/>
                <w:bCs w:val="0"/>
                <w:color w:val="auto"/>
                <w:highlight w:val="none"/>
              </w:rPr>
            </w:pPr>
            <w:r>
              <w:rPr>
                <w:rStyle w:val="85"/>
                <w:rFonts w:hint="eastAsia" w:ascii="Times New Roman" w:hAnsi="Times New Roman" w:cs="Times New Roman"/>
                <w:b w:val="0"/>
                <w:bCs w:val="0"/>
                <w:color w:val="auto"/>
                <w:highlight w:val="none"/>
              </w:rPr>
              <w:t xml:space="preserve">    </w:t>
            </w:r>
            <w:r>
              <w:rPr>
                <w:rStyle w:val="85"/>
                <w:rFonts w:ascii="Times New Roman" w:hAnsi="Times New Roman" w:cs="Times New Roman"/>
                <w:b/>
                <w:bCs/>
                <w:color w:val="auto"/>
                <w:highlight w:val="none"/>
              </w:rPr>
              <w:t>6.1</w:t>
            </w:r>
            <w:r>
              <w:rPr>
                <w:rStyle w:val="85"/>
                <w:rFonts w:hint="eastAsia" w:ascii="Times New Roman" w:hAnsi="Times New Roman" w:cs="宋体"/>
                <w:b/>
                <w:bCs/>
                <w:color w:val="auto"/>
                <w:highlight w:val="none"/>
              </w:rPr>
              <w:t>环境风险初判</w:t>
            </w:r>
          </w:p>
          <w:p w14:paraId="31F93794">
            <w:pPr>
              <w:spacing w:line="360" w:lineRule="auto"/>
              <w:ind w:firstLine="480" w:firstLineChars="200"/>
              <w:rPr>
                <w:color w:val="auto"/>
                <w:sz w:val="24"/>
                <w:szCs w:val="24"/>
                <w:highlight w:val="none"/>
              </w:rPr>
            </w:pPr>
            <w:r>
              <w:rPr>
                <w:rFonts w:hint="eastAsia"/>
                <w:color w:val="auto"/>
                <w:sz w:val="24"/>
                <w:szCs w:val="24"/>
                <w:highlight w:val="none"/>
                <w:lang w:eastAsia="zh-CN"/>
              </w:rPr>
              <w:t>本项目使用的原辅料为秸秆、碎木、锯末。废气污染物主要为颗粒物。危险废物包括废机油、废液压油、废油桶、废含油抹布、劳保用品。</w:t>
            </w:r>
            <w:r>
              <w:rPr>
                <w:rFonts w:hint="eastAsia"/>
                <w:color w:val="auto"/>
                <w:sz w:val="24"/>
                <w:szCs w:val="24"/>
                <w:highlight w:val="none"/>
              </w:rPr>
              <w:br w:type="textWrapping"/>
            </w:r>
            <w:r>
              <w:rPr>
                <w:rFonts w:hint="eastAsia"/>
                <w:color w:val="auto"/>
                <w:sz w:val="24"/>
                <w:szCs w:val="24"/>
                <w:highlight w:val="none"/>
                <w:lang w:val="en-US" w:eastAsia="zh-CN"/>
              </w:rPr>
              <w:t xml:space="preserve">    </w:t>
            </w:r>
            <w:r>
              <w:rPr>
                <w:rFonts w:hint="eastAsia"/>
                <w:color w:val="auto"/>
                <w:sz w:val="24"/>
                <w:szCs w:val="24"/>
                <w:highlight w:val="none"/>
              </w:rPr>
              <w:t>评价结合项目涉及的各类物质，逐一搜索《建设项目环境风险评价技术导则》（HJ/T169-2018）附录B，初步判定项目</w:t>
            </w:r>
            <w:r>
              <w:rPr>
                <w:rFonts w:hint="eastAsia"/>
                <w:color w:val="auto"/>
                <w:sz w:val="24"/>
                <w:szCs w:val="24"/>
                <w:highlight w:val="none"/>
                <w:lang w:eastAsia="zh-CN"/>
              </w:rPr>
              <w:t>涉及</w:t>
            </w:r>
            <w:r>
              <w:rPr>
                <w:rFonts w:hint="eastAsia"/>
                <w:color w:val="auto"/>
                <w:sz w:val="24"/>
                <w:szCs w:val="24"/>
                <w:highlight w:val="none"/>
              </w:rPr>
              <w:t>风险物质</w:t>
            </w:r>
            <w:r>
              <w:rPr>
                <w:rFonts w:hint="eastAsia"/>
                <w:color w:val="auto"/>
                <w:sz w:val="24"/>
                <w:szCs w:val="24"/>
                <w:highlight w:val="none"/>
                <w:lang w:eastAsia="zh-CN"/>
              </w:rPr>
              <w:t>的</w:t>
            </w:r>
            <w:r>
              <w:rPr>
                <w:rFonts w:hint="eastAsia"/>
                <w:color w:val="auto"/>
                <w:sz w:val="24"/>
                <w:szCs w:val="24"/>
                <w:highlight w:val="none"/>
              </w:rPr>
              <w:t>为</w:t>
            </w:r>
            <w:r>
              <w:rPr>
                <w:rFonts w:hint="eastAsia"/>
                <w:color w:val="auto"/>
                <w:sz w:val="24"/>
                <w:szCs w:val="24"/>
                <w:highlight w:val="none"/>
                <w:lang w:eastAsia="zh-CN"/>
              </w:rPr>
              <w:t>机油、液压油、</w:t>
            </w:r>
            <w:r>
              <w:rPr>
                <w:rFonts w:hint="eastAsia"/>
                <w:bCs/>
                <w:color w:val="auto"/>
                <w:sz w:val="24"/>
                <w:szCs w:val="24"/>
                <w:highlight w:val="none"/>
                <w:lang w:val="en-US" w:eastAsia="zh-CN"/>
              </w:rPr>
              <w:t>废机油、废液压油</w:t>
            </w:r>
            <w:r>
              <w:rPr>
                <w:rFonts w:hint="eastAsia"/>
                <w:color w:val="auto"/>
                <w:sz w:val="24"/>
                <w:szCs w:val="24"/>
                <w:highlight w:val="none"/>
                <w:lang w:eastAsia="zh-CN"/>
              </w:rPr>
              <w:t>。</w:t>
            </w:r>
          </w:p>
          <w:p w14:paraId="1B559613">
            <w:pPr>
              <w:adjustRightInd w:val="0"/>
              <w:snapToGrid w:val="0"/>
              <w:spacing w:before="120" w:beforeLines="50" w:line="360" w:lineRule="auto"/>
              <w:rPr>
                <w:bCs/>
                <w:color w:val="auto"/>
                <w:sz w:val="24"/>
                <w:szCs w:val="24"/>
                <w:highlight w:val="none"/>
              </w:rPr>
            </w:pPr>
            <w:r>
              <w:rPr>
                <w:rFonts w:hint="eastAsia"/>
                <w:bCs/>
                <w:color w:val="auto"/>
                <w:sz w:val="24"/>
                <w:szCs w:val="24"/>
                <w:highlight w:val="none"/>
              </w:rPr>
              <w:t xml:space="preserve">    </w:t>
            </w:r>
            <w:r>
              <w:rPr>
                <w:rFonts w:hint="eastAsia"/>
                <w:b/>
                <w:bCs w:val="0"/>
                <w:color w:val="auto"/>
                <w:sz w:val="24"/>
                <w:szCs w:val="24"/>
                <w:highlight w:val="none"/>
              </w:rPr>
              <w:t xml:space="preserve"> 6.2风险调查</w:t>
            </w:r>
          </w:p>
          <w:p w14:paraId="22293FF7">
            <w:pPr>
              <w:bidi w:val="0"/>
              <w:spacing w:line="360" w:lineRule="auto"/>
              <w:ind w:firstLine="480"/>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根据调查识别，拟建项目涉及到的风险物</w:t>
            </w:r>
            <w:r>
              <w:rPr>
                <w:rFonts w:hint="eastAsia"/>
                <w:bCs/>
                <w:color w:val="auto"/>
                <w:sz w:val="24"/>
                <w:szCs w:val="24"/>
                <w:highlight w:val="none"/>
                <w:lang w:eastAsia="zh-CN"/>
              </w:rPr>
              <w:t>质主要为</w:t>
            </w:r>
            <w:r>
              <w:rPr>
                <w:rFonts w:hint="eastAsia"/>
                <w:bCs/>
                <w:color w:val="auto"/>
                <w:sz w:val="24"/>
                <w:szCs w:val="24"/>
                <w:highlight w:val="none"/>
                <w:lang w:val="en-US" w:eastAsia="zh-CN"/>
              </w:rPr>
              <w:t>废机油</w:t>
            </w:r>
            <w:r>
              <w:rPr>
                <w:rFonts w:hint="eastAsia"/>
                <w:bCs/>
                <w:color w:val="auto"/>
                <w:sz w:val="24"/>
                <w:szCs w:val="24"/>
                <w:highlight w:val="none"/>
                <w:lang w:eastAsia="zh-CN"/>
              </w:rPr>
              <w:t>，物</w:t>
            </w:r>
            <w:r>
              <w:rPr>
                <w:rFonts w:hint="eastAsia" w:ascii="Times New Roman" w:hAnsi="Times New Roman" w:eastAsia="宋体" w:cs="Times New Roman"/>
                <w:color w:val="auto"/>
                <w:sz w:val="24"/>
                <w:szCs w:val="24"/>
                <w:highlight w:val="none"/>
                <w:lang w:eastAsia="zh-CN"/>
              </w:rPr>
              <w:t>料相关信息详见下表：</w:t>
            </w:r>
          </w:p>
          <w:p w14:paraId="55C3AD84">
            <w:pPr>
              <w:bidi w:val="0"/>
              <w:spacing w:line="360" w:lineRule="auto"/>
              <w:jc w:val="center"/>
              <w:rPr>
                <w:b w:val="0"/>
                <w:bCs w:val="0"/>
                <w:color w:val="auto"/>
                <w:highlight w:val="none"/>
              </w:rPr>
            </w:pPr>
            <w:r>
              <w:rPr>
                <w:rFonts w:hint="eastAsia"/>
                <w:b w:val="0"/>
                <w:bCs w:val="0"/>
                <w:color w:val="auto"/>
                <w:highlight w:val="none"/>
              </w:rPr>
              <w:t>表4</w:t>
            </w:r>
            <w:r>
              <w:rPr>
                <w:rFonts w:hint="eastAsia"/>
                <w:b w:val="0"/>
                <w:bCs w:val="0"/>
                <w:color w:val="auto"/>
                <w:highlight w:val="none"/>
                <w:lang w:val="en-US" w:eastAsia="zh-CN"/>
              </w:rPr>
              <w:t xml:space="preserve">-17 </w:t>
            </w:r>
            <w:r>
              <w:rPr>
                <w:b w:val="0"/>
                <w:bCs w:val="0"/>
                <w:color w:val="auto"/>
                <w:highlight w:val="none"/>
              </w:rPr>
              <w:t>项目主要风险物质识别表</w:t>
            </w:r>
          </w:p>
          <w:tbl>
            <w:tblPr>
              <w:tblStyle w:val="37"/>
              <w:tblW w:w="496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720"/>
              <w:gridCol w:w="2257"/>
              <w:gridCol w:w="1398"/>
              <w:gridCol w:w="2512"/>
            </w:tblGrid>
            <w:tr w14:paraId="43C12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88" w:hRule="atLeast"/>
                <w:jc w:val="center"/>
              </w:trPr>
              <w:tc>
                <w:tcPr>
                  <w:tcW w:w="1090" w:type="pct"/>
                  <w:tcBorders>
                    <w:top w:val="single" w:color="auto" w:sz="4" w:space="0"/>
                    <w:left w:val="single" w:color="auto" w:sz="4" w:space="0"/>
                    <w:bottom w:val="single" w:color="auto" w:sz="4" w:space="0"/>
                    <w:right w:val="single" w:color="auto" w:sz="4" w:space="0"/>
                  </w:tcBorders>
                  <w:vAlign w:val="center"/>
                </w:tcPr>
                <w:p w14:paraId="67058E37">
                  <w:pPr>
                    <w:jc w:val="center"/>
                    <w:rPr>
                      <w:color w:val="auto"/>
                      <w:sz w:val="22"/>
                      <w:szCs w:val="22"/>
                      <w:highlight w:val="none"/>
                    </w:rPr>
                  </w:pPr>
                  <w:r>
                    <w:rPr>
                      <w:rFonts w:hint="eastAsia" w:cs="宋体"/>
                      <w:color w:val="auto"/>
                      <w:sz w:val="22"/>
                      <w:szCs w:val="22"/>
                      <w:highlight w:val="none"/>
                    </w:rPr>
                    <w:t>危险物质名称</w:t>
                  </w:r>
                </w:p>
              </w:tc>
              <w:tc>
                <w:tcPr>
                  <w:tcW w:w="1430" w:type="pct"/>
                  <w:tcBorders>
                    <w:top w:val="single" w:color="auto" w:sz="4" w:space="0"/>
                    <w:left w:val="single" w:color="auto" w:sz="4" w:space="0"/>
                    <w:bottom w:val="single" w:color="auto" w:sz="4" w:space="0"/>
                    <w:right w:val="single" w:color="auto" w:sz="4" w:space="0"/>
                  </w:tcBorders>
                  <w:vAlign w:val="center"/>
                </w:tcPr>
                <w:p w14:paraId="26A1D326">
                  <w:pPr>
                    <w:jc w:val="center"/>
                    <w:rPr>
                      <w:color w:val="auto"/>
                      <w:sz w:val="22"/>
                      <w:szCs w:val="22"/>
                      <w:highlight w:val="none"/>
                    </w:rPr>
                  </w:pPr>
                  <w:r>
                    <w:rPr>
                      <w:rFonts w:hint="eastAsia" w:cs="宋体"/>
                      <w:color w:val="auto"/>
                      <w:sz w:val="22"/>
                      <w:szCs w:val="22"/>
                      <w:highlight w:val="none"/>
                    </w:rPr>
                    <w:t>厂区最大存在量（</w:t>
                  </w:r>
                  <w:r>
                    <w:rPr>
                      <w:color w:val="auto"/>
                      <w:sz w:val="22"/>
                      <w:szCs w:val="22"/>
                      <w:highlight w:val="none"/>
                    </w:rPr>
                    <w:t>t</w:t>
                  </w:r>
                  <w:r>
                    <w:rPr>
                      <w:rFonts w:hint="eastAsia" w:cs="宋体"/>
                      <w:color w:val="auto"/>
                      <w:sz w:val="22"/>
                      <w:szCs w:val="22"/>
                      <w:highlight w:val="none"/>
                    </w:rPr>
                    <w:t>）</w:t>
                  </w:r>
                </w:p>
              </w:tc>
              <w:tc>
                <w:tcPr>
                  <w:tcW w:w="886" w:type="pct"/>
                  <w:tcBorders>
                    <w:top w:val="single" w:color="auto" w:sz="4" w:space="0"/>
                    <w:left w:val="single" w:color="auto" w:sz="4" w:space="0"/>
                    <w:bottom w:val="single" w:color="auto" w:sz="4" w:space="0"/>
                    <w:right w:val="single" w:color="auto" w:sz="4" w:space="0"/>
                  </w:tcBorders>
                  <w:vAlign w:val="center"/>
                </w:tcPr>
                <w:p w14:paraId="0586B007">
                  <w:pPr>
                    <w:jc w:val="center"/>
                    <w:rPr>
                      <w:color w:val="auto"/>
                      <w:sz w:val="22"/>
                      <w:szCs w:val="22"/>
                      <w:highlight w:val="none"/>
                    </w:rPr>
                  </w:pPr>
                  <w:r>
                    <w:rPr>
                      <w:rFonts w:hint="eastAsia" w:cs="宋体"/>
                      <w:color w:val="auto"/>
                      <w:sz w:val="22"/>
                      <w:szCs w:val="22"/>
                      <w:highlight w:val="none"/>
                    </w:rPr>
                    <w:t>临界量（</w:t>
                  </w:r>
                  <w:r>
                    <w:rPr>
                      <w:color w:val="auto"/>
                      <w:sz w:val="22"/>
                      <w:szCs w:val="22"/>
                      <w:highlight w:val="none"/>
                    </w:rPr>
                    <w:t>t</w:t>
                  </w:r>
                  <w:r>
                    <w:rPr>
                      <w:rFonts w:hint="eastAsia" w:cs="宋体"/>
                      <w:color w:val="auto"/>
                      <w:sz w:val="22"/>
                      <w:szCs w:val="22"/>
                      <w:highlight w:val="none"/>
                    </w:rPr>
                    <w:t>）</w:t>
                  </w:r>
                </w:p>
              </w:tc>
              <w:tc>
                <w:tcPr>
                  <w:tcW w:w="1592" w:type="pct"/>
                  <w:tcBorders>
                    <w:top w:val="single" w:color="auto" w:sz="4" w:space="0"/>
                    <w:left w:val="single" w:color="auto" w:sz="4" w:space="0"/>
                    <w:bottom w:val="single" w:color="auto" w:sz="4" w:space="0"/>
                    <w:right w:val="single" w:color="auto" w:sz="4" w:space="0"/>
                  </w:tcBorders>
                  <w:vAlign w:val="center"/>
                </w:tcPr>
                <w:p w14:paraId="7514DA94">
                  <w:pPr>
                    <w:jc w:val="center"/>
                    <w:rPr>
                      <w:color w:val="auto"/>
                      <w:sz w:val="22"/>
                      <w:szCs w:val="22"/>
                      <w:highlight w:val="none"/>
                    </w:rPr>
                  </w:pPr>
                  <w:r>
                    <w:rPr>
                      <w:rFonts w:hint="eastAsia" w:cs="宋体"/>
                      <w:color w:val="auto"/>
                      <w:sz w:val="22"/>
                      <w:szCs w:val="22"/>
                      <w:highlight w:val="none"/>
                    </w:rPr>
                    <w:t>该种危险物质</w:t>
                  </w:r>
                  <w:r>
                    <w:rPr>
                      <w:color w:val="auto"/>
                      <w:sz w:val="22"/>
                      <w:szCs w:val="22"/>
                      <w:highlight w:val="none"/>
                    </w:rPr>
                    <w:t>Q</w:t>
                  </w:r>
                  <w:r>
                    <w:rPr>
                      <w:rFonts w:hint="eastAsia" w:cs="宋体"/>
                      <w:color w:val="auto"/>
                      <w:sz w:val="22"/>
                      <w:szCs w:val="22"/>
                      <w:highlight w:val="none"/>
                    </w:rPr>
                    <w:t>值</w:t>
                  </w:r>
                </w:p>
              </w:tc>
            </w:tr>
            <w:tr w14:paraId="6954C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88" w:hRule="atLeast"/>
                <w:jc w:val="center"/>
              </w:trPr>
              <w:tc>
                <w:tcPr>
                  <w:tcW w:w="1090" w:type="pct"/>
                  <w:tcBorders>
                    <w:top w:val="single" w:color="auto" w:sz="4" w:space="0"/>
                    <w:left w:val="single" w:color="auto" w:sz="4" w:space="0"/>
                    <w:bottom w:val="single" w:color="auto" w:sz="4" w:space="0"/>
                    <w:right w:val="single" w:color="auto" w:sz="4" w:space="0"/>
                  </w:tcBorders>
                  <w:vAlign w:val="center"/>
                </w:tcPr>
                <w:p w14:paraId="75CAA327">
                  <w:pPr>
                    <w:jc w:val="center"/>
                    <w:rPr>
                      <w:rFonts w:hint="eastAsia" w:eastAsia="宋体"/>
                      <w:color w:val="auto"/>
                      <w:sz w:val="22"/>
                      <w:szCs w:val="22"/>
                      <w:highlight w:val="none"/>
                      <w:lang w:eastAsia="zh-CN"/>
                    </w:rPr>
                  </w:pPr>
                  <w:r>
                    <w:rPr>
                      <w:rFonts w:hint="eastAsia"/>
                      <w:color w:val="auto"/>
                      <w:sz w:val="22"/>
                      <w:szCs w:val="22"/>
                      <w:highlight w:val="none"/>
                      <w:lang w:eastAsia="zh-CN"/>
                    </w:rPr>
                    <w:t>机油</w:t>
                  </w:r>
                </w:p>
              </w:tc>
              <w:tc>
                <w:tcPr>
                  <w:tcW w:w="1430" w:type="pct"/>
                  <w:tcBorders>
                    <w:top w:val="single" w:color="auto" w:sz="4" w:space="0"/>
                    <w:left w:val="single" w:color="auto" w:sz="4" w:space="0"/>
                    <w:bottom w:val="single" w:color="auto" w:sz="4" w:space="0"/>
                    <w:right w:val="single" w:color="auto" w:sz="4" w:space="0"/>
                  </w:tcBorders>
                  <w:vAlign w:val="center"/>
                </w:tcPr>
                <w:p w14:paraId="73922A94">
                  <w:pPr>
                    <w:jc w:val="center"/>
                    <w:rPr>
                      <w:rFonts w:hint="default" w:eastAsia="宋体"/>
                      <w:color w:val="auto"/>
                      <w:sz w:val="22"/>
                      <w:szCs w:val="22"/>
                      <w:highlight w:val="none"/>
                      <w:lang w:val="en-US" w:eastAsia="zh-CN"/>
                    </w:rPr>
                  </w:pPr>
                  <w:r>
                    <w:rPr>
                      <w:rFonts w:hint="eastAsia"/>
                      <w:color w:val="auto"/>
                      <w:sz w:val="22"/>
                      <w:szCs w:val="22"/>
                      <w:highlight w:val="none"/>
                      <w:lang w:val="en-US" w:eastAsia="zh-CN"/>
                    </w:rPr>
                    <w:t>0.1</w:t>
                  </w:r>
                </w:p>
              </w:tc>
              <w:tc>
                <w:tcPr>
                  <w:tcW w:w="886" w:type="pct"/>
                  <w:tcBorders>
                    <w:top w:val="single" w:color="auto" w:sz="4" w:space="0"/>
                    <w:left w:val="single" w:color="auto" w:sz="4" w:space="0"/>
                    <w:bottom w:val="single" w:color="auto" w:sz="4" w:space="0"/>
                    <w:right w:val="single" w:color="auto" w:sz="4" w:space="0"/>
                  </w:tcBorders>
                  <w:vAlign w:val="center"/>
                </w:tcPr>
                <w:p w14:paraId="37809329">
                  <w:pPr>
                    <w:jc w:val="center"/>
                    <w:rPr>
                      <w:rFonts w:hint="default" w:eastAsia="宋体"/>
                      <w:color w:val="auto"/>
                      <w:sz w:val="22"/>
                      <w:szCs w:val="22"/>
                      <w:highlight w:val="none"/>
                      <w:lang w:val="en-US" w:eastAsia="zh-CN"/>
                    </w:rPr>
                  </w:pPr>
                  <w:r>
                    <w:rPr>
                      <w:rFonts w:hint="eastAsia"/>
                      <w:color w:val="auto"/>
                      <w:sz w:val="22"/>
                      <w:szCs w:val="22"/>
                      <w:highlight w:val="none"/>
                      <w:lang w:val="en-US" w:eastAsia="zh-CN"/>
                    </w:rPr>
                    <w:t>2500</w:t>
                  </w:r>
                </w:p>
              </w:tc>
              <w:tc>
                <w:tcPr>
                  <w:tcW w:w="1592" w:type="pct"/>
                  <w:tcBorders>
                    <w:top w:val="single" w:color="auto" w:sz="4" w:space="0"/>
                    <w:left w:val="single" w:color="auto" w:sz="4" w:space="0"/>
                    <w:bottom w:val="single" w:color="auto" w:sz="4" w:space="0"/>
                    <w:right w:val="single" w:color="auto" w:sz="4" w:space="0"/>
                  </w:tcBorders>
                  <w:vAlign w:val="center"/>
                </w:tcPr>
                <w:p w14:paraId="786C4044">
                  <w:pPr>
                    <w:jc w:val="center"/>
                    <w:rPr>
                      <w:rFonts w:hint="default" w:eastAsia="宋体"/>
                      <w:color w:val="auto"/>
                      <w:sz w:val="22"/>
                      <w:szCs w:val="22"/>
                      <w:highlight w:val="none"/>
                      <w:lang w:val="en-US" w:eastAsia="zh-CN"/>
                    </w:rPr>
                  </w:pPr>
                  <w:r>
                    <w:rPr>
                      <w:rFonts w:hint="eastAsia"/>
                      <w:color w:val="auto"/>
                      <w:sz w:val="22"/>
                      <w:szCs w:val="22"/>
                      <w:highlight w:val="none"/>
                      <w:lang w:val="en-US" w:eastAsia="zh-CN"/>
                    </w:rPr>
                    <w:t>0.00004</w:t>
                  </w:r>
                </w:p>
              </w:tc>
            </w:tr>
            <w:tr w14:paraId="68B7C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88" w:hRule="atLeast"/>
                <w:jc w:val="center"/>
              </w:trPr>
              <w:tc>
                <w:tcPr>
                  <w:tcW w:w="1090" w:type="pct"/>
                  <w:tcBorders>
                    <w:top w:val="single" w:color="auto" w:sz="4" w:space="0"/>
                    <w:left w:val="single" w:color="auto" w:sz="4" w:space="0"/>
                    <w:bottom w:val="single" w:color="auto" w:sz="4" w:space="0"/>
                    <w:right w:val="single" w:color="auto" w:sz="4" w:space="0"/>
                  </w:tcBorders>
                  <w:vAlign w:val="center"/>
                </w:tcPr>
                <w:p w14:paraId="0984A37C">
                  <w:pPr>
                    <w:jc w:val="center"/>
                    <w:rPr>
                      <w:rFonts w:hint="eastAsia" w:eastAsia="宋体" w:cs="宋体"/>
                      <w:color w:val="auto"/>
                      <w:sz w:val="22"/>
                      <w:szCs w:val="22"/>
                      <w:highlight w:val="none"/>
                      <w:lang w:eastAsia="zh-CN"/>
                    </w:rPr>
                  </w:pPr>
                  <w:r>
                    <w:rPr>
                      <w:rFonts w:hint="eastAsia" w:cs="宋体"/>
                      <w:color w:val="auto"/>
                      <w:sz w:val="22"/>
                      <w:szCs w:val="22"/>
                      <w:highlight w:val="none"/>
                      <w:lang w:eastAsia="zh-CN"/>
                    </w:rPr>
                    <w:t>液压油</w:t>
                  </w:r>
                </w:p>
              </w:tc>
              <w:tc>
                <w:tcPr>
                  <w:tcW w:w="1430" w:type="pct"/>
                  <w:tcBorders>
                    <w:top w:val="single" w:color="auto" w:sz="4" w:space="0"/>
                    <w:left w:val="single" w:color="auto" w:sz="4" w:space="0"/>
                    <w:bottom w:val="single" w:color="auto" w:sz="4" w:space="0"/>
                    <w:right w:val="single" w:color="auto" w:sz="4" w:space="0"/>
                  </w:tcBorders>
                  <w:vAlign w:val="center"/>
                </w:tcPr>
                <w:p w14:paraId="5C0C5115">
                  <w:pPr>
                    <w:jc w:val="center"/>
                    <w:rPr>
                      <w:rFonts w:hint="default" w:eastAsia="宋体"/>
                      <w:color w:val="auto"/>
                      <w:sz w:val="22"/>
                      <w:szCs w:val="22"/>
                      <w:highlight w:val="none"/>
                      <w:lang w:val="en-US" w:eastAsia="zh-CN"/>
                    </w:rPr>
                  </w:pPr>
                  <w:r>
                    <w:rPr>
                      <w:rFonts w:hint="eastAsia"/>
                      <w:color w:val="auto"/>
                      <w:sz w:val="22"/>
                      <w:szCs w:val="22"/>
                      <w:highlight w:val="none"/>
                      <w:lang w:val="en-US" w:eastAsia="zh-CN"/>
                    </w:rPr>
                    <w:t>0.1</w:t>
                  </w:r>
                </w:p>
              </w:tc>
              <w:tc>
                <w:tcPr>
                  <w:tcW w:w="886" w:type="pct"/>
                  <w:tcBorders>
                    <w:top w:val="single" w:color="auto" w:sz="4" w:space="0"/>
                    <w:left w:val="single" w:color="auto" w:sz="4" w:space="0"/>
                    <w:bottom w:val="single" w:color="auto" w:sz="4" w:space="0"/>
                    <w:right w:val="single" w:color="auto" w:sz="4" w:space="0"/>
                  </w:tcBorders>
                  <w:vAlign w:val="center"/>
                </w:tcPr>
                <w:p w14:paraId="6D4D4968">
                  <w:pPr>
                    <w:jc w:val="center"/>
                    <w:rPr>
                      <w:rFonts w:hint="eastAsia"/>
                      <w:color w:val="auto"/>
                      <w:sz w:val="22"/>
                      <w:szCs w:val="22"/>
                      <w:highlight w:val="none"/>
                      <w:lang w:val="en-US" w:eastAsia="zh-CN"/>
                    </w:rPr>
                  </w:pPr>
                  <w:r>
                    <w:rPr>
                      <w:rFonts w:hint="eastAsia"/>
                      <w:color w:val="auto"/>
                      <w:sz w:val="22"/>
                      <w:szCs w:val="22"/>
                      <w:highlight w:val="none"/>
                      <w:lang w:val="en-US" w:eastAsia="zh-CN"/>
                    </w:rPr>
                    <w:t>2500</w:t>
                  </w:r>
                </w:p>
              </w:tc>
              <w:tc>
                <w:tcPr>
                  <w:tcW w:w="1592" w:type="pct"/>
                  <w:tcBorders>
                    <w:top w:val="single" w:color="auto" w:sz="4" w:space="0"/>
                    <w:left w:val="single" w:color="auto" w:sz="4" w:space="0"/>
                    <w:bottom w:val="single" w:color="auto" w:sz="4" w:space="0"/>
                    <w:right w:val="single" w:color="auto" w:sz="4" w:space="0"/>
                  </w:tcBorders>
                  <w:vAlign w:val="center"/>
                </w:tcPr>
                <w:p w14:paraId="18F4F33A">
                  <w:pPr>
                    <w:jc w:val="center"/>
                    <w:rPr>
                      <w:rFonts w:hint="eastAsia"/>
                      <w:color w:val="auto"/>
                      <w:sz w:val="22"/>
                      <w:szCs w:val="22"/>
                      <w:highlight w:val="none"/>
                      <w:lang w:val="en-US" w:eastAsia="zh-CN"/>
                    </w:rPr>
                  </w:pPr>
                  <w:r>
                    <w:rPr>
                      <w:rFonts w:hint="eastAsia"/>
                      <w:color w:val="auto"/>
                      <w:sz w:val="22"/>
                      <w:szCs w:val="22"/>
                      <w:highlight w:val="none"/>
                      <w:lang w:val="en-US" w:eastAsia="zh-CN"/>
                    </w:rPr>
                    <w:t>0.00004</w:t>
                  </w:r>
                </w:p>
              </w:tc>
            </w:tr>
            <w:tr w14:paraId="631C9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88" w:hRule="atLeast"/>
                <w:jc w:val="center"/>
              </w:trPr>
              <w:tc>
                <w:tcPr>
                  <w:tcW w:w="1090" w:type="pct"/>
                  <w:tcBorders>
                    <w:top w:val="single" w:color="auto" w:sz="4" w:space="0"/>
                    <w:left w:val="single" w:color="auto" w:sz="4" w:space="0"/>
                    <w:bottom w:val="single" w:color="auto" w:sz="4" w:space="0"/>
                    <w:right w:val="single" w:color="auto" w:sz="4" w:space="0"/>
                  </w:tcBorders>
                  <w:vAlign w:val="center"/>
                </w:tcPr>
                <w:p w14:paraId="739DD0B0">
                  <w:pPr>
                    <w:jc w:val="center"/>
                    <w:rPr>
                      <w:rFonts w:hint="eastAsia" w:cs="宋体"/>
                      <w:color w:val="auto"/>
                      <w:sz w:val="22"/>
                      <w:szCs w:val="22"/>
                      <w:highlight w:val="none"/>
                    </w:rPr>
                  </w:pPr>
                  <w:r>
                    <w:rPr>
                      <w:rFonts w:hint="eastAsia" w:cs="宋体"/>
                      <w:color w:val="auto"/>
                      <w:sz w:val="22"/>
                      <w:szCs w:val="22"/>
                      <w:highlight w:val="none"/>
                    </w:rPr>
                    <w:t>废机油</w:t>
                  </w:r>
                </w:p>
              </w:tc>
              <w:tc>
                <w:tcPr>
                  <w:tcW w:w="1430" w:type="pct"/>
                  <w:tcBorders>
                    <w:top w:val="single" w:color="auto" w:sz="4" w:space="0"/>
                    <w:left w:val="single" w:color="auto" w:sz="4" w:space="0"/>
                    <w:bottom w:val="single" w:color="auto" w:sz="4" w:space="0"/>
                    <w:right w:val="single" w:color="auto" w:sz="4" w:space="0"/>
                  </w:tcBorders>
                  <w:vAlign w:val="center"/>
                </w:tcPr>
                <w:p w14:paraId="5CCBD26A">
                  <w:pPr>
                    <w:jc w:val="center"/>
                    <w:rPr>
                      <w:rFonts w:hint="default" w:eastAsia="宋体"/>
                      <w:color w:val="auto"/>
                      <w:sz w:val="22"/>
                      <w:szCs w:val="22"/>
                      <w:highlight w:val="none"/>
                      <w:lang w:val="en-US" w:eastAsia="zh-CN"/>
                    </w:rPr>
                  </w:pPr>
                  <w:r>
                    <w:rPr>
                      <w:rFonts w:hint="eastAsia"/>
                      <w:color w:val="auto"/>
                      <w:sz w:val="22"/>
                      <w:szCs w:val="22"/>
                      <w:highlight w:val="none"/>
                      <w:lang w:val="en-US" w:eastAsia="zh-CN"/>
                    </w:rPr>
                    <w:t>0.1</w:t>
                  </w:r>
                </w:p>
              </w:tc>
              <w:tc>
                <w:tcPr>
                  <w:tcW w:w="886" w:type="pct"/>
                  <w:tcBorders>
                    <w:top w:val="single" w:color="auto" w:sz="4" w:space="0"/>
                    <w:left w:val="single" w:color="auto" w:sz="4" w:space="0"/>
                    <w:bottom w:val="single" w:color="auto" w:sz="4" w:space="0"/>
                    <w:right w:val="single" w:color="auto" w:sz="4" w:space="0"/>
                  </w:tcBorders>
                  <w:vAlign w:val="center"/>
                </w:tcPr>
                <w:p w14:paraId="28061472">
                  <w:pPr>
                    <w:jc w:val="center"/>
                    <w:rPr>
                      <w:rFonts w:hint="eastAsia"/>
                      <w:color w:val="auto"/>
                      <w:sz w:val="22"/>
                      <w:szCs w:val="22"/>
                      <w:highlight w:val="none"/>
                      <w:lang w:val="en-US" w:eastAsia="zh-CN"/>
                    </w:rPr>
                  </w:pPr>
                  <w:r>
                    <w:rPr>
                      <w:rFonts w:hint="eastAsia"/>
                      <w:color w:val="auto"/>
                      <w:sz w:val="22"/>
                      <w:szCs w:val="22"/>
                      <w:highlight w:val="none"/>
                      <w:lang w:val="en-US" w:eastAsia="zh-CN"/>
                    </w:rPr>
                    <w:t>2500</w:t>
                  </w:r>
                </w:p>
              </w:tc>
              <w:tc>
                <w:tcPr>
                  <w:tcW w:w="1592" w:type="pct"/>
                  <w:tcBorders>
                    <w:top w:val="single" w:color="auto" w:sz="4" w:space="0"/>
                    <w:left w:val="single" w:color="auto" w:sz="4" w:space="0"/>
                    <w:bottom w:val="single" w:color="auto" w:sz="4" w:space="0"/>
                    <w:right w:val="single" w:color="auto" w:sz="4" w:space="0"/>
                  </w:tcBorders>
                  <w:vAlign w:val="center"/>
                </w:tcPr>
                <w:p w14:paraId="30880239">
                  <w:pPr>
                    <w:jc w:val="center"/>
                    <w:rPr>
                      <w:rFonts w:hint="eastAsia"/>
                      <w:color w:val="auto"/>
                      <w:sz w:val="22"/>
                      <w:szCs w:val="22"/>
                      <w:highlight w:val="none"/>
                      <w:lang w:val="en-US" w:eastAsia="zh-CN"/>
                    </w:rPr>
                  </w:pPr>
                  <w:r>
                    <w:rPr>
                      <w:rFonts w:hint="eastAsia"/>
                      <w:color w:val="auto"/>
                      <w:sz w:val="22"/>
                      <w:szCs w:val="22"/>
                      <w:highlight w:val="none"/>
                      <w:lang w:val="en-US" w:eastAsia="zh-CN"/>
                    </w:rPr>
                    <w:t>0.00004</w:t>
                  </w:r>
                </w:p>
              </w:tc>
            </w:tr>
            <w:tr w14:paraId="757B6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88" w:hRule="atLeast"/>
                <w:jc w:val="center"/>
              </w:trPr>
              <w:tc>
                <w:tcPr>
                  <w:tcW w:w="1090" w:type="pct"/>
                  <w:tcBorders>
                    <w:top w:val="single" w:color="auto" w:sz="4" w:space="0"/>
                    <w:left w:val="single" w:color="auto" w:sz="4" w:space="0"/>
                    <w:bottom w:val="single" w:color="auto" w:sz="4" w:space="0"/>
                    <w:right w:val="single" w:color="auto" w:sz="4" w:space="0"/>
                  </w:tcBorders>
                  <w:vAlign w:val="center"/>
                </w:tcPr>
                <w:p w14:paraId="45423A92">
                  <w:pPr>
                    <w:jc w:val="center"/>
                    <w:rPr>
                      <w:rFonts w:hint="eastAsia" w:cs="宋体"/>
                      <w:color w:val="auto"/>
                      <w:sz w:val="22"/>
                      <w:szCs w:val="22"/>
                      <w:highlight w:val="none"/>
                    </w:rPr>
                  </w:pPr>
                  <w:r>
                    <w:rPr>
                      <w:rFonts w:hint="eastAsia" w:cs="宋体"/>
                      <w:color w:val="auto"/>
                      <w:sz w:val="22"/>
                      <w:szCs w:val="22"/>
                      <w:highlight w:val="none"/>
                    </w:rPr>
                    <w:t>废</w:t>
                  </w:r>
                  <w:r>
                    <w:rPr>
                      <w:rFonts w:hint="eastAsia" w:cs="宋体"/>
                      <w:color w:val="auto"/>
                      <w:sz w:val="22"/>
                      <w:szCs w:val="22"/>
                      <w:highlight w:val="none"/>
                      <w:lang w:eastAsia="zh-CN"/>
                    </w:rPr>
                    <w:t>液压油</w:t>
                  </w:r>
                </w:p>
              </w:tc>
              <w:tc>
                <w:tcPr>
                  <w:tcW w:w="1430" w:type="pct"/>
                  <w:tcBorders>
                    <w:top w:val="single" w:color="auto" w:sz="4" w:space="0"/>
                    <w:left w:val="single" w:color="auto" w:sz="4" w:space="0"/>
                    <w:bottom w:val="single" w:color="auto" w:sz="4" w:space="0"/>
                    <w:right w:val="single" w:color="auto" w:sz="4" w:space="0"/>
                  </w:tcBorders>
                  <w:vAlign w:val="center"/>
                </w:tcPr>
                <w:p w14:paraId="44D37421">
                  <w:pPr>
                    <w:jc w:val="center"/>
                    <w:rPr>
                      <w:rFonts w:hint="default" w:eastAsia="宋体"/>
                      <w:color w:val="auto"/>
                      <w:sz w:val="22"/>
                      <w:szCs w:val="22"/>
                      <w:highlight w:val="none"/>
                      <w:lang w:val="en-US" w:eastAsia="zh-CN"/>
                    </w:rPr>
                  </w:pPr>
                  <w:r>
                    <w:rPr>
                      <w:rFonts w:hint="eastAsia"/>
                      <w:color w:val="auto"/>
                      <w:sz w:val="22"/>
                      <w:szCs w:val="22"/>
                      <w:highlight w:val="none"/>
                      <w:lang w:val="en-US" w:eastAsia="zh-CN"/>
                    </w:rPr>
                    <w:t>0.1</w:t>
                  </w:r>
                </w:p>
              </w:tc>
              <w:tc>
                <w:tcPr>
                  <w:tcW w:w="886" w:type="pct"/>
                  <w:tcBorders>
                    <w:top w:val="single" w:color="auto" w:sz="4" w:space="0"/>
                    <w:left w:val="single" w:color="auto" w:sz="4" w:space="0"/>
                    <w:bottom w:val="single" w:color="auto" w:sz="4" w:space="0"/>
                    <w:right w:val="single" w:color="auto" w:sz="4" w:space="0"/>
                  </w:tcBorders>
                  <w:vAlign w:val="center"/>
                </w:tcPr>
                <w:p w14:paraId="24C1285A">
                  <w:pPr>
                    <w:jc w:val="center"/>
                    <w:rPr>
                      <w:rFonts w:hint="eastAsia"/>
                      <w:color w:val="auto"/>
                      <w:sz w:val="22"/>
                      <w:szCs w:val="22"/>
                      <w:highlight w:val="none"/>
                      <w:lang w:val="en-US" w:eastAsia="zh-CN"/>
                    </w:rPr>
                  </w:pPr>
                  <w:r>
                    <w:rPr>
                      <w:rFonts w:hint="eastAsia"/>
                      <w:color w:val="auto"/>
                      <w:sz w:val="22"/>
                      <w:szCs w:val="22"/>
                      <w:highlight w:val="none"/>
                      <w:lang w:val="en-US" w:eastAsia="zh-CN"/>
                    </w:rPr>
                    <w:t>2500</w:t>
                  </w:r>
                </w:p>
              </w:tc>
              <w:tc>
                <w:tcPr>
                  <w:tcW w:w="1592" w:type="pct"/>
                  <w:tcBorders>
                    <w:top w:val="single" w:color="auto" w:sz="4" w:space="0"/>
                    <w:left w:val="single" w:color="auto" w:sz="4" w:space="0"/>
                    <w:bottom w:val="single" w:color="auto" w:sz="4" w:space="0"/>
                    <w:right w:val="single" w:color="auto" w:sz="4" w:space="0"/>
                  </w:tcBorders>
                  <w:vAlign w:val="center"/>
                </w:tcPr>
                <w:p w14:paraId="715F0807">
                  <w:pPr>
                    <w:jc w:val="center"/>
                    <w:rPr>
                      <w:rFonts w:hint="eastAsia"/>
                      <w:color w:val="auto"/>
                      <w:sz w:val="22"/>
                      <w:szCs w:val="22"/>
                      <w:highlight w:val="none"/>
                      <w:lang w:val="en-US" w:eastAsia="zh-CN"/>
                    </w:rPr>
                  </w:pPr>
                  <w:r>
                    <w:rPr>
                      <w:rFonts w:hint="eastAsia"/>
                      <w:color w:val="auto"/>
                      <w:sz w:val="22"/>
                      <w:szCs w:val="22"/>
                      <w:highlight w:val="none"/>
                      <w:lang w:val="en-US" w:eastAsia="zh-CN"/>
                    </w:rPr>
                    <w:t>0.00004</w:t>
                  </w:r>
                </w:p>
              </w:tc>
            </w:tr>
            <w:tr w14:paraId="559D7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88" w:hRule="atLeast"/>
                <w:jc w:val="center"/>
              </w:trPr>
              <w:tc>
                <w:tcPr>
                  <w:tcW w:w="3407" w:type="pct"/>
                  <w:gridSpan w:val="3"/>
                  <w:tcBorders>
                    <w:top w:val="single" w:color="auto" w:sz="4" w:space="0"/>
                    <w:left w:val="single" w:color="auto" w:sz="4" w:space="0"/>
                    <w:bottom w:val="single" w:color="auto" w:sz="4" w:space="0"/>
                    <w:right w:val="single" w:color="auto" w:sz="4" w:space="0"/>
                  </w:tcBorders>
                  <w:vAlign w:val="center"/>
                </w:tcPr>
                <w:p w14:paraId="799F7D51">
                  <w:pPr>
                    <w:jc w:val="center"/>
                    <w:rPr>
                      <w:color w:val="auto"/>
                      <w:sz w:val="22"/>
                      <w:szCs w:val="22"/>
                      <w:highlight w:val="none"/>
                    </w:rPr>
                  </w:pPr>
                  <w:r>
                    <w:rPr>
                      <w:rFonts w:hint="eastAsia" w:cs="宋体"/>
                      <w:color w:val="auto"/>
                      <w:sz w:val="22"/>
                      <w:szCs w:val="22"/>
                      <w:highlight w:val="none"/>
                    </w:rPr>
                    <w:t>项目</w:t>
                  </w:r>
                  <w:r>
                    <w:rPr>
                      <w:color w:val="auto"/>
                      <w:sz w:val="22"/>
                      <w:szCs w:val="22"/>
                      <w:highlight w:val="none"/>
                    </w:rPr>
                    <w:t>Q</w:t>
                  </w:r>
                  <w:r>
                    <w:rPr>
                      <w:rFonts w:hint="eastAsia" w:cs="宋体"/>
                      <w:color w:val="auto"/>
                      <w:sz w:val="22"/>
                      <w:szCs w:val="22"/>
                      <w:highlight w:val="none"/>
                    </w:rPr>
                    <w:t>值</w:t>
                  </w:r>
                </w:p>
              </w:tc>
              <w:tc>
                <w:tcPr>
                  <w:tcW w:w="1592" w:type="pct"/>
                  <w:tcBorders>
                    <w:top w:val="single" w:color="auto" w:sz="4" w:space="0"/>
                    <w:left w:val="single" w:color="auto" w:sz="4" w:space="0"/>
                    <w:bottom w:val="single" w:color="auto" w:sz="4" w:space="0"/>
                    <w:right w:val="single" w:color="auto" w:sz="4" w:space="0"/>
                  </w:tcBorders>
                  <w:vAlign w:val="center"/>
                </w:tcPr>
                <w:p w14:paraId="7D2CC841">
                  <w:pPr>
                    <w:jc w:val="center"/>
                    <w:rPr>
                      <w:rFonts w:hint="default" w:eastAsia="宋体"/>
                      <w:color w:val="auto"/>
                      <w:sz w:val="22"/>
                      <w:szCs w:val="22"/>
                      <w:highlight w:val="none"/>
                      <w:lang w:val="en-US" w:eastAsia="zh-CN"/>
                    </w:rPr>
                  </w:pPr>
                  <w:r>
                    <w:rPr>
                      <w:rFonts w:hint="eastAsia"/>
                      <w:color w:val="auto"/>
                      <w:sz w:val="22"/>
                      <w:szCs w:val="22"/>
                      <w:highlight w:val="none"/>
                      <w:lang w:val="en-US" w:eastAsia="zh-CN"/>
                    </w:rPr>
                    <w:fldChar w:fldCharType="begin"/>
                  </w:r>
                  <w:r>
                    <w:rPr>
                      <w:rFonts w:hint="eastAsia"/>
                      <w:color w:val="auto"/>
                      <w:sz w:val="22"/>
                      <w:szCs w:val="22"/>
                      <w:highlight w:val="none"/>
                      <w:lang w:val="en-US" w:eastAsia="zh-CN"/>
                    </w:rPr>
                    <w:instrText xml:space="preserve"> = sum(D2:D5) \* MERGEFORMAT </w:instrText>
                  </w:r>
                  <w:r>
                    <w:rPr>
                      <w:rFonts w:hint="eastAsia"/>
                      <w:color w:val="auto"/>
                      <w:sz w:val="22"/>
                      <w:szCs w:val="22"/>
                      <w:highlight w:val="none"/>
                      <w:lang w:val="en-US" w:eastAsia="zh-CN"/>
                    </w:rPr>
                    <w:fldChar w:fldCharType="separate"/>
                  </w:r>
                  <w:r>
                    <w:rPr>
                      <w:rFonts w:hint="eastAsia"/>
                      <w:color w:val="auto"/>
                      <w:sz w:val="22"/>
                      <w:szCs w:val="22"/>
                      <w:highlight w:val="none"/>
                      <w:lang w:val="en-US" w:eastAsia="zh-CN"/>
                    </w:rPr>
                    <w:t>0.00016</w:t>
                  </w:r>
                  <w:r>
                    <w:rPr>
                      <w:rFonts w:hint="eastAsia"/>
                      <w:color w:val="auto"/>
                      <w:sz w:val="22"/>
                      <w:szCs w:val="22"/>
                      <w:highlight w:val="none"/>
                      <w:lang w:val="en-US" w:eastAsia="zh-CN"/>
                    </w:rPr>
                    <w:fldChar w:fldCharType="end"/>
                  </w:r>
                </w:p>
              </w:tc>
            </w:tr>
          </w:tbl>
          <w:p w14:paraId="69CBCFF8">
            <w:pPr>
              <w:bidi w:val="0"/>
              <w:spacing w:line="360" w:lineRule="auto"/>
              <w:jc w:val="center"/>
              <w:rPr>
                <w:b/>
                <w:bCs/>
                <w:color w:val="auto"/>
                <w:highlight w:val="none"/>
              </w:rPr>
            </w:pPr>
          </w:p>
          <w:p w14:paraId="465A9FF3">
            <w:pPr>
              <w:keepNext w:val="0"/>
              <w:keepLines w:val="0"/>
              <w:pageBreakBefore w:val="0"/>
              <w:widowControl w:val="0"/>
              <w:kinsoku/>
              <w:wordWrap/>
              <w:overflowPunct/>
              <w:topLinePunct w:val="0"/>
              <w:autoSpaceDE/>
              <w:autoSpaceDN/>
              <w:bidi w:val="0"/>
              <w:adjustRightInd w:val="0"/>
              <w:snapToGrid w:val="0"/>
              <w:spacing w:before="313" w:beforeLines="100" w:line="360" w:lineRule="auto"/>
              <w:ind w:firstLine="482" w:firstLineChars="200"/>
              <w:textAlignment w:val="auto"/>
              <w:rPr>
                <w:b/>
                <w:bCs w:val="0"/>
                <w:color w:val="auto"/>
                <w:sz w:val="24"/>
                <w:szCs w:val="24"/>
                <w:highlight w:val="none"/>
              </w:rPr>
            </w:pPr>
            <w:r>
              <w:rPr>
                <w:rFonts w:hint="eastAsia"/>
                <w:b/>
                <w:bCs w:val="0"/>
                <w:color w:val="auto"/>
                <w:sz w:val="24"/>
                <w:szCs w:val="24"/>
                <w:highlight w:val="none"/>
              </w:rPr>
              <w:t>6.3环境风险识别</w:t>
            </w:r>
          </w:p>
          <w:p w14:paraId="1AD2F5D8">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color w:val="auto"/>
                <w:sz w:val="24"/>
                <w:szCs w:val="24"/>
                <w:highlight w:val="none"/>
              </w:rPr>
            </w:pPr>
            <w:r>
              <w:rPr>
                <w:rFonts w:hint="eastAsia"/>
                <w:color w:val="auto"/>
                <w:sz w:val="24"/>
                <w:szCs w:val="24"/>
                <w:highlight w:val="none"/>
              </w:rPr>
              <w:t>据《建设项目环境风险评价技术导则》（HJ169-2018），进行环境风险评价工作等级的判定。</w:t>
            </w:r>
          </w:p>
          <w:p w14:paraId="0C04C92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color w:val="auto"/>
                <w:sz w:val="24"/>
                <w:szCs w:val="24"/>
                <w:highlight w:val="none"/>
              </w:rPr>
              <w:t>本项目无环境风险物质，本项目Q</w:t>
            </w:r>
            <w:r>
              <w:rPr>
                <w:rFonts w:hint="eastAsia"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fldChar w:fldCharType="begin"/>
            </w:r>
            <w:r>
              <w:rPr>
                <w:rFonts w:hint="eastAsia" w:ascii="Times New Roman" w:hAnsi="Times New Roman" w:eastAsia="宋体" w:cs="Times New Roman"/>
                <w:color w:val="auto"/>
                <w:sz w:val="24"/>
                <w:szCs w:val="24"/>
                <w:highlight w:val="none"/>
                <w:lang w:val="en-US" w:eastAsia="zh-CN"/>
              </w:rPr>
              <w:instrText xml:space="preserve"> = sum(D2:D5) \* MERGEFORMAT </w:instrText>
            </w:r>
            <w:r>
              <w:rPr>
                <w:rFonts w:hint="eastAsia" w:ascii="Times New Roman" w:hAnsi="Times New Roman" w:eastAsia="宋体" w:cs="Times New Roman"/>
                <w:color w:val="auto"/>
                <w:sz w:val="24"/>
                <w:szCs w:val="24"/>
                <w:highlight w:val="none"/>
                <w:lang w:val="en-US" w:eastAsia="zh-CN"/>
              </w:rPr>
              <w:fldChar w:fldCharType="separate"/>
            </w:r>
            <w:r>
              <w:rPr>
                <w:rFonts w:hint="eastAsia" w:ascii="Times New Roman" w:hAnsi="Times New Roman" w:eastAsia="宋体" w:cs="Times New Roman"/>
                <w:color w:val="auto"/>
                <w:sz w:val="24"/>
                <w:szCs w:val="24"/>
                <w:highlight w:val="none"/>
                <w:lang w:val="en-US" w:eastAsia="zh-CN"/>
              </w:rPr>
              <w:t>0.00016</w:t>
            </w:r>
            <w:r>
              <w:rPr>
                <w:rFonts w:hint="eastAsia" w:ascii="Times New Roman" w:hAnsi="Times New Roman" w:eastAsia="宋体" w:cs="Times New Roman"/>
                <w:color w:val="auto"/>
                <w:sz w:val="24"/>
                <w:szCs w:val="24"/>
                <w:highlight w:val="none"/>
                <w:lang w:val="en-US" w:eastAsia="zh-CN"/>
              </w:rPr>
              <w:fldChar w:fldCharType="end"/>
            </w:r>
            <w:r>
              <w:rPr>
                <w:rFonts w:hint="eastAsia" w:ascii="Times New Roman" w:hAnsi="Times New Roman" w:eastAsia="宋体" w:cs="Times New Roman"/>
                <w:color w:val="auto"/>
                <w:sz w:val="24"/>
                <w:szCs w:val="24"/>
                <w:highlight w:val="none"/>
                <w:lang w:val="en-US" w:eastAsia="zh-CN"/>
              </w:rPr>
              <w:t>＜</w:t>
            </w:r>
            <w:r>
              <w:rPr>
                <w:rFonts w:hint="eastAsia"/>
                <w:color w:val="auto"/>
                <w:sz w:val="24"/>
                <w:szCs w:val="24"/>
                <w:highlight w:val="none"/>
              </w:rPr>
              <w:t>1，则本项目环境风险潜势为Ⅰ，仅需要对项目环境风险进行简单分析</w:t>
            </w:r>
            <w:r>
              <w:rPr>
                <w:rFonts w:hint="eastAsia" w:ascii="Times New Roman" w:hAnsi="Times New Roman" w:eastAsia="宋体" w:cs="Times New Roman"/>
                <w:color w:val="auto"/>
                <w:sz w:val="24"/>
                <w:szCs w:val="24"/>
                <w:highlight w:val="none"/>
                <w:lang w:val="en-US" w:eastAsia="zh-CN"/>
              </w:rPr>
              <w:t>。</w:t>
            </w:r>
          </w:p>
          <w:p w14:paraId="3418650F">
            <w:pPr>
              <w:spacing w:line="360" w:lineRule="auto"/>
              <w:ind w:firstLine="482" w:firstLineChars="200"/>
              <w:rPr>
                <w:rFonts w:hint="eastAsia"/>
                <w:b/>
                <w:bCs/>
                <w:color w:val="auto"/>
                <w:sz w:val="24"/>
                <w:szCs w:val="24"/>
                <w:highlight w:val="none"/>
              </w:rPr>
            </w:pPr>
            <w:r>
              <w:rPr>
                <w:rFonts w:hint="eastAsia"/>
                <w:b/>
                <w:bCs w:val="0"/>
                <w:color w:val="auto"/>
                <w:sz w:val="24"/>
                <w:szCs w:val="24"/>
                <w:highlight w:val="none"/>
              </w:rPr>
              <w:t>6.</w:t>
            </w:r>
            <w:r>
              <w:rPr>
                <w:rFonts w:hint="eastAsia"/>
                <w:b/>
                <w:bCs w:val="0"/>
                <w:color w:val="auto"/>
                <w:sz w:val="24"/>
                <w:szCs w:val="24"/>
                <w:highlight w:val="none"/>
                <w:lang w:val="en-US" w:eastAsia="zh-CN"/>
              </w:rPr>
              <w:t>4</w:t>
            </w:r>
            <w:r>
              <w:rPr>
                <w:rFonts w:hint="eastAsia"/>
                <w:b/>
                <w:bCs/>
                <w:color w:val="auto"/>
                <w:sz w:val="24"/>
                <w:szCs w:val="24"/>
                <w:highlight w:val="none"/>
              </w:rPr>
              <w:t>环境风险分析</w:t>
            </w:r>
          </w:p>
          <w:p w14:paraId="7CC4112C">
            <w:pPr>
              <w:spacing w:line="360" w:lineRule="auto"/>
              <w:ind w:firstLine="480" w:firstLineChars="200"/>
              <w:rPr>
                <w:rFonts w:hint="eastAsia"/>
                <w:color w:val="auto"/>
                <w:sz w:val="24"/>
                <w:szCs w:val="24"/>
                <w:highlight w:val="none"/>
              </w:rPr>
            </w:pPr>
            <w:r>
              <w:rPr>
                <w:rFonts w:hint="eastAsia"/>
                <w:color w:val="auto"/>
                <w:sz w:val="24"/>
                <w:szCs w:val="24"/>
                <w:highlight w:val="none"/>
              </w:rPr>
              <w:t>项目运营可能的风险事故见下表：</w:t>
            </w:r>
          </w:p>
          <w:p w14:paraId="0E7B8293">
            <w:pPr>
              <w:keepNext/>
              <w:keepLines/>
              <w:tabs>
                <w:tab w:val="left" w:pos="0"/>
                <w:tab w:val="left" w:pos="180"/>
                <w:tab w:val="left" w:pos="1418"/>
                <w:tab w:val="left" w:pos="2976"/>
              </w:tabs>
              <w:spacing w:line="360" w:lineRule="auto"/>
              <w:jc w:val="center"/>
              <w:outlineLvl w:val="7"/>
              <w:rPr>
                <w:b w:val="0"/>
                <w:bCs w:val="0"/>
                <w:color w:val="auto"/>
                <w:highlight w:val="none"/>
              </w:rPr>
            </w:pPr>
            <w:r>
              <w:rPr>
                <w:rFonts w:hint="eastAsia"/>
                <w:b w:val="0"/>
                <w:bCs w:val="0"/>
                <w:color w:val="auto"/>
                <w:highlight w:val="none"/>
              </w:rPr>
              <w:t>表4</w:t>
            </w:r>
            <w:r>
              <w:rPr>
                <w:b w:val="0"/>
                <w:bCs w:val="0"/>
                <w:color w:val="auto"/>
                <w:highlight w:val="none"/>
              </w:rPr>
              <w:t>-</w:t>
            </w:r>
            <w:r>
              <w:rPr>
                <w:rFonts w:hint="eastAsia"/>
                <w:b w:val="0"/>
                <w:bCs w:val="0"/>
                <w:color w:val="auto"/>
                <w:highlight w:val="none"/>
                <w:lang w:val="en-US" w:eastAsia="zh-CN"/>
              </w:rPr>
              <w:t xml:space="preserve">18 </w:t>
            </w:r>
            <w:r>
              <w:rPr>
                <w:b w:val="0"/>
                <w:bCs w:val="0"/>
                <w:color w:val="auto"/>
                <w:highlight w:val="none"/>
              </w:rPr>
              <w:t>项目存在的环境事故类型</w:t>
            </w:r>
          </w:p>
          <w:tbl>
            <w:tblPr>
              <w:tblStyle w:val="37"/>
              <w:tblW w:w="79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0"/>
              <w:gridCol w:w="783"/>
              <w:gridCol w:w="1053"/>
              <w:gridCol w:w="1608"/>
              <w:gridCol w:w="2524"/>
              <w:gridCol w:w="1370"/>
            </w:tblGrid>
            <w:tr w14:paraId="243EE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9" w:hRule="atLeast"/>
              </w:trPr>
              <w:tc>
                <w:tcPr>
                  <w:tcW w:w="640" w:type="dxa"/>
                  <w:tcBorders>
                    <w:top w:val="single" w:color="auto" w:sz="4" w:space="0"/>
                    <w:left w:val="single" w:color="auto" w:sz="4" w:space="0"/>
                    <w:bottom w:val="single" w:color="auto" w:sz="4" w:space="0"/>
                    <w:right w:val="single" w:color="auto" w:sz="4" w:space="0"/>
                  </w:tcBorders>
                  <w:noWrap w:val="0"/>
                  <w:vAlign w:val="center"/>
                </w:tcPr>
                <w:p w14:paraId="57C0C3C5">
                  <w:pPr>
                    <w:jc w:val="center"/>
                    <w:rPr>
                      <w:color w:val="auto"/>
                      <w:highlight w:val="none"/>
                    </w:rPr>
                  </w:pPr>
                  <w:r>
                    <w:rPr>
                      <w:color w:val="auto"/>
                      <w:highlight w:val="none"/>
                    </w:rPr>
                    <w:t>系统名称</w:t>
                  </w:r>
                </w:p>
              </w:tc>
              <w:tc>
                <w:tcPr>
                  <w:tcW w:w="783" w:type="dxa"/>
                  <w:tcBorders>
                    <w:top w:val="single" w:color="auto" w:sz="4" w:space="0"/>
                    <w:left w:val="single" w:color="auto" w:sz="4" w:space="0"/>
                    <w:bottom w:val="single" w:color="auto" w:sz="4" w:space="0"/>
                    <w:right w:val="single" w:color="auto" w:sz="4" w:space="0"/>
                  </w:tcBorders>
                  <w:noWrap w:val="0"/>
                  <w:vAlign w:val="center"/>
                </w:tcPr>
                <w:p w14:paraId="2870D08D">
                  <w:pPr>
                    <w:jc w:val="center"/>
                    <w:rPr>
                      <w:color w:val="auto"/>
                      <w:highlight w:val="none"/>
                    </w:rPr>
                  </w:pPr>
                  <w:r>
                    <w:rPr>
                      <w:color w:val="auto"/>
                      <w:highlight w:val="none"/>
                    </w:rPr>
                    <w:t>危险单元</w:t>
                  </w:r>
                </w:p>
              </w:tc>
              <w:tc>
                <w:tcPr>
                  <w:tcW w:w="1053" w:type="dxa"/>
                  <w:tcBorders>
                    <w:top w:val="single" w:color="auto" w:sz="4" w:space="0"/>
                    <w:left w:val="single" w:color="auto" w:sz="4" w:space="0"/>
                    <w:bottom w:val="single" w:color="auto" w:sz="4" w:space="0"/>
                    <w:right w:val="single" w:color="auto" w:sz="4" w:space="0"/>
                  </w:tcBorders>
                  <w:noWrap w:val="0"/>
                  <w:vAlign w:val="center"/>
                </w:tcPr>
                <w:p w14:paraId="0403274F">
                  <w:pPr>
                    <w:jc w:val="center"/>
                    <w:rPr>
                      <w:color w:val="auto"/>
                      <w:highlight w:val="none"/>
                    </w:rPr>
                  </w:pPr>
                  <w:r>
                    <w:rPr>
                      <w:color w:val="auto"/>
                      <w:highlight w:val="none"/>
                    </w:rPr>
                    <w:t>主要危险物质</w:t>
                  </w:r>
                </w:p>
              </w:tc>
              <w:tc>
                <w:tcPr>
                  <w:tcW w:w="1608" w:type="dxa"/>
                  <w:tcBorders>
                    <w:top w:val="single" w:color="auto" w:sz="4" w:space="0"/>
                    <w:left w:val="single" w:color="auto" w:sz="4" w:space="0"/>
                    <w:bottom w:val="single" w:color="auto" w:sz="4" w:space="0"/>
                    <w:right w:val="single" w:color="auto" w:sz="4" w:space="0"/>
                  </w:tcBorders>
                  <w:noWrap w:val="0"/>
                  <w:vAlign w:val="center"/>
                </w:tcPr>
                <w:p w14:paraId="57F89AF1">
                  <w:pPr>
                    <w:jc w:val="center"/>
                    <w:rPr>
                      <w:color w:val="auto"/>
                      <w:highlight w:val="none"/>
                    </w:rPr>
                  </w:pPr>
                  <w:r>
                    <w:rPr>
                      <w:color w:val="auto"/>
                      <w:highlight w:val="none"/>
                    </w:rPr>
                    <w:t>环境风险类型</w:t>
                  </w:r>
                </w:p>
              </w:tc>
              <w:tc>
                <w:tcPr>
                  <w:tcW w:w="2524" w:type="dxa"/>
                  <w:tcBorders>
                    <w:top w:val="single" w:color="auto" w:sz="4" w:space="0"/>
                    <w:left w:val="single" w:color="auto" w:sz="4" w:space="0"/>
                    <w:bottom w:val="single" w:color="auto" w:sz="4" w:space="0"/>
                    <w:right w:val="single" w:color="auto" w:sz="4" w:space="0"/>
                  </w:tcBorders>
                  <w:noWrap w:val="0"/>
                  <w:vAlign w:val="center"/>
                </w:tcPr>
                <w:p w14:paraId="08E03DCA">
                  <w:pPr>
                    <w:jc w:val="center"/>
                    <w:rPr>
                      <w:color w:val="auto"/>
                      <w:highlight w:val="none"/>
                    </w:rPr>
                  </w:pPr>
                  <w:r>
                    <w:rPr>
                      <w:color w:val="auto"/>
                      <w:highlight w:val="none"/>
                    </w:rPr>
                    <w:t>环境影响途径</w:t>
                  </w:r>
                </w:p>
              </w:tc>
              <w:tc>
                <w:tcPr>
                  <w:tcW w:w="1370" w:type="dxa"/>
                  <w:tcBorders>
                    <w:top w:val="single" w:color="auto" w:sz="4" w:space="0"/>
                    <w:left w:val="single" w:color="auto" w:sz="4" w:space="0"/>
                    <w:bottom w:val="single" w:color="auto" w:sz="4" w:space="0"/>
                    <w:right w:val="single" w:color="auto" w:sz="4" w:space="0"/>
                  </w:tcBorders>
                  <w:noWrap w:val="0"/>
                  <w:vAlign w:val="center"/>
                </w:tcPr>
                <w:p w14:paraId="181F83C1">
                  <w:pPr>
                    <w:jc w:val="center"/>
                    <w:rPr>
                      <w:color w:val="auto"/>
                      <w:highlight w:val="none"/>
                    </w:rPr>
                  </w:pPr>
                  <w:r>
                    <w:rPr>
                      <w:color w:val="auto"/>
                      <w:highlight w:val="none"/>
                    </w:rPr>
                    <w:t>可能受影响的环境敏感目标</w:t>
                  </w:r>
                </w:p>
              </w:tc>
            </w:tr>
            <w:tr w14:paraId="20D97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640" w:type="dxa"/>
                  <w:vMerge w:val="restart"/>
                  <w:tcBorders>
                    <w:top w:val="single" w:color="auto" w:sz="4" w:space="0"/>
                    <w:left w:val="single" w:color="auto" w:sz="4" w:space="0"/>
                    <w:right w:val="single" w:color="auto" w:sz="4" w:space="0"/>
                  </w:tcBorders>
                  <w:noWrap w:val="0"/>
                  <w:vAlign w:val="center"/>
                </w:tcPr>
                <w:p w14:paraId="7B256441">
                  <w:pPr>
                    <w:jc w:val="center"/>
                    <w:rPr>
                      <w:color w:val="auto"/>
                      <w:highlight w:val="none"/>
                    </w:rPr>
                  </w:pPr>
                  <w:r>
                    <w:rPr>
                      <w:rFonts w:hint="eastAsia" w:cs="Times New Roman"/>
                      <w:color w:val="auto"/>
                      <w:highlight w:val="none"/>
                      <w:lang w:val="en-US" w:eastAsia="zh-CN"/>
                    </w:rPr>
                    <w:t>生产区、办公区</w:t>
                  </w:r>
                </w:p>
              </w:tc>
              <w:tc>
                <w:tcPr>
                  <w:tcW w:w="783" w:type="dxa"/>
                  <w:vMerge w:val="restart"/>
                  <w:tcBorders>
                    <w:top w:val="single" w:color="auto" w:sz="4" w:space="0"/>
                    <w:left w:val="single" w:color="auto" w:sz="4" w:space="0"/>
                    <w:right w:val="single" w:color="auto" w:sz="4" w:space="0"/>
                  </w:tcBorders>
                  <w:noWrap w:val="0"/>
                  <w:vAlign w:val="center"/>
                </w:tcPr>
                <w:p w14:paraId="248B65EE">
                  <w:pPr>
                    <w:jc w:val="center"/>
                    <w:rPr>
                      <w:rFonts w:hint="default" w:ascii="Calibri" w:hAnsi="Calibri" w:eastAsia="宋体" w:cs="宋体"/>
                      <w:color w:val="auto"/>
                      <w:kern w:val="2"/>
                      <w:sz w:val="21"/>
                      <w:szCs w:val="21"/>
                      <w:highlight w:val="none"/>
                      <w:lang w:val="en-US" w:eastAsia="zh-CN" w:bidi="ar-SA"/>
                    </w:rPr>
                  </w:pPr>
                  <w:r>
                    <w:rPr>
                      <w:rFonts w:hint="eastAsia" w:cs="Times New Roman"/>
                      <w:color w:val="auto"/>
                      <w:highlight w:val="none"/>
                      <w:lang w:val="en-US" w:eastAsia="zh-CN"/>
                    </w:rPr>
                    <w:t>生产区、办公区</w:t>
                  </w:r>
                </w:p>
              </w:tc>
              <w:tc>
                <w:tcPr>
                  <w:tcW w:w="1053" w:type="dxa"/>
                  <w:tcBorders>
                    <w:top w:val="single" w:color="auto" w:sz="4" w:space="0"/>
                    <w:left w:val="single" w:color="auto" w:sz="4" w:space="0"/>
                    <w:bottom w:val="single" w:color="auto" w:sz="4" w:space="0"/>
                    <w:right w:val="single" w:color="auto" w:sz="4" w:space="0"/>
                  </w:tcBorders>
                  <w:noWrap w:val="0"/>
                  <w:vAlign w:val="center"/>
                </w:tcPr>
                <w:p w14:paraId="46568D75">
                  <w:pPr>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有毒</w:t>
                  </w:r>
                  <w:r>
                    <w:rPr>
                      <w:rFonts w:hint="eastAsia" w:ascii="Times New Roman" w:hAnsi="Times New Roman" w:eastAsia="宋体" w:cs="Times New Roman"/>
                      <w:color w:val="auto"/>
                      <w:highlight w:val="none"/>
                      <w:lang w:val="en-US" w:eastAsia="zh-CN"/>
                    </w:rPr>
                    <w:br w:type="textWrapping"/>
                  </w:r>
                  <w:r>
                    <w:rPr>
                      <w:rFonts w:hint="eastAsia" w:ascii="Times New Roman" w:hAnsi="Times New Roman" w:eastAsia="宋体" w:cs="Times New Roman"/>
                      <w:color w:val="auto"/>
                      <w:highlight w:val="none"/>
                      <w:lang w:val="en-US" w:eastAsia="zh-CN"/>
                    </w:rPr>
                    <w:t>气体</w:t>
                  </w:r>
                </w:p>
              </w:tc>
              <w:tc>
                <w:tcPr>
                  <w:tcW w:w="1608" w:type="dxa"/>
                  <w:vMerge w:val="restart"/>
                  <w:tcBorders>
                    <w:top w:val="single" w:color="auto" w:sz="4" w:space="0"/>
                    <w:left w:val="single" w:color="auto" w:sz="4" w:space="0"/>
                    <w:right w:val="single" w:color="auto" w:sz="4" w:space="0"/>
                  </w:tcBorders>
                  <w:noWrap w:val="0"/>
                  <w:vAlign w:val="center"/>
                </w:tcPr>
                <w:p w14:paraId="54A85C5E">
                  <w:pPr>
                    <w:jc w:val="center"/>
                    <w:rPr>
                      <w:rFonts w:hint="eastAsia" w:ascii="Calibri" w:hAnsi="Calibri" w:eastAsia="宋体" w:cs="宋体"/>
                      <w:color w:val="auto"/>
                      <w:kern w:val="2"/>
                      <w:sz w:val="21"/>
                      <w:szCs w:val="21"/>
                      <w:highlight w:val="none"/>
                      <w:lang w:val="en-US" w:eastAsia="zh-CN" w:bidi="ar-SA"/>
                    </w:rPr>
                  </w:pPr>
                  <w:r>
                    <w:rPr>
                      <w:color w:val="auto"/>
                      <w:highlight w:val="none"/>
                    </w:rPr>
                    <w:t>遇</w:t>
                  </w:r>
                  <w:r>
                    <w:rPr>
                      <w:rFonts w:hint="eastAsia"/>
                      <w:color w:val="auto"/>
                      <w:highlight w:val="none"/>
                    </w:rPr>
                    <w:t>人员操作失误或可燃易燃物品遇明火发生火灾</w:t>
                  </w:r>
                </w:p>
              </w:tc>
              <w:tc>
                <w:tcPr>
                  <w:tcW w:w="2524" w:type="dxa"/>
                  <w:vMerge w:val="restart"/>
                  <w:tcBorders>
                    <w:top w:val="single" w:color="auto" w:sz="4" w:space="0"/>
                    <w:left w:val="single" w:color="auto" w:sz="4" w:space="0"/>
                    <w:right w:val="single" w:color="auto" w:sz="4" w:space="0"/>
                  </w:tcBorders>
                  <w:noWrap w:val="0"/>
                  <w:vAlign w:val="center"/>
                </w:tcPr>
                <w:p w14:paraId="1A5CE397">
                  <w:pPr>
                    <w:jc w:val="center"/>
                    <w:rPr>
                      <w:rFonts w:ascii="Calibri" w:hAnsi="Calibri" w:cs="宋体"/>
                      <w:color w:val="auto"/>
                      <w:kern w:val="2"/>
                      <w:sz w:val="21"/>
                      <w:szCs w:val="21"/>
                      <w:highlight w:val="none"/>
                      <w:lang w:val="en-US" w:eastAsia="zh-CN" w:bidi="ar-SA"/>
                    </w:rPr>
                  </w:pPr>
                  <w:r>
                    <w:rPr>
                      <w:color w:val="auto"/>
                      <w:highlight w:val="none"/>
                    </w:rPr>
                    <w:t>燃烧产生有毒有害气体扩散到大气中，对环境空气产生不利影响</w:t>
                  </w:r>
                  <w:r>
                    <w:rPr>
                      <w:rFonts w:hint="eastAsia"/>
                      <w:color w:val="auto"/>
                      <w:highlight w:val="none"/>
                      <w:lang w:eastAsia="zh-CN"/>
                    </w:rPr>
                    <w:t>；</w:t>
                  </w:r>
                  <w:r>
                    <w:rPr>
                      <w:color w:val="auto"/>
                      <w:highlight w:val="none"/>
                    </w:rPr>
                    <w:t>次生消防事故废水</w:t>
                  </w:r>
                </w:p>
              </w:tc>
              <w:tc>
                <w:tcPr>
                  <w:tcW w:w="1370" w:type="dxa"/>
                  <w:vMerge w:val="restart"/>
                  <w:tcBorders>
                    <w:top w:val="single" w:color="auto" w:sz="4" w:space="0"/>
                    <w:left w:val="single" w:color="auto" w:sz="4" w:space="0"/>
                    <w:right w:val="single" w:color="auto" w:sz="4" w:space="0"/>
                  </w:tcBorders>
                  <w:noWrap w:val="0"/>
                  <w:vAlign w:val="center"/>
                </w:tcPr>
                <w:p w14:paraId="0A842950">
                  <w:pPr>
                    <w:jc w:val="center"/>
                    <w:rPr>
                      <w:rFonts w:hint="eastAsia" w:ascii="Calibri" w:hAnsi="Calibri" w:cs="宋体"/>
                      <w:color w:val="auto"/>
                      <w:kern w:val="2"/>
                      <w:sz w:val="21"/>
                      <w:szCs w:val="21"/>
                      <w:highlight w:val="none"/>
                      <w:lang w:val="en-US" w:eastAsia="zh-CN" w:bidi="ar-SA"/>
                    </w:rPr>
                  </w:pPr>
                  <w:r>
                    <w:rPr>
                      <w:color w:val="auto"/>
                      <w:highlight w:val="none"/>
                    </w:rPr>
                    <w:t>区域地表水</w:t>
                  </w:r>
                  <w:r>
                    <w:rPr>
                      <w:rFonts w:hint="eastAsia"/>
                      <w:color w:val="auto"/>
                      <w:highlight w:val="none"/>
                    </w:rPr>
                    <w:t>、</w:t>
                  </w:r>
                  <w:r>
                    <w:rPr>
                      <w:color w:val="auto"/>
                      <w:highlight w:val="none"/>
                    </w:rPr>
                    <w:t>项目所在区域地下水、土壤</w:t>
                  </w:r>
                </w:p>
              </w:tc>
            </w:tr>
            <w:tr w14:paraId="47BC2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640" w:type="dxa"/>
                  <w:vMerge w:val="continue"/>
                  <w:tcBorders>
                    <w:left w:val="single" w:color="auto" w:sz="4" w:space="0"/>
                    <w:right w:val="single" w:color="auto" w:sz="4" w:space="0"/>
                  </w:tcBorders>
                  <w:noWrap w:val="0"/>
                  <w:vAlign w:val="center"/>
                </w:tcPr>
                <w:p w14:paraId="020EFC38">
                  <w:pPr>
                    <w:jc w:val="center"/>
                    <w:rPr>
                      <w:color w:val="auto"/>
                      <w:highlight w:val="none"/>
                    </w:rPr>
                  </w:pPr>
                </w:p>
              </w:tc>
              <w:tc>
                <w:tcPr>
                  <w:tcW w:w="783" w:type="dxa"/>
                  <w:vMerge w:val="continue"/>
                  <w:tcBorders>
                    <w:left w:val="single" w:color="auto" w:sz="4" w:space="0"/>
                    <w:bottom w:val="single" w:color="auto" w:sz="4" w:space="0"/>
                    <w:right w:val="single" w:color="auto" w:sz="4" w:space="0"/>
                  </w:tcBorders>
                  <w:noWrap w:val="0"/>
                  <w:vAlign w:val="center"/>
                </w:tcPr>
                <w:p w14:paraId="40A1D0F4">
                  <w:pPr>
                    <w:jc w:val="center"/>
                    <w:rPr>
                      <w:color w:val="auto"/>
                      <w:highlight w:val="none"/>
                    </w:rPr>
                  </w:pPr>
                </w:p>
              </w:tc>
              <w:tc>
                <w:tcPr>
                  <w:tcW w:w="1053" w:type="dxa"/>
                  <w:tcBorders>
                    <w:top w:val="single" w:color="auto" w:sz="4" w:space="0"/>
                    <w:left w:val="single" w:color="auto" w:sz="4" w:space="0"/>
                    <w:bottom w:val="single" w:color="auto" w:sz="4" w:space="0"/>
                    <w:right w:val="single" w:color="auto" w:sz="4" w:space="0"/>
                  </w:tcBorders>
                  <w:noWrap w:val="0"/>
                  <w:vAlign w:val="center"/>
                </w:tcPr>
                <w:p w14:paraId="385FBA0D">
                  <w:pPr>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消防</w:t>
                  </w:r>
                  <w:r>
                    <w:rPr>
                      <w:rFonts w:hint="eastAsia" w:ascii="Times New Roman" w:hAnsi="Times New Roman" w:eastAsia="宋体" w:cs="Times New Roman"/>
                      <w:color w:val="auto"/>
                      <w:highlight w:val="none"/>
                      <w:lang w:val="en-US" w:eastAsia="zh-CN"/>
                    </w:rPr>
                    <w:br w:type="textWrapping"/>
                  </w:r>
                  <w:r>
                    <w:rPr>
                      <w:rFonts w:hint="eastAsia" w:ascii="Times New Roman" w:hAnsi="Times New Roman" w:eastAsia="宋体" w:cs="Times New Roman"/>
                      <w:color w:val="auto"/>
                      <w:highlight w:val="none"/>
                      <w:lang w:val="en-US" w:eastAsia="zh-CN"/>
                    </w:rPr>
                    <w:t>废水</w:t>
                  </w:r>
                </w:p>
              </w:tc>
              <w:tc>
                <w:tcPr>
                  <w:tcW w:w="1608" w:type="dxa"/>
                  <w:vMerge w:val="continue"/>
                  <w:tcBorders>
                    <w:left w:val="single" w:color="auto" w:sz="4" w:space="0"/>
                    <w:bottom w:val="single" w:color="auto" w:sz="4" w:space="0"/>
                    <w:right w:val="single" w:color="auto" w:sz="4" w:space="0"/>
                  </w:tcBorders>
                  <w:noWrap w:val="0"/>
                  <w:vAlign w:val="center"/>
                </w:tcPr>
                <w:p w14:paraId="7CA6C9D3">
                  <w:pPr>
                    <w:jc w:val="center"/>
                    <w:rPr>
                      <w:rFonts w:hint="default" w:ascii="Calibri" w:hAnsi="Calibri" w:eastAsia="宋体" w:cs="宋体"/>
                      <w:color w:val="auto"/>
                      <w:kern w:val="2"/>
                      <w:sz w:val="21"/>
                      <w:szCs w:val="21"/>
                      <w:highlight w:val="none"/>
                      <w:lang w:val="en-US" w:eastAsia="zh-CN" w:bidi="ar-SA"/>
                    </w:rPr>
                  </w:pPr>
                </w:p>
              </w:tc>
              <w:tc>
                <w:tcPr>
                  <w:tcW w:w="2524" w:type="dxa"/>
                  <w:vMerge w:val="continue"/>
                  <w:tcBorders>
                    <w:left w:val="single" w:color="auto" w:sz="4" w:space="0"/>
                    <w:bottom w:val="single" w:color="auto" w:sz="4" w:space="0"/>
                    <w:right w:val="single" w:color="auto" w:sz="4" w:space="0"/>
                  </w:tcBorders>
                  <w:noWrap w:val="0"/>
                  <w:vAlign w:val="center"/>
                </w:tcPr>
                <w:p w14:paraId="0E06D4C3">
                  <w:pPr>
                    <w:jc w:val="center"/>
                    <w:rPr>
                      <w:rFonts w:hint="default" w:ascii="Calibri" w:hAnsi="Calibri" w:eastAsia="宋体" w:cs="宋体"/>
                      <w:color w:val="auto"/>
                      <w:kern w:val="2"/>
                      <w:sz w:val="21"/>
                      <w:szCs w:val="21"/>
                      <w:highlight w:val="none"/>
                      <w:lang w:val="en-US" w:eastAsia="zh-CN" w:bidi="ar-SA"/>
                    </w:rPr>
                  </w:pPr>
                </w:p>
              </w:tc>
              <w:tc>
                <w:tcPr>
                  <w:tcW w:w="1370" w:type="dxa"/>
                  <w:vMerge w:val="continue"/>
                  <w:tcBorders>
                    <w:left w:val="single" w:color="auto" w:sz="4" w:space="0"/>
                    <w:bottom w:val="single" w:color="auto" w:sz="4" w:space="0"/>
                    <w:right w:val="single" w:color="auto" w:sz="4" w:space="0"/>
                  </w:tcBorders>
                  <w:noWrap w:val="0"/>
                  <w:vAlign w:val="center"/>
                </w:tcPr>
                <w:p w14:paraId="5F83558A">
                  <w:pPr>
                    <w:jc w:val="center"/>
                    <w:rPr>
                      <w:rFonts w:hint="default" w:ascii="Calibri" w:hAnsi="Calibri" w:eastAsia="宋体" w:cs="宋体"/>
                      <w:color w:val="auto"/>
                      <w:kern w:val="2"/>
                      <w:sz w:val="21"/>
                      <w:szCs w:val="21"/>
                      <w:highlight w:val="none"/>
                      <w:lang w:val="en-US" w:eastAsia="zh-CN" w:bidi="ar-SA"/>
                    </w:rPr>
                  </w:pPr>
                </w:p>
              </w:tc>
            </w:tr>
            <w:tr w14:paraId="2AE69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0" w:hRule="atLeast"/>
              </w:trPr>
              <w:tc>
                <w:tcPr>
                  <w:tcW w:w="640" w:type="dxa"/>
                  <w:tcBorders>
                    <w:top w:val="single" w:color="auto" w:sz="4" w:space="0"/>
                    <w:left w:val="single" w:color="auto" w:sz="4" w:space="0"/>
                    <w:bottom w:val="single" w:color="auto" w:sz="4" w:space="0"/>
                    <w:right w:val="single" w:color="auto" w:sz="4" w:space="0"/>
                  </w:tcBorders>
                  <w:noWrap w:val="0"/>
                  <w:vAlign w:val="center"/>
                </w:tcPr>
                <w:p w14:paraId="53B27683">
                  <w:pPr>
                    <w:jc w:val="center"/>
                    <w:rPr>
                      <w:rFonts w:hint="eastAsia"/>
                      <w:color w:val="auto"/>
                      <w:highlight w:val="none"/>
                      <w:lang w:eastAsia="zh-CN"/>
                    </w:rPr>
                  </w:pPr>
                  <w:r>
                    <w:rPr>
                      <w:rFonts w:hint="eastAsia"/>
                      <w:color w:val="auto"/>
                      <w:highlight w:val="none"/>
                      <w:lang w:eastAsia="zh-CN"/>
                    </w:rPr>
                    <w:t>危险废物暂存间</w:t>
                  </w:r>
                </w:p>
              </w:tc>
              <w:tc>
                <w:tcPr>
                  <w:tcW w:w="783" w:type="dxa"/>
                  <w:tcBorders>
                    <w:top w:val="single" w:color="auto" w:sz="4" w:space="0"/>
                    <w:left w:val="single" w:color="auto" w:sz="4" w:space="0"/>
                    <w:bottom w:val="single" w:color="auto" w:sz="4" w:space="0"/>
                    <w:right w:val="single" w:color="auto" w:sz="4" w:space="0"/>
                  </w:tcBorders>
                  <w:noWrap w:val="0"/>
                  <w:vAlign w:val="center"/>
                </w:tcPr>
                <w:p w14:paraId="7E4392A5">
                  <w:pPr>
                    <w:jc w:val="center"/>
                    <w:rPr>
                      <w:rFonts w:hint="eastAsia"/>
                      <w:color w:val="auto"/>
                      <w:highlight w:val="none"/>
                      <w:lang w:val="en-US" w:eastAsia="zh-CN"/>
                    </w:rPr>
                  </w:pPr>
                  <w:r>
                    <w:rPr>
                      <w:rFonts w:hint="eastAsia"/>
                      <w:color w:val="auto"/>
                      <w:highlight w:val="none"/>
                      <w:lang w:eastAsia="zh-CN"/>
                    </w:rPr>
                    <w:t>危险废物暂存间</w:t>
                  </w:r>
                </w:p>
              </w:tc>
              <w:tc>
                <w:tcPr>
                  <w:tcW w:w="1053" w:type="dxa"/>
                  <w:tcBorders>
                    <w:top w:val="single" w:color="auto" w:sz="4" w:space="0"/>
                    <w:left w:val="single" w:color="auto" w:sz="4" w:space="0"/>
                    <w:bottom w:val="single" w:color="auto" w:sz="4" w:space="0"/>
                    <w:right w:val="single" w:color="auto" w:sz="4" w:space="0"/>
                  </w:tcBorders>
                  <w:noWrap w:val="0"/>
                  <w:vAlign w:val="center"/>
                </w:tcPr>
                <w:p w14:paraId="56BAD85A">
                  <w:pPr>
                    <w:jc w:val="center"/>
                    <w:rPr>
                      <w:rFonts w:hint="eastAsia"/>
                      <w:color w:val="auto"/>
                      <w:highlight w:val="none"/>
                      <w:lang w:val="en-US" w:eastAsia="zh-CN"/>
                    </w:rPr>
                  </w:pPr>
                  <w:r>
                    <w:rPr>
                      <w:rFonts w:hint="eastAsia"/>
                      <w:color w:val="auto"/>
                      <w:highlight w:val="none"/>
                      <w:lang w:val="en-US" w:eastAsia="zh-CN"/>
                    </w:rPr>
                    <w:t>危险废物</w:t>
                  </w:r>
                </w:p>
              </w:tc>
              <w:tc>
                <w:tcPr>
                  <w:tcW w:w="1608" w:type="dxa"/>
                  <w:tcBorders>
                    <w:top w:val="single" w:color="auto" w:sz="4" w:space="0"/>
                    <w:left w:val="single" w:color="auto" w:sz="4" w:space="0"/>
                    <w:bottom w:val="single" w:color="auto" w:sz="4" w:space="0"/>
                    <w:right w:val="single" w:color="auto" w:sz="4" w:space="0"/>
                  </w:tcBorders>
                  <w:noWrap w:val="0"/>
                  <w:vAlign w:val="center"/>
                </w:tcPr>
                <w:p w14:paraId="7F861CD1">
                  <w:pPr>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危废转移过程由于倾倒、颠簸，发生散落，或人员疏忽混入一般生活垃圾</w:t>
                  </w:r>
                </w:p>
              </w:tc>
              <w:tc>
                <w:tcPr>
                  <w:tcW w:w="2524" w:type="dxa"/>
                  <w:tcBorders>
                    <w:top w:val="single" w:color="auto" w:sz="4" w:space="0"/>
                    <w:left w:val="single" w:color="auto" w:sz="4" w:space="0"/>
                    <w:bottom w:val="single" w:color="auto" w:sz="4" w:space="0"/>
                    <w:right w:val="single" w:color="auto" w:sz="4" w:space="0"/>
                  </w:tcBorders>
                  <w:noWrap w:val="0"/>
                  <w:vAlign w:val="center"/>
                </w:tcPr>
                <w:p w14:paraId="131F9067">
                  <w:pPr>
                    <w:jc w:val="center"/>
                    <w:rPr>
                      <w:rFonts w:hint="eastAsia"/>
                      <w:color w:val="auto"/>
                      <w:highlight w:val="none"/>
                    </w:rPr>
                  </w:pPr>
                  <w:r>
                    <w:rPr>
                      <w:rFonts w:hint="eastAsia" w:ascii="Times New Roman" w:hAnsi="Times New Roman" w:eastAsia="宋体" w:cs="Times New Roman"/>
                      <w:color w:val="auto"/>
                      <w:kern w:val="0"/>
                      <w:sz w:val="21"/>
                      <w:szCs w:val="21"/>
                      <w:highlight w:val="none"/>
                      <w:lang w:val="en-US" w:eastAsia="zh-CN" w:bidi="ar-SA"/>
                    </w:rPr>
                    <w:t>危废转移过程由于倾倒、颠簸，发生散落，或人员疏忽混入一般生活垃圾</w:t>
                  </w:r>
                </w:p>
              </w:tc>
              <w:tc>
                <w:tcPr>
                  <w:tcW w:w="1370" w:type="dxa"/>
                  <w:tcBorders>
                    <w:top w:val="single" w:color="auto" w:sz="4" w:space="0"/>
                    <w:left w:val="single" w:color="auto" w:sz="4" w:space="0"/>
                    <w:bottom w:val="single" w:color="auto" w:sz="4" w:space="0"/>
                    <w:right w:val="single" w:color="auto" w:sz="4" w:space="0"/>
                  </w:tcBorders>
                  <w:noWrap w:val="0"/>
                  <w:vAlign w:val="center"/>
                </w:tcPr>
                <w:p w14:paraId="60CCEAFA">
                  <w:pPr>
                    <w:jc w:val="center"/>
                    <w:rPr>
                      <w:rFonts w:hint="eastAsia" w:cs="宋体"/>
                      <w:color w:val="auto"/>
                      <w:highlight w:val="none"/>
                      <w:lang w:val="en-US" w:eastAsia="zh-CN"/>
                    </w:rPr>
                  </w:pPr>
                  <w:r>
                    <w:rPr>
                      <w:color w:val="auto"/>
                      <w:highlight w:val="none"/>
                    </w:rPr>
                    <w:t>区域地表水</w:t>
                  </w:r>
                  <w:r>
                    <w:rPr>
                      <w:rFonts w:hint="eastAsia"/>
                      <w:color w:val="auto"/>
                      <w:highlight w:val="none"/>
                    </w:rPr>
                    <w:t>、</w:t>
                  </w:r>
                  <w:r>
                    <w:rPr>
                      <w:color w:val="auto"/>
                      <w:highlight w:val="none"/>
                    </w:rPr>
                    <w:t>项目所在区域地下水、土壤</w:t>
                  </w:r>
                </w:p>
              </w:tc>
            </w:tr>
            <w:tr w14:paraId="4CF30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trPr>
              <w:tc>
                <w:tcPr>
                  <w:tcW w:w="640" w:type="dxa"/>
                  <w:tcBorders>
                    <w:top w:val="single" w:color="auto" w:sz="4" w:space="0"/>
                    <w:left w:val="single" w:color="auto" w:sz="4" w:space="0"/>
                    <w:bottom w:val="single" w:color="auto" w:sz="4" w:space="0"/>
                    <w:right w:val="single" w:color="auto" w:sz="4" w:space="0"/>
                  </w:tcBorders>
                  <w:noWrap w:val="0"/>
                  <w:vAlign w:val="center"/>
                </w:tcPr>
                <w:p w14:paraId="4A5CABE2">
                  <w:pPr>
                    <w:jc w:val="center"/>
                    <w:rPr>
                      <w:rFonts w:hint="eastAsia" w:eastAsia="宋体"/>
                      <w:color w:val="auto"/>
                      <w:highlight w:val="none"/>
                      <w:lang w:eastAsia="zh-CN"/>
                    </w:rPr>
                  </w:pPr>
                  <w:r>
                    <w:rPr>
                      <w:rFonts w:hint="eastAsia"/>
                      <w:color w:val="auto"/>
                      <w:highlight w:val="none"/>
                      <w:lang w:eastAsia="zh-CN"/>
                    </w:rPr>
                    <w:t>环保设施</w:t>
                  </w:r>
                </w:p>
              </w:tc>
              <w:tc>
                <w:tcPr>
                  <w:tcW w:w="783" w:type="dxa"/>
                  <w:tcBorders>
                    <w:top w:val="single" w:color="auto" w:sz="4" w:space="0"/>
                    <w:left w:val="single" w:color="auto" w:sz="4" w:space="0"/>
                    <w:bottom w:val="single" w:color="auto" w:sz="4" w:space="0"/>
                    <w:right w:val="single" w:color="auto" w:sz="4" w:space="0"/>
                  </w:tcBorders>
                  <w:noWrap w:val="0"/>
                  <w:vAlign w:val="center"/>
                </w:tcPr>
                <w:p w14:paraId="0D9E5007">
                  <w:pPr>
                    <w:jc w:val="center"/>
                    <w:rPr>
                      <w:rFonts w:hint="eastAsia"/>
                      <w:color w:val="auto"/>
                      <w:highlight w:val="none"/>
                      <w:lang w:val="en-US" w:eastAsia="zh-CN"/>
                    </w:rPr>
                  </w:pPr>
                  <w:r>
                    <w:rPr>
                      <w:rFonts w:hint="eastAsia"/>
                      <w:color w:val="auto"/>
                      <w:highlight w:val="none"/>
                      <w:lang w:val="en-US" w:eastAsia="zh-CN"/>
                    </w:rPr>
                    <w:t>环保设施区域</w:t>
                  </w:r>
                </w:p>
              </w:tc>
              <w:tc>
                <w:tcPr>
                  <w:tcW w:w="1053" w:type="dxa"/>
                  <w:tcBorders>
                    <w:top w:val="single" w:color="auto" w:sz="4" w:space="0"/>
                    <w:left w:val="single" w:color="auto" w:sz="4" w:space="0"/>
                    <w:bottom w:val="single" w:color="auto" w:sz="4" w:space="0"/>
                    <w:right w:val="single" w:color="auto" w:sz="4" w:space="0"/>
                  </w:tcBorders>
                  <w:noWrap w:val="0"/>
                  <w:vAlign w:val="center"/>
                </w:tcPr>
                <w:p w14:paraId="6C293CFC">
                  <w:pPr>
                    <w:jc w:val="center"/>
                    <w:rPr>
                      <w:rFonts w:hint="eastAsia"/>
                      <w:color w:val="auto"/>
                      <w:highlight w:val="none"/>
                      <w:lang w:val="en-US" w:eastAsia="zh-CN"/>
                    </w:rPr>
                  </w:pPr>
                  <w:r>
                    <w:rPr>
                      <w:rFonts w:hint="eastAsia"/>
                      <w:color w:val="auto"/>
                      <w:highlight w:val="none"/>
                      <w:lang w:val="en-US" w:eastAsia="zh-CN"/>
                    </w:rPr>
                    <w:t>废气污染物</w:t>
                  </w:r>
                </w:p>
              </w:tc>
              <w:tc>
                <w:tcPr>
                  <w:tcW w:w="1608" w:type="dxa"/>
                  <w:tcBorders>
                    <w:top w:val="single" w:color="auto" w:sz="4" w:space="0"/>
                    <w:left w:val="single" w:color="auto" w:sz="4" w:space="0"/>
                    <w:bottom w:val="single" w:color="auto" w:sz="4" w:space="0"/>
                    <w:right w:val="single" w:color="auto" w:sz="4" w:space="0"/>
                  </w:tcBorders>
                  <w:noWrap w:val="0"/>
                  <w:vAlign w:val="center"/>
                </w:tcPr>
                <w:p w14:paraId="365207FF">
                  <w:pPr>
                    <w:jc w:val="center"/>
                    <w:rPr>
                      <w:color w:val="auto"/>
                      <w:highlight w:val="none"/>
                    </w:rPr>
                  </w:pPr>
                  <w:r>
                    <w:rPr>
                      <w:rFonts w:hint="eastAsia" w:ascii="Times New Roman" w:hAnsi="Times New Roman" w:eastAsia="宋体" w:cs="Times New Roman"/>
                      <w:color w:val="auto"/>
                      <w:kern w:val="0"/>
                      <w:sz w:val="21"/>
                      <w:szCs w:val="21"/>
                      <w:highlight w:val="none"/>
                      <w:lang w:val="en-US" w:eastAsia="zh-CN" w:bidi="ar-SA"/>
                    </w:rPr>
                    <w:t>部分环保设施发生故障</w:t>
                  </w:r>
                </w:p>
              </w:tc>
              <w:tc>
                <w:tcPr>
                  <w:tcW w:w="2524" w:type="dxa"/>
                  <w:tcBorders>
                    <w:top w:val="single" w:color="auto" w:sz="4" w:space="0"/>
                    <w:left w:val="single" w:color="auto" w:sz="4" w:space="0"/>
                    <w:bottom w:val="single" w:color="auto" w:sz="4" w:space="0"/>
                    <w:right w:val="single" w:color="auto" w:sz="4" w:space="0"/>
                  </w:tcBorders>
                  <w:noWrap w:val="0"/>
                  <w:vAlign w:val="center"/>
                </w:tcPr>
                <w:p w14:paraId="0B39DC31">
                  <w:pPr>
                    <w:jc w:val="center"/>
                    <w:rPr>
                      <w:color w:val="auto"/>
                      <w:highlight w:val="none"/>
                    </w:rPr>
                  </w:pPr>
                  <w:r>
                    <w:rPr>
                      <w:rFonts w:hint="eastAsia"/>
                      <w:color w:val="auto"/>
                      <w:highlight w:val="none"/>
                    </w:rPr>
                    <w:t>废气处理设施发生故障废气超标排放</w:t>
                  </w:r>
                </w:p>
              </w:tc>
              <w:tc>
                <w:tcPr>
                  <w:tcW w:w="1370" w:type="dxa"/>
                  <w:tcBorders>
                    <w:top w:val="single" w:color="auto" w:sz="4" w:space="0"/>
                    <w:left w:val="single" w:color="auto" w:sz="4" w:space="0"/>
                    <w:bottom w:val="single" w:color="auto" w:sz="4" w:space="0"/>
                    <w:right w:val="single" w:color="auto" w:sz="4" w:space="0"/>
                  </w:tcBorders>
                  <w:noWrap w:val="0"/>
                  <w:vAlign w:val="center"/>
                </w:tcPr>
                <w:p w14:paraId="1858AF8B">
                  <w:pPr>
                    <w:jc w:val="center"/>
                    <w:rPr>
                      <w:color w:val="auto"/>
                      <w:highlight w:val="none"/>
                    </w:rPr>
                  </w:pPr>
                  <w:r>
                    <w:rPr>
                      <w:rFonts w:hint="eastAsia" w:cs="宋体"/>
                      <w:color w:val="auto"/>
                      <w:highlight w:val="none"/>
                      <w:lang w:val="en-US" w:eastAsia="zh-CN"/>
                    </w:rPr>
                    <w:t>大气环境</w:t>
                  </w:r>
                </w:p>
              </w:tc>
            </w:tr>
          </w:tbl>
          <w:p w14:paraId="4ABB30BA">
            <w:pPr>
              <w:spacing w:line="360" w:lineRule="auto"/>
              <w:ind w:firstLine="480" w:firstLineChars="200"/>
              <w:rPr>
                <w:rFonts w:hint="eastAsia"/>
                <w:color w:val="auto"/>
                <w:sz w:val="24"/>
                <w:szCs w:val="24"/>
                <w:highlight w:val="none"/>
              </w:rPr>
            </w:pPr>
          </w:p>
          <w:p w14:paraId="7F34AEEB">
            <w:pPr>
              <w:pStyle w:val="45"/>
              <w:ind w:firstLine="482" w:firstLineChars="200"/>
              <w:rPr>
                <w:rFonts w:hint="eastAsia"/>
                <w:color w:val="auto"/>
                <w:highlight w:val="none"/>
              </w:rPr>
            </w:pPr>
            <w:r>
              <w:rPr>
                <w:rFonts w:hint="eastAsia"/>
                <w:b/>
                <w:bCs/>
                <w:color w:val="auto"/>
                <w:sz w:val="24"/>
                <w:szCs w:val="24"/>
                <w:highlight w:val="none"/>
                <w:lang w:val="en-US" w:eastAsia="zh-CN"/>
              </w:rPr>
              <w:t xml:space="preserve">6.5 </w:t>
            </w:r>
            <w:r>
              <w:rPr>
                <w:rFonts w:hint="eastAsia"/>
                <w:b/>
                <w:bCs/>
                <w:color w:val="auto"/>
                <w:sz w:val="24"/>
                <w:szCs w:val="24"/>
                <w:highlight w:val="none"/>
              </w:rPr>
              <w:t>环境风险防范措施</w:t>
            </w:r>
          </w:p>
          <w:p w14:paraId="63709923">
            <w:pPr>
              <w:keepNext w:val="0"/>
              <w:keepLines w:val="0"/>
              <w:pageBreakBefore w:val="0"/>
              <w:widowControl w:val="0"/>
              <w:kinsoku/>
              <w:wordWrap/>
              <w:overflowPunct/>
              <w:topLinePunct w:val="0"/>
              <w:autoSpaceDE/>
              <w:autoSpaceDN/>
              <w:bidi w:val="0"/>
              <w:adjustRightInd/>
              <w:snapToGrid/>
              <w:spacing w:before="313" w:beforeLines="100"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根据上文风险分析，提出相应的措施对策，目的在于确保系统运行的安全性，减少事故的发生，降低事故发生的概率。具体措施如下：</w:t>
            </w:r>
          </w:p>
          <w:p w14:paraId="16F832C9">
            <w:pPr>
              <w:widowControl/>
              <w:numPr>
                <w:ilvl w:val="0"/>
                <w:numId w:val="0"/>
              </w:numPr>
              <w:spacing w:line="360" w:lineRule="auto"/>
              <w:ind w:leftChars="228"/>
              <w:rPr>
                <w:rFonts w:hint="eastAsia"/>
                <w:color w:val="auto"/>
                <w:kern w:val="0"/>
                <w:sz w:val="24"/>
                <w:szCs w:val="24"/>
                <w:highlight w:val="none"/>
                <w:lang w:eastAsia="zh-CN" w:bidi="ar"/>
              </w:rPr>
            </w:pPr>
            <w:r>
              <w:rPr>
                <w:rFonts w:hint="eastAsia"/>
                <w:color w:val="auto"/>
                <w:kern w:val="0"/>
                <w:sz w:val="24"/>
                <w:szCs w:val="24"/>
                <w:highlight w:val="none"/>
                <w:lang w:val="en-US" w:eastAsia="zh-CN" w:bidi="ar"/>
              </w:rPr>
              <w:t>1、</w:t>
            </w:r>
            <w:r>
              <w:rPr>
                <w:rFonts w:hint="eastAsia"/>
                <w:color w:val="auto"/>
                <w:kern w:val="0"/>
                <w:sz w:val="24"/>
                <w:szCs w:val="24"/>
                <w:highlight w:val="none"/>
                <w:lang w:bidi="ar"/>
              </w:rPr>
              <w:t>火灾</w:t>
            </w:r>
            <w:r>
              <w:rPr>
                <w:rFonts w:hint="eastAsia"/>
                <w:color w:val="auto"/>
                <w:kern w:val="0"/>
                <w:sz w:val="24"/>
                <w:szCs w:val="24"/>
                <w:highlight w:val="none"/>
                <w:lang w:eastAsia="zh-CN" w:bidi="ar"/>
              </w:rPr>
              <w:t>伴生防范措施</w:t>
            </w:r>
          </w:p>
          <w:p w14:paraId="4F020B2A">
            <w:pPr>
              <w:widowControl/>
              <w:numPr>
                <w:ilvl w:val="0"/>
                <w:numId w:val="0"/>
              </w:numPr>
              <w:spacing w:line="360" w:lineRule="auto"/>
              <w:ind w:firstLine="480" w:firstLineChars="200"/>
              <w:rPr>
                <w:color w:val="auto"/>
                <w:kern w:val="0"/>
                <w:sz w:val="24"/>
                <w:szCs w:val="24"/>
                <w:highlight w:val="none"/>
                <w:lang w:bidi="ar"/>
              </w:rPr>
            </w:pPr>
            <w:r>
              <w:rPr>
                <w:rFonts w:hint="eastAsia"/>
                <w:color w:val="auto"/>
                <w:kern w:val="0"/>
                <w:sz w:val="24"/>
                <w:szCs w:val="24"/>
                <w:highlight w:val="none"/>
                <w:lang w:eastAsia="zh-CN" w:bidi="ar"/>
              </w:rPr>
              <w:t>本项目物料库中存放大量易燃物品，遇火会急速造成火灾，</w:t>
            </w:r>
            <w:r>
              <w:rPr>
                <w:rFonts w:hint="eastAsia"/>
                <w:color w:val="auto"/>
                <w:kern w:val="0"/>
                <w:sz w:val="24"/>
                <w:szCs w:val="24"/>
                <w:highlight w:val="none"/>
                <w:lang w:bidi="ar"/>
              </w:rPr>
              <w:t>企业员工</w:t>
            </w:r>
            <w:r>
              <w:rPr>
                <w:rFonts w:hint="eastAsia"/>
                <w:color w:val="auto"/>
                <w:kern w:val="0"/>
                <w:sz w:val="24"/>
                <w:szCs w:val="24"/>
                <w:highlight w:val="none"/>
                <w:lang w:eastAsia="zh-CN" w:bidi="ar"/>
              </w:rPr>
              <w:t>进出物料库内禁止携带易燃物品。</w:t>
            </w:r>
            <w:r>
              <w:rPr>
                <w:rFonts w:hint="eastAsia"/>
                <w:color w:val="auto"/>
                <w:kern w:val="0"/>
                <w:sz w:val="24"/>
                <w:szCs w:val="24"/>
                <w:highlight w:val="none"/>
                <w:lang w:bidi="ar"/>
              </w:rPr>
              <w:t>企业员工在厂区生产过程中不慎造成电气设备故障等</w:t>
            </w:r>
            <w:r>
              <w:rPr>
                <w:rFonts w:hint="eastAsia"/>
                <w:color w:val="auto"/>
                <w:kern w:val="0"/>
                <w:sz w:val="24"/>
                <w:szCs w:val="24"/>
                <w:highlight w:val="none"/>
                <w:lang w:eastAsia="zh-CN" w:bidi="ar"/>
              </w:rPr>
              <w:t>，</w:t>
            </w:r>
            <w:r>
              <w:rPr>
                <w:rFonts w:hint="eastAsia"/>
                <w:color w:val="auto"/>
                <w:kern w:val="0"/>
                <w:sz w:val="24"/>
                <w:szCs w:val="24"/>
                <w:highlight w:val="none"/>
                <w:lang w:bidi="ar"/>
              </w:rPr>
              <w:t>可能引起火灾</w:t>
            </w:r>
            <w:r>
              <w:rPr>
                <w:rFonts w:hint="eastAsia"/>
                <w:color w:val="auto"/>
                <w:kern w:val="0"/>
                <w:sz w:val="24"/>
                <w:szCs w:val="24"/>
                <w:highlight w:val="none"/>
                <w:lang w:eastAsia="zh-CN" w:bidi="ar"/>
              </w:rPr>
              <w:t>，</w:t>
            </w:r>
            <w:r>
              <w:rPr>
                <w:rFonts w:hint="eastAsia"/>
                <w:color w:val="auto"/>
                <w:kern w:val="0"/>
                <w:sz w:val="24"/>
                <w:szCs w:val="24"/>
                <w:highlight w:val="none"/>
                <w:lang w:bidi="ar"/>
              </w:rPr>
              <w:t>有时会发生火灾连片使大批设备烧毁。火灾是通过放出辐射热影响周围环境。如果辐射热的能量足够大</w:t>
            </w:r>
            <w:r>
              <w:rPr>
                <w:rFonts w:hint="eastAsia"/>
                <w:color w:val="auto"/>
                <w:kern w:val="0"/>
                <w:sz w:val="24"/>
                <w:szCs w:val="24"/>
                <w:highlight w:val="none"/>
                <w:lang w:eastAsia="zh-CN" w:bidi="ar"/>
              </w:rPr>
              <w:t>，</w:t>
            </w:r>
            <w:r>
              <w:rPr>
                <w:rFonts w:hint="eastAsia"/>
                <w:color w:val="auto"/>
                <w:kern w:val="0"/>
                <w:sz w:val="24"/>
                <w:szCs w:val="24"/>
                <w:highlight w:val="none"/>
                <w:lang w:bidi="ar"/>
              </w:rPr>
              <w:t>可引起其他可燃物燃烧。物质在燃烧过程中会产生大量浓烟和烟尘</w:t>
            </w:r>
            <w:r>
              <w:rPr>
                <w:rFonts w:hint="eastAsia"/>
                <w:color w:val="auto"/>
                <w:kern w:val="0"/>
                <w:sz w:val="24"/>
                <w:szCs w:val="24"/>
                <w:highlight w:val="none"/>
                <w:lang w:eastAsia="zh-CN" w:bidi="ar"/>
              </w:rPr>
              <w:t>，</w:t>
            </w:r>
            <w:r>
              <w:rPr>
                <w:rFonts w:hint="eastAsia"/>
                <w:color w:val="auto"/>
                <w:kern w:val="0"/>
                <w:sz w:val="24"/>
                <w:szCs w:val="24"/>
                <w:highlight w:val="none"/>
                <w:lang w:bidi="ar"/>
              </w:rPr>
              <w:t>其中含有大量的一氧化碳、二氧化碳及其他有毒气体</w:t>
            </w:r>
            <w:r>
              <w:rPr>
                <w:rFonts w:hint="eastAsia"/>
                <w:color w:val="auto"/>
                <w:kern w:val="0"/>
                <w:sz w:val="24"/>
                <w:szCs w:val="24"/>
                <w:highlight w:val="none"/>
                <w:lang w:eastAsia="zh-CN" w:bidi="ar"/>
              </w:rPr>
              <w:t>，</w:t>
            </w:r>
            <w:r>
              <w:rPr>
                <w:rFonts w:hint="eastAsia"/>
                <w:color w:val="auto"/>
                <w:kern w:val="0"/>
                <w:sz w:val="24"/>
                <w:szCs w:val="24"/>
                <w:highlight w:val="none"/>
                <w:lang w:bidi="ar"/>
              </w:rPr>
              <w:t>带来大气环境污染。</w:t>
            </w:r>
          </w:p>
          <w:p w14:paraId="20295984">
            <w:pPr>
              <w:widowControl/>
              <w:spacing w:line="360" w:lineRule="auto"/>
              <w:ind w:firstLine="480" w:firstLineChars="200"/>
              <w:rPr>
                <w:color w:val="auto"/>
                <w:kern w:val="0"/>
                <w:sz w:val="24"/>
                <w:szCs w:val="24"/>
                <w:highlight w:val="none"/>
                <w:lang w:bidi="ar"/>
              </w:rPr>
            </w:pPr>
            <w:r>
              <w:rPr>
                <w:rFonts w:hint="eastAsia"/>
                <w:color w:val="auto"/>
                <w:kern w:val="0"/>
                <w:sz w:val="24"/>
                <w:szCs w:val="24"/>
                <w:highlight w:val="none"/>
                <w:lang w:bidi="ar"/>
              </w:rPr>
              <w:t>①厂区内尤其是</w:t>
            </w:r>
            <w:r>
              <w:rPr>
                <w:rFonts w:hint="eastAsia"/>
                <w:color w:val="auto"/>
                <w:kern w:val="0"/>
                <w:sz w:val="24"/>
                <w:szCs w:val="24"/>
                <w:highlight w:val="none"/>
                <w:lang w:eastAsia="zh-CN" w:bidi="ar"/>
              </w:rPr>
              <w:t>物料库、</w:t>
            </w:r>
            <w:r>
              <w:rPr>
                <w:rFonts w:hint="eastAsia"/>
                <w:color w:val="auto"/>
                <w:kern w:val="0"/>
                <w:sz w:val="24"/>
                <w:szCs w:val="24"/>
                <w:highlight w:val="none"/>
                <w:lang w:bidi="ar"/>
              </w:rPr>
              <w:t>生产车间和办公室严禁吸烟</w:t>
            </w:r>
            <w:r>
              <w:rPr>
                <w:rFonts w:hint="eastAsia"/>
                <w:color w:val="auto"/>
                <w:kern w:val="0"/>
                <w:sz w:val="24"/>
                <w:szCs w:val="24"/>
                <w:highlight w:val="none"/>
                <w:lang w:eastAsia="zh-CN" w:bidi="ar"/>
              </w:rPr>
              <w:t>，物料库进出时禁止携带易燃物品</w:t>
            </w:r>
            <w:r>
              <w:rPr>
                <w:rFonts w:hint="eastAsia"/>
                <w:color w:val="auto"/>
                <w:kern w:val="0"/>
                <w:sz w:val="24"/>
                <w:szCs w:val="24"/>
                <w:highlight w:val="none"/>
                <w:lang w:bidi="ar"/>
              </w:rPr>
              <w:t>。</w:t>
            </w:r>
          </w:p>
          <w:p w14:paraId="21E09B8A">
            <w:pPr>
              <w:widowControl/>
              <w:spacing w:line="360" w:lineRule="auto"/>
              <w:ind w:firstLine="480" w:firstLineChars="200"/>
              <w:rPr>
                <w:color w:val="auto"/>
                <w:kern w:val="0"/>
                <w:sz w:val="24"/>
                <w:szCs w:val="24"/>
                <w:highlight w:val="none"/>
                <w:lang w:bidi="ar"/>
              </w:rPr>
            </w:pPr>
            <w:r>
              <w:rPr>
                <w:rFonts w:hint="eastAsia"/>
                <w:color w:val="auto"/>
                <w:kern w:val="0"/>
                <w:sz w:val="24"/>
                <w:szCs w:val="24"/>
                <w:highlight w:val="none"/>
                <w:lang w:bidi="ar"/>
              </w:rPr>
              <w:t>②定期检查设备的运行状况</w:t>
            </w:r>
            <w:r>
              <w:rPr>
                <w:rFonts w:hint="eastAsia"/>
                <w:color w:val="auto"/>
                <w:kern w:val="0"/>
                <w:sz w:val="24"/>
                <w:szCs w:val="24"/>
                <w:highlight w:val="none"/>
                <w:lang w:eastAsia="zh-CN" w:bidi="ar"/>
              </w:rPr>
              <w:t>，</w:t>
            </w:r>
            <w:r>
              <w:rPr>
                <w:rFonts w:hint="eastAsia"/>
                <w:color w:val="auto"/>
                <w:kern w:val="0"/>
                <w:sz w:val="24"/>
                <w:szCs w:val="24"/>
                <w:highlight w:val="none"/>
                <w:lang w:bidi="ar"/>
              </w:rPr>
              <w:t>发现不良问题及时解决；同时注重加强安全教育</w:t>
            </w:r>
            <w:r>
              <w:rPr>
                <w:rFonts w:hint="eastAsia"/>
                <w:color w:val="auto"/>
                <w:kern w:val="0"/>
                <w:sz w:val="24"/>
                <w:szCs w:val="24"/>
                <w:highlight w:val="none"/>
                <w:lang w:eastAsia="zh-CN" w:bidi="ar"/>
              </w:rPr>
              <w:t>，</w:t>
            </w:r>
            <w:r>
              <w:rPr>
                <w:rFonts w:hint="eastAsia"/>
                <w:color w:val="auto"/>
                <w:kern w:val="0"/>
                <w:sz w:val="24"/>
                <w:szCs w:val="24"/>
                <w:highlight w:val="none"/>
                <w:lang w:bidi="ar"/>
              </w:rPr>
              <w:t xml:space="preserve">提高职工的安全意识和安全防范能力。 </w:t>
            </w:r>
          </w:p>
          <w:p w14:paraId="0C5CD01A">
            <w:pPr>
              <w:pStyle w:val="34"/>
              <w:keepNext w:val="0"/>
              <w:keepLines w:val="0"/>
              <w:pageBreakBefore w:val="0"/>
              <w:kinsoku/>
              <w:wordWrap/>
              <w:overflowPunct/>
              <w:topLinePunct w:val="0"/>
              <w:autoSpaceDE/>
              <w:autoSpaceDN/>
              <w:bidi w:val="0"/>
              <w:spacing w:before="0" w:beforeAutospacing="0" w:after="0" w:afterAutospacing="0" w:line="360" w:lineRule="auto"/>
              <w:ind w:left="479" w:leftChars="228" w:firstLine="0" w:firstLineChars="0"/>
              <w:textAlignment w:val="auto"/>
              <w:rPr>
                <w:rFonts w:hint="eastAsia"/>
                <w:color w:val="auto"/>
                <w:kern w:val="0"/>
                <w:sz w:val="24"/>
                <w:szCs w:val="24"/>
                <w:highlight w:val="none"/>
                <w:lang w:eastAsia="zh-CN" w:bidi="ar"/>
              </w:rPr>
            </w:pPr>
            <w:r>
              <w:rPr>
                <w:rFonts w:hint="eastAsia"/>
                <w:color w:val="auto"/>
                <w:kern w:val="0"/>
                <w:sz w:val="24"/>
                <w:szCs w:val="24"/>
                <w:highlight w:val="none"/>
                <w:lang w:bidi="ar"/>
              </w:rPr>
              <w:t>③按照相关规定设置逃生系统</w:t>
            </w:r>
            <w:r>
              <w:rPr>
                <w:rFonts w:hint="eastAsia"/>
                <w:color w:val="auto"/>
                <w:kern w:val="0"/>
                <w:sz w:val="24"/>
                <w:szCs w:val="24"/>
                <w:highlight w:val="none"/>
                <w:lang w:eastAsia="zh-CN" w:bidi="ar"/>
              </w:rPr>
              <w:t>，</w:t>
            </w:r>
            <w:r>
              <w:rPr>
                <w:rFonts w:hint="eastAsia"/>
                <w:color w:val="auto"/>
                <w:kern w:val="0"/>
                <w:sz w:val="24"/>
                <w:szCs w:val="24"/>
                <w:highlight w:val="none"/>
                <w:lang w:bidi="ar"/>
              </w:rPr>
              <w:t>设置足够并匹配的消防器材</w:t>
            </w:r>
            <w:r>
              <w:rPr>
                <w:rFonts w:hint="eastAsia"/>
                <w:color w:val="auto"/>
                <w:kern w:val="0"/>
                <w:sz w:val="24"/>
                <w:szCs w:val="24"/>
                <w:highlight w:val="none"/>
                <w:lang w:eastAsia="zh-CN" w:bidi="ar"/>
              </w:rPr>
              <w:t>。</w:t>
            </w:r>
            <w:r>
              <w:rPr>
                <w:rFonts w:hint="eastAsia"/>
                <w:color w:val="auto"/>
                <w:kern w:val="0"/>
                <w:sz w:val="24"/>
                <w:szCs w:val="24"/>
                <w:highlight w:val="none"/>
                <w:lang w:eastAsia="zh-CN" w:bidi="ar"/>
              </w:rPr>
              <w:br w:type="textWrapping"/>
            </w:r>
            <w:r>
              <w:rPr>
                <w:rFonts w:hint="eastAsia" w:ascii="宋体" w:hAnsi="宋体" w:eastAsia="宋体" w:cs="宋体"/>
                <w:color w:val="auto"/>
                <w:kern w:val="0"/>
                <w:sz w:val="24"/>
                <w:szCs w:val="24"/>
                <w:highlight w:val="none"/>
                <w:lang w:eastAsia="zh-CN" w:bidi="ar"/>
              </w:rPr>
              <w:t>④雨水管网及污水管网排口处设置阀门，避免事故废水流出。</w:t>
            </w:r>
            <w:r>
              <w:rPr>
                <w:rFonts w:hint="eastAsia" w:ascii="宋体" w:hAnsi="宋体" w:eastAsia="宋体" w:cs="宋体"/>
                <w:color w:val="auto"/>
                <w:kern w:val="0"/>
                <w:sz w:val="24"/>
                <w:szCs w:val="24"/>
                <w:highlight w:val="none"/>
                <w:lang w:eastAsia="zh-CN" w:bidi="ar"/>
              </w:rPr>
              <w:br w:type="textWrapping"/>
            </w:r>
            <w:r>
              <w:rPr>
                <w:rFonts w:hint="eastAsia" w:ascii="宋体" w:hAnsi="宋体" w:eastAsia="宋体" w:cs="宋体"/>
                <w:color w:val="auto"/>
                <w:kern w:val="0"/>
                <w:sz w:val="24"/>
                <w:szCs w:val="24"/>
                <w:highlight w:val="none"/>
                <w:lang w:eastAsia="zh-CN" w:bidi="ar"/>
              </w:rPr>
              <w:t>⑤设置消防水池。</w:t>
            </w:r>
          </w:p>
          <w:p w14:paraId="0D6B9F78">
            <w:pPr>
              <w:pStyle w:val="34"/>
              <w:keepNext w:val="0"/>
              <w:keepLines w:val="0"/>
              <w:pageBreakBefore w:val="0"/>
              <w:numPr>
                <w:ilvl w:val="0"/>
                <w:numId w:val="0"/>
              </w:numPr>
              <w:kinsoku/>
              <w:wordWrap/>
              <w:overflowPunct/>
              <w:topLinePunct w:val="0"/>
              <w:autoSpaceDE/>
              <w:autoSpaceDN/>
              <w:bidi w:val="0"/>
              <w:spacing w:before="0" w:beforeAutospacing="0" w:after="0" w:afterAutospacing="0" w:line="360" w:lineRule="auto"/>
              <w:ind w:leftChars="228"/>
              <w:textAlignment w:val="auto"/>
              <w:rPr>
                <w:rFonts w:hint="eastAsia"/>
                <w:color w:val="auto"/>
                <w:sz w:val="24"/>
                <w:szCs w:val="24"/>
                <w:highlight w:val="none"/>
                <w:lang w:val="en-US" w:eastAsia="zh-CN"/>
              </w:rPr>
            </w:pPr>
            <w:r>
              <w:rPr>
                <w:rFonts w:hint="eastAsia"/>
                <w:color w:val="auto"/>
                <w:sz w:val="24"/>
                <w:szCs w:val="24"/>
                <w:highlight w:val="none"/>
                <w:lang w:val="en-US" w:eastAsia="zh-CN"/>
              </w:rPr>
              <w:t>2、危废流失风险防范措施</w:t>
            </w:r>
          </w:p>
          <w:p w14:paraId="4BF08E44">
            <w:pPr>
              <w:pStyle w:val="34"/>
              <w:keepNext w:val="0"/>
              <w:keepLines w:val="0"/>
              <w:pageBreakBefore w:val="0"/>
              <w:numPr>
                <w:ilvl w:val="0"/>
                <w:numId w:val="0"/>
              </w:numPr>
              <w:kinsoku/>
              <w:wordWrap/>
              <w:overflowPunct/>
              <w:topLinePunct w:val="0"/>
              <w:autoSpaceDE/>
              <w:autoSpaceDN/>
              <w:bidi w:val="0"/>
              <w:spacing w:before="0" w:beforeAutospacing="0" w:after="0" w:afterAutospacing="0"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项目建成后，危险废物均在危险废物暂存间内暂存，在危险废物暂存过程中如储存不当，管理不善，容易发生泄漏、火灾等风险事故，其风险防范措施如下：</w:t>
            </w:r>
            <w:r>
              <w:rPr>
                <w:rFonts w:hint="eastAsia"/>
                <w:color w:val="auto"/>
                <w:sz w:val="24"/>
                <w:szCs w:val="24"/>
                <w:highlight w:val="none"/>
                <w:lang w:val="en-US" w:eastAsia="zh-CN"/>
              </w:rPr>
              <w:br w:type="textWrapping"/>
            </w:r>
            <w:r>
              <w:rPr>
                <w:rFonts w:hint="eastAsia"/>
                <w:color w:val="auto"/>
                <w:sz w:val="24"/>
                <w:szCs w:val="24"/>
                <w:highlight w:val="none"/>
                <w:lang w:val="en-US" w:eastAsia="zh-CN"/>
              </w:rPr>
              <w:t xml:space="preserve">    </w:t>
            </w:r>
            <w:r>
              <w:rPr>
                <w:rFonts w:hint="eastAsia"/>
                <w:color w:val="auto"/>
                <w:kern w:val="0"/>
                <w:sz w:val="24"/>
                <w:szCs w:val="24"/>
                <w:highlight w:val="none"/>
                <w:lang w:bidi="ar"/>
              </w:rPr>
              <w:t>①</w:t>
            </w:r>
            <w:r>
              <w:rPr>
                <w:rFonts w:hint="eastAsia"/>
                <w:color w:val="auto"/>
                <w:sz w:val="24"/>
                <w:szCs w:val="24"/>
                <w:highlight w:val="none"/>
                <w:lang w:val="en-US" w:eastAsia="zh-CN"/>
              </w:rPr>
              <w:t>危险废物暂存场所必须严格按照国家标准和规范进行设置，必须设置防渗、防漏、防腐、防雨等防范措施。</w:t>
            </w:r>
          </w:p>
          <w:p w14:paraId="56A49503">
            <w:pPr>
              <w:pStyle w:val="34"/>
              <w:keepNext w:val="0"/>
              <w:keepLines w:val="0"/>
              <w:pageBreakBefore w:val="0"/>
              <w:kinsoku/>
              <w:wordWrap/>
              <w:overflowPunct/>
              <w:topLinePunct w:val="0"/>
              <w:autoSpaceDE/>
              <w:autoSpaceDN/>
              <w:bidi w:val="0"/>
              <w:spacing w:before="0" w:beforeAutospacing="0" w:after="0" w:afterAutospacing="0" w:line="360" w:lineRule="auto"/>
              <w:ind w:firstLine="480" w:firstLineChars="200"/>
              <w:textAlignment w:val="auto"/>
              <w:rPr>
                <w:rFonts w:hint="eastAsia"/>
                <w:color w:val="auto"/>
                <w:sz w:val="24"/>
                <w:szCs w:val="24"/>
                <w:highlight w:val="none"/>
                <w:lang w:val="en-US" w:eastAsia="zh-CN"/>
              </w:rPr>
            </w:pPr>
            <w:r>
              <w:rPr>
                <w:rFonts w:hint="eastAsia"/>
                <w:color w:val="auto"/>
                <w:kern w:val="0"/>
                <w:sz w:val="24"/>
                <w:szCs w:val="24"/>
                <w:highlight w:val="none"/>
                <w:lang w:bidi="ar"/>
              </w:rPr>
              <w:t>②</w:t>
            </w:r>
            <w:r>
              <w:rPr>
                <w:rFonts w:hint="eastAsia"/>
                <w:color w:val="auto"/>
                <w:sz w:val="24"/>
                <w:szCs w:val="24"/>
                <w:highlight w:val="none"/>
                <w:lang w:val="en-US" w:eastAsia="zh-CN"/>
              </w:rPr>
              <w:t>危险废物暂存场所设置便于危险废物泄漏的收集处理的设施，所有危险废物均放置在防渗托盘上；</w:t>
            </w:r>
            <w:r>
              <w:rPr>
                <w:rFonts w:hint="eastAsia"/>
                <w:color w:val="auto"/>
                <w:sz w:val="24"/>
                <w:szCs w:val="24"/>
                <w:highlight w:val="none"/>
                <w:lang w:val="en-US" w:eastAsia="zh-CN"/>
              </w:rPr>
              <w:br w:type="textWrapping"/>
            </w:r>
            <w:r>
              <w:rPr>
                <w:rFonts w:hint="eastAsia"/>
                <w:color w:val="auto"/>
                <w:sz w:val="24"/>
                <w:szCs w:val="24"/>
                <w:highlight w:val="none"/>
                <w:lang w:val="en-US" w:eastAsia="zh-CN"/>
              </w:rPr>
              <w:t xml:space="preserve">    </w:t>
            </w:r>
            <w:r>
              <w:rPr>
                <w:rFonts w:hint="eastAsia"/>
                <w:color w:val="auto"/>
                <w:kern w:val="0"/>
                <w:sz w:val="24"/>
                <w:szCs w:val="24"/>
                <w:highlight w:val="none"/>
                <w:lang w:bidi="ar"/>
              </w:rPr>
              <w:t>③</w:t>
            </w:r>
            <w:r>
              <w:rPr>
                <w:rFonts w:hint="eastAsia"/>
                <w:color w:val="auto"/>
                <w:sz w:val="24"/>
                <w:szCs w:val="24"/>
                <w:highlight w:val="none"/>
                <w:lang w:val="en-US" w:eastAsia="zh-CN"/>
              </w:rPr>
              <w:t>在暂存场所内，各危险废物种类必须分类储存，并设置相应的标签，标明危废的来源，具体的成分，主要成分的性质和泄漏、火灾等处置方式，不得混合储存，各储存分区之间必须设置相应的防护距离，防止发生连锁反应。</w:t>
            </w:r>
            <w:r>
              <w:rPr>
                <w:rFonts w:hint="eastAsia"/>
                <w:color w:val="auto"/>
                <w:sz w:val="24"/>
                <w:szCs w:val="24"/>
                <w:highlight w:val="none"/>
                <w:lang w:val="en-US" w:eastAsia="zh-CN"/>
              </w:rPr>
              <w:br w:type="textWrapping"/>
            </w:r>
            <w:r>
              <w:rPr>
                <w:rFonts w:hint="eastAsia"/>
                <w:color w:val="auto"/>
                <w:sz w:val="24"/>
                <w:szCs w:val="24"/>
                <w:highlight w:val="none"/>
                <w:lang w:val="en-US" w:eastAsia="zh-CN"/>
              </w:rPr>
              <w:t xml:space="preserve">    3、废气事故风险防范措施</w:t>
            </w:r>
          </w:p>
          <w:p w14:paraId="639BCB43">
            <w:pPr>
              <w:widowControl/>
              <w:spacing w:line="360" w:lineRule="auto"/>
              <w:ind w:firstLine="480" w:firstLineChars="200"/>
              <w:rPr>
                <w:color w:val="auto"/>
                <w:kern w:val="0"/>
                <w:sz w:val="24"/>
                <w:szCs w:val="24"/>
                <w:highlight w:val="none"/>
                <w:lang w:bidi="ar"/>
              </w:rPr>
            </w:pPr>
            <w:r>
              <w:rPr>
                <w:rFonts w:hint="eastAsia"/>
                <w:color w:val="auto"/>
                <w:kern w:val="0"/>
                <w:sz w:val="24"/>
                <w:szCs w:val="24"/>
                <w:highlight w:val="none"/>
                <w:lang w:eastAsia="zh-CN" w:bidi="ar"/>
              </w:rPr>
              <w:t>本</w:t>
            </w:r>
            <w:r>
              <w:rPr>
                <w:rFonts w:hint="eastAsia"/>
                <w:color w:val="auto"/>
                <w:sz w:val="24"/>
                <w:szCs w:val="24"/>
                <w:highlight w:val="none"/>
                <w:lang w:val="en-US" w:eastAsia="zh-CN"/>
              </w:rPr>
              <w:t>项目</w:t>
            </w:r>
            <w:r>
              <w:rPr>
                <w:rFonts w:hint="eastAsia"/>
                <w:color w:val="auto"/>
                <w:kern w:val="0"/>
                <w:sz w:val="24"/>
                <w:szCs w:val="24"/>
                <w:highlight w:val="none"/>
                <w:lang w:bidi="ar"/>
              </w:rPr>
              <w:t>环保设施主要为</w:t>
            </w:r>
            <w:r>
              <w:rPr>
                <w:rFonts w:hint="eastAsia"/>
                <w:color w:val="auto"/>
                <w:kern w:val="0"/>
                <w:sz w:val="24"/>
                <w:szCs w:val="24"/>
                <w:highlight w:val="none"/>
                <w:lang w:eastAsia="zh-CN" w:bidi="ar"/>
              </w:rPr>
              <w:t>各</w:t>
            </w:r>
            <w:r>
              <w:rPr>
                <w:rFonts w:hint="eastAsia"/>
                <w:color w:val="auto"/>
                <w:kern w:val="0"/>
                <w:sz w:val="24"/>
                <w:szCs w:val="24"/>
                <w:highlight w:val="none"/>
                <w:lang w:bidi="ar"/>
              </w:rPr>
              <w:t>除尘设施装置。生产运营过程中</w:t>
            </w:r>
            <w:r>
              <w:rPr>
                <w:rFonts w:hint="eastAsia"/>
                <w:color w:val="auto"/>
                <w:kern w:val="0"/>
                <w:sz w:val="24"/>
                <w:szCs w:val="24"/>
                <w:highlight w:val="none"/>
                <w:lang w:eastAsia="zh-CN" w:bidi="ar"/>
              </w:rPr>
              <w:t>，</w:t>
            </w:r>
            <w:r>
              <w:rPr>
                <w:rFonts w:hint="eastAsia"/>
                <w:color w:val="auto"/>
                <w:kern w:val="0"/>
                <w:sz w:val="24"/>
                <w:szCs w:val="24"/>
                <w:highlight w:val="none"/>
                <w:lang w:bidi="ar"/>
              </w:rPr>
              <w:t>因布袋损坏或其他环保设施发生故障导致废气污染物超标排放</w:t>
            </w:r>
            <w:r>
              <w:rPr>
                <w:rFonts w:hint="eastAsia"/>
                <w:color w:val="auto"/>
                <w:kern w:val="0"/>
                <w:sz w:val="24"/>
                <w:szCs w:val="24"/>
                <w:highlight w:val="none"/>
                <w:lang w:eastAsia="zh-CN" w:bidi="ar"/>
              </w:rPr>
              <w:t>，</w:t>
            </w:r>
            <w:r>
              <w:rPr>
                <w:rFonts w:hint="eastAsia"/>
                <w:color w:val="auto"/>
                <w:kern w:val="0"/>
                <w:sz w:val="24"/>
                <w:szCs w:val="24"/>
                <w:highlight w:val="none"/>
                <w:lang w:bidi="ar"/>
              </w:rPr>
              <w:t>少量</w:t>
            </w:r>
            <w:r>
              <w:rPr>
                <w:color w:val="auto"/>
                <w:kern w:val="0"/>
                <w:sz w:val="24"/>
                <w:szCs w:val="24"/>
                <w:highlight w:val="none"/>
                <w:lang w:bidi="ar"/>
              </w:rPr>
              <w:t>未处理</w:t>
            </w:r>
            <w:r>
              <w:rPr>
                <w:rFonts w:hint="eastAsia"/>
                <w:color w:val="auto"/>
                <w:kern w:val="0"/>
                <w:sz w:val="24"/>
                <w:szCs w:val="24"/>
                <w:highlight w:val="none"/>
                <w:lang w:bidi="ar"/>
              </w:rPr>
              <w:t>废</w:t>
            </w:r>
            <w:r>
              <w:rPr>
                <w:color w:val="auto"/>
                <w:kern w:val="0"/>
                <w:sz w:val="24"/>
                <w:szCs w:val="24"/>
                <w:highlight w:val="none"/>
                <w:lang w:bidi="ar"/>
              </w:rPr>
              <w:t>气直接进入大气环境</w:t>
            </w:r>
            <w:r>
              <w:rPr>
                <w:rFonts w:hint="eastAsia"/>
                <w:color w:val="auto"/>
                <w:kern w:val="0"/>
                <w:sz w:val="24"/>
                <w:szCs w:val="24"/>
                <w:highlight w:val="none"/>
                <w:lang w:eastAsia="zh-CN" w:bidi="ar"/>
              </w:rPr>
              <w:t>，</w:t>
            </w:r>
            <w:r>
              <w:rPr>
                <w:rFonts w:hint="eastAsia"/>
                <w:color w:val="auto"/>
                <w:kern w:val="0"/>
                <w:sz w:val="24"/>
                <w:szCs w:val="24"/>
                <w:highlight w:val="none"/>
                <w:lang w:bidi="ar"/>
              </w:rPr>
              <w:t>对大气环境造成污染。</w:t>
            </w:r>
          </w:p>
          <w:p w14:paraId="18F9F160">
            <w:pPr>
              <w:widowControl/>
              <w:spacing w:line="360" w:lineRule="auto"/>
              <w:ind w:firstLine="480" w:firstLineChars="200"/>
              <w:rPr>
                <w:color w:val="auto"/>
                <w:kern w:val="0"/>
                <w:sz w:val="24"/>
                <w:szCs w:val="24"/>
                <w:highlight w:val="none"/>
                <w:lang w:bidi="ar"/>
              </w:rPr>
            </w:pPr>
            <w:r>
              <w:rPr>
                <w:rFonts w:hint="eastAsia"/>
                <w:color w:val="auto"/>
                <w:kern w:val="0"/>
                <w:sz w:val="24"/>
                <w:szCs w:val="24"/>
                <w:highlight w:val="none"/>
                <w:lang w:bidi="ar"/>
              </w:rPr>
              <w:t>①</w:t>
            </w:r>
            <w:r>
              <w:rPr>
                <w:color w:val="auto"/>
                <w:kern w:val="0"/>
                <w:sz w:val="24"/>
                <w:szCs w:val="24"/>
                <w:highlight w:val="none"/>
                <w:lang w:bidi="ar"/>
              </w:rPr>
              <w:t>企业重视</w:t>
            </w:r>
            <w:r>
              <w:rPr>
                <w:rFonts w:hint="eastAsia"/>
                <w:color w:val="auto"/>
                <w:kern w:val="0"/>
                <w:sz w:val="24"/>
                <w:szCs w:val="24"/>
                <w:highlight w:val="none"/>
                <w:lang w:bidi="ar"/>
              </w:rPr>
              <w:t>除尘装置</w:t>
            </w:r>
            <w:r>
              <w:rPr>
                <w:color w:val="auto"/>
                <w:kern w:val="0"/>
                <w:sz w:val="24"/>
                <w:szCs w:val="24"/>
                <w:highlight w:val="none"/>
                <w:lang w:bidi="ar"/>
              </w:rPr>
              <w:t>的日常管理</w:t>
            </w:r>
            <w:r>
              <w:rPr>
                <w:rFonts w:hint="eastAsia"/>
                <w:color w:val="auto"/>
                <w:kern w:val="0"/>
                <w:sz w:val="24"/>
                <w:szCs w:val="24"/>
                <w:highlight w:val="none"/>
                <w:lang w:eastAsia="zh-CN" w:bidi="ar"/>
              </w:rPr>
              <w:t>，</w:t>
            </w:r>
            <w:r>
              <w:rPr>
                <w:color w:val="auto"/>
                <w:kern w:val="0"/>
                <w:sz w:val="24"/>
                <w:szCs w:val="24"/>
                <w:highlight w:val="none"/>
                <w:lang w:bidi="ar"/>
              </w:rPr>
              <w:t>保证</w:t>
            </w:r>
            <w:r>
              <w:rPr>
                <w:rFonts w:hint="eastAsia"/>
                <w:color w:val="auto"/>
                <w:kern w:val="0"/>
                <w:sz w:val="24"/>
                <w:szCs w:val="24"/>
                <w:highlight w:val="none"/>
                <w:lang w:bidi="ar"/>
              </w:rPr>
              <w:t>其</w:t>
            </w:r>
            <w:r>
              <w:rPr>
                <w:color w:val="auto"/>
                <w:kern w:val="0"/>
                <w:sz w:val="24"/>
                <w:szCs w:val="24"/>
                <w:highlight w:val="none"/>
                <w:lang w:bidi="ar"/>
              </w:rPr>
              <w:t>设计的</w:t>
            </w:r>
            <w:r>
              <w:rPr>
                <w:rFonts w:hint="eastAsia"/>
                <w:color w:val="auto"/>
                <w:kern w:val="0"/>
                <w:sz w:val="24"/>
                <w:szCs w:val="24"/>
                <w:highlight w:val="none"/>
                <w:lang w:bidi="ar"/>
              </w:rPr>
              <w:t>处理</w:t>
            </w:r>
            <w:r>
              <w:rPr>
                <w:color w:val="auto"/>
                <w:kern w:val="0"/>
                <w:sz w:val="24"/>
                <w:szCs w:val="24"/>
                <w:highlight w:val="none"/>
                <w:lang w:bidi="ar"/>
              </w:rPr>
              <w:t>效率</w:t>
            </w:r>
            <w:r>
              <w:rPr>
                <w:rFonts w:hint="eastAsia"/>
                <w:color w:val="auto"/>
                <w:kern w:val="0"/>
                <w:sz w:val="24"/>
                <w:szCs w:val="24"/>
                <w:highlight w:val="none"/>
                <w:lang w:eastAsia="zh-CN" w:bidi="ar"/>
              </w:rPr>
              <w:t>，定期对其进行修检，</w:t>
            </w:r>
            <w:r>
              <w:rPr>
                <w:color w:val="auto"/>
                <w:kern w:val="0"/>
                <w:sz w:val="24"/>
                <w:szCs w:val="24"/>
                <w:highlight w:val="none"/>
                <w:lang w:bidi="ar"/>
              </w:rPr>
              <w:t>避免其发生事故的可能。</w:t>
            </w:r>
          </w:p>
          <w:p w14:paraId="0F11D93C">
            <w:pPr>
              <w:widowControl/>
              <w:spacing w:line="360" w:lineRule="auto"/>
              <w:ind w:firstLine="480" w:firstLineChars="200"/>
              <w:rPr>
                <w:color w:val="auto"/>
                <w:kern w:val="0"/>
                <w:sz w:val="24"/>
                <w:szCs w:val="24"/>
                <w:highlight w:val="none"/>
                <w:lang w:bidi="ar"/>
              </w:rPr>
            </w:pPr>
            <w:r>
              <w:rPr>
                <w:rFonts w:hint="eastAsia"/>
                <w:color w:val="auto"/>
                <w:kern w:val="0"/>
                <w:sz w:val="24"/>
                <w:szCs w:val="24"/>
                <w:highlight w:val="none"/>
                <w:lang w:bidi="ar"/>
              </w:rPr>
              <w:t>②</w:t>
            </w:r>
            <w:r>
              <w:rPr>
                <w:color w:val="auto"/>
                <w:kern w:val="0"/>
                <w:sz w:val="24"/>
                <w:szCs w:val="24"/>
                <w:highlight w:val="none"/>
                <w:lang w:bidi="ar"/>
              </w:rPr>
              <w:t>加强人工观察</w:t>
            </w:r>
            <w:r>
              <w:rPr>
                <w:rFonts w:hint="eastAsia"/>
                <w:color w:val="auto"/>
                <w:kern w:val="0"/>
                <w:sz w:val="24"/>
                <w:szCs w:val="24"/>
                <w:highlight w:val="none"/>
                <w:lang w:eastAsia="zh-CN" w:bidi="ar"/>
              </w:rPr>
              <w:t>，</w:t>
            </w:r>
            <w:r>
              <w:rPr>
                <w:color w:val="auto"/>
                <w:kern w:val="0"/>
                <w:sz w:val="24"/>
                <w:szCs w:val="24"/>
                <w:highlight w:val="none"/>
                <w:lang w:bidi="ar"/>
              </w:rPr>
              <w:t>确保除尘器下灰系统能顺畅</w:t>
            </w:r>
            <w:r>
              <w:rPr>
                <w:rFonts w:hint="eastAsia"/>
                <w:color w:val="auto"/>
                <w:kern w:val="0"/>
                <w:sz w:val="24"/>
                <w:szCs w:val="24"/>
                <w:highlight w:val="none"/>
                <w:lang w:eastAsia="zh-CN" w:bidi="ar"/>
              </w:rPr>
              <w:t>，</w:t>
            </w:r>
            <w:r>
              <w:rPr>
                <w:color w:val="auto"/>
                <w:kern w:val="0"/>
                <w:sz w:val="24"/>
                <w:szCs w:val="24"/>
                <w:highlight w:val="none"/>
                <w:lang w:bidi="ar"/>
              </w:rPr>
              <w:t>防止由于大量灰积在灰斗中而导致的后续飞灰污染事故发生</w:t>
            </w:r>
            <w:r>
              <w:rPr>
                <w:rFonts w:hint="eastAsia"/>
                <w:color w:val="auto"/>
                <w:kern w:val="0"/>
                <w:sz w:val="24"/>
                <w:szCs w:val="24"/>
                <w:highlight w:val="none"/>
                <w:lang w:bidi="ar"/>
              </w:rPr>
              <w:t>。</w:t>
            </w:r>
          </w:p>
          <w:p w14:paraId="6C1301BD">
            <w:pPr>
              <w:pStyle w:val="34"/>
              <w:keepNext w:val="0"/>
              <w:keepLines w:val="0"/>
              <w:pageBreakBefore w:val="0"/>
              <w:kinsoku/>
              <w:wordWrap/>
              <w:overflowPunct/>
              <w:topLinePunct w:val="0"/>
              <w:autoSpaceDE/>
              <w:autoSpaceDN/>
              <w:bidi w:val="0"/>
              <w:spacing w:before="0" w:beforeAutospacing="0" w:after="0" w:afterAutospacing="0" w:line="360" w:lineRule="auto"/>
              <w:ind w:firstLine="480" w:firstLineChars="200"/>
              <w:textAlignment w:val="auto"/>
              <w:rPr>
                <w:rFonts w:hint="eastAsia"/>
                <w:color w:val="auto"/>
                <w:sz w:val="24"/>
                <w:szCs w:val="24"/>
                <w:highlight w:val="none"/>
                <w:lang w:val="en-US" w:eastAsia="zh-CN"/>
              </w:rPr>
            </w:pPr>
            <w:r>
              <w:rPr>
                <w:rFonts w:hint="eastAsia"/>
                <w:color w:val="auto"/>
                <w:kern w:val="0"/>
                <w:sz w:val="24"/>
                <w:szCs w:val="24"/>
                <w:highlight w:val="none"/>
                <w:lang w:bidi="ar"/>
              </w:rPr>
              <w:t>③定期对环保设备进行检修并整理成册</w:t>
            </w:r>
            <w:r>
              <w:rPr>
                <w:rFonts w:hint="eastAsia" w:ascii="Times New Roman" w:hAnsi="Times New Roman"/>
                <w:color w:val="auto"/>
                <w:highlight w:val="none"/>
                <w:lang w:val="en-US" w:eastAsia="zh-CN"/>
              </w:rPr>
              <w:t>。</w:t>
            </w:r>
          </w:p>
          <w:p w14:paraId="6E2F7412">
            <w:pPr>
              <w:pStyle w:val="34"/>
              <w:keepNext w:val="0"/>
              <w:keepLines w:val="0"/>
              <w:pageBreakBefore w:val="0"/>
              <w:kinsoku/>
              <w:wordWrap/>
              <w:overflowPunct/>
              <w:topLinePunct w:val="0"/>
              <w:autoSpaceDE/>
              <w:autoSpaceDN/>
              <w:bidi w:val="0"/>
              <w:spacing w:before="0" w:beforeAutospacing="0" w:after="0" w:afterAutospacing="0"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3、</w:t>
            </w:r>
            <w:r>
              <w:rPr>
                <w:color w:val="auto"/>
                <w:sz w:val="24"/>
                <w:szCs w:val="24"/>
                <w:highlight w:val="none"/>
                <w:lang w:val="en-US" w:eastAsia="zh-CN"/>
              </w:rPr>
              <w:t>制定事故应急预案：为了有效地处理风险事故，应有切实可行的处置措施。项目风险事故应急措施包括设备器材、事故现场指挥、救护、通讯等系统的建立、现场应急措施 方案、事故危害监测队伍、现场撤离和善后措施方案等。项目建成后，公司应立即建立有完善的管理制度，内容涵盖生产、供应、销售、安全、环保各方面，通过完善的制度保障应急救援行动的有效启动和实施设立应急报警、通讯系统以及事故处置管理体系。明确职责，并落实到具体部门及负责人员。对事故现场管理以及事故处置全过程的监督，应由富有事故处置经验的人员或有关部门工作人员承担。</w:t>
            </w:r>
          </w:p>
          <w:p w14:paraId="19EC4935">
            <w:pPr>
              <w:pStyle w:val="34"/>
              <w:keepNext w:val="0"/>
              <w:keepLines w:val="0"/>
              <w:pageBreakBefore w:val="0"/>
              <w:kinsoku/>
              <w:wordWrap/>
              <w:overflowPunct/>
              <w:topLinePunct w:val="0"/>
              <w:autoSpaceDE/>
              <w:autoSpaceDN/>
              <w:bidi w:val="0"/>
              <w:spacing w:before="0" w:beforeAutospacing="0" w:after="0" w:afterAutospacing="0"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4、消防、火灾报警系统：根据《建筑设计防火规范》，车间消防耐火等级不低于三级，生产车间的火灾危险性为丙类，凡禁火区均设置明显标志牌；安全出口及安全疏散距离应符合《建筑设计防火规范》（GB 50016-2014）2018修订版要求；凡禁火区均设置明显标志牌；各种易燃易爆物料均储存在阴凉、通风处，远离火源；安放易发生爆炸设备的房间，不允许任何人员随便入内，操作全部在控制室进行。安全出口及安全疏散距离应符合《建筑设计防火规范》（GB 50016-2014）2018修订版的要求；消防水是独立的稳高压消防水管网，消防水管道沿装置及辅助生产设施周围布置，在管道上按照规范要求配置消火栓；火灾报警系统：全厂采用电话报警，报警至消防局。</w:t>
            </w:r>
          </w:p>
          <w:p w14:paraId="4F2A023C">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b/>
                <w:bCs/>
                <w:color w:val="auto"/>
                <w:sz w:val="24"/>
                <w:szCs w:val="24"/>
                <w:highlight w:val="none"/>
              </w:rPr>
            </w:pPr>
            <w:r>
              <w:rPr>
                <w:rFonts w:hint="eastAsia" w:ascii="宋体" w:hAnsi="宋体" w:cs="Times New Roman"/>
                <w:color w:val="auto"/>
                <w:sz w:val="24"/>
                <w:szCs w:val="24"/>
                <w:highlight w:val="none"/>
                <w:lang w:val="en-US" w:eastAsia="zh-CN"/>
              </w:rPr>
              <w:t>5</w:t>
            </w:r>
            <w:r>
              <w:rPr>
                <w:rFonts w:hint="eastAsia" w:ascii="宋体" w:hAnsi="宋体" w:eastAsia="宋体" w:cs="Times New Roman"/>
                <w:color w:val="auto"/>
                <w:sz w:val="24"/>
                <w:szCs w:val="24"/>
                <w:highlight w:val="none"/>
                <w:lang w:val="en-US" w:eastAsia="zh-CN"/>
              </w:rPr>
              <w:t>、总图布置防范措施：在总平面布置中配套建设应急救援设施、救援通道、应急疏散避难所等防护设施。按《安全标志》规定设置有关的安全标志。</w:t>
            </w:r>
            <w:r>
              <w:rPr>
                <w:rFonts w:hint="eastAsia" w:ascii="宋体" w:hAnsi="宋体" w:eastAsia="宋体" w:cs="Times New Roman"/>
                <w:color w:val="auto"/>
                <w:sz w:val="24"/>
                <w:szCs w:val="24"/>
                <w:highlight w:val="none"/>
                <w:lang w:val="en-US" w:eastAsia="zh-CN"/>
              </w:rPr>
              <w:br w:type="textWrapping"/>
            </w:r>
            <w:r>
              <w:rPr>
                <w:rFonts w:hint="eastAsia" w:ascii="宋体" w:hAnsi="宋体" w:eastAsia="宋体" w:cs="Times New Roman"/>
                <w:color w:val="auto"/>
                <w:sz w:val="24"/>
                <w:szCs w:val="24"/>
                <w:highlight w:val="none"/>
                <w:lang w:val="en-US" w:eastAsia="zh-CN"/>
              </w:rPr>
              <w:t xml:space="preserve">    </w:t>
            </w:r>
            <w:r>
              <w:rPr>
                <w:rFonts w:hint="eastAsia"/>
                <w:b/>
                <w:bCs/>
                <w:color w:val="auto"/>
                <w:sz w:val="24"/>
                <w:szCs w:val="24"/>
                <w:highlight w:val="none"/>
                <w:lang w:val="en-US" w:eastAsia="zh-CN"/>
              </w:rPr>
              <w:t xml:space="preserve">6.6 </w:t>
            </w:r>
            <w:r>
              <w:rPr>
                <w:rFonts w:hint="eastAsia"/>
                <w:b/>
                <w:bCs/>
                <w:color w:val="auto"/>
                <w:sz w:val="24"/>
                <w:szCs w:val="24"/>
                <w:highlight w:val="none"/>
              </w:rPr>
              <w:t>结论</w:t>
            </w:r>
          </w:p>
          <w:p w14:paraId="0608B2B4">
            <w:pPr>
              <w:keepNext w:val="0"/>
              <w:keepLines w:val="0"/>
              <w:pageBreakBefore w:val="0"/>
              <w:kinsoku/>
              <w:wordWrap/>
              <w:overflowPunct/>
              <w:topLinePunct w:val="0"/>
              <w:autoSpaceDE/>
              <w:autoSpaceDN/>
              <w:bidi w:val="0"/>
              <w:snapToGrid w:val="0"/>
              <w:spacing w:line="360" w:lineRule="auto"/>
              <w:ind w:firstLine="480" w:firstLineChars="200"/>
              <w:textAlignment w:val="auto"/>
              <w:rPr>
                <w:color w:val="auto"/>
                <w:sz w:val="24"/>
                <w:szCs w:val="24"/>
                <w:highlight w:val="none"/>
              </w:rPr>
            </w:pPr>
            <w:r>
              <w:rPr>
                <w:rFonts w:hint="eastAsia"/>
                <w:color w:val="auto"/>
                <w:sz w:val="24"/>
                <w:szCs w:val="24"/>
                <w:highlight w:val="none"/>
              </w:rPr>
              <w:t>综上，项目不存在重大危险源，风险事故对外环境影响较小，项目落实环境风险防范措施和应急预案的基础上，其环境风险是可接受的。</w:t>
            </w:r>
          </w:p>
          <w:p w14:paraId="393C1995">
            <w:pPr>
              <w:pStyle w:val="2"/>
              <w:spacing w:before="120" w:beforeLines="50" w:after="0" w:line="360" w:lineRule="auto"/>
              <w:ind w:firstLine="482" w:firstLineChars="200"/>
              <w:rPr>
                <w:rStyle w:val="85"/>
                <w:rFonts w:cs="Times New Roman"/>
                <w:b/>
                <w:bCs/>
                <w:color w:val="auto"/>
                <w:highlight w:val="none"/>
              </w:rPr>
            </w:pPr>
            <w:r>
              <w:rPr>
                <w:rStyle w:val="85"/>
                <w:rFonts w:ascii="Times New Roman" w:hAnsi="Times New Roman" w:cs="Times New Roman"/>
                <w:b/>
                <w:bCs/>
                <w:color w:val="auto"/>
                <w:highlight w:val="none"/>
              </w:rPr>
              <w:t>7</w:t>
            </w:r>
            <w:r>
              <w:rPr>
                <w:rStyle w:val="85"/>
                <w:rFonts w:hint="eastAsia" w:ascii="Times New Roman" w:hAnsi="Times New Roman" w:cs="Times New Roman"/>
                <w:b/>
                <w:bCs/>
                <w:color w:val="auto"/>
                <w:highlight w:val="none"/>
                <w:lang w:val="en-US"/>
              </w:rPr>
              <w:t xml:space="preserve"> </w:t>
            </w:r>
            <w:r>
              <w:rPr>
                <w:rStyle w:val="85"/>
                <w:rFonts w:hint="eastAsia" w:cs="宋体"/>
                <w:b/>
                <w:bCs/>
                <w:color w:val="auto"/>
                <w:highlight w:val="none"/>
              </w:rPr>
              <w:t>环保投资</w:t>
            </w:r>
          </w:p>
          <w:p w14:paraId="12411355">
            <w:pPr>
              <w:spacing w:line="360" w:lineRule="auto"/>
              <w:ind w:firstLine="480" w:firstLineChars="200"/>
              <w:rPr>
                <w:rFonts w:cs="宋体"/>
                <w:color w:val="auto"/>
                <w:sz w:val="24"/>
                <w:szCs w:val="24"/>
                <w:highlight w:val="none"/>
              </w:rPr>
            </w:pPr>
            <w:r>
              <w:rPr>
                <w:rFonts w:hint="eastAsia" w:cs="宋体"/>
                <w:color w:val="auto"/>
                <w:sz w:val="24"/>
                <w:szCs w:val="24"/>
                <w:highlight w:val="none"/>
              </w:rPr>
              <w:t>本项目环保投资约为</w:t>
            </w:r>
            <w:r>
              <w:rPr>
                <w:rFonts w:hint="eastAsia" w:cs="宋体"/>
                <w:color w:val="auto"/>
                <w:sz w:val="24"/>
                <w:szCs w:val="24"/>
                <w:highlight w:val="none"/>
                <w:lang w:val="en-US" w:eastAsia="zh-CN"/>
              </w:rPr>
              <w:t>114.5</w:t>
            </w:r>
            <w:r>
              <w:rPr>
                <w:rFonts w:hint="eastAsia" w:cs="宋体"/>
                <w:color w:val="auto"/>
                <w:sz w:val="24"/>
                <w:szCs w:val="24"/>
                <w:highlight w:val="none"/>
              </w:rPr>
              <w:t>万元，占总投资</w:t>
            </w:r>
            <w:r>
              <w:rPr>
                <w:rFonts w:hint="eastAsia" w:cs="宋体"/>
                <w:color w:val="auto"/>
                <w:sz w:val="24"/>
                <w:szCs w:val="24"/>
                <w:highlight w:val="none"/>
                <w:lang w:val="en-US" w:eastAsia="zh-CN"/>
              </w:rPr>
              <w:t>15</w:t>
            </w:r>
            <w:r>
              <w:rPr>
                <w:rFonts w:hint="eastAsia" w:cs="宋体"/>
                <w:color w:val="auto"/>
                <w:sz w:val="24"/>
                <w:szCs w:val="24"/>
                <w:highlight w:val="none"/>
              </w:rPr>
              <w:t>000万的</w:t>
            </w:r>
            <w:r>
              <w:rPr>
                <w:rFonts w:hint="eastAsia" w:cs="宋体"/>
                <w:color w:val="auto"/>
                <w:sz w:val="24"/>
                <w:szCs w:val="24"/>
                <w:highlight w:val="none"/>
                <w:lang w:val="en-US" w:eastAsia="zh-CN"/>
              </w:rPr>
              <w:t>0.764</w:t>
            </w:r>
            <w:r>
              <w:rPr>
                <w:color w:val="auto"/>
                <w:sz w:val="24"/>
                <w:szCs w:val="24"/>
                <w:highlight w:val="none"/>
              </w:rPr>
              <w:t>%</w:t>
            </w:r>
            <w:r>
              <w:rPr>
                <w:rFonts w:hint="eastAsia" w:cs="宋体"/>
                <w:color w:val="auto"/>
                <w:sz w:val="24"/>
                <w:szCs w:val="24"/>
                <w:highlight w:val="none"/>
              </w:rPr>
              <w:t>，主要环保投资见下表。</w:t>
            </w:r>
          </w:p>
          <w:p w14:paraId="58105F23">
            <w:pPr>
              <w:spacing w:line="360" w:lineRule="auto"/>
              <w:ind w:firstLine="573"/>
              <w:rPr>
                <w:color w:val="auto"/>
                <w:sz w:val="22"/>
                <w:szCs w:val="22"/>
                <w:highlight w:val="none"/>
              </w:rPr>
            </w:pPr>
            <w:r>
              <w:rPr>
                <w:rFonts w:hint="eastAsia" w:cs="宋体"/>
                <w:color w:val="auto"/>
                <w:sz w:val="24"/>
                <w:szCs w:val="24"/>
                <w:highlight w:val="none"/>
              </w:rPr>
              <w:t xml:space="preserve">             </w:t>
            </w:r>
            <w:r>
              <w:rPr>
                <w:rFonts w:hint="eastAsia" w:cs="宋体"/>
                <w:color w:val="auto"/>
                <w:sz w:val="22"/>
                <w:szCs w:val="22"/>
                <w:highlight w:val="none"/>
              </w:rPr>
              <w:t>表</w:t>
            </w:r>
            <w:r>
              <w:rPr>
                <w:color w:val="auto"/>
                <w:sz w:val="22"/>
                <w:szCs w:val="22"/>
                <w:highlight w:val="none"/>
              </w:rPr>
              <w:t>4-1</w:t>
            </w:r>
            <w:r>
              <w:rPr>
                <w:rFonts w:hint="eastAsia"/>
                <w:color w:val="auto"/>
                <w:sz w:val="22"/>
                <w:szCs w:val="22"/>
                <w:highlight w:val="none"/>
                <w:lang w:val="en-US" w:eastAsia="zh-CN"/>
              </w:rPr>
              <w:t>9</w:t>
            </w:r>
            <w:r>
              <w:rPr>
                <w:color w:val="auto"/>
                <w:sz w:val="22"/>
                <w:szCs w:val="22"/>
                <w:highlight w:val="none"/>
              </w:rPr>
              <w:t xml:space="preserve">  </w:t>
            </w:r>
            <w:r>
              <w:rPr>
                <w:rFonts w:hint="eastAsia" w:cs="宋体"/>
                <w:color w:val="auto"/>
                <w:sz w:val="22"/>
                <w:szCs w:val="22"/>
                <w:highlight w:val="none"/>
              </w:rPr>
              <w:t>环保投资及</w:t>
            </w:r>
            <w:r>
              <w:rPr>
                <w:rFonts w:hint="eastAsia" w:cs="宋体"/>
                <w:color w:val="auto"/>
                <w:sz w:val="22"/>
                <w:szCs w:val="22"/>
                <w:highlight w:val="none"/>
                <w:lang w:eastAsia="zh-CN"/>
              </w:rPr>
              <w:t>“</w:t>
            </w:r>
            <w:r>
              <w:rPr>
                <w:rFonts w:hint="eastAsia" w:cs="宋体"/>
                <w:color w:val="auto"/>
                <w:sz w:val="22"/>
                <w:szCs w:val="22"/>
                <w:highlight w:val="none"/>
              </w:rPr>
              <w:t>三同时</w:t>
            </w:r>
            <w:r>
              <w:rPr>
                <w:rFonts w:hint="eastAsia" w:cs="宋体"/>
                <w:color w:val="auto"/>
                <w:sz w:val="22"/>
                <w:szCs w:val="22"/>
                <w:highlight w:val="none"/>
                <w:lang w:eastAsia="zh-CN"/>
              </w:rPr>
              <w:t>”</w:t>
            </w:r>
            <w:r>
              <w:rPr>
                <w:rFonts w:hint="eastAsia" w:cs="宋体"/>
                <w:color w:val="auto"/>
                <w:sz w:val="22"/>
                <w:szCs w:val="22"/>
                <w:highlight w:val="none"/>
              </w:rPr>
              <w:t>验收一览表</w:t>
            </w:r>
          </w:p>
          <w:tbl>
            <w:tblPr>
              <w:tblStyle w:val="37"/>
              <w:tblW w:w="81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1638"/>
              <w:gridCol w:w="2143"/>
              <w:gridCol w:w="2749"/>
              <w:gridCol w:w="867"/>
            </w:tblGrid>
            <w:tr w14:paraId="15B79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14:paraId="6668C457">
                  <w:pPr>
                    <w:jc w:val="center"/>
                    <w:rPr>
                      <w:color w:val="auto"/>
                      <w:sz w:val="22"/>
                      <w:szCs w:val="22"/>
                      <w:highlight w:val="none"/>
                    </w:rPr>
                  </w:pPr>
                  <w:r>
                    <w:rPr>
                      <w:rFonts w:hint="eastAsia" w:cs="宋体"/>
                      <w:color w:val="auto"/>
                      <w:sz w:val="22"/>
                      <w:szCs w:val="22"/>
                      <w:highlight w:val="none"/>
                    </w:rPr>
                    <w:t>项目</w:t>
                  </w:r>
                </w:p>
              </w:tc>
              <w:tc>
                <w:tcPr>
                  <w:tcW w:w="1638" w:type="dxa"/>
                  <w:tcBorders>
                    <w:top w:val="single" w:color="auto" w:sz="4" w:space="0"/>
                    <w:left w:val="single" w:color="auto" w:sz="4" w:space="0"/>
                    <w:bottom w:val="single" w:color="auto" w:sz="4" w:space="0"/>
                    <w:right w:val="single" w:color="auto" w:sz="4" w:space="0"/>
                  </w:tcBorders>
                  <w:vAlign w:val="center"/>
                </w:tcPr>
                <w:p w14:paraId="251FBDB8">
                  <w:pPr>
                    <w:jc w:val="center"/>
                    <w:rPr>
                      <w:color w:val="auto"/>
                      <w:sz w:val="22"/>
                      <w:szCs w:val="22"/>
                      <w:highlight w:val="none"/>
                    </w:rPr>
                  </w:pPr>
                  <w:r>
                    <w:rPr>
                      <w:rFonts w:hint="eastAsia" w:cs="宋体"/>
                      <w:color w:val="auto"/>
                      <w:sz w:val="22"/>
                      <w:szCs w:val="22"/>
                      <w:highlight w:val="none"/>
                    </w:rPr>
                    <w:t>污染源</w:t>
                  </w:r>
                </w:p>
              </w:tc>
              <w:tc>
                <w:tcPr>
                  <w:tcW w:w="2143" w:type="dxa"/>
                  <w:tcBorders>
                    <w:top w:val="single" w:color="auto" w:sz="4" w:space="0"/>
                    <w:left w:val="single" w:color="auto" w:sz="4" w:space="0"/>
                    <w:bottom w:val="single" w:color="auto" w:sz="4" w:space="0"/>
                    <w:right w:val="single" w:color="auto" w:sz="4" w:space="0"/>
                  </w:tcBorders>
                  <w:vAlign w:val="center"/>
                </w:tcPr>
                <w:p w14:paraId="4FF21634">
                  <w:pPr>
                    <w:jc w:val="center"/>
                    <w:rPr>
                      <w:color w:val="auto"/>
                      <w:sz w:val="22"/>
                      <w:szCs w:val="22"/>
                      <w:highlight w:val="none"/>
                    </w:rPr>
                  </w:pPr>
                  <w:r>
                    <w:rPr>
                      <w:rFonts w:hint="eastAsia" w:cs="宋体"/>
                      <w:color w:val="auto"/>
                      <w:sz w:val="22"/>
                      <w:szCs w:val="22"/>
                      <w:highlight w:val="none"/>
                    </w:rPr>
                    <w:t>主要污染防治措施</w:t>
                  </w:r>
                </w:p>
              </w:tc>
              <w:tc>
                <w:tcPr>
                  <w:tcW w:w="2749" w:type="dxa"/>
                  <w:tcBorders>
                    <w:top w:val="single" w:color="auto" w:sz="4" w:space="0"/>
                    <w:left w:val="single" w:color="auto" w:sz="4" w:space="0"/>
                    <w:bottom w:val="single" w:color="auto" w:sz="4" w:space="0"/>
                    <w:right w:val="single" w:color="auto" w:sz="4" w:space="0"/>
                  </w:tcBorders>
                  <w:vAlign w:val="center"/>
                </w:tcPr>
                <w:p w14:paraId="05C85587">
                  <w:pPr>
                    <w:jc w:val="center"/>
                    <w:rPr>
                      <w:color w:val="auto"/>
                      <w:sz w:val="22"/>
                      <w:szCs w:val="22"/>
                      <w:highlight w:val="none"/>
                    </w:rPr>
                  </w:pPr>
                  <w:r>
                    <w:rPr>
                      <w:rFonts w:hint="eastAsia" w:cs="宋体"/>
                      <w:color w:val="auto"/>
                      <w:sz w:val="22"/>
                      <w:szCs w:val="22"/>
                      <w:highlight w:val="none"/>
                    </w:rPr>
                    <w:t>所达标准</w:t>
                  </w:r>
                </w:p>
              </w:tc>
              <w:tc>
                <w:tcPr>
                  <w:tcW w:w="867" w:type="dxa"/>
                  <w:tcBorders>
                    <w:top w:val="single" w:color="auto" w:sz="4" w:space="0"/>
                    <w:left w:val="single" w:color="auto" w:sz="4" w:space="0"/>
                    <w:bottom w:val="single" w:color="auto" w:sz="4" w:space="0"/>
                    <w:right w:val="single" w:color="auto" w:sz="4" w:space="0"/>
                  </w:tcBorders>
                  <w:vAlign w:val="center"/>
                </w:tcPr>
                <w:p w14:paraId="04468B0C">
                  <w:pPr>
                    <w:jc w:val="center"/>
                    <w:rPr>
                      <w:color w:val="auto"/>
                      <w:sz w:val="22"/>
                      <w:szCs w:val="22"/>
                      <w:highlight w:val="none"/>
                    </w:rPr>
                  </w:pPr>
                  <w:r>
                    <w:rPr>
                      <w:rFonts w:hint="eastAsia" w:cs="宋体"/>
                      <w:color w:val="auto"/>
                      <w:sz w:val="22"/>
                      <w:szCs w:val="22"/>
                      <w:highlight w:val="none"/>
                    </w:rPr>
                    <w:t>投资</w:t>
                  </w:r>
                </w:p>
                <w:p w14:paraId="4B16057E">
                  <w:pPr>
                    <w:jc w:val="center"/>
                    <w:rPr>
                      <w:color w:val="auto"/>
                      <w:sz w:val="22"/>
                      <w:szCs w:val="22"/>
                      <w:highlight w:val="none"/>
                    </w:rPr>
                  </w:pPr>
                  <w:r>
                    <w:rPr>
                      <w:color w:val="auto"/>
                      <w:sz w:val="22"/>
                      <w:szCs w:val="22"/>
                      <w:highlight w:val="none"/>
                    </w:rPr>
                    <w:t>(</w:t>
                  </w:r>
                  <w:r>
                    <w:rPr>
                      <w:rFonts w:hint="eastAsia" w:cs="宋体"/>
                      <w:color w:val="auto"/>
                      <w:sz w:val="22"/>
                      <w:szCs w:val="22"/>
                      <w:highlight w:val="none"/>
                    </w:rPr>
                    <w:t>万元</w:t>
                  </w:r>
                  <w:r>
                    <w:rPr>
                      <w:color w:val="auto"/>
                      <w:sz w:val="22"/>
                      <w:szCs w:val="22"/>
                      <w:highlight w:val="none"/>
                    </w:rPr>
                    <w:t>)</w:t>
                  </w:r>
                </w:p>
              </w:tc>
            </w:tr>
            <w:tr w14:paraId="015E2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721" w:type="dxa"/>
                  <w:tcBorders>
                    <w:top w:val="single" w:color="auto" w:sz="4" w:space="0"/>
                    <w:left w:val="single" w:color="auto" w:sz="4" w:space="0"/>
                    <w:right w:val="single" w:color="auto" w:sz="4" w:space="0"/>
                  </w:tcBorders>
                  <w:vAlign w:val="center"/>
                </w:tcPr>
                <w:p w14:paraId="75555AAA">
                  <w:pPr>
                    <w:jc w:val="center"/>
                    <w:rPr>
                      <w:color w:val="auto"/>
                      <w:sz w:val="22"/>
                      <w:szCs w:val="22"/>
                      <w:highlight w:val="none"/>
                    </w:rPr>
                  </w:pPr>
                  <w:r>
                    <w:rPr>
                      <w:rFonts w:hint="eastAsia" w:cs="宋体"/>
                      <w:color w:val="auto"/>
                      <w:sz w:val="22"/>
                      <w:szCs w:val="22"/>
                      <w:highlight w:val="none"/>
                    </w:rPr>
                    <w:t>废气</w:t>
                  </w:r>
                </w:p>
              </w:tc>
              <w:tc>
                <w:tcPr>
                  <w:tcW w:w="1638" w:type="dxa"/>
                  <w:tcBorders>
                    <w:top w:val="single" w:color="auto" w:sz="4" w:space="0"/>
                    <w:left w:val="single" w:color="auto" w:sz="4" w:space="0"/>
                    <w:bottom w:val="single" w:color="auto" w:sz="4" w:space="0"/>
                    <w:right w:val="single" w:color="auto" w:sz="4" w:space="0"/>
                  </w:tcBorders>
                  <w:vAlign w:val="center"/>
                </w:tcPr>
                <w:p w14:paraId="489CDABA">
                  <w:pPr>
                    <w:jc w:val="center"/>
                    <w:rPr>
                      <w:rFonts w:cs="宋体"/>
                      <w:color w:val="auto"/>
                      <w:sz w:val="22"/>
                      <w:szCs w:val="22"/>
                      <w:highlight w:val="none"/>
                    </w:rPr>
                  </w:pPr>
                  <w:r>
                    <w:rPr>
                      <w:rFonts w:hint="eastAsia" w:cs="宋体"/>
                      <w:color w:val="auto"/>
                      <w:sz w:val="22"/>
                      <w:szCs w:val="22"/>
                      <w:highlight w:val="none"/>
                    </w:rPr>
                    <w:t>破碎、粉碎、制粒工序</w:t>
                  </w:r>
                </w:p>
              </w:tc>
              <w:tc>
                <w:tcPr>
                  <w:tcW w:w="2143" w:type="dxa"/>
                  <w:tcBorders>
                    <w:top w:val="single" w:color="auto" w:sz="4" w:space="0"/>
                    <w:left w:val="single" w:color="auto" w:sz="4" w:space="0"/>
                    <w:right w:val="single" w:color="auto" w:sz="4" w:space="0"/>
                  </w:tcBorders>
                  <w:vAlign w:val="center"/>
                </w:tcPr>
                <w:p w14:paraId="569934D5">
                  <w:pPr>
                    <w:jc w:val="center"/>
                    <w:rPr>
                      <w:rFonts w:hAnsi="宋体"/>
                      <w:color w:val="auto"/>
                      <w:sz w:val="22"/>
                      <w:szCs w:val="22"/>
                      <w:highlight w:val="none"/>
                    </w:rPr>
                  </w:pPr>
                  <w:r>
                    <w:rPr>
                      <w:rFonts w:hint="eastAsia" w:hAnsi="宋体"/>
                      <w:color w:val="auto"/>
                      <w:sz w:val="22"/>
                      <w:szCs w:val="22"/>
                      <w:highlight w:val="none"/>
                    </w:rPr>
                    <w:t>集气装置</w:t>
                  </w:r>
                  <w:r>
                    <w:rPr>
                      <w:rFonts w:hAnsi="宋体"/>
                      <w:color w:val="auto"/>
                      <w:sz w:val="22"/>
                      <w:szCs w:val="22"/>
                      <w:highlight w:val="none"/>
                    </w:rPr>
                    <w:t>+</w:t>
                  </w:r>
                  <w:r>
                    <w:rPr>
                      <w:rFonts w:hint="eastAsia" w:hAnsi="宋体"/>
                      <w:color w:val="auto"/>
                      <w:sz w:val="22"/>
                      <w:szCs w:val="22"/>
                      <w:highlight w:val="none"/>
                    </w:rPr>
                    <w:t>旋风除尘+布袋除尘</w:t>
                  </w:r>
                  <w:r>
                    <w:rPr>
                      <w:rFonts w:hAnsi="宋体"/>
                      <w:color w:val="auto"/>
                      <w:sz w:val="22"/>
                      <w:szCs w:val="22"/>
                      <w:highlight w:val="none"/>
                    </w:rPr>
                    <w:t>+15</w:t>
                  </w:r>
                  <w:r>
                    <w:rPr>
                      <w:rFonts w:hint="eastAsia" w:hAnsi="宋体" w:cs="宋体"/>
                      <w:color w:val="auto"/>
                      <w:sz w:val="22"/>
                      <w:szCs w:val="22"/>
                      <w:highlight w:val="none"/>
                    </w:rPr>
                    <w:t>米高排气筒</w:t>
                  </w:r>
                </w:p>
              </w:tc>
              <w:tc>
                <w:tcPr>
                  <w:tcW w:w="2749" w:type="dxa"/>
                  <w:tcBorders>
                    <w:top w:val="single" w:color="auto" w:sz="4" w:space="0"/>
                    <w:left w:val="single" w:color="auto" w:sz="4" w:space="0"/>
                    <w:right w:val="single" w:color="auto" w:sz="4" w:space="0"/>
                  </w:tcBorders>
                  <w:vAlign w:val="center"/>
                </w:tcPr>
                <w:p w14:paraId="22DB71F8">
                  <w:pPr>
                    <w:jc w:val="center"/>
                    <w:rPr>
                      <w:rFonts w:cs="宋体"/>
                      <w:color w:val="auto"/>
                      <w:sz w:val="22"/>
                      <w:szCs w:val="22"/>
                      <w:highlight w:val="none"/>
                    </w:rPr>
                  </w:pPr>
                  <w:r>
                    <w:rPr>
                      <w:rFonts w:hint="eastAsia" w:cs="宋体"/>
                      <w:color w:val="auto"/>
                      <w:sz w:val="22"/>
                      <w:szCs w:val="22"/>
                      <w:highlight w:val="none"/>
                    </w:rPr>
                    <w:t>《大气污染物综合排放标准》（GB16297-1996）</w:t>
                  </w:r>
                </w:p>
              </w:tc>
              <w:tc>
                <w:tcPr>
                  <w:tcW w:w="867" w:type="dxa"/>
                  <w:tcBorders>
                    <w:top w:val="single" w:color="auto" w:sz="4" w:space="0"/>
                    <w:left w:val="single" w:color="auto" w:sz="4" w:space="0"/>
                    <w:right w:val="single" w:color="auto" w:sz="4" w:space="0"/>
                  </w:tcBorders>
                  <w:vAlign w:val="center"/>
                </w:tcPr>
                <w:p w14:paraId="23940A62">
                  <w:pPr>
                    <w:jc w:val="center"/>
                    <w:rPr>
                      <w:color w:val="auto"/>
                      <w:sz w:val="22"/>
                      <w:szCs w:val="22"/>
                      <w:highlight w:val="none"/>
                    </w:rPr>
                  </w:pPr>
                  <w:r>
                    <w:rPr>
                      <w:rFonts w:hint="eastAsia"/>
                      <w:color w:val="auto"/>
                      <w:sz w:val="22"/>
                      <w:szCs w:val="22"/>
                      <w:highlight w:val="none"/>
                      <w:lang w:val="en-US" w:eastAsia="zh-CN"/>
                    </w:rPr>
                    <w:t>45</w:t>
                  </w:r>
                </w:p>
              </w:tc>
            </w:tr>
            <w:tr w14:paraId="5BD04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14:paraId="3A9558D7">
                  <w:pPr>
                    <w:jc w:val="center"/>
                    <w:rPr>
                      <w:color w:val="auto"/>
                      <w:sz w:val="22"/>
                      <w:szCs w:val="22"/>
                      <w:highlight w:val="none"/>
                    </w:rPr>
                  </w:pPr>
                  <w:r>
                    <w:rPr>
                      <w:rFonts w:hint="eastAsia" w:cs="宋体"/>
                      <w:color w:val="auto"/>
                      <w:sz w:val="22"/>
                      <w:szCs w:val="22"/>
                      <w:highlight w:val="none"/>
                    </w:rPr>
                    <w:t>废水</w:t>
                  </w:r>
                </w:p>
              </w:tc>
              <w:tc>
                <w:tcPr>
                  <w:tcW w:w="1638" w:type="dxa"/>
                  <w:tcBorders>
                    <w:top w:val="single" w:color="auto" w:sz="4" w:space="0"/>
                    <w:left w:val="single" w:color="auto" w:sz="4" w:space="0"/>
                    <w:bottom w:val="single" w:color="auto" w:sz="4" w:space="0"/>
                    <w:right w:val="single" w:color="auto" w:sz="4" w:space="0"/>
                  </w:tcBorders>
                  <w:vAlign w:val="center"/>
                </w:tcPr>
                <w:p w14:paraId="58067DE1">
                  <w:pPr>
                    <w:jc w:val="center"/>
                    <w:rPr>
                      <w:color w:val="auto"/>
                      <w:sz w:val="22"/>
                      <w:szCs w:val="22"/>
                      <w:highlight w:val="none"/>
                    </w:rPr>
                  </w:pPr>
                  <w:r>
                    <w:rPr>
                      <w:rFonts w:hint="eastAsia" w:cs="宋体"/>
                      <w:color w:val="auto"/>
                      <w:sz w:val="22"/>
                      <w:szCs w:val="22"/>
                      <w:highlight w:val="none"/>
                    </w:rPr>
                    <w:t>生活污水</w:t>
                  </w:r>
                </w:p>
              </w:tc>
              <w:tc>
                <w:tcPr>
                  <w:tcW w:w="2143" w:type="dxa"/>
                  <w:tcBorders>
                    <w:top w:val="single" w:color="auto" w:sz="4" w:space="0"/>
                    <w:left w:val="single" w:color="auto" w:sz="4" w:space="0"/>
                    <w:bottom w:val="single" w:color="auto" w:sz="4" w:space="0"/>
                    <w:right w:val="single" w:color="auto" w:sz="4" w:space="0"/>
                  </w:tcBorders>
                  <w:vAlign w:val="center"/>
                </w:tcPr>
                <w:p w14:paraId="79B3B562">
                  <w:pPr>
                    <w:jc w:val="center"/>
                    <w:rPr>
                      <w:rFonts w:hint="eastAsia" w:eastAsia="宋体"/>
                      <w:color w:val="auto"/>
                      <w:sz w:val="22"/>
                      <w:szCs w:val="22"/>
                      <w:highlight w:val="none"/>
                      <w:lang w:eastAsia="zh-CN"/>
                    </w:rPr>
                  </w:pPr>
                  <w:r>
                    <w:rPr>
                      <w:rFonts w:hint="eastAsia" w:cs="宋体"/>
                      <w:color w:val="auto"/>
                      <w:sz w:val="22"/>
                      <w:szCs w:val="22"/>
                      <w:highlight w:val="none"/>
                    </w:rPr>
                    <w:t>化粪池</w:t>
                  </w:r>
                  <w:r>
                    <w:rPr>
                      <w:rFonts w:hint="eastAsia" w:cs="宋体"/>
                      <w:color w:val="auto"/>
                      <w:sz w:val="22"/>
                      <w:szCs w:val="22"/>
                      <w:highlight w:val="none"/>
                      <w:lang w:eastAsia="zh-CN"/>
                    </w:rPr>
                    <w:t>（依托）</w:t>
                  </w:r>
                </w:p>
              </w:tc>
              <w:tc>
                <w:tcPr>
                  <w:tcW w:w="2749" w:type="dxa"/>
                  <w:tcBorders>
                    <w:top w:val="single" w:color="auto" w:sz="4" w:space="0"/>
                    <w:left w:val="single" w:color="auto" w:sz="4" w:space="0"/>
                    <w:bottom w:val="single" w:color="auto" w:sz="4" w:space="0"/>
                    <w:right w:val="single" w:color="auto" w:sz="4" w:space="0"/>
                  </w:tcBorders>
                  <w:vAlign w:val="center"/>
                </w:tcPr>
                <w:p w14:paraId="7C00BF4A">
                  <w:pPr>
                    <w:jc w:val="center"/>
                    <w:rPr>
                      <w:color w:val="auto"/>
                      <w:sz w:val="22"/>
                      <w:szCs w:val="22"/>
                      <w:highlight w:val="none"/>
                    </w:rPr>
                  </w:pPr>
                  <w:r>
                    <w:rPr>
                      <w:rFonts w:hint="eastAsia" w:cs="宋体"/>
                      <w:color w:val="auto"/>
                      <w:sz w:val="22"/>
                      <w:szCs w:val="22"/>
                      <w:highlight w:val="none"/>
                    </w:rPr>
                    <w:t>/</w:t>
                  </w:r>
                </w:p>
              </w:tc>
              <w:tc>
                <w:tcPr>
                  <w:tcW w:w="867" w:type="dxa"/>
                  <w:tcBorders>
                    <w:top w:val="single" w:color="auto" w:sz="4" w:space="0"/>
                    <w:left w:val="single" w:color="auto" w:sz="4" w:space="0"/>
                    <w:bottom w:val="single" w:color="auto" w:sz="4" w:space="0"/>
                    <w:right w:val="single" w:color="auto" w:sz="4" w:space="0"/>
                  </w:tcBorders>
                  <w:vAlign w:val="center"/>
                </w:tcPr>
                <w:p w14:paraId="1BA3A1E3">
                  <w:pPr>
                    <w:jc w:val="center"/>
                    <w:rPr>
                      <w:rFonts w:hint="eastAsia" w:eastAsia="宋体"/>
                      <w:color w:val="auto"/>
                      <w:sz w:val="22"/>
                      <w:szCs w:val="22"/>
                      <w:highlight w:val="none"/>
                      <w:lang w:eastAsia="zh-CN"/>
                    </w:rPr>
                  </w:pPr>
                  <w:r>
                    <w:rPr>
                      <w:rFonts w:hint="eastAsia"/>
                      <w:color w:val="auto"/>
                      <w:sz w:val="22"/>
                      <w:szCs w:val="22"/>
                      <w:highlight w:val="none"/>
                      <w:lang w:val="en-US" w:eastAsia="zh-CN"/>
                    </w:rPr>
                    <w:t>0</w:t>
                  </w:r>
                </w:p>
              </w:tc>
            </w:tr>
            <w:tr w14:paraId="32B1C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2" w:hRule="atLeast"/>
                <w:jc w:val="center"/>
              </w:trPr>
              <w:tc>
                <w:tcPr>
                  <w:tcW w:w="721" w:type="dxa"/>
                  <w:tcBorders>
                    <w:top w:val="single" w:color="auto" w:sz="4" w:space="0"/>
                    <w:left w:val="single" w:color="auto" w:sz="4" w:space="0"/>
                    <w:bottom w:val="single" w:color="auto" w:sz="4" w:space="0"/>
                    <w:right w:val="single" w:color="auto" w:sz="4" w:space="0"/>
                  </w:tcBorders>
                  <w:vAlign w:val="center"/>
                </w:tcPr>
                <w:p w14:paraId="38AD7A46">
                  <w:pPr>
                    <w:jc w:val="center"/>
                    <w:rPr>
                      <w:color w:val="auto"/>
                      <w:sz w:val="22"/>
                      <w:szCs w:val="22"/>
                      <w:highlight w:val="none"/>
                    </w:rPr>
                  </w:pPr>
                  <w:r>
                    <w:rPr>
                      <w:rFonts w:hint="eastAsia" w:cs="宋体"/>
                      <w:color w:val="auto"/>
                      <w:sz w:val="22"/>
                      <w:szCs w:val="22"/>
                      <w:highlight w:val="none"/>
                    </w:rPr>
                    <w:t>噪声</w:t>
                  </w:r>
                </w:p>
              </w:tc>
              <w:tc>
                <w:tcPr>
                  <w:tcW w:w="1638" w:type="dxa"/>
                  <w:tcBorders>
                    <w:top w:val="single" w:color="auto" w:sz="4" w:space="0"/>
                    <w:left w:val="single" w:color="auto" w:sz="4" w:space="0"/>
                    <w:bottom w:val="single" w:color="auto" w:sz="4" w:space="0"/>
                    <w:right w:val="single" w:color="auto" w:sz="4" w:space="0"/>
                  </w:tcBorders>
                  <w:vAlign w:val="center"/>
                </w:tcPr>
                <w:p w14:paraId="633E73FE">
                  <w:pPr>
                    <w:jc w:val="center"/>
                    <w:rPr>
                      <w:color w:val="auto"/>
                      <w:sz w:val="22"/>
                      <w:szCs w:val="22"/>
                      <w:highlight w:val="none"/>
                    </w:rPr>
                  </w:pPr>
                  <w:r>
                    <w:rPr>
                      <w:rFonts w:hint="eastAsia" w:cs="宋体"/>
                      <w:color w:val="auto"/>
                      <w:sz w:val="22"/>
                      <w:szCs w:val="22"/>
                      <w:highlight w:val="none"/>
                    </w:rPr>
                    <w:t>主要产噪</w:t>
                  </w:r>
                </w:p>
                <w:p w14:paraId="60969EE9">
                  <w:pPr>
                    <w:jc w:val="center"/>
                    <w:rPr>
                      <w:color w:val="auto"/>
                      <w:sz w:val="22"/>
                      <w:szCs w:val="22"/>
                      <w:highlight w:val="none"/>
                    </w:rPr>
                  </w:pPr>
                  <w:r>
                    <w:rPr>
                      <w:rFonts w:hint="eastAsia" w:cs="宋体"/>
                      <w:color w:val="auto"/>
                      <w:sz w:val="22"/>
                      <w:szCs w:val="22"/>
                      <w:highlight w:val="none"/>
                    </w:rPr>
                    <w:t>设备</w:t>
                  </w:r>
                </w:p>
              </w:tc>
              <w:tc>
                <w:tcPr>
                  <w:tcW w:w="2143" w:type="dxa"/>
                  <w:tcBorders>
                    <w:top w:val="single" w:color="auto" w:sz="4" w:space="0"/>
                    <w:left w:val="single" w:color="auto" w:sz="4" w:space="0"/>
                    <w:bottom w:val="single" w:color="auto" w:sz="4" w:space="0"/>
                    <w:right w:val="single" w:color="auto" w:sz="4" w:space="0"/>
                  </w:tcBorders>
                  <w:vAlign w:val="center"/>
                </w:tcPr>
                <w:p w14:paraId="21CD58E9">
                  <w:pPr>
                    <w:jc w:val="center"/>
                    <w:rPr>
                      <w:color w:val="auto"/>
                      <w:sz w:val="22"/>
                      <w:szCs w:val="22"/>
                      <w:highlight w:val="none"/>
                    </w:rPr>
                  </w:pPr>
                  <w:r>
                    <w:rPr>
                      <w:rFonts w:hint="eastAsia" w:cs="宋体"/>
                      <w:color w:val="auto"/>
                      <w:sz w:val="22"/>
                      <w:szCs w:val="22"/>
                      <w:highlight w:val="none"/>
                    </w:rPr>
                    <w:t>合理布局、减振、消声、隔声、绿化等措施</w:t>
                  </w:r>
                </w:p>
              </w:tc>
              <w:tc>
                <w:tcPr>
                  <w:tcW w:w="2749" w:type="dxa"/>
                  <w:tcBorders>
                    <w:top w:val="single" w:color="auto" w:sz="4" w:space="0"/>
                    <w:left w:val="single" w:color="auto" w:sz="4" w:space="0"/>
                    <w:bottom w:val="single" w:color="auto" w:sz="4" w:space="0"/>
                    <w:right w:val="single" w:color="auto" w:sz="4" w:space="0"/>
                  </w:tcBorders>
                  <w:vAlign w:val="center"/>
                </w:tcPr>
                <w:p w14:paraId="50F6E62E">
                  <w:pPr>
                    <w:jc w:val="center"/>
                    <w:rPr>
                      <w:rFonts w:cs="宋体"/>
                      <w:color w:val="auto"/>
                      <w:sz w:val="22"/>
                      <w:szCs w:val="22"/>
                      <w:highlight w:val="none"/>
                    </w:rPr>
                  </w:pPr>
                  <w:r>
                    <w:rPr>
                      <w:rFonts w:hint="eastAsia" w:cs="宋体"/>
                      <w:color w:val="auto"/>
                      <w:sz w:val="22"/>
                      <w:szCs w:val="22"/>
                      <w:highlight w:val="none"/>
                    </w:rPr>
                    <w:t>《工业企业厂界环境噪声排放标准》（</w:t>
                  </w:r>
                  <w:r>
                    <w:rPr>
                      <w:color w:val="auto"/>
                      <w:sz w:val="22"/>
                      <w:szCs w:val="22"/>
                      <w:highlight w:val="none"/>
                    </w:rPr>
                    <w:t>GB12348-2008</w:t>
                  </w:r>
                  <w:r>
                    <w:rPr>
                      <w:rFonts w:hint="eastAsia" w:cs="宋体"/>
                      <w:color w:val="auto"/>
                      <w:sz w:val="22"/>
                      <w:szCs w:val="22"/>
                      <w:highlight w:val="none"/>
                    </w:rPr>
                    <w:t>）</w:t>
                  </w:r>
                </w:p>
                <w:p w14:paraId="5F43F400">
                  <w:pPr>
                    <w:jc w:val="center"/>
                    <w:rPr>
                      <w:color w:val="auto"/>
                      <w:sz w:val="22"/>
                      <w:szCs w:val="22"/>
                      <w:highlight w:val="none"/>
                    </w:rPr>
                  </w:pPr>
                  <w:r>
                    <w:rPr>
                      <w:rFonts w:hint="eastAsia"/>
                      <w:color w:val="auto"/>
                      <w:sz w:val="22"/>
                      <w:szCs w:val="22"/>
                      <w:highlight w:val="none"/>
                      <w:lang w:val="en-US" w:eastAsia="zh-CN"/>
                    </w:rPr>
                    <w:t>3</w:t>
                  </w:r>
                  <w:r>
                    <w:rPr>
                      <w:rFonts w:hint="eastAsia" w:cs="宋体"/>
                      <w:color w:val="auto"/>
                      <w:sz w:val="22"/>
                      <w:szCs w:val="22"/>
                      <w:highlight w:val="none"/>
                    </w:rPr>
                    <w:t>类区标准</w:t>
                  </w:r>
                </w:p>
              </w:tc>
              <w:tc>
                <w:tcPr>
                  <w:tcW w:w="867" w:type="dxa"/>
                  <w:tcBorders>
                    <w:top w:val="single" w:color="auto" w:sz="4" w:space="0"/>
                    <w:left w:val="single" w:color="auto" w:sz="4" w:space="0"/>
                    <w:bottom w:val="single" w:color="auto" w:sz="4" w:space="0"/>
                    <w:right w:val="single" w:color="auto" w:sz="4" w:space="0"/>
                  </w:tcBorders>
                  <w:vAlign w:val="center"/>
                </w:tcPr>
                <w:p w14:paraId="19F75154">
                  <w:pPr>
                    <w:jc w:val="center"/>
                    <w:rPr>
                      <w:rFonts w:hint="default" w:eastAsia="宋体"/>
                      <w:color w:val="auto"/>
                      <w:sz w:val="22"/>
                      <w:szCs w:val="22"/>
                      <w:highlight w:val="none"/>
                      <w:lang w:val="en-US" w:eastAsia="zh-CN"/>
                    </w:rPr>
                  </w:pPr>
                  <w:r>
                    <w:rPr>
                      <w:rFonts w:hint="eastAsia"/>
                      <w:color w:val="auto"/>
                      <w:sz w:val="22"/>
                      <w:szCs w:val="22"/>
                      <w:highlight w:val="none"/>
                      <w:lang w:val="en-US" w:eastAsia="zh-CN"/>
                    </w:rPr>
                    <w:t>8</w:t>
                  </w:r>
                </w:p>
              </w:tc>
            </w:tr>
            <w:tr w14:paraId="22420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721" w:type="dxa"/>
                  <w:vMerge w:val="restart"/>
                  <w:tcBorders>
                    <w:top w:val="single" w:color="auto" w:sz="4" w:space="0"/>
                    <w:left w:val="single" w:color="auto" w:sz="4" w:space="0"/>
                    <w:right w:val="single" w:color="auto" w:sz="4" w:space="0"/>
                  </w:tcBorders>
                  <w:vAlign w:val="center"/>
                </w:tcPr>
                <w:p w14:paraId="6339B0D8">
                  <w:pPr>
                    <w:jc w:val="center"/>
                    <w:rPr>
                      <w:color w:val="auto"/>
                      <w:sz w:val="22"/>
                      <w:szCs w:val="22"/>
                      <w:highlight w:val="none"/>
                    </w:rPr>
                  </w:pPr>
                  <w:r>
                    <w:rPr>
                      <w:rFonts w:hint="eastAsia" w:cs="宋体"/>
                      <w:color w:val="auto"/>
                      <w:sz w:val="22"/>
                      <w:szCs w:val="22"/>
                      <w:highlight w:val="none"/>
                    </w:rPr>
                    <w:t>固体</w:t>
                  </w:r>
                </w:p>
                <w:p w14:paraId="1F51C8E4">
                  <w:pPr>
                    <w:jc w:val="center"/>
                    <w:rPr>
                      <w:color w:val="auto"/>
                      <w:sz w:val="22"/>
                      <w:szCs w:val="22"/>
                      <w:highlight w:val="none"/>
                    </w:rPr>
                  </w:pPr>
                  <w:r>
                    <w:rPr>
                      <w:rFonts w:hint="eastAsia" w:cs="宋体"/>
                      <w:color w:val="auto"/>
                      <w:sz w:val="22"/>
                      <w:szCs w:val="22"/>
                      <w:highlight w:val="none"/>
                    </w:rPr>
                    <w:t>废物</w:t>
                  </w:r>
                </w:p>
              </w:tc>
              <w:tc>
                <w:tcPr>
                  <w:tcW w:w="1638" w:type="dxa"/>
                  <w:tcBorders>
                    <w:top w:val="single" w:color="auto" w:sz="4" w:space="0"/>
                    <w:left w:val="single" w:color="auto" w:sz="4" w:space="0"/>
                    <w:bottom w:val="single" w:color="auto" w:sz="4" w:space="0"/>
                    <w:right w:val="single" w:color="auto" w:sz="4" w:space="0"/>
                  </w:tcBorders>
                  <w:vAlign w:val="center"/>
                </w:tcPr>
                <w:p w14:paraId="677474F1">
                  <w:pPr>
                    <w:jc w:val="center"/>
                    <w:rPr>
                      <w:color w:val="auto"/>
                      <w:sz w:val="22"/>
                      <w:szCs w:val="22"/>
                      <w:highlight w:val="none"/>
                    </w:rPr>
                  </w:pPr>
                  <w:r>
                    <w:rPr>
                      <w:rFonts w:hint="eastAsia" w:cs="宋体"/>
                      <w:color w:val="auto"/>
                      <w:sz w:val="22"/>
                      <w:szCs w:val="22"/>
                      <w:highlight w:val="none"/>
                    </w:rPr>
                    <w:t>生活垃圾</w:t>
                  </w:r>
                </w:p>
              </w:tc>
              <w:tc>
                <w:tcPr>
                  <w:tcW w:w="2143" w:type="dxa"/>
                  <w:tcBorders>
                    <w:top w:val="single" w:color="auto" w:sz="4" w:space="0"/>
                    <w:left w:val="single" w:color="auto" w:sz="4" w:space="0"/>
                    <w:bottom w:val="single" w:color="auto" w:sz="4" w:space="0"/>
                    <w:right w:val="single" w:color="auto" w:sz="4" w:space="0"/>
                  </w:tcBorders>
                  <w:vAlign w:val="center"/>
                </w:tcPr>
                <w:p w14:paraId="06CB6164">
                  <w:pPr>
                    <w:jc w:val="center"/>
                    <w:rPr>
                      <w:color w:val="auto"/>
                      <w:sz w:val="22"/>
                      <w:szCs w:val="22"/>
                      <w:highlight w:val="none"/>
                    </w:rPr>
                  </w:pPr>
                  <w:r>
                    <w:rPr>
                      <w:rFonts w:hint="eastAsia" w:cs="宋体"/>
                      <w:color w:val="auto"/>
                      <w:sz w:val="22"/>
                      <w:szCs w:val="22"/>
                      <w:highlight w:val="none"/>
                    </w:rPr>
                    <w:t>垃圾桶，由环卫部门定期清运</w:t>
                  </w:r>
                </w:p>
              </w:tc>
              <w:tc>
                <w:tcPr>
                  <w:tcW w:w="2749" w:type="dxa"/>
                  <w:tcBorders>
                    <w:top w:val="single" w:color="auto" w:sz="4" w:space="0"/>
                    <w:left w:val="single" w:color="auto" w:sz="4" w:space="0"/>
                    <w:bottom w:val="single" w:color="auto" w:sz="4" w:space="0"/>
                    <w:right w:val="single" w:color="auto" w:sz="4" w:space="0"/>
                  </w:tcBorders>
                  <w:vAlign w:val="center"/>
                </w:tcPr>
                <w:p w14:paraId="2640A5FF">
                  <w:pPr>
                    <w:jc w:val="center"/>
                    <w:rPr>
                      <w:color w:val="auto"/>
                      <w:sz w:val="22"/>
                      <w:szCs w:val="22"/>
                      <w:highlight w:val="none"/>
                    </w:rPr>
                  </w:pPr>
                  <w:r>
                    <w:rPr>
                      <w:color w:val="auto"/>
                      <w:sz w:val="22"/>
                      <w:szCs w:val="22"/>
                      <w:highlight w:val="none"/>
                    </w:rPr>
                    <w:t>/</w:t>
                  </w:r>
                </w:p>
              </w:tc>
              <w:tc>
                <w:tcPr>
                  <w:tcW w:w="867" w:type="dxa"/>
                  <w:tcBorders>
                    <w:top w:val="single" w:color="auto" w:sz="4" w:space="0"/>
                    <w:left w:val="single" w:color="auto" w:sz="4" w:space="0"/>
                    <w:right w:val="single" w:color="auto" w:sz="4" w:space="0"/>
                  </w:tcBorders>
                  <w:vAlign w:val="center"/>
                </w:tcPr>
                <w:p w14:paraId="4A61540C">
                  <w:pPr>
                    <w:jc w:val="center"/>
                    <w:rPr>
                      <w:color w:val="auto"/>
                      <w:sz w:val="22"/>
                      <w:szCs w:val="22"/>
                      <w:highlight w:val="none"/>
                    </w:rPr>
                  </w:pPr>
                  <w:r>
                    <w:rPr>
                      <w:rFonts w:hint="eastAsia"/>
                      <w:color w:val="auto"/>
                      <w:sz w:val="22"/>
                      <w:szCs w:val="22"/>
                      <w:highlight w:val="none"/>
                    </w:rPr>
                    <w:t>1.5</w:t>
                  </w:r>
                </w:p>
              </w:tc>
            </w:tr>
            <w:tr w14:paraId="6EEE0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721" w:type="dxa"/>
                  <w:vMerge w:val="continue"/>
                  <w:tcBorders>
                    <w:left w:val="single" w:color="auto" w:sz="4" w:space="0"/>
                    <w:right w:val="single" w:color="auto" w:sz="4" w:space="0"/>
                  </w:tcBorders>
                  <w:vAlign w:val="center"/>
                </w:tcPr>
                <w:p w14:paraId="05F91312">
                  <w:pPr>
                    <w:jc w:val="center"/>
                    <w:rPr>
                      <w:rFonts w:hint="eastAsia" w:cs="宋体"/>
                      <w:color w:val="auto"/>
                      <w:sz w:val="22"/>
                      <w:szCs w:val="22"/>
                      <w:highlight w:val="none"/>
                    </w:rPr>
                  </w:pPr>
                </w:p>
              </w:tc>
              <w:tc>
                <w:tcPr>
                  <w:tcW w:w="1638" w:type="dxa"/>
                  <w:tcBorders>
                    <w:top w:val="single" w:color="auto" w:sz="4" w:space="0"/>
                    <w:left w:val="single" w:color="auto" w:sz="4" w:space="0"/>
                    <w:bottom w:val="single" w:color="auto" w:sz="4" w:space="0"/>
                    <w:right w:val="single" w:color="auto" w:sz="4" w:space="0"/>
                  </w:tcBorders>
                  <w:vAlign w:val="center"/>
                </w:tcPr>
                <w:p w14:paraId="253A58D9">
                  <w:pPr>
                    <w:jc w:val="center"/>
                    <w:rPr>
                      <w:rFonts w:hint="eastAsia" w:ascii="Times New Roman" w:hAnsi="Times New Roman" w:eastAsia="宋体" w:cs="Times New Roman"/>
                      <w:color w:val="auto"/>
                      <w:sz w:val="22"/>
                      <w:szCs w:val="22"/>
                      <w:highlight w:val="none"/>
                      <w:lang w:eastAsia="zh-CN"/>
                    </w:rPr>
                  </w:pPr>
                  <w:r>
                    <w:rPr>
                      <w:rFonts w:hint="eastAsia" w:ascii="Times New Roman" w:hAnsi="Times New Roman" w:eastAsia="宋体" w:cs="Times New Roman"/>
                      <w:color w:val="auto"/>
                      <w:sz w:val="22"/>
                      <w:szCs w:val="22"/>
                      <w:highlight w:val="none"/>
                      <w:lang w:eastAsia="zh-CN"/>
                    </w:rPr>
                    <w:t>除尘器收集的粉尘</w:t>
                  </w:r>
                </w:p>
              </w:tc>
              <w:tc>
                <w:tcPr>
                  <w:tcW w:w="2143" w:type="dxa"/>
                  <w:tcBorders>
                    <w:top w:val="single" w:color="auto" w:sz="4" w:space="0"/>
                    <w:left w:val="single" w:color="auto" w:sz="4" w:space="0"/>
                    <w:bottom w:val="single" w:color="auto" w:sz="4" w:space="0"/>
                    <w:right w:val="single" w:color="auto" w:sz="4" w:space="0"/>
                  </w:tcBorders>
                  <w:vAlign w:val="center"/>
                </w:tcPr>
                <w:p w14:paraId="138E3A36">
                  <w:pPr>
                    <w:jc w:val="center"/>
                    <w:rPr>
                      <w:rFonts w:hint="eastAsia" w:eastAsia="宋体" w:cs="宋体"/>
                      <w:color w:val="auto"/>
                      <w:sz w:val="22"/>
                      <w:szCs w:val="22"/>
                      <w:highlight w:val="none"/>
                      <w:lang w:eastAsia="zh-CN"/>
                    </w:rPr>
                  </w:pPr>
                  <w:r>
                    <w:rPr>
                      <w:rFonts w:hint="eastAsia" w:cs="宋体"/>
                      <w:color w:val="auto"/>
                      <w:sz w:val="22"/>
                      <w:szCs w:val="22"/>
                      <w:highlight w:val="none"/>
                      <w:lang w:eastAsia="zh-CN"/>
                    </w:rPr>
                    <w:t>暂存一般固废间内，回用于生产</w:t>
                  </w:r>
                </w:p>
              </w:tc>
              <w:tc>
                <w:tcPr>
                  <w:tcW w:w="2749" w:type="dxa"/>
                  <w:tcBorders>
                    <w:top w:val="single" w:color="auto" w:sz="4" w:space="0"/>
                    <w:left w:val="single" w:color="auto" w:sz="4" w:space="0"/>
                    <w:bottom w:val="single" w:color="auto" w:sz="4" w:space="0"/>
                    <w:right w:val="single" w:color="auto" w:sz="4" w:space="0"/>
                  </w:tcBorders>
                  <w:vAlign w:val="center"/>
                </w:tcPr>
                <w:p w14:paraId="46BC8B8F">
                  <w:pPr>
                    <w:jc w:val="center"/>
                    <w:rPr>
                      <w:color w:val="auto"/>
                      <w:sz w:val="22"/>
                      <w:szCs w:val="22"/>
                      <w:highlight w:val="none"/>
                    </w:rPr>
                  </w:pPr>
                  <w:r>
                    <w:rPr>
                      <w:rFonts w:hint="eastAsia" w:cs="宋体"/>
                      <w:color w:val="auto"/>
                      <w:sz w:val="22"/>
                      <w:szCs w:val="22"/>
                      <w:highlight w:val="none"/>
                    </w:rPr>
                    <w:t>《一般工业固体废物贮存和填埋污染控制标准》</w:t>
                  </w:r>
                  <w:r>
                    <w:rPr>
                      <w:color w:val="auto"/>
                      <w:sz w:val="22"/>
                      <w:szCs w:val="22"/>
                      <w:highlight w:val="none"/>
                    </w:rPr>
                    <w:t>(GB18599-2020)</w:t>
                  </w:r>
                </w:p>
              </w:tc>
              <w:tc>
                <w:tcPr>
                  <w:tcW w:w="867" w:type="dxa"/>
                  <w:tcBorders>
                    <w:top w:val="single" w:color="auto" w:sz="4" w:space="0"/>
                    <w:left w:val="single" w:color="auto" w:sz="4" w:space="0"/>
                    <w:right w:val="single" w:color="auto" w:sz="4" w:space="0"/>
                  </w:tcBorders>
                  <w:vAlign w:val="center"/>
                </w:tcPr>
                <w:p w14:paraId="181A038B">
                  <w:pPr>
                    <w:jc w:val="center"/>
                    <w:rPr>
                      <w:rFonts w:hint="eastAsia"/>
                      <w:color w:val="auto"/>
                      <w:sz w:val="22"/>
                      <w:szCs w:val="22"/>
                      <w:highlight w:val="none"/>
                    </w:rPr>
                  </w:pPr>
                  <w:r>
                    <w:rPr>
                      <w:rFonts w:hint="eastAsia"/>
                      <w:color w:val="auto"/>
                      <w:sz w:val="22"/>
                      <w:szCs w:val="22"/>
                      <w:highlight w:val="none"/>
                      <w:lang w:val="en-US" w:eastAsia="zh-CN"/>
                    </w:rPr>
                    <w:t>5</w:t>
                  </w:r>
                </w:p>
              </w:tc>
            </w:tr>
            <w:tr w14:paraId="230AB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721" w:type="dxa"/>
                  <w:vMerge w:val="continue"/>
                  <w:tcBorders>
                    <w:left w:val="single" w:color="auto" w:sz="4" w:space="0"/>
                    <w:right w:val="single" w:color="auto" w:sz="4" w:space="0"/>
                  </w:tcBorders>
                  <w:vAlign w:val="center"/>
                </w:tcPr>
                <w:p w14:paraId="1B45856C">
                  <w:pPr>
                    <w:jc w:val="center"/>
                    <w:rPr>
                      <w:rFonts w:hint="eastAsia" w:cs="宋体"/>
                      <w:color w:val="auto"/>
                      <w:sz w:val="22"/>
                      <w:szCs w:val="22"/>
                      <w:highlight w:val="none"/>
                    </w:rPr>
                  </w:pPr>
                </w:p>
              </w:tc>
              <w:tc>
                <w:tcPr>
                  <w:tcW w:w="1638" w:type="dxa"/>
                  <w:tcBorders>
                    <w:top w:val="single" w:color="auto" w:sz="4" w:space="0"/>
                    <w:left w:val="single" w:color="auto" w:sz="4" w:space="0"/>
                    <w:bottom w:val="single" w:color="auto" w:sz="4" w:space="0"/>
                    <w:right w:val="single" w:color="auto" w:sz="4" w:space="0"/>
                  </w:tcBorders>
                  <w:vAlign w:val="center"/>
                </w:tcPr>
                <w:p w14:paraId="3BD9CDD1">
                  <w:pPr>
                    <w:jc w:val="center"/>
                    <w:rPr>
                      <w:rFonts w:hint="eastAsia" w:ascii="Times New Roman" w:hAnsi="Times New Roman" w:eastAsia="宋体" w:cs="Times New Roman"/>
                      <w:color w:val="auto"/>
                      <w:sz w:val="22"/>
                      <w:szCs w:val="22"/>
                      <w:highlight w:val="none"/>
                    </w:rPr>
                  </w:pPr>
                  <w:r>
                    <w:rPr>
                      <w:rFonts w:hint="eastAsia" w:ascii="Times New Roman" w:hAnsi="Times New Roman" w:eastAsia="宋体" w:cs="Times New Roman"/>
                      <w:color w:val="auto"/>
                      <w:sz w:val="22"/>
                      <w:szCs w:val="22"/>
                      <w:highlight w:val="none"/>
                    </w:rPr>
                    <w:t>废机油</w:t>
                  </w:r>
                </w:p>
              </w:tc>
              <w:tc>
                <w:tcPr>
                  <w:tcW w:w="2143" w:type="dxa"/>
                  <w:vMerge w:val="restart"/>
                  <w:tcBorders>
                    <w:top w:val="single" w:color="auto" w:sz="4" w:space="0"/>
                    <w:left w:val="single" w:color="auto" w:sz="4" w:space="0"/>
                    <w:right w:val="single" w:color="auto" w:sz="4" w:space="0"/>
                  </w:tcBorders>
                  <w:vAlign w:val="center"/>
                </w:tcPr>
                <w:p w14:paraId="32D5666C">
                  <w:pPr>
                    <w:jc w:val="center"/>
                    <w:rPr>
                      <w:rFonts w:hint="eastAsia" w:cs="宋体"/>
                      <w:color w:val="auto"/>
                      <w:sz w:val="22"/>
                      <w:szCs w:val="22"/>
                      <w:highlight w:val="none"/>
                    </w:rPr>
                  </w:pPr>
                  <w:r>
                    <w:rPr>
                      <w:rFonts w:hint="eastAsia" w:cs="宋体"/>
                      <w:color w:val="auto"/>
                      <w:sz w:val="22"/>
                      <w:szCs w:val="22"/>
                      <w:highlight w:val="none"/>
                    </w:rPr>
                    <w:t>集中收集后暂存于车间内</w:t>
                  </w:r>
                  <w:r>
                    <w:rPr>
                      <w:rFonts w:hint="eastAsia" w:cs="宋体"/>
                      <w:color w:val="auto"/>
                      <w:sz w:val="22"/>
                      <w:szCs w:val="22"/>
                      <w:highlight w:val="none"/>
                      <w:lang w:eastAsia="zh-CN"/>
                    </w:rPr>
                    <w:t>危险废物暂存间</w:t>
                  </w:r>
                  <w:r>
                    <w:rPr>
                      <w:rFonts w:hint="eastAsia" w:cs="宋体"/>
                      <w:color w:val="auto"/>
                      <w:sz w:val="22"/>
                      <w:szCs w:val="22"/>
                      <w:highlight w:val="none"/>
                    </w:rPr>
                    <w:t>内，委托具有危险废物处理资质单位处置</w:t>
                  </w:r>
                </w:p>
              </w:tc>
              <w:tc>
                <w:tcPr>
                  <w:tcW w:w="2749" w:type="dxa"/>
                  <w:vMerge w:val="restart"/>
                  <w:tcBorders>
                    <w:top w:val="single" w:color="auto" w:sz="4" w:space="0"/>
                    <w:left w:val="single" w:color="auto" w:sz="4" w:space="0"/>
                    <w:right w:val="single" w:color="auto" w:sz="4" w:space="0"/>
                  </w:tcBorders>
                  <w:vAlign w:val="center"/>
                </w:tcPr>
                <w:p w14:paraId="02FB5727">
                  <w:pPr>
                    <w:jc w:val="center"/>
                    <w:rPr>
                      <w:color w:val="auto"/>
                      <w:sz w:val="22"/>
                      <w:szCs w:val="22"/>
                      <w:highlight w:val="none"/>
                    </w:rPr>
                  </w:pPr>
                  <w:r>
                    <w:rPr>
                      <w:rFonts w:hint="default" w:ascii="Times New Roman" w:hAnsi="Times New Roman" w:eastAsia="宋体" w:cs="宋体"/>
                      <w:color w:val="auto"/>
                      <w:sz w:val="22"/>
                      <w:szCs w:val="22"/>
                      <w:highlight w:val="none"/>
                      <w:lang w:val="en-US" w:eastAsia="zh-CN"/>
                    </w:rPr>
                    <w:t>《危险废物贮存污染控制标准》（</w:t>
                  </w:r>
                  <w:r>
                    <w:rPr>
                      <w:rFonts w:hint="eastAsia" w:ascii="Times New Roman" w:hAnsi="Times New Roman" w:eastAsia="宋体" w:cs="宋体"/>
                      <w:color w:val="auto"/>
                      <w:sz w:val="22"/>
                      <w:szCs w:val="22"/>
                      <w:highlight w:val="none"/>
                      <w:lang w:val="en-US" w:eastAsia="zh-CN"/>
                    </w:rPr>
                    <w:t>GB 18597—</w:t>
                  </w:r>
                  <w:r>
                    <w:rPr>
                      <w:rFonts w:hint="default" w:ascii="Times New Roman" w:hAnsi="Times New Roman" w:eastAsia="宋体" w:cs="宋体"/>
                      <w:color w:val="auto"/>
                      <w:sz w:val="22"/>
                      <w:szCs w:val="22"/>
                      <w:highlight w:val="none"/>
                      <w:lang w:val="en-US" w:eastAsia="zh-CN"/>
                    </w:rPr>
                    <w:t>2023）</w:t>
                  </w:r>
                  <w:r>
                    <w:rPr>
                      <w:rFonts w:hint="eastAsia" w:ascii="Times New Roman" w:hAnsi="Times New Roman" w:eastAsia="宋体" w:cs="宋体"/>
                      <w:color w:val="auto"/>
                      <w:sz w:val="22"/>
                      <w:szCs w:val="22"/>
                      <w:highlight w:val="none"/>
                      <w:lang w:val="en-US" w:eastAsia="zh-CN"/>
                    </w:rPr>
                    <w:t>标准要求</w:t>
                  </w:r>
                </w:p>
              </w:tc>
              <w:tc>
                <w:tcPr>
                  <w:tcW w:w="867" w:type="dxa"/>
                  <w:vMerge w:val="restart"/>
                  <w:tcBorders>
                    <w:top w:val="single" w:color="auto" w:sz="4" w:space="0"/>
                    <w:left w:val="single" w:color="auto" w:sz="4" w:space="0"/>
                    <w:right w:val="single" w:color="auto" w:sz="4" w:space="0"/>
                  </w:tcBorders>
                  <w:vAlign w:val="center"/>
                </w:tcPr>
                <w:p w14:paraId="44EABBFB">
                  <w:pPr>
                    <w:jc w:val="center"/>
                    <w:rPr>
                      <w:rFonts w:hint="default"/>
                      <w:color w:val="auto"/>
                      <w:sz w:val="22"/>
                      <w:szCs w:val="22"/>
                      <w:highlight w:val="none"/>
                      <w:lang w:val="en-US"/>
                    </w:rPr>
                  </w:pPr>
                  <w:r>
                    <w:rPr>
                      <w:rFonts w:hint="eastAsia"/>
                      <w:color w:val="auto"/>
                      <w:sz w:val="22"/>
                      <w:szCs w:val="22"/>
                      <w:highlight w:val="none"/>
                      <w:lang w:val="en-US" w:eastAsia="zh-CN"/>
                    </w:rPr>
                    <w:t>15</w:t>
                  </w:r>
                </w:p>
              </w:tc>
            </w:tr>
            <w:tr w14:paraId="734D5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721" w:type="dxa"/>
                  <w:vMerge w:val="continue"/>
                  <w:tcBorders>
                    <w:left w:val="single" w:color="auto" w:sz="4" w:space="0"/>
                    <w:right w:val="single" w:color="auto" w:sz="4" w:space="0"/>
                  </w:tcBorders>
                  <w:vAlign w:val="center"/>
                </w:tcPr>
                <w:p w14:paraId="61015C8A">
                  <w:pPr>
                    <w:jc w:val="center"/>
                    <w:rPr>
                      <w:rFonts w:hint="eastAsia" w:cs="宋体"/>
                      <w:color w:val="auto"/>
                      <w:sz w:val="22"/>
                      <w:szCs w:val="22"/>
                      <w:highlight w:val="none"/>
                    </w:rPr>
                  </w:pPr>
                </w:p>
              </w:tc>
              <w:tc>
                <w:tcPr>
                  <w:tcW w:w="1638" w:type="dxa"/>
                  <w:tcBorders>
                    <w:top w:val="single" w:color="auto" w:sz="4" w:space="0"/>
                    <w:left w:val="single" w:color="auto" w:sz="4" w:space="0"/>
                    <w:bottom w:val="single" w:color="auto" w:sz="4" w:space="0"/>
                    <w:right w:val="single" w:color="auto" w:sz="4" w:space="0"/>
                  </w:tcBorders>
                  <w:vAlign w:val="center"/>
                </w:tcPr>
                <w:p w14:paraId="19526978">
                  <w:pPr>
                    <w:jc w:val="center"/>
                    <w:rPr>
                      <w:rFonts w:hint="eastAsia" w:ascii="Times New Roman" w:hAnsi="Times New Roman" w:eastAsia="宋体" w:cs="Times New Roman"/>
                      <w:color w:val="auto"/>
                      <w:sz w:val="22"/>
                      <w:szCs w:val="22"/>
                      <w:highlight w:val="none"/>
                      <w:lang w:eastAsia="zh-CN"/>
                    </w:rPr>
                  </w:pPr>
                  <w:r>
                    <w:rPr>
                      <w:rFonts w:hint="eastAsia" w:cs="Times New Roman"/>
                      <w:color w:val="auto"/>
                      <w:sz w:val="22"/>
                      <w:szCs w:val="22"/>
                      <w:highlight w:val="none"/>
                      <w:lang w:eastAsia="zh-CN"/>
                    </w:rPr>
                    <w:t>废液压油</w:t>
                  </w:r>
                </w:p>
              </w:tc>
              <w:tc>
                <w:tcPr>
                  <w:tcW w:w="2143" w:type="dxa"/>
                  <w:vMerge w:val="continue"/>
                  <w:tcBorders>
                    <w:left w:val="single" w:color="auto" w:sz="4" w:space="0"/>
                    <w:right w:val="single" w:color="auto" w:sz="4" w:space="0"/>
                  </w:tcBorders>
                  <w:vAlign w:val="center"/>
                </w:tcPr>
                <w:p w14:paraId="4495C7F7">
                  <w:pPr>
                    <w:jc w:val="center"/>
                    <w:rPr>
                      <w:rFonts w:hint="eastAsia" w:cs="宋体"/>
                      <w:color w:val="auto"/>
                      <w:sz w:val="22"/>
                      <w:szCs w:val="22"/>
                      <w:highlight w:val="none"/>
                    </w:rPr>
                  </w:pPr>
                </w:p>
              </w:tc>
              <w:tc>
                <w:tcPr>
                  <w:tcW w:w="2749" w:type="dxa"/>
                  <w:vMerge w:val="continue"/>
                  <w:tcBorders>
                    <w:left w:val="single" w:color="auto" w:sz="4" w:space="0"/>
                    <w:right w:val="single" w:color="auto" w:sz="4" w:space="0"/>
                  </w:tcBorders>
                  <w:vAlign w:val="center"/>
                </w:tcPr>
                <w:p w14:paraId="625E5910">
                  <w:pPr>
                    <w:jc w:val="center"/>
                    <w:rPr>
                      <w:rFonts w:hint="default" w:ascii="Times New Roman" w:hAnsi="Times New Roman" w:eastAsia="宋体" w:cs="宋体"/>
                      <w:color w:val="auto"/>
                      <w:sz w:val="22"/>
                      <w:szCs w:val="22"/>
                      <w:highlight w:val="none"/>
                      <w:lang w:val="en-US" w:eastAsia="zh-CN"/>
                    </w:rPr>
                  </w:pPr>
                </w:p>
              </w:tc>
              <w:tc>
                <w:tcPr>
                  <w:tcW w:w="867" w:type="dxa"/>
                  <w:vMerge w:val="continue"/>
                  <w:tcBorders>
                    <w:left w:val="single" w:color="auto" w:sz="4" w:space="0"/>
                    <w:right w:val="single" w:color="auto" w:sz="4" w:space="0"/>
                  </w:tcBorders>
                  <w:vAlign w:val="center"/>
                </w:tcPr>
                <w:p w14:paraId="4E003215">
                  <w:pPr>
                    <w:jc w:val="center"/>
                    <w:rPr>
                      <w:rFonts w:hint="eastAsia"/>
                      <w:color w:val="auto"/>
                      <w:sz w:val="22"/>
                      <w:szCs w:val="22"/>
                      <w:highlight w:val="none"/>
                      <w:lang w:val="en-US" w:eastAsia="zh-CN"/>
                    </w:rPr>
                  </w:pPr>
                </w:p>
              </w:tc>
            </w:tr>
            <w:tr w14:paraId="73A60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721" w:type="dxa"/>
                  <w:vMerge w:val="continue"/>
                  <w:tcBorders>
                    <w:left w:val="single" w:color="auto" w:sz="4" w:space="0"/>
                    <w:right w:val="single" w:color="auto" w:sz="4" w:space="0"/>
                  </w:tcBorders>
                  <w:vAlign w:val="center"/>
                </w:tcPr>
                <w:p w14:paraId="1CEC7D54">
                  <w:pPr>
                    <w:jc w:val="center"/>
                    <w:rPr>
                      <w:color w:val="auto"/>
                      <w:highlight w:val="none"/>
                    </w:rPr>
                  </w:pPr>
                </w:p>
              </w:tc>
              <w:tc>
                <w:tcPr>
                  <w:tcW w:w="1638" w:type="dxa"/>
                  <w:tcBorders>
                    <w:top w:val="single" w:color="auto" w:sz="4" w:space="0"/>
                    <w:left w:val="single" w:color="auto" w:sz="4" w:space="0"/>
                    <w:bottom w:val="single" w:color="auto" w:sz="4" w:space="0"/>
                    <w:right w:val="single" w:color="auto" w:sz="4" w:space="0"/>
                  </w:tcBorders>
                  <w:vAlign w:val="center"/>
                </w:tcPr>
                <w:p w14:paraId="2BB887FC">
                  <w:pPr>
                    <w:jc w:val="center"/>
                    <w:rPr>
                      <w:rFonts w:hint="eastAsia" w:ascii="Times New Roman" w:hAnsi="Times New Roman" w:eastAsia="宋体" w:cs="Times New Roman"/>
                      <w:color w:val="auto"/>
                      <w:sz w:val="22"/>
                      <w:szCs w:val="22"/>
                      <w:highlight w:val="none"/>
                    </w:rPr>
                  </w:pPr>
                  <w:r>
                    <w:rPr>
                      <w:rFonts w:hint="eastAsia" w:ascii="Times New Roman" w:hAnsi="Times New Roman" w:eastAsia="宋体" w:cs="Times New Roman"/>
                      <w:color w:val="auto"/>
                      <w:sz w:val="22"/>
                      <w:szCs w:val="22"/>
                      <w:highlight w:val="none"/>
                    </w:rPr>
                    <w:t>废油桶</w:t>
                  </w:r>
                </w:p>
              </w:tc>
              <w:tc>
                <w:tcPr>
                  <w:tcW w:w="2143" w:type="dxa"/>
                  <w:vMerge w:val="continue"/>
                  <w:tcBorders>
                    <w:left w:val="single" w:color="auto" w:sz="4" w:space="0"/>
                    <w:right w:val="single" w:color="auto" w:sz="4" w:space="0"/>
                  </w:tcBorders>
                  <w:vAlign w:val="center"/>
                </w:tcPr>
                <w:p w14:paraId="3DB28AD5">
                  <w:pPr>
                    <w:jc w:val="center"/>
                    <w:rPr>
                      <w:rFonts w:hint="eastAsia" w:cs="宋体"/>
                      <w:color w:val="auto"/>
                      <w:sz w:val="22"/>
                      <w:szCs w:val="22"/>
                      <w:highlight w:val="none"/>
                    </w:rPr>
                  </w:pPr>
                </w:p>
              </w:tc>
              <w:tc>
                <w:tcPr>
                  <w:tcW w:w="2749" w:type="dxa"/>
                  <w:vMerge w:val="continue"/>
                  <w:tcBorders>
                    <w:left w:val="single" w:color="auto" w:sz="4" w:space="0"/>
                    <w:right w:val="single" w:color="auto" w:sz="4" w:space="0"/>
                  </w:tcBorders>
                  <w:vAlign w:val="center"/>
                </w:tcPr>
                <w:p w14:paraId="179D7514">
                  <w:pPr>
                    <w:jc w:val="center"/>
                    <w:rPr>
                      <w:rFonts w:hint="eastAsia" w:cs="宋体"/>
                      <w:color w:val="auto"/>
                      <w:sz w:val="22"/>
                      <w:szCs w:val="22"/>
                      <w:highlight w:val="none"/>
                    </w:rPr>
                  </w:pPr>
                </w:p>
              </w:tc>
              <w:tc>
                <w:tcPr>
                  <w:tcW w:w="867" w:type="dxa"/>
                  <w:vMerge w:val="continue"/>
                  <w:tcBorders>
                    <w:left w:val="single" w:color="auto" w:sz="4" w:space="0"/>
                    <w:right w:val="single" w:color="auto" w:sz="4" w:space="0"/>
                  </w:tcBorders>
                  <w:vAlign w:val="center"/>
                </w:tcPr>
                <w:p w14:paraId="748A1786">
                  <w:pPr>
                    <w:jc w:val="center"/>
                    <w:rPr>
                      <w:rFonts w:hint="eastAsia" w:cs="宋体"/>
                      <w:color w:val="auto"/>
                      <w:sz w:val="22"/>
                      <w:szCs w:val="22"/>
                      <w:highlight w:val="none"/>
                    </w:rPr>
                  </w:pPr>
                </w:p>
              </w:tc>
            </w:tr>
            <w:tr w14:paraId="35A65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721" w:type="dxa"/>
                  <w:vMerge w:val="continue"/>
                  <w:tcBorders>
                    <w:left w:val="single" w:color="auto" w:sz="4" w:space="0"/>
                    <w:right w:val="single" w:color="auto" w:sz="4" w:space="0"/>
                  </w:tcBorders>
                  <w:vAlign w:val="center"/>
                </w:tcPr>
                <w:p w14:paraId="5C0E5EC4">
                  <w:pPr>
                    <w:jc w:val="center"/>
                    <w:rPr>
                      <w:rFonts w:hint="eastAsia" w:cs="宋体"/>
                      <w:color w:val="auto"/>
                      <w:sz w:val="22"/>
                      <w:szCs w:val="22"/>
                      <w:highlight w:val="none"/>
                    </w:rPr>
                  </w:pPr>
                </w:p>
              </w:tc>
              <w:tc>
                <w:tcPr>
                  <w:tcW w:w="1638" w:type="dxa"/>
                  <w:tcBorders>
                    <w:top w:val="single" w:color="auto" w:sz="4" w:space="0"/>
                    <w:left w:val="single" w:color="auto" w:sz="4" w:space="0"/>
                    <w:bottom w:val="single" w:color="auto" w:sz="4" w:space="0"/>
                    <w:right w:val="single" w:color="auto" w:sz="4" w:space="0"/>
                  </w:tcBorders>
                  <w:vAlign w:val="center"/>
                </w:tcPr>
                <w:p w14:paraId="3B6DB087">
                  <w:pPr>
                    <w:jc w:val="center"/>
                    <w:rPr>
                      <w:rFonts w:hint="eastAsia" w:ascii="Times New Roman" w:hAnsi="Times New Roman" w:eastAsia="宋体" w:cs="Times New Roman"/>
                      <w:color w:val="auto"/>
                      <w:sz w:val="22"/>
                      <w:szCs w:val="22"/>
                      <w:highlight w:val="none"/>
                    </w:rPr>
                  </w:pPr>
                  <w:r>
                    <w:rPr>
                      <w:rFonts w:hint="eastAsia" w:ascii="Times New Roman" w:hAnsi="Times New Roman" w:eastAsia="宋体" w:cs="Times New Roman"/>
                      <w:color w:val="auto"/>
                      <w:sz w:val="22"/>
                      <w:szCs w:val="22"/>
                      <w:highlight w:val="none"/>
                    </w:rPr>
                    <w:t>废含油抹布、劳保用品</w:t>
                  </w:r>
                </w:p>
              </w:tc>
              <w:tc>
                <w:tcPr>
                  <w:tcW w:w="2143" w:type="dxa"/>
                  <w:vMerge w:val="continue"/>
                  <w:tcBorders>
                    <w:left w:val="single" w:color="auto" w:sz="4" w:space="0"/>
                    <w:bottom w:val="single" w:color="auto" w:sz="4" w:space="0"/>
                    <w:right w:val="single" w:color="auto" w:sz="4" w:space="0"/>
                  </w:tcBorders>
                  <w:vAlign w:val="center"/>
                </w:tcPr>
                <w:p w14:paraId="235F1C02">
                  <w:pPr>
                    <w:jc w:val="center"/>
                    <w:rPr>
                      <w:rFonts w:hint="eastAsia" w:cs="宋体"/>
                      <w:color w:val="auto"/>
                      <w:sz w:val="22"/>
                      <w:szCs w:val="22"/>
                      <w:highlight w:val="none"/>
                    </w:rPr>
                  </w:pPr>
                </w:p>
              </w:tc>
              <w:tc>
                <w:tcPr>
                  <w:tcW w:w="2749" w:type="dxa"/>
                  <w:vMerge w:val="continue"/>
                  <w:tcBorders>
                    <w:left w:val="single" w:color="auto" w:sz="4" w:space="0"/>
                    <w:bottom w:val="single" w:color="auto" w:sz="4" w:space="0"/>
                    <w:right w:val="single" w:color="auto" w:sz="4" w:space="0"/>
                  </w:tcBorders>
                  <w:vAlign w:val="center"/>
                </w:tcPr>
                <w:p w14:paraId="1356AEC7">
                  <w:pPr>
                    <w:jc w:val="center"/>
                    <w:rPr>
                      <w:rFonts w:hint="eastAsia" w:cs="宋体"/>
                      <w:color w:val="auto"/>
                      <w:sz w:val="22"/>
                      <w:szCs w:val="22"/>
                      <w:highlight w:val="none"/>
                    </w:rPr>
                  </w:pPr>
                </w:p>
              </w:tc>
              <w:tc>
                <w:tcPr>
                  <w:tcW w:w="867" w:type="dxa"/>
                  <w:vMerge w:val="continue"/>
                  <w:tcBorders>
                    <w:left w:val="single" w:color="auto" w:sz="4" w:space="0"/>
                    <w:right w:val="single" w:color="auto" w:sz="4" w:space="0"/>
                  </w:tcBorders>
                  <w:vAlign w:val="center"/>
                </w:tcPr>
                <w:p w14:paraId="3F2CFFA6">
                  <w:pPr>
                    <w:jc w:val="center"/>
                    <w:rPr>
                      <w:rFonts w:hint="eastAsia" w:cs="宋体"/>
                      <w:color w:val="auto"/>
                      <w:sz w:val="22"/>
                      <w:szCs w:val="22"/>
                      <w:highlight w:val="none"/>
                    </w:rPr>
                  </w:pPr>
                </w:p>
              </w:tc>
            </w:tr>
            <w:tr w14:paraId="56461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5" w:hRule="atLeast"/>
                <w:jc w:val="center"/>
              </w:trPr>
              <w:tc>
                <w:tcPr>
                  <w:tcW w:w="2359" w:type="dxa"/>
                  <w:gridSpan w:val="2"/>
                  <w:vMerge w:val="restart"/>
                  <w:tcBorders>
                    <w:top w:val="single" w:color="auto" w:sz="4" w:space="0"/>
                    <w:left w:val="single" w:color="auto" w:sz="4" w:space="0"/>
                    <w:right w:val="single" w:color="auto" w:sz="4" w:space="0"/>
                  </w:tcBorders>
                  <w:vAlign w:val="center"/>
                </w:tcPr>
                <w:p w14:paraId="6F29516E">
                  <w:pPr>
                    <w:jc w:val="center"/>
                    <w:rPr>
                      <w:color w:val="auto"/>
                      <w:sz w:val="22"/>
                      <w:szCs w:val="22"/>
                      <w:highlight w:val="none"/>
                    </w:rPr>
                  </w:pPr>
                  <w:r>
                    <w:rPr>
                      <w:rFonts w:hint="eastAsia" w:cs="宋体"/>
                      <w:color w:val="auto"/>
                      <w:sz w:val="22"/>
                      <w:szCs w:val="22"/>
                      <w:highlight w:val="none"/>
                    </w:rPr>
                    <w:t>地下水</w:t>
                  </w:r>
                </w:p>
              </w:tc>
              <w:tc>
                <w:tcPr>
                  <w:tcW w:w="4892" w:type="dxa"/>
                  <w:gridSpan w:val="2"/>
                  <w:tcBorders>
                    <w:top w:val="single" w:color="auto" w:sz="4" w:space="0"/>
                    <w:left w:val="single" w:color="auto" w:sz="4" w:space="0"/>
                    <w:bottom w:val="single" w:color="auto" w:sz="4" w:space="0"/>
                    <w:right w:val="single" w:color="auto" w:sz="4" w:space="0"/>
                  </w:tcBorders>
                  <w:vAlign w:val="center"/>
                </w:tcPr>
                <w:p w14:paraId="77741EAF">
                  <w:pPr>
                    <w:jc w:val="center"/>
                    <w:rPr>
                      <w:color w:val="auto"/>
                      <w:sz w:val="22"/>
                      <w:szCs w:val="22"/>
                      <w:highlight w:val="none"/>
                    </w:rPr>
                  </w:pPr>
                  <w:r>
                    <w:rPr>
                      <w:rFonts w:hint="eastAsia" w:cs="宋体"/>
                      <w:color w:val="auto"/>
                      <w:sz w:val="22"/>
                      <w:szCs w:val="22"/>
                      <w:highlight w:val="none"/>
                    </w:rPr>
                    <w:t>分区防控措施：办公区及其他区域设置为简单防渗区；物料库及生产车间内除去重点防渗外其他区域设置为一般防渗区；危险废物暂存间设置为重点防渗区。</w:t>
                  </w:r>
                </w:p>
              </w:tc>
              <w:tc>
                <w:tcPr>
                  <w:tcW w:w="867" w:type="dxa"/>
                  <w:vMerge w:val="restart"/>
                  <w:tcBorders>
                    <w:top w:val="single" w:color="auto" w:sz="4" w:space="0"/>
                    <w:left w:val="single" w:color="auto" w:sz="4" w:space="0"/>
                    <w:right w:val="single" w:color="auto" w:sz="4" w:space="0"/>
                  </w:tcBorders>
                  <w:vAlign w:val="center"/>
                </w:tcPr>
                <w:p w14:paraId="4D178445">
                  <w:pPr>
                    <w:jc w:val="center"/>
                    <w:rPr>
                      <w:color w:val="auto"/>
                      <w:sz w:val="22"/>
                      <w:szCs w:val="22"/>
                      <w:highlight w:val="none"/>
                    </w:rPr>
                  </w:pPr>
                  <w:r>
                    <w:rPr>
                      <w:rFonts w:hint="eastAsia"/>
                      <w:color w:val="auto"/>
                      <w:sz w:val="22"/>
                      <w:szCs w:val="22"/>
                      <w:highlight w:val="none"/>
                      <w:lang w:val="en-US" w:eastAsia="zh-CN"/>
                    </w:rPr>
                    <w:t>3</w:t>
                  </w:r>
                  <w:r>
                    <w:rPr>
                      <w:rFonts w:hint="eastAsia"/>
                      <w:color w:val="auto"/>
                      <w:sz w:val="22"/>
                      <w:szCs w:val="22"/>
                      <w:highlight w:val="none"/>
                    </w:rPr>
                    <w:t>0</w:t>
                  </w:r>
                </w:p>
              </w:tc>
            </w:tr>
            <w:tr w14:paraId="1BB1A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9" w:hRule="atLeast"/>
                <w:jc w:val="center"/>
              </w:trPr>
              <w:tc>
                <w:tcPr>
                  <w:tcW w:w="2359" w:type="dxa"/>
                  <w:gridSpan w:val="2"/>
                  <w:vMerge w:val="continue"/>
                  <w:tcBorders>
                    <w:left w:val="single" w:color="auto" w:sz="4" w:space="0"/>
                    <w:bottom w:val="single" w:color="auto" w:sz="4" w:space="0"/>
                    <w:right w:val="single" w:color="auto" w:sz="4" w:space="0"/>
                  </w:tcBorders>
                  <w:vAlign w:val="center"/>
                </w:tcPr>
                <w:p w14:paraId="0FACC039">
                  <w:pPr>
                    <w:jc w:val="center"/>
                    <w:rPr>
                      <w:color w:val="auto"/>
                      <w:highlight w:val="none"/>
                    </w:rPr>
                  </w:pPr>
                </w:p>
              </w:tc>
              <w:tc>
                <w:tcPr>
                  <w:tcW w:w="4892" w:type="dxa"/>
                  <w:gridSpan w:val="2"/>
                  <w:tcBorders>
                    <w:top w:val="single" w:color="auto" w:sz="4" w:space="0"/>
                    <w:left w:val="single" w:color="auto" w:sz="4" w:space="0"/>
                    <w:bottom w:val="single" w:color="auto" w:sz="4" w:space="0"/>
                    <w:right w:val="single" w:color="auto" w:sz="4" w:space="0"/>
                  </w:tcBorders>
                  <w:vAlign w:val="center"/>
                </w:tcPr>
                <w:p w14:paraId="6EF0BD24">
                  <w:pPr>
                    <w:jc w:val="center"/>
                    <w:rPr>
                      <w:rFonts w:hint="eastAsia" w:cs="宋体"/>
                      <w:color w:val="auto"/>
                      <w:sz w:val="22"/>
                      <w:szCs w:val="22"/>
                      <w:highlight w:val="none"/>
                    </w:rPr>
                  </w:pPr>
                  <w:r>
                    <w:rPr>
                      <w:rFonts w:hint="eastAsia" w:cs="宋体"/>
                      <w:color w:val="auto"/>
                      <w:sz w:val="22"/>
                      <w:szCs w:val="22"/>
                      <w:highlight w:val="none"/>
                    </w:rPr>
                    <w:t>简单防渗区采取地面硬化；一般防渗区采用双层复合防渗结构，基础防渗层为至少1.5米厚粘土层（渗透系数≤10</w:t>
                  </w:r>
                  <w:r>
                    <w:rPr>
                      <w:rFonts w:hint="eastAsia" w:cs="宋体"/>
                      <w:color w:val="auto"/>
                      <w:sz w:val="22"/>
                      <w:szCs w:val="22"/>
                      <w:highlight w:val="none"/>
                      <w:vertAlign w:val="superscript"/>
                    </w:rPr>
                    <w:t>-7</w:t>
                  </w:r>
                  <w:r>
                    <w:rPr>
                      <w:rFonts w:hint="eastAsia" w:cs="宋体"/>
                      <w:color w:val="auto"/>
                      <w:sz w:val="22"/>
                      <w:szCs w:val="22"/>
                      <w:highlight w:val="none"/>
                    </w:rPr>
                    <w:t>cm/s）；</w:t>
                  </w:r>
                  <w:r>
                    <w:rPr>
                      <w:rFonts w:hint="eastAsia" w:ascii="Times New Roman" w:hAnsi="Times New Roman" w:eastAsia="宋体" w:cs="Times New Roman"/>
                      <w:color w:val="auto"/>
                      <w:sz w:val="22"/>
                      <w:szCs w:val="22"/>
                      <w:highlight w:val="none"/>
                      <w:lang w:val="en-US" w:eastAsia="zh-CN"/>
                    </w:rPr>
                    <w:t>重点防渗区</w:t>
                  </w:r>
                  <w:r>
                    <w:rPr>
                      <w:rFonts w:hint="eastAsia" w:cs="Times New Roman"/>
                      <w:color w:val="auto"/>
                      <w:sz w:val="22"/>
                      <w:szCs w:val="22"/>
                      <w:highlight w:val="none"/>
                      <w:lang w:val="en-US" w:eastAsia="zh-CN"/>
                    </w:rPr>
                    <w:t>参照《危险废物贮存污染控制标准》（GB18597-2023）中相关要求执行（Mb</w:t>
                  </w:r>
                  <w:r>
                    <w:rPr>
                      <w:rFonts w:hint="default" w:cs="Times New Roman"/>
                      <w:color w:val="auto"/>
                      <w:sz w:val="22"/>
                      <w:szCs w:val="22"/>
                      <w:highlight w:val="none"/>
                      <w:lang w:val="en-US" w:eastAsia="zh-CN"/>
                    </w:rPr>
                    <w:t>≥</w:t>
                  </w:r>
                  <w:r>
                    <w:rPr>
                      <w:rFonts w:hint="eastAsia" w:cs="Times New Roman"/>
                      <w:color w:val="auto"/>
                      <w:sz w:val="22"/>
                      <w:szCs w:val="22"/>
                      <w:highlight w:val="none"/>
                      <w:lang w:val="en-US" w:eastAsia="zh-CN"/>
                    </w:rPr>
                    <w:t>1.0m，K&lt;1</w:t>
                  </w:r>
                  <w:r>
                    <w:rPr>
                      <w:rFonts w:hint="default" w:cs="Times New Roman"/>
                      <w:color w:val="auto"/>
                      <w:sz w:val="22"/>
                      <w:szCs w:val="22"/>
                      <w:highlight w:val="none"/>
                      <w:lang w:val="en-US" w:eastAsia="zh-CN"/>
                    </w:rPr>
                    <w:t>×</w:t>
                  </w:r>
                  <w:r>
                    <w:rPr>
                      <w:rFonts w:hint="eastAsia" w:cs="Times New Roman"/>
                      <w:color w:val="auto"/>
                      <w:sz w:val="22"/>
                      <w:szCs w:val="22"/>
                      <w:highlight w:val="none"/>
                      <w:lang w:val="en-US" w:eastAsia="zh-CN"/>
                    </w:rPr>
                    <w:t>10</w:t>
                  </w:r>
                  <w:r>
                    <w:rPr>
                      <w:rFonts w:hint="eastAsia" w:cs="Times New Roman"/>
                      <w:color w:val="auto"/>
                      <w:sz w:val="22"/>
                      <w:szCs w:val="22"/>
                      <w:highlight w:val="none"/>
                      <w:vertAlign w:val="superscript"/>
                      <w:lang w:val="en-US" w:eastAsia="zh-CN"/>
                    </w:rPr>
                    <w:t>-7</w:t>
                  </w:r>
                  <w:r>
                    <w:rPr>
                      <w:rFonts w:hint="eastAsia" w:cs="Times New Roman"/>
                      <w:color w:val="auto"/>
                      <w:sz w:val="22"/>
                      <w:szCs w:val="22"/>
                      <w:highlight w:val="none"/>
                      <w:lang w:val="en-US" w:eastAsia="zh-CN"/>
                    </w:rPr>
                    <w:t>cm/s）。</w:t>
                  </w:r>
                </w:p>
              </w:tc>
              <w:tc>
                <w:tcPr>
                  <w:tcW w:w="867" w:type="dxa"/>
                  <w:vMerge w:val="continue"/>
                  <w:tcBorders>
                    <w:left w:val="single" w:color="auto" w:sz="4" w:space="0"/>
                    <w:bottom w:val="single" w:color="auto" w:sz="4" w:space="0"/>
                    <w:right w:val="single" w:color="auto" w:sz="4" w:space="0"/>
                  </w:tcBorders>
                  <w:vAlign w:val="center"/>
                </w:tcPr>
                <w:p w14:paraId="6F1DB29D">
                  <w:pPr>
                    <w:jc w:val="center"/>
                    <w:rPr>
                      <w:rFonts w:hint="eastAsia" w:cs="宋体"/>
                      <w:color w:val="auto"/>
                      <w:sz w:val="22"/>
                      <w:szCs w:val="22"/>
                      <w:highlight w:val="none"/>
                    </w:rPr>
                  </w:pPr>
                </w:p>
              </w:tc>
            </w:tr>
            <w:tr w14:paraId="5786D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3" w:hRule="atLeast"/>
                <w:jc w:val="center"/>
              </w:trPr>
              <w:tc>
                <w:tcPr>
                  <w:tcW w:w="2359" w:type="dxa"/>
                  <w:gridSpan w:val="2"/>
                  <w:tcBorders>
                    <w:top w:val="single" w:color="auto" w:sz="4" w:space="0"/>
                    <w:left w:val="single" w:color="auto" w:sz="4" w:space="0"/>
                    <w:bottom w:val="single" w:color="auto" w:sz="4" w:space="0"/>
                    <w:right w:val="single" w:color="auto" w:sz="4" w:space="0"/>
                  </w:tcBorders>
                  <w:vAlign w:val="center"/>
                </w:tcPr>
                <w:p w14:paraId="341B0F22">
                  <w:pPr>
                    <w:jc w:val="center"/>
                    <w:rPr>
                      <w:color w:val="auto"/>
                      <w:sz w:val="22"/>
                      <w:szCs w:val="22"/>
                      <w:highlight w:val="none"/>
                    </w:rPr>
                  </w:pPr>
                  <w:r>
                    <w:rPr>
                      <w:rFonts w:hint="eastAsia" w:cs="宋体"/>
                      <w:color w:val="auto"/>
                      <w:sz w:val="22"/>
                      <w:szCs w:val="22"/>
                      <w:highlight w:val="none"/>
                    </w:rPr>
                    <w:t>环境风险防范措施</w:t>
                  </w:r>
                </w:p>
              </w:tc>
              <w:tc>
                <w:tcPr>
                  <w:tcW w:w="4892" w:type="dxa"/>
                  <w:gridSpan w:val="2"/>
                  <w:tcBorders>
                    <w:top w:val="single" w:color="auto" w:sz="4" w:space="0"/>
                    <w:left w:val="single" w:color="auto" w:sz="4" w:space="0"/>
                    <w:bottom w:val="single" w:color="auto" w:sz="4" w:space="0"/>
                    <w:right w:val="single" w:color="auto" w:sz="4" w:space="0"/>
                  </w:tcBorders>
                  <w:vAlign w:val="center"/>
                </w:tcPr>
                <w:p w14:paraId="69683CF7">
                  <w:pPr>
                    <w:jc w:val="center"/>
                    <w:rPr>
                      <w:color w:val="auto"/>
                      <w:sz w:val="22"/>
                      <w:szCs w:val="22"/>
                      <w:highlight w:val="none"/>
                    </w:rPr>
                  </w:pPr>
                  <w:r>
                    <w:rPr>
                      <w:rFonts w:hint="eastAsia" w:cs="宋体"/>
                      <w:color w:val="auto"/>
                      <w:sz w:val="22"/>
                      <w:szCs w:val="22"/>
                      <w:highlight w:val="none"/>
                    </w:rPr>
                    <w:t>突发环境事件风险应急预案，并报当地环保主管部门备案、配应急物资、安装消防器材。</w:t>
                  </w:r>
                </w:p>
              </w:tc>
              <w:tc>
                <w:tcPr>
                  <w:tcW w:w="867" w:type="dxa"/>
                  <w:tcBorders>
                    <w:top w:val="single" w:color="auto" w:sz="4" w:space="0"/>
                    <w:left w:val="single" w:color="auto" w:sz="4" w:space="0"/>
                    <w:bottom w:val="single" w:color="auto" w:sz="4" w:space="0"/>
                    <w:right w:val="single" w:color="auto" w:sz="4" w:space="0"/>
                  </w:tcBorders>
                  <w:vAlign w:val="center"/>
                </w:tcPr>
                <w:p w14:paraId="7E25DB0F">
                  <w:pPr>
                    <w:jc w:val="center"/>
                    <w:rPr>
                      <w:rFonts w:hint="default" w:eastAsia="宋体"/>
                      <w:color w:val="auto"/>
                      <w:sz w:val="22"/>
                      <w:szCs w:val="22"/>
                      <w:highlight w:val="none"/>
                      <w:lang w:val="en-US" w:eastAsia="zh-CN"/>
                    </w:rPr>
                  </w:pPr>
                  <w:r>
                    <w:rPr>
                      <w:rFonts w:hint="eastAsia"/>
                      <w:color w:val="auto"/>
                      <w:sz w:val="22"/>
                      <w:szCs w:val="22"/>
                      <w:highlight w:val="none"/>
                      <w:lang w:val="en-US" w:eastAsia="zh-CN"/>
                    </w:rPr>
                    <w:t>10</w:t>
                  </w:r>
                </w:p>
              </w:tc>
            </w:tr>
            <w:tr w14:paraId="212AF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7251" w:type="dxa"/>
                  <w:gridSpan w:val="4"/>
                  <w:tcBorders>
                    <w:top w:val="single" w:color="auto" w:sz="4" w:space="0"/>
                    <w:left w:val="single" w:color="auto" w:sz="4" w:space="0"/>
                    <w:bottom w:val="single" w:color="auto" w:sz="4" w:space="0"/>
                    <w:right w:val="single" w:color="auto" w:sz="4" w:space="0"/>
                  </w:tcBorders>
                  <w:vAlign w:val="center"/>
                </w:tcPr>
                <w:p w14:paraId="4EC55840">
                  <w:pPr>
                    <w:jc w:val="center"/>
                    <w:rPr>
                      <w:color w:val="auto"/>
                      <w:sz w:val="22"/>
                      <w:szCs w:val="22"/>
                      <w:highlight w:val="none"/>
                    </w:rPr>
                  </w:pPr>
                  <w:r>
                    <w:rPr>
                      <w:rFonts w:hint="eastAsia" w:cs="宋体"/>
                      <w:color w:val="auto"/>
                      <w:sz w:val="22"/>
                      <w:szCs w:val="22"/>
                      <w:highlight w:val="none"/>
                    </w:rPr>
                    <w:t>合计</w:t>
                  </w:r>
                </w:p>
              </w:tc>
              <w:tc>
                <w:tcPr>
                  <w:tcW w:w="867" w:type="dxa"/>
                  <w:tcBorders>
                    <w:top w:val="single" w:color="auto" w:sz="4" w:space="0"/>
                    <w:left w:val="single" w:color="auto" w:sz="4" w:space="0"/>
                    <w:bottom w:val="single" w:color="auto" w:sz="4" w:space="0"/>
                    <w:right w:val="single" w:color="auto" w:sz="4" w:space="0"/>
                  </w:tcBorders>
                  <w:vAlign w:val="center"/>
                </w:tcPr>
                <w:p w14:paraId="3EBFFF04">
                  <w:pPr>
                    <w:jc w:val="center"/>
                    <w:rPr>
                      <w:rFonts w:hint="default" w:eastAsia="宋体"/>
                      <w:color w:val="auto"/>
                      <w:sz w:val="22"/>
                      <w:szCs w:val="22"/>
                      <w:highlight w:val="none"/>
                      <w:lang w:val="en-US" w:eastAsia="zh-CN"/>
                    </w:rPr>
                  </w:pPr>
                  <w:r>
                    <w:rPr>
                      <w:rFonts w:hint="eastAsia"/>
                      <w:color w:val="auto"/>
                      <w:sz w:val="22"/>
                      <w:szCs w:val="22"/>
                      <w:highlight w:val="none"/>
                      <w:lang w:val="en-US" w:eastAsia="zh-CN"/>
                    </w:rPr>
                    <w:t>114.5</w:t>
                  </w:r>
                </w:p>
              </w:tc>
            </w:tr>
          </w:tbl>
          <w:p w14:paraId="064F8E19">
            <w:pPr>
              <w:pStyle w:val="2"/>
              <w:spacing w:before="240" w:beforeLines="100" w:after="0" w:line="360" w:lineRule="auto"/>
              <w:rPr>
                <w:rStyle w:val="85"/>
                <w:rFonts w:cs="Times New Roman"/>
                <w:b/>
                <w:bCs/>
                <w:color w:val="auto"/>
                <w:highlight w:val="none"/>
              </w:rPr>
            </w:pPr>
            <w:r>
              <w:rPr>
                <w:rStyle w:val="85"/>
                <w:rFonts w:hint="eastAsia" w:ascii="Times New Roman" w:hAnsi="Times New Roman" w:cs="Times New Roman"/>
                <w:b w:val="0"/>
                <w:bCs w:val="0"/>
                <w:color w:val="auto"/>
                <w:highlight w:val="none"/>
              </w:rPr>
              <w:t xml:space="preserve">   </w:t>
            </w:r>
            <w:r>
              <w:rPr>
                <w:rStyle w:val="85"/>
                <w:rFonts w:hint="eastAsia" w:ascii="Times New Roman" w:hAnsi="Times New Roman" w:cs="Times New Roman"/>
                <w:b/>
                <w:bCs/>
                <w:color w:val="auto"/>
                <w:highlight w:val="none"/>
              </w:rPr>
              <w:t xml:space="preserve"> 8</w:t>
            </w:r>
            <w:r>
              <w:rPr>
                <w:rStyle w:val="85"/>
                <w:rFonts w:hint="eastAsia" w:cs="宋体"/>
                <w:b/>
                <w:bCs/>
                <w:color w:val="auto"/>
                <w:highlight w:val="none"/>
              </w:rPr>
              <w:t>排污许可：</w:t>
            </w:r>
          </w:p>
          <w:p w14:paraId="1E5F75A5">
            <w:pPr>
              <w:adjustRightInd w:val="0"/>
              <w:snapToGrid w:val="0"/>
              <w:spacing w:line="360" w:lineRule="auto"/>
              <w:ind w:firstLine="480" w:firstLineChars="200"/>
              <w:rPr>
                <w:rFonts w:hint="eastAsia" w:ascii="Times New Roman" w:hAnsi="Times New Roman" w:eastAsia="宋体" w:cs="宋体"/>
                <w:b w:val="0"/>
                <w:bCs w:val="0"/>
                <w:color w:val="auto"/>
                <w:sz w:val="24"/>
                <w:szCs w:val="24"/>
                <w:highlight w:val="none"/>
                <w:lang w:eastAsia="zh-CN"/>
              </w:rPr>
            </w:pPr>
            <w:r>
              <w:rPr>
                <w:rFonts w:hint="eastAsia" w:ascii="Times New Roman" w:hAnsi="Times New Roman" w:cs="宋体"/>
                <w:b w:val="0"/>
                <w:bCs w:val="0"/>
                <w:color w:val="auto"/>
                <w:sz w:val="24"/>
                <w:szCs w:val="24"/>
                <w:highlight w:val="none"/>
              </w:rPr>
              <w:t>根据安徽省生态环境厅文件2021年1月30号《安徽省生态环境厅关于统筹做好固定污染源排污许可日常监管工作的通知》（皖环发（2021） 7号）文件内容：二、主要任务——第（七）条积极探索排污许可与环评制度的联动试点中——属于现行《固定污染源排污许可分类管理名录》内重点管理和简化管理的行业</w:t>
            </w:r>
            <w:r>
              <w:rPr>
                <w:rFonts w:hint="eastAsia" w:cs="宋体"/>
                <w:b w:val="0"/>
                <w:bCs w:val="0"/>
                <w:color w:val="auto"/>
                <w:sz w:val="24"/>
                <w:szCs w:val="24"/>
                <w:highlight w:val="none"/>
                <w:lang w:eastAsia="zh-CN"/>
              </w:rPr>
              <w:t>，</w:t>
            </w:r>
            <w:r>
              <w:rPr>
                <w:rFonts w:hint="eastAsia" w:ascii="Times New Roman" w:hAnsi="Times New Roman" w:cs="宋体"/>
                <w:b w:val="0"/>
                <w:bCs w:val="0"/>
                <w:color w:val="auto"/>
                <w:sz w:val="24"/>
                <w:szCs w:val="24"/>
                <w:highlight w:val="none"/>
              </w:rPr>
              <w:t>建设单位在组织编制建设项目环境影响报告书（表）时</w:t>
            </w:r>
            <w:r>
              <w:rPr>
                <w:rFonts w:hint="eastAsia" w:cs="宋体"/>
                <w:b w:val="0"/>
                <w:bCs w:val="0"/>
                <w:color w:val="auto"/>
                <w:sz w:val="24"/>
                <w:szCs w:val="24"/>
                <w:highlight w:val="none"/>
                <w:lang w:eastAsia="zh-CN"/>
              </w:rPr>
              <w:t>，</w:t>
            </w:r>
            <w:r>
              <w:rPr>
                <w:rFonts w:hint="eastAsia" w:ascii="Times New Roman" w:hAnsi="Times New Roman" w:cs="宋体"/>
                <w:b w:val="0"/>
                <w:bCs w:val="0"/>
                <w:color w:val="auto"/>
                <w:sz w:val="24"/>
                <w:szCs w:val="24"/>
                <w:highlight w:val="none"/>
              </w:rPr>
              <w:t>可结合相应行业排污许可证申请与核发技术规范</w:t>
            </w:r>
            <w:r>
              <w:rPr>
                <w:rFonts w:hint="eastAsia" w:cs="宋体"/>
                <w:b w:val="0"/>
                <w:bCs w:val="0"/>
                <w:color w:val="auto"/>
                <w:sz w:val="24"/>
                <w:szCs w:val="24"/>
                <w:highlight w:val="none"/>
                <w:lang w:eastAsia="zh-CN"/>
              </w:rPr>
              <w:t>，</w:t>
            </w:r>
            <w:r>
              <w:rPr>
                <w:rFonts w:hint="eastAsia" w:ascii="Times New Roman" w:hAnsi="Times New Roman" w:cs="宋体"/>
                <w:b w:val="0"/>
                <w:bCs w:val="0"/>
                <w:color w:val="auto"/>
                <w:sz w:val="24"/>
                <w:szCs w:val="24"/>
                <w:highlight w:val="none"/>
              </w:rPr>
              <w:t>在环评文件中一并明确</w:t>
            </w:r>
            <w:r>
              <w:rPr>
                <w:rFonts w:hint="eastAsia" w:cs="宋体"/>
                <w:b w:val="0"/>
                <w:bCs w:val="0"/>
                <w:color w:val="auto"/>
                <w:sz w:val="24"/>
                <w:szCs w:val="24"/>
                <w:highlight w:val="none"/>
                <w:lang w:eastAsia="zh-CN"/>
              </w:rPr>
              <w:t>“</w:t>
            </w:r>
            <w:r>
              <w:rPr>
                <w:rFonts w:hint="eastAsia" w:ascii="Times New Roman" w:hAnsi="Times New Roman" w:cs="宋体"/>
                <w:b w:val="0"/>
                <w:bCs w:val="0"/>
                <w:color w:val="auto"/>
                <w:sz w:val="24"/>
                <w:szCs w:val="24"/>
                <w:highlight w:val="none"/>
              </w:rPr>
              <w:t>建设项目环境影响评价与排污许可联动内容</w:t>
            </w:r>
            <w:r>
              <w:rPr>
                <w:rFonts w:hint="eastAsia" w:cs="宋体"/>
                <w:b w:val="0"/>
                <w:bCs w:val="0"/>
                <w:color w:val="auto"/>
                <w:sz w:val="24"/>
                <w:szCs w:val="24"/>
                <w:highlight w:val="none"/>
                <w:lang w:eastAsia="zh-CN"/>
              </w:rPr>
              <w:t>”</w:t>
            </w:r>
            <w:r>
              <w:rPr>
                <w:rFonts w:hint="eastAsia" w:ascii="Times New Roman" w:hAnsi="Times New Roman" w:cs="宋体"/>
                <w:b w:val="0"/>
                <w:bCs w:val="0"/>
                <w:color w:val="auto"/>
                <w:sz w:val="24"/>
                <w:szCs w:val="24"/>
                <w:highlight w:val="none"/>
              </w:rPr>
              <w:t>和《建设项目排污许可申请与填报信息表》</w:t>
            </w:r>
            <w:r>
              <w:rPr>
                <w:rFonts w:hint="eastAsia" w:cs="宋体"/>
                <w:b w:val="0"/>
                <w:bCs w:val="0"/>
                <w:color w:val="auto"/>
                <w:sz w:val="24"/>
                <w:szCs w:val="24"/>
                <w:highlight w:val="none"/>
                <w:lang w:eastAsia="zh-CN"/>
              </w:rPr>
              <w:t>，</w:t>
            </w:r>
            <w:r>
              <w:rPr>
                <w:rFonts w:hint="eastAsia" w:ascii="Times New Roman" w:hAnsi="Times New Roman" w:cs="宋体"/>
                <w:b w:val="0"/>
                <w:bCs w:val="0"/>
                <w:color w:val="auto"/>
                <w:sz w:val="24"/>
                <w:szCs w:val="24"/>
                <w:highlight w:val="none"/>
              </w:rPr>
              <w:t>生态环境部门在环评文件受理和审批过程中同步审核</w:t>
            </w:r>
            <w:r>
              <w:rPr>
                <w:rFonts w:hint="eastAsia" w:cs="宋体"/>
                <w:b w:val="0"/>
                <w:bCs w:val="0"/>
                <w:color w:val="auto"/>
                <w:sz w:val="24"/>
                <w:szCs w:val="24"/>
                <w:highlight w:val="none"/>
                <w:lang w:eastAsia="zh-CN"/>
              </w:rPr>
              <w:t>。</w:t>
            </w:r>
          </w:p>
          <w:p w14:paraId="469DC15F">
            <w:pPr>
              <w:adjustRightInd w:val="0"/>
              <w:snapToGrid w:val="0"/>
              <w:spacing w:line="360" w:lineRule="auto"/>
              <w:ind w:firstLine="480" w:firstLineChars="200"/>
              <w:rPr>
                <w:rFonts w:hint="eastAsia" w:ascii="Times New Roman" w:hAnsi="Times New Roman" w:cs="宋体"/>
                <w:b w:val="0"/>
                <w:bCs w:val="0"/>
                <w:color w:val="auto"/>
                <w:sz w:val="24"/>
                <w:szCs w:val="24"/>
                <w:highlight w:val="none"/>
              </w:rPr>
            </w:pPr>
            <w:r>
              <w:rPr>
                <w:rFonts w:hint="eastAsia" w:ascii="Times New Roman" w:hAnsi="Times New Roman" w:cs="宋体"/>
                <w:b w:val="0"/>
                <w:bCs w:val="0"/>
                <w:color w:val="auto"/>
                <w:sz w:val="24"/>
                <w:szCs w:val="24"/>
                <w:highlight w:val="none"/>
              </w:rPr>
              <w:t>本项目属于《固定污染源排污许可分类管理名录》（2019年版）中二十、石油、煤炭及其他燃料加工业 25 44生物质燃料加工 254 的其他，属于登记管理，</w:t>
            </w:r>
            <w:r>
              <w:rPr>
                <w:rFonts w:hint="eastAsia" w:cs="宋体"/>
                <w:b w:val="0"/>
                <w:bCs w:val="0"/>
                <w:color w:val="auto"/>
                <w:sz w:val="24"/>
                <w:szCs w:val="24"/>
                <w:highlight w:val="none"/>
                <w:lang w:eastAsia="zh-CN"/>
              </w:rPr>
              <w:t>同属于三十七、废弃资源综合利用业</w:t>
            </w:r>
            <w:r>
              <w:rPr>
                <w:rFonts w:hint="eastAsia" w:cs="宋体"/>
                <w:b w:val="0"/>
                <w:bCs w:val="0"/>
                <w:color w:val="auto"/>
                <w:sz w:val="24"/>
                <w:szCs w:val="24"/>
                <w:highlight w:val="none"/>
                <w:lang w:val="en-US" w:eastAsia="zh-CN"/>
              </w:rPr>
              <w:t xml:space="preserve"> 42 93非金属废料和碎屑加工处理 422 的其他，亦属于登记管理。因此，</w:t>
            </w:r>
            <w:r>
              <w:rPr>
                <w:rFonts w:hint="eastAsia" w:ascii="Times New Roman" w:hAnsi="Times New Roman" w:cs="宋体"/>
                <w:b w:val="0"/>
                <w:bCs w:val="0"/>
                <w:color w:val="auto"/>
                <w:sz w:val="24"/>
                <w:szCs w:val="24"/>
                <w:highlight w:val="none"/>
              </w:rPr>
              <w:t>无需填报环评与排污许可联动内容</w:t>
            </w:r>
            <w:r>
              <w:rPr>
                <w:rFonts w:hint="eastAsia" w:cs="宋体"/>
                <w:b w:val="0"/>
                <w:bCs w:val="0"/>
                <w:color w:val="auto"/>
                <w:sz w:val="24"/>
                <w:szCs w:val="24"/>
                <w:highlight w:val="none"/>
                <w:lang w:eastAsia="zh-CN"/>
              </w:rPr>
              <w:t>，具体见下表</w:t>
            </w:r>
            <w:r>
              <w:rPr>
                <w:rFonts w:hint="eastAsia" w:ascii="Times New Roman" w:hAnsi="Times New Roman" w:cs="宋体"/>
                <w:b w:val="0"/>
                <w:bCs w:val="0"/>
                <w:color w:val="auto"/>
                <w:sz w:val="24"/>
                <w:szCs w:val="24"/>
                <w:highlight w:val="none"/>
              </w:rPr>
              <w:t>。</w:t>
            </w:r>
          </w:p>
          <w:p w14:paraId="65BFAFD7">
            <w:pPr>
              <w:keepNext/>
              <w:keepLines/>
              <w:tabs>
                <w:tab w:val="left" w:pos="0"/>
                <w:tab w:val="left" w:pos="180"/>
                <w:tab w:val="left" w:pos="1418"/>
                <w:tab w:val="left" w:pos="2976"/>
              </w:tabs>
              <w:spacing w:line="360" w:lineRule="auto"/>
              <w:ind w:left="180"/>
              <w:jc w:val="center"/>
              <w:outlineLvl w:val="7"/>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val="0"/>
                <w:bCs w:val="0"/>
                <w:color w:val="auto"/>
                <w:sz w:val="21"/>
                <w:szCs w:val="21"/>
                <w:highlight w:val="none"/>
              </w:rPr>
              <w:t>表4</w:t>
            </w:r>
            <w:r>
              <w:rPr>
                <w:rFonts w:hint="default" w:ascii="Times New Roman" w:hAnsi="Times New Roman" w:eastAsia="宋体" w:cs="Times New Roman"/>
                <w:b w:val="0"/>
                <w:bCs w:val="0"/>
                <w:color w:val="auto"/>
                <w:sz w:val="21"/>
                <w:szCs w:val="21"/>
                <w:highlight w:val="none"/>
                <w:lang w:val="en-US" w:eastAsia="zh-CN"/>
              </w:rPr>
              <w:t>-</w:t>
            </w:r>
            <w:r>
              <w:rPr>
                <w:rFonts w:hint="eastAsia" w:cs="Times New Roman"/>
                <w:b w:val="0"/>
                <w:bCs w:val="0"/>
                <w:color w:val="auto"/>
                <w:sz w:val="21"/>
                <w:szCs w:val="21"/>
                <w:highlight w:val="none"/>
                <w:lang w:val="en-US" w:eastAsia="zh-CN"/>
              </w:rPr>
              <w:t>20</w:t>
            </w:r>
            <w:r>
              <w:rPr>
                <w:rFonts w:hint="default" w:ascii="Times New Roman" w:hAnsi="Times New Roman" w:eastAsia="宋体" w:cs="Times New Roman"/>
                <w:b w:val="0"/>
                <w:bCs w:val="0"/>
                <w:color w:val="auto"/>
                <w:sz w:val="21"/>
                <w:szCs w:val="21"/>
                <w:highlight w:val="none"/>
              </w:rPr>
              <w:t xml:space="preserve">  企业排污许可管理类别归类表</w:t>
            </w:r>
          </w:p>
          <w:tbl>
            <w:tblPr>
              <w:tblStyle w:val="37"/>
              <w:tblW w:w="7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4"/>
              <w:gridCol w:w="936"/>
              <w:gridCol w:w="1020"/>
              <w:gridCol w:w="1713"/>
              <w:gridCol w:w="1884"/>
              <w:gridCol w:w="1046"/>
              <w:gridCol w:w="833"/>
            </w:tblGrid>
            <w:tr w14:paraId="74F4B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305" w:type="pct"/>
                  <w:tcBorders>
                    <w:top w:val="single" w:color="auto" w:sz="4" w:space="0"/>
                    <w:left w:val="single" w:color="auto" w:sz="4" w:space="0"/>
                    <w:bottom w:val="single" w:color="auto" w:sz="4" w:space="0"/>
                    <w:right w:val="single" w:color="auto" w:sz="4" w:space="0"/>
                  </w:tcBorders>
                  <w:noWrap w:val="0"/>
                  <w:vAlign w:val="center"/>
                </w:tcPr>
                <w:p w14:paraId="37F8FBE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591" w:type="pct"/>
                  <w:tcBorders>
                    <w:top w:val="single" w:color="auto" w:sz="4" w:space="0"/>
                    <w:left w:val="single" w:color="auto" w:sz="4" w:space="0"/>
                    <w:bottom w:val="single" w:color="auto" w:sz="4" w:space="0"/>
                    <w:right w:val="single" w:color="auto" w:sz="4" w:space="0"/>
                  </w:tcBorders>
                  <w:noWrap w:val="0"/>
                  <w:vAlign w:val="center"/>
                </w:tcPr>
                <w:p w14:paraId="4A2CBE9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行业类别</w:t>
                  </w:r>
                </w:p>
              </w:tc>
              <w:tc>
                <w:tcPr>
                  <w:tcW w:w="644" w:type="pct"/>
                  <w:tcBorders>
                    <w:top w:val="single" w:color="auto" w:sz="4" w:space="0"/>
                    <w:left w:val="single" w:color="auto" w:sz="4" w:space="0"/>
                    <w:bottom w:val="single" w:color="auto" w:sz="4" w:space="0"/>
                    <w:right w:val="single" w:color="auto" w:sz="4" w:space="0"/>
                  </w:tcBorders>
                  <w:noWrap w:val="0"/>
                  <w:vAlign w:val="center"/>
                </w:tcPr>
                <w:p w14:paraId="1917012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本项目行业类别</w:t>
                  </w:r>
                </w:p>
              </w:tc>
              <w:tc>
                <w:tcPr>
                  <w:tcW w:w="1081" w:type="pct"/>
                  <w:tcBorders>
                    <w:top w:val="single" w:color="auto" w:sz="4" w:space="0"/>
                    <w:left w:val="single" w:color="auto" w:sz="4" w:space="0"/>
                    <w:bottom w:val="single" w:color="auto" w:sz="4" w:space="0"/>
                    <w:right w:val="single" w:color="auto" w:sz="4" w:space="0"/>
                  </w:tcBorders>
                  <w:noWrap w:val="0"/>
                  <w:vAlign w:val="center"/>
                </w:tcPr>
                <w:p w14:paraId="3CBDFEA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重点管理</w:t>
                  </w:r>
                </w:p>
              </w:tc>
              <w:tc>
                <w:tcPr>
                  <w:tcW w:w="1189" w:type="pct"/>
                  <w:tcBorders>
                    <w:top w:val="single" w:color="auto" w:sz="4" w:space="0"/>
                    <w:left w:val="single" w:color="auto" w:sz="4" w:space="0"/>
                    <w:bottom w:val="single" w:color="auto" w:sz="4" w:space="0"/>
                    <w:right w:val="single" w:color="auto" w:sz="4" w:space="0"/>
                  </w:tcBorders>
                  <w:noWrap w:val="0"/>
                  <w:vAlign w:val="center"/>
                </w:tcPr>
                <w:p w14:paraId="4FB73C0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简化管理</w:t>
                  </w:r>
                </w:p>
              </w:tc>
              <w:tc>
                <w:tcPr>
                  <w:tcW w:w="660" w:type="pct"/>
                  <w:tcBorders>
                    <w:top w:val="single" w:color="auto" w:sz="4" w:space="0"/>
                    <w:left w:val="single" w:color="auto" w:sz="4" w:space="0"/>
                    <w:bottom w:val="single" w:color="auto" w:sz="4" w:space="0"/>
                    <w:right w:val="single" w:color="auto" w:sz="4" w:space="0"/>
                  </w:tcBorders>
                  <w:noWrap w:val="0"/>
                  <w:vAlign w:val="center"/>
                </w:tcPr>
                <w:p w14:paraId="44BBC4F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登记管理</w:t>
                  </w:r>
                </w:p>
              </w:tc>
              <w:tc>
                <w:tcPr>
                  <w:tcW w:w="526" w:type="pct"/>
                  <w:tcBorders>
                    <w:top w:val="single" w:color="auto" w:sz="4" w:space="0"/>
                    <w:left w:val="single" w:color="auto" w:sz="4" w:space="0"/>
                    <w:bottom w:val="single" w:color="auto" w:sz="4" w:space="0"/>
                    <w:right w:val="single" w:color="auto" w:sz="4" w:space="0"/>
                  </w:tcBorders>
                  <w:noWrap w:val="0"/>
                  <w:vAlign w:val="center"/>
                </w:tcPr>
                <w:p w14:paraId="299981A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本项目类别</w:t>
                  </w:r>
                </w:p>
              </w:tc>
            </w:tr>
            <w:tr w14:paraId="558CF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5000" w:type="pct"/>
                  <w:gridSpan w:val="7"/>
                  <w:tcBorders>
                    <w:top w:val="single" w:color="auto" w:sz="4" w:space="0"/>
                    <w:left w:val="single" w:color="auto" w:sz="4" w:space="0"/>
                    <w:bottom w:val="single" w:color="auto" w:sz="4" w:space="0"/>
                    <w:right w:val="single" w:color="auto" w:sz="4" w:space="0"/>
                  </w:tcBorders>
                  <w:noWrap w:val="0"/>
                  <w:vAlign w:val="center"/>
                </w:tcPr>
                <w:p w14:paraId="213FAD6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rPr>
                  </w:pPr>
                  <w:r>
                    <w:rPr>
                      <w:rFonts w:hint="eastAsia" w:ascii="Times New Roman" w:hAnsi="Times New Roman" w:cs="宋体"/>
                      <w:b w:val="0"/>
                      <w:bCs w:val="0"/>
                      <w:color w:val="auto"/>
                      <w:sz w:val="24"/>
                      <w:szCs w:val="24"/>
                      <w:highlight w:val="none"/>
                    </w:rPr>
                    <w:t>二十、石油、煤炭及其他燃料加工业</w:t>
                  </w:r>
                  <w:r>
                    <w:rPr>
                      <w:rFonts w:hint="eastAsia" w:ascii="宋体" w:hAnsi="宋体" w:cs="宋体"/>
                      <w:b w:val="0"/>
                      <w:bCs w:val="0"/>
                      <w:color w:val="auto"/>
                      <w:kern w:val="0"/>
                      <w:sz w:val="21"/>
                      <w:szCs w:val="21"/>
                      <w:highlight w:val="none"/>
                      <w:lang w:val="en-US" w:eastAsia="zh-CN" w:bidi="ar"/>
                    </w:rPr>
                    <w:t>25</w:t>
                  </w:r>
                </w:p>
              </w:tc>
            </w:tr>
            <w:tr w14:paraId="23417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8" w:hRule="atLeast"/>
                <w:jc w:val="center"/>
              </w:trPr>
              <w:tc>
                <w:tcPr>
                  <w:tcW w:w="305" w:type="pct"/>
                  <w:tcBorders>
                    <w:top w:val="single" w:color="auto" w:sz="4" w:space="0"/>
                    <w:left w:val="single" w:color="auto" w:sz="4" w:space="0"/>
                    <w:bottom w:val="single" w:color="auto" w:sz="4" w:space="0"/>
                    <w:right w:val="single" w:color="auto" w:sz="4" w:space="0"/>
                  </w:tcBorders>
                  <w:noWrap w:val="0"/>
                  <w:vAlign w:val="center"/>
                </w:tcPr>
                <w:p w14:paraId="210C9DB3">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44</w:t>
                  </w:r>
                </w:p>
              </w:tc>
              <w:tc>
                <w:tcPr>
                  <w:tcW w:w="591" w:type="pct"/>
                  <w:tcBorders>
                    <w:top w:val="single" w:color="auto" w:sz="4" w:space="0"/>
                    <w:left w:val="single" w:color="auto" w:sz="4" w:space="0"/>
                    <w:bottom w:val="single" w:color="auto" w:sz="4" w:space="0"/>
                    <w:right w:val="single" w:color="auto" w:sz="4" w:space="0"/>
                  </w:tcBorders>
                  <w:noWrap w:val="0"/>
                  <w:vAlign w:val="center"/>
                </w:tcPr>
                <w:p w14:paraId="6AE6380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生物质燃料加工 254</w:t>
                  </w:r>
                </w:p>
              </w:tc>
              <w:tc>
                <w:tcPr>
                  <w:tcW w:w="644" w:type="pct"/>
                  <w:tcBorders>
                    <w:top w:val="single" w:color="auto" w:sz="4" w:space="0"/>
                    <w:left w:val="single" w:color="auto" w:sz="4" w:space="0"/>
                    <w:bottom w:val="single" w:color="auto" w:sz="4" w:space="0"/>
                    <w:right w:val="single" w:color="auto" w:sz="4" w:space="0"/>
                  </w:tcBorders>
                  <w:noWrap w:val="0"/>
                  <w:vAlign w:val="center"/>
                </w:tcPr>
                <w:p w14:paraId="74A0079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生物质燃料加工 254</w:t>
                  </w:r>
                </w:p>
              </w:tc>
              <w:tc>
                <w:tcPr>
                  <w:tcW w:w="1081" w:type="pct"/>
                  <w:tcBorders>
                    <w:top w:val="single" w:color="auto" w:sz="4" w:space="0"/>
                    <w:left w:val="single" w:color="auto" w:sz="4" w:space="0"/>
                    <w:bottom w:val="single" w:color="auto" w:sz="4" w:space="0"/>
                    <w:right w:val="single" w:color="auto" w:sz="4" w:space="0"/>
                  </w:tcBorders>
                  <w:noWrap w:val="0"/>
                  <w:vAlign w:val="center"/>
                </w:tcPr>
                <w:p w14:paraId="2B0F9C8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涉及通用工序重点管理的</w:t>
                  </w:r>
                </w:p>
              </w:tc>
              <w:tc>
                <w:tcPr>
                  <w:tcW w:w="1189" w:type="pct"/>
                  <w:tcBorders>
                    <w:top w:val="single" w:color="auto" w:sz="4" w:space="0"/>
                    <w:left w:val="single" w:color="auto" w:sz="4" w:space="0"/>
                    <w:bottom w:val="single" w:color="auto" w:sz="4" w:space="0"/>
                    <w:right w:val="single" w:color="auto" w:sz="4" w:space="0"/>
                  </w:tcBorders>
                  <w:noWrap w:val="0"/>
                  <w:vAlign w:val="center"/>
                </w:tcPr>
                <w:p w14:paraId="57121A6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涉及通用工序简化管理的</w:t>
                  </w:r>
                </w:p>
              </w:tc>
              <w:tc>
                <w:tcPr>
                  <w:tcW w:w="660" w:type="pct"/>
                  <w:tcBorders>
                    <w:top w:val="single" w:color="auto" w:sz="4" w:space="0"/>
                    <w:left w:val="single" w:color="auto" w:sz="4" w:space="0"/>
                    <w:bottom w:val="single" w:color="auto" w:sz="4" w:space="0"/>
                    <w:right w:val="single" w:color="auto" w:sz="4" w:space="0"/>
                  </w:tcBorders>
                  <w:noWrap w:val="0"/>
                  <w:vAlign w:val="center"/>
                </w:tcPr>
                <w:p w14:paraId="4ED4C08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其他</w:t>
                  </w:r>
                </w:p>
              </w:tc>
              <w:tc>
                <w:tcPr>
                  <w:tcW w:w="526" w:type="pct"/>
                  <w:tcBorders>
                    <w:top w:val="single" w:color="auto" w:sz="4" w:space="0"/>
                    <w:left w:val="single" w:color="auto" w:sz="4" w:space="0"/>
                    <w:bottom w:val="single" w:color="auto" w:sz="4" w:space="0"/>
                    <w:right w:val="single" w:color="auto" w:sz="4" w:space="0"/>
                  </w:tcBorders>
                  <w:noWrap w:val="0"/>
                  <w:vAlign w:val="center"/>
                </w:tcPr>
                <w:p w14:paraId="0316884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登记</w:t>
                  </w:r>
                  <w:r>
                    <w:rPr>
                      <w:rFonts w:hint="eastAsia" w:ascii="Times New Roman" w:hAnsi="Times New Roman" w:eastAsia="宋体" w:cs="Times New Roman"/>
                      <w:color w:val="auto"/>
                      <w:kern w:val="0"/>
                      <w:sz w:val="21"/>
                      <w:szCs w:val="21"/>
                      <w:highlight w:val="none"/>
                      <w:lang w:val="en-US" w:eastAsia="zh-CN" w:bidi="ar"/>
                    </w:rPr>
                    <w:t>管理</w:t>
                  </w:r>
                </w:p>
              </w:tc>
            </w:tr>
            <w:tr w14:paraId="76415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5000" w:type="pct"/>
                  <w:gridSpan w:val="7"/>
                  <w:tcBorders>
                    <w:top w:val="single" w:color="auto" w:sz="4" w:space="0"/>
                    <w:left w:val="single" w:color="auto" w:sz="4" w:space="0"/>
                    <w:bottom w:val="single" w:color="auto" w:sz="4" w:space="0"/>
                    <w:right w:val="single" w:color="auto" w:sz="4" w:space="0"/>
                  </w:tcBorders>
                  <w:noWrap w:val="0"/>
                  <w:vAlign w:val="center"/>
                </w:tcPr>
                <w:p w14:paraId="69091D9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宋体"/>
                      <w:b w:val="0"/>
                      <w:bCs w:val="0"/>
                      <w:color w:val="auto"/>
                      <w:sz w:val="24"/>
                      <w:szCs w:val="24"/>
                      <w:highlight w:val="none"/>
                      <w:lang w:eastAsia="zh-CN"/>
                    </w:rPr>
                    <w:t>三十七、废弃资源综合利用业</w:t>
                  </w:r>
                  <w:r>
                    <w:rPr>
                      <w:rFonts w:hint="eastAsia" w:cs="宋体"/>
                      <w:b w:val="0"/>
                      <w:bCs w:val="0"/>
                      <w:color w:val="auto"/>
                      <w:sz w:val="24"/>
                      <w:szCs w:val="24"/>
                      <w:highlight w:val="none"/>
                      <w:lang w:val="en-US" w:eastAsia="zh-CN"/>
                    </w:rPr>
                    <w:t xml:space="preserve"> 42</w:t>
                  </w:r>
                </w:p>
              </w:tc>
            </w:tr>
            <w:tr w14:paraId="4B313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8" w:hRule="atLeast"/>
                <w:jc w:val="center"/>
              </w:trPr>
              <w:tc>
                <w:tcPr>
                  <w:tcW w:w="305" w:type="pct"/>
                  <w:tcBorders>
                    <w:top w:val="single" w:color="auto" w:sz="4" w:space="0"/>
                    <w:left w:val="single" w:color="auto" w:sz="4" w:space="0"/>
                    <w:bottom w:val="single" w:color="auto" w:sz="4" w:space="0"/>
                    <w:right w:val="single" w:color="auto" w:sz="4" w:space="0"/>
                  </w:tcBorders>
                  <w:noWrap w:val="0"/>
                  <w:vAlign w:val="center"/>
                </w:tcPr>
                <w:p w14:paraId="69232312">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93</w:t>
                  </w:r>
                </w:p>
              </w:tc>
              <w:tc>
                <w:tcPr>
                  <w:tcW w:w="591" w:type="pct"/>
                  <w:tcBorders>
                    <w:top w:val="single" w:color="auto" w:sz="4" w:space="0"/>
                    <w:left w:val="single" w:color="auto" w:sz="4" w:space="0"/>
                    <w:bottom w:val="single" w:color="auto" w:sz="4" w:space="0"/>
                    <w:right w:val="single" w:color="auto" w:sz="4" w:space="0"/>
                  </w:tcBorders>
                  <w:noWrap w:val="0"/>
                  <w:vAlign w:val="center"/>
                </w:tcPr>
                <w:p w14:paraId="258FE1F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cs="宋体"/>
                      <w:b w:val="0"/>
                      <w:bCs w:val="0"/>
                      <w:color w:val="auto"/>
                      <w:sz w:val="24"/>
                      <w:szCs w:val="24"/>
                      <w:highlight w:val="none"/>
                      <w:lang w:val="en-US" w:eastAsia="zh-CN"/>
                    </w:rPr>
                    <w:t>非金属废料和碎屑加工处理 422</w:t>
                  </w:r>
                </w:p>
              </w:tc>
              <w:tc>
                <w:tcPr>
                  <w:tcW w:w="644" w:type="pct"/>
                  <w:tcBorders>
                    <w:top w:val="single" w:color="auto" w:sz="4" w:space="0"/>
                    <w:left w:val="single" w:color="auto" w:sz="4" w:space="0"/>
                    <w:right w:val="single" w:color="auto" w:sz="4" w:space="0"/>
                  </w:tcBorders>
                  <w:noWrap w:val="0"/>
                  <w:vAlign w:val="center"/>
                </w:tcPr>
                <w:p w14:paraId="4856AB7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宋体"/>
                      <w:b w:val="0"/>
                      <w:bCs w:val="0"/>
                      <w:color w:val="auto"/>
                      <w:sz w:val="24"/>
                      <w:szCs w:val="24"/>
                      <w:highlight w:val="none"/>
                      <w:lang w:val="en-US" w:eastAsia="zh-CN"/>
                    </w:rPr>
                    <w:t>非金属废料和碎屑加工处理 422</w:t>
                  </w:r>
                </w:p>
              </w:tc>
              <w:tc>
                <w:tcPr>
                  <w:tcW w:w="1081" w:type="pct"/>
                  <w:tcBorders>
                    <w:top w:val="single" w:color="auto" w:sz="4" w:space="0"/>
                    <w:left w:val="single" w:color="auto" w:sz="4" w:space="0"/>
                    <w:bottom w:val="single" w:color="auto" w:sz="4" w:space="0"/>
                    <w:right w:val="single" w:color="auto" w:sz="4" w:space="0"/>
                  </w:tcBorders>
                  <w:noWrap w:val="0"/>
                  <w:vAlign w:val="center"/>
                </w:tcPr>
                <w:p w14:paraId="44443B4D">
                  <w:pPr>
                    <w:keepNext w:val="0"/>
                    <w:keepLines w:val="0"/>
                    <w:widowControl/>
                    <w:suppressLineNumbers w:val="0"/>
                    <w:jc w:val="center"/>
                    <w:rPr>
                      <w:color w:val="auto"/>
                    </w:rPr>
                  </w:pPr>
                  <w:r>
                    <w:rPr>
                      <w:rFonts w:hint="eastAsia" w:ascii="宋体" w:hAnsi="宋体" w:eastAsia="宋体" w:cs="宋体"/>
                      <w:color w:val="auto"/>
                      <w:kern w:val="0"/>
                      <w:sz w:val="21"/>
                      <w:szCs w:val="21"/>
                      <w:lang w:val="en-US" w:eastAsia="zh-CN" w:bidi="ar"/>
                    </w:rPr>
                    <w:t>废电池、废油、废轮胎加工处理</w:t>
                  </w:r>
                </w:p>
                <w:p w14:paraId="0A671B09">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21"/>
                      <w:szCs w:val="21"/>
                      <w:highlight w:val="none"/>
                      <w:lang w:val="en-US" w:eastAsia="zh-CN" w:bidi="ar"/>
                    </w:rPr>
                  </w:pPr>
                </w:p>
              </w:tc>
              <w:tc>
                <w:tcPr>
                  <w:tcW w:w="1189" w:type="pct"/>
                  <w:tcBorders>
                    <w:top w:val="single" w:color="auto" w:sz="4" w:space="0"/>
                    <w:left w:val="single" w:color="auto" w:sz="4" w:space="0"/>
                    <w:bottom w:val="single" w:color="auto" w:sz="4" w:space="0"/>
                    <w:right w:val="single" w:color="auto" w:sz="4" w:space="0"/>
                  </w:tcBorders>
                  <w:noWrap w:val="0"/>
                  <w:vAlign w:val="center"/>
                </w:tcPr>
                <w:p w14:paraId="3D79F73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废弃电器电子产品、废机动车、废电机、废电线电缆、废塑料、废船、含水洗工艺的其他废料和碎屑加工处理</w:t>
                  </w:r>
                </w:p>
              </w:tc>
              <w:tc>
                <w:tcPr>
                  <w:tcW w:w="660" w:type="pct"/>
                  <w:tcBorders>
                    <w:top w:val="single" w:color="auto" w:sz="4" w:space="0"/>
                    <w:left w:val="single" w:color="auto" w:sz="4" w:space="0"/>
                    <w:bottom w:val="single" w:color="auto" w:sz="4" w:space="0"/>
                    <w:right w:val="single" w:color="auto" w:sz="4" w:space="0"/>
                  </w:tcBorders>
                  <w:noWrap w:val="0"/>
                  <w:vAlign w:val="center"/>
                </w:tcPr>
                <w:p w14:paraId="7F0A6FB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其他</w:t>
                  </w:r>
                </w:p>
              </w:tc>
              <w:tc>
                <w:tcPr>
                  <w:tcW w:w="526" w:type="pct"/>
                  <w:tcBorders>
                    <w:top w:val="single" w:color="auto" w:sz="4" w:space="0"/>
                    <w:left w:val="single" w:color="auto" w:sz="4" w:space="0"/>
                    <w:bottom w:val="single" w:color="auto" w:sz="4" w:space="0"/>
                    <w:right w:val="single" w:color="auto" w:sz="4" w:space="0"/>
                  </w:tcBorders>
                  <w:noWrap w:val="0"/>
                  <w:vAlign w:val="center"/>
                </w:tcPr>
                <w:p w14:paraId="337660C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登记</w:t>
                  </w:r>
                  <w:r>
                    <w:rPr>
                      <w:rFonts w:hint="eastAsia" w:ascii="Times New Roman" w:hAnsi="Times New Roman" w:eastAsia="宋体" w:cs="Times New Roman"/>
                      <w:color w:val="auto"/>
                      <w:kern w:val="0"/>
                      <w:sz w:val="21"/>
                      <w:szCs w:val="21"/>
                      <w:highlight w:val="none"/>
                      <w:lang w:val="en-US" w:eastAsia="zh-CN" w:bidi="ar"/>
                    </w:rPr>
                    <w:t>管理</w:t>
                  </w:r>
                </w:p>
              </w:tc>
            </w:tr>
          </w:tbl>
          <w:p w14:paraId="7A860FA7">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562" w:firstLineChars="200"/>
              <w:textAlignment w:val="auto"/>
              <w:rPr>
                <w:rFonts w:ascii="宋体"/>
                <w:b/>
                <w:bCs/>
                <w:color w:val="auto"/>
                <w:kern w:val="0"/>
                <w:sz w:val="28"/>
                <w:szCs w:val="28"/>
                <w:highlight w:val="none"/>
                <w:vertAlign w:val="baseline"/>
              </w:rPr>
            </w:pPr>
          </w:p>
        </w:tc>
      </w:tr>
    </w:tbl>
    <w:p w14:paraId="589AAFDB">
      <w:pPr>
        <w:adjustRightInd w:val="0"/>
        <w:snapToGrid w:val="0"/>
        <w:spacing w:line="360" w:lineRule="auto"/>
        <w:rPr>
          <w:rFonts w:ascii="宋体"/>
          <w:b/>
          <w:bCs/>
          <w:color w:val="auto"/>
          <w:kern w:val="0"/>
          <w:sz w:val="28"/>
          <w:szCs w:val="28"/>
          <w:highlight w:val="none"/>
        </w:rPr>
        <w:sectPr>
          <w:pgSz w:w="11907" w:h="16840"/>
          <w:pgMar w:top="1701" w:right="1531" w:bottom="1134" w:left="1531" w:header="851" w:footer="851" w:gutter="0"/>
          <w:cols w:space="720" w:num="1"/>
          <w:docGrid w:linePitch="312" w:charSpace="0"/>
        </w:sectPr>
      </w:pPr>
    </w:p>
    <w:p w14:paraId="5D152B14">
      <w:pPr>
        <w:pStyle w:val="34"/>
        <w:jc w:val="center"/>
        <w:outlineLvl w:val="0"/>
        <w:rPr>
          <w:rFonts w:ascii="黑体" w:hAnsi="黑体" w:eastAsia="黑体" w:cs="Times New Roman"/>
          <w:snapToGrid w:val="0"/>
          <w:color w:val="auto"/>
          <w:sz w:val="30"/>
          <w:szCs w:val="30"/>
          <w:highlight w:val="none"/>
        </w:rPr>
      </w:pPr>
      <w:r>
        <w:rPr>
          <w:rFonts w:hint="eastAsia" w:ascii="黑体" w:hAnsi="黑体" w:eastAsia="黑体" w:cs="黑体"/>
          <w:snapToGrid w:val="0"/>
          <w:color w:val="auto"/>
          <w:sz w:val="30"/>
          <w:szCs w:val="30"/>
          <w:highlight w:val="none"/>
        </w:rPr>
        <w:t>五、</w:t>
      </w:r>
      <w:bookmarkStart w:id="10" w:name="_Hlk54167917"/>
      <w:r>
        <w:rPr>
          <w:rFonts w:hint="eastAsia" w:ascii="黑体" w:hAnsi="黑体" w:eastAsia="黑体" w:cs="黑体"/>
          <w:snapToGrid w:val="0"/>
          <w:color w:val="auto"/>
          <w:sz w:val="30"/>
          <w:szCs w:val="30"/>
          <w:highlight w:val="none"/>
        </w:rPr>
        <w:t>环境保护措施监督检查清单</w:t>
      </w:r>
      <w:bookmarkEnd w:id="10"/>
    </w:p>
    <w:tbl>
      <w:tblPr>
        <w:tblStyle w:val="37"/>
        <w:tblW w:w="919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77"/>
        <w:gridCol w:w="1835"/>
        <w:gridCol w:w="1445"/>
        <w:gridCol w:w="1968"/>
        <w:gridCol w:w="2673"/>
      </w:tblGrid>
      <w:tr w14:paraId="142D50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84" w:hRule="atLeast"/>
          <w:jc w:val="center"/>
        </w:trPr>
        <w:tc>
          <w:tcPr>
            <w:tcW w:w="1277" w:type="dxa"/>
            <w:tcBorders>
              <w:top w:val="single" w:color="auto" w:sz="8" w:space="0"/>
              <w:tl2br w:val="single" w:color="auto" w:sz="4" w:space="0"/>
            </w:tcBorders>
          </w:tcPr>
          <w:p w14:paraId="6F277C4C">
            <w:pPr>
              <w:adjustRightInd w:val="0"/>
              <w:snapToGrid w:val="0"/>
              <w:ind w:firstLine="480" w:firstLineChars="200"/>
              <w:rPr>
                <w:rFonts w:ascii="宋体"/>
                <w:color w:val="auto"/>
                <w:sz w:val="24"/>
                <w:szCs w:val="24"/>
                <w:highlight w:val="none"/>
              </w:rPr>
            </w:pPr>
            <w:r>
              <w:rPr>
                <w:rFonts w:hint="eastAsia" w:ascii="宋体" w:hAnsi="宋体" w:cs="宋体"/>
                <w:color w:val="auto"/>
                <w:sz w:val="24"/>
                <w:szCs w:val="24"/>
                <w:highlight w:val="none"/>
              </w:rPr>
              <w:t>内容</w:t>
            </w:r>
          </w:p>
          <w:p w14:paraId="1D8E11FE">
            <w:pPr>
              <w:adjustRightInd w:val="0"/>
              <w:snapToGrid w:val="0"/>
              <w:spacing w:before="120" w:beforeLines="50"/>
              <w:rPr>
                <w:rFonts w:ascii="宋体"/>
                <w:color w:val="auto"/>
                <w:sz w:val="24"/>
                <w:szCs w:val="24"/>
                <w:highlight w:val="none"/>
              </w:rPr>
            </w:pPr>
            <w:r>
              <w:rPr>
                <w:rFonts w:hint="eastAsia" w:ascii="宋体" w:hAnsi="宋体" w:cs="宋体"/>
                <w:color w:val="auto"/>
                <w:sz w:val="24"/>
                <w:szCs w:val="24"/>
                <w:highlight w:val="none"/>
              </w:rPr>
              <w:t>要素</w:t>
            </w:r>
          </w:p>
        </w:tc>
        <w:tc>
          <w:tcPr>
            <w:tcW w:w="1835" w:type="dxa"/>
            <w:tcBorders>
              <w:top w:val="single" w:color="auto" w:sz="8" w:space="0"/>
            </w:tcBorders>
            <w:vAlign w:val="center"/>
          </w:tcPr>
          <w:p w14:paraId="675F2ECB">
            <w:pPr>
              <w:adjustRightInd w:val="0"/>
              <w:snapToGrid w:val="0"/>
              <w:jc w:val="center"/>
              <w:rPr>
                <w:rFonts w:ascii="宋体"/>
                <w:color w:val="auto"/>
                <w:sz w:val="24"/>
                <w:szCs w:val="24"/>
                <w:highlight w:val="none"/>
              </w:rPr>
            </w:pPr>
            <w:r>
              <w:rPr>
                <w:rFonts w:hint="eastAsia" w:ascii="宋体" w:hAnsi="宋体" w:cs="宋体"/>
                <w:color w:val="auto"/>
                <w:sz w:val="24"/>
                <w:szCs w:val="24"/>
                <w:highlight w:val="none"/>
              </w:rPr>
              <w:t>排放口</w:t>
            </w:r>
            <w:r>
              <w:rPr>
                <w:rFonts w:ascii="宋体" w:hAnsi="宋体" w:cs="宋体"/>
                <w:color w:val="auto"/>
                <w:sz w:val="24"/>
                <w:szCs w:val="24"/>
                <w:highlight w:val="none"/>
              </w:rPr>
              <w:t>(</w:t>
            </w:r>
            <w:r>
              <w:rPr>
                <w:rFonts w:hint="eastAsia" w:ascii="宋体" w:hAnsi="宋体" w:cs="宋体"/>
                <w:color w:val="auto"/>
                <w:sz w:val="24"/>
                <w:szCs w:val="24"/>
                <w:highlight w:val="none"/>
              </w:rPr>
              <w:t>编号、名称</w:t>
            </w:r>
            <w:r>
              <w:rPr>
                <w:rFonts w:ascii="宋体" w:hAnsi="宋体" w:cs="宋体"/>
                <w:color w:val="auto"/>
                <w:sz w:val="24"/>
                <w:szCs w:val="24"/>
                <w:highlight w:val="none"/>
              </w:rPr>
              <w:t>)/</w:t>
            </w:r>
            <w:r>
              <w:rPr>
                <w:rFonts w:hint="eastAsia" w:ascii="宋体" w:hAnsi="宋体" w:cs="宋体"/>
                <w:color w:val="auto"/>
                <w:sz w:val="24"/>
                <w:szCs w:val="24"/>
                <w:highlight w:val="none"/>
              </w:rPr>
              <w:t>污染源</w:t>
            </w:r>
          </w:p>
        </w:tc>
        <w:tc>
          <w:tcPr>
            <w:tcW w:w="1445" w:type="dxa"/>
            <w:tcBorders>
              <w:top w:val="single" w:color="auto" w:sz="8" w:space="0"/>
            </w:tcBorders>
            <w:vAlign w:val="center"/>
          </w:tcPr>
          <w:p w14:paraId="3970930B">
            <w:pPr>
              <w:adjustRightInd w:val="0"/>
              <w:snapToGrid w:val="0"/>
              <w:jc w:val="center"/>
              <w:rPr>
                <w:rFonts w:ascii="宋体"/>
                <w:color w:val="auto"/>
                <w:sz w:val="24"/>
                <w:szCs w:val="24"/>
                <w:highlight w:val="none"/>
              </w:rPr>
            </w:pPr>
            <w:r>
              <w:rPr>
                <w:rFonts w:hint="eastAsia" w:ascii="宋体" w:hAnsi="宋体" w:cs="宋体"/>
                <w:color w:val="auto"/>
                <w:sz w:val="24"/>
                <w:szCs w:val="24"/>
                <w:highlight w:val="none"/>
              </w:rPr>
              <w:t>污染物项目</w:t>
            </w:r>
          </w:p>
        </w:tc>
        <w:tc>
          <w:tcPr>
            <w:tcW w:w="1968" w:type="dxa"/>
            <w:tcBorders>
              <w:top w:val="single" w:color="auto" w:sz="8" w:space="0"/>
            </w:tcBorders>
            <w:vAlign w:val="center"/>
          </w:tcPr>
          <w:p w14:paraId="1431B430">
            <w:pPr>
              <w:adjustRightInd w:val="0"/>
              <w:snapToGrid w:val="0"/>
              <w:jc w:val="center"/>
              <w:rPr>
                <w:rFonts w:ascii="宋体"/>
                <w:color w:val="auto"/>
                <w:sz w:val="24"/>
                <w:szCs w:val="24"/>
                <w:highlight w:val="none"/>
              </w:rPr>
            </w:pPr>
            <w:r>
              <w:rPr>
                <w:rFonts w:hint="eastAsia" w:ascii="宋体" w:hAnsi="宋体" w:cs="宋体"/>
                <w:color w:val="auto"/>
                <w:sz w:val="24"/>
                <w:szCs w:val="24"/>
                <w:highlight w:val="none"/>
              </w:rPr>
              <w:t>环境保护措施</w:t>
            </w:r>
          </w:p>
        </w:tc>
        <w:tc>
          <w:tcPr>
            <w:tcW w:w="2673" w:type="dxa"/>
            <w:tcBorders>
              <w:top w:val="single" w:color="auto" w:sz="8" w:space="0"/>
            </w:tcBorders>
            <w:vAlign w:val="center"/>
          </w:tcPr>
          <w:p w14:paraId="38C87664">
            <w:pPr>
              <w:adjustRightInd w:val="0"/>
              <w:snapToGrid w:val="0"/>
              <w:jc w:val="center"/>
              <w:rPr>
                <w:rFonts w:ascii="宋体"/>
                <w:color w:val="auto"/>
                <w:sz w:val="24"/>
                <w:szCs w:val="24"/>
                <w:highlight w:val="none"/>
              </w:rPr>
            </w:pPr>
            <w:r>
              <w:rPr>
                <w:rFonts w:hint="eastAsia" w:ascii="宋体" w:hAnsi="宋体" w:cs="宋体"/>
                <w:color w:val="auto"/>
                <w:sz w:val="24"/>
                <w:szCs w:val="24"/>
                <w:highlight w:val="none"/>
              </w:rPr>
              <w:t>执行标准</w:t>
            </w:r>
          </w:p>
        </w:tc>
      </w:tr>
      <w:tr w14:paraId="08879B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00" w:hRule="atLeast"/>
          <w:jc w:val="center"/>
        </w:trPr>
        <w:tc>
          <w:tcPr>
            <w:tcW w:w="1277" w:type="dxa"/>
            <w:vMerge w:val="restart"/>
            <w:vAlign w:val="center"/>
          </w:tcPr>
          <w:p w14:paraId="71D1C917">
            <w:pPr>
              <w:adjustRightInd w:val="0"/>
              <w:snapToGrid w:val="0"/>
              <w:jc w:val="center"/>
              <w:rPr>
                <w:rFonts w:ascii="宋体"/>
                <w:color w:val="auto"/>
                <w:sz w:val="24"/>
                <w:szCs w:val="24"/>
                <w:highlight w:val="none"/>
              </w:rPr>
            </w:pPr>
            <w:r>
              <w:rPr>
                <w:rFonts w:hint="eastAsia" w:ascii="宋体" w:hAnsi="宋体" w:cs="宋体"/>
                <w:color w:val="auto"/>
                <w:sz w:val="24"/>
                <w:szCs w:val="24"/>
                <w:highlight w:val="none"/>
              </w:rPr>
              <w:t>大气环境</w:t>
            </w:r>
          </w:p>
        </w:tc>
        <w:tc>
          <w:tcPr>
            <w:tcW w:w="1835" w:type="dxa"/>
            <w:vAlign w:val="center"/>
          </w:tcPr>
          <w:p w14:paraId="2A127716">
            <w:pPr>
              <w:adjustRightInd w:val="0"/>
              <w:snapToGrid w:val="0"/>
              <w:jc w:val="center"/>
              <w:rPr>
                <w:rFonts w:ascii="宋体" w:hAnsi="宋体" w:cs="宋体"/>
                <w:color w:val="auto"/>
                <w:sz w:val="24"/>
                <w:szCs w:val="24"/>
                <w:highlight w:val="none"/>
              </w:rPr>
            </w:pPr>
            <w:r>
              <w:rPr>
                <w:rFonts w:ascii="宋体" w:hAnsi="宋体" w:cs="宋体"/>
                <w:color w:val="auto"/>
                <w:sz w:val="24"/>
                <w:szCs w:val="24"/>
                <w:highlight w:val="none"/>
              </w:rPr>
              <w:t xml:space="preserve">DA001 </w:t>
            </w:r>
            <w:r>
              <w:rPr>
                <w:rFonts w:hint="eastAsia" w:ascii="宋体" w:hAnsi="宋体" w:cs="宋体"/>
                <w:color w:val="auto"/>
                <w:sz w:val="24"/>
                <w:szCs w:val="24"/>
                <w:highlight w:val="none"/>
              </w:rPr>
              <w:t>破碎、粉碎、制粒工序</w:t>
            </w:r>
          </w:p>
        </w:tc>
        <w:tc>
          <w:tcPr>
            <w:tcW w:w="1445" w:type="dxa"/>
            <w:vAlign w:val="center"/>
          </w:tcPr>
          <w:p w14:paraId="3FA95C26">
            <w:pPr>
              <w:adjustRightInd w:val="0"/>
              <w:snapToGrid w:val="0"/>
              <w:jc w:val="center"/>
              <w:rPr>
                <w:rFonts w:ascii="宋体" w:hAnsi="宋体" w:cs="宋体"/>
                <w:color w:val="auto"/>
                <w:sz w:val="24"/>
                <w:szCs w:val="24"/>
                <w:highlight w:val="none"/>
              </w:rPr>
            </w:pPr>
            <w:r>
              <w:rPr>
                <w:rFonts w:hint="eastAsia" w:ascii="宋体" w:hAnsi="宋体" w:cs="宋体"/>
                <w:color w:val="auto"/>
                <w:sz w:val="24"/>
                <w:szCs w:val="24"/>
                <w:highlight w:val="none"/>
              </w:rPr>
              <w:t>颗粒物</w:t>
            </w:r>
          </w:p>
        </w:tc>
        <w:tc>
          <w:tcPr>
            <w:tcW w:w="1968" w:type="dxa"/>
            <w:vAlign w:val="center"/>
          </w:tcPr>
          <w:p w14:paraId="6D61259F">
            <w:pPr>
              <w:adjustRightInd w:val="0"/>
              <w:snapToGrid w:val="0"/>
              <w:jc w:val="center"/>
              <w:rPr>
                <w:rFonts w:ascii="宋体" w:hAnsi="宋体" w:cs="宋体"/>
                <w:color w:val="auto"/>
                <w:sz w:val="24"/>
                <w:szCs w:val="24"/>
                <w:highlight w:val="none"/>
              </w:rPr>
            </w:pPr>
            <w:r>
              <w:rPr>
                <w:rFonts w:hint="eastAsia" w:ascii="宋体" w:hAnsi="宋体" w:cs="宋体"/>
                <w:color w:val="auto"/>
                <w:sz w:val="24"/>
                <w:szCs w:val="24"/>
                <w:highlight w:val="none"/>
              </w:rPr>
              <w:t>集气装置</w:t>
            </w:r>
            <w:r>
              <w:rPr>
                <w:rFonts w:hint="eastAsia" w:ascii="宋体" w:hAnsi="宋体" w:cs="宋体"/>
                <w:color w:val="auto"/>
                <w:sz w:val="24"/>
                <w:szCs w:val="24"/>
                <w:highlight w:val="none"/>
                <w:lang w:eastAsia="zh-CN"/>
              </w:rPr>
              <w:t>（加装软帘）</w:t>
            </w:r>
            <w:r>
              <w:rPr>
                <w:rFonts w:hint="eastAsia" w:ascii="宋体" w:hAnsi="宋体" w:cs="宋体"/>
                <w:color w:val="auto"/>
                <w:sz w:val="24"/>
                <w:szCs w:val="24"/>
                <w:highlight w:val="none"/>
              </w:rPr>
              <w:t>+旋风除尘+布袋除尘</w:t>
            </w:r>
            <w:r>
              <w:rPr>
                <w:rFonts w:ascii="宋体" w:hAnsi="宋体" w:cs="宋体"/>
                <w:color w:val="auto"/>
                <w:sz w:val="24"/>
                <w:szCs w:val="24"/>
                <w:highlight w:val="none"/>
              </w:rPr>
              <w:t>+15</w:t>
            </w:r>
            <w:r>
              <w:rPr>
                <w:rFonts w:hint="eastAsia" w:ascii="宋体" w:hAnsi="宋体" w:cs="宋体"/>
                <w:color w:val="auto"/>
                <w:sz w:val="24"/>
                <w:szCs w:val="24"/>
                <w:highlight w:val="none"/>
              </w:rPr>
              <w:t>米高排气筒</w:t>
            </w:r>
          </w:p>
        </w:tc>
        <w:tc>
          <w:tcPr>
            <w:tcW w:w="2673" w:type="dxa"/>
            <w:vMerge w:val="restart"/>
            <w:vAlign w:val="center"/>
          </w:tcPr>
          <w:p w14:paraId="3911EA04">
            <w:pPr>
              <w:adjustRightInd w:val="0"/>
              <w:snapToGrid w:val="0"/>
              <w:jc w:val="center"/>
              <w:rPr>
                <w:rFonts w:ascii="宋体" w:hAnsi="宋体" w:cs="宋体"/>
                <w:color w:val="auto"/>
                <w:sz w:val="24"/>
                <w:szCs w:val="24"/>
                <w:highlight w:val="none"/>
              </w:rPr>
            </w:pPr>
            <w:r>
              <w:rPr>
                <w:rFonts w:hint="eastAsia" w:ascii="宋体" w:hAnsi="宋体" w:cs="宋体"/>
                <w:color w:val="auto"/>
                <w:sz w:val="24"/>
                <w:szCs w:val="24"/>
                <w:highlight w:val="none"/>
              </w:rPr>
              <w:t>《大气污染物综合排放标准》（</w:t>
            </w:r>
            <w:r>
              <w:rPr>
                <w:rFonts w:ascii="宋体" w:hAnsi="宋体" w:cs="宋体"/>
                <w:color w:val="auto"/>
                <w:sz w:val="24"/>
                <w:szCs w:val="24"/>
                <w:highlight w:val="none"/>
              </w:rPr>
              <w:t>GB16297-1996</w:t>
            </w:r>
            <w:r>
              <w:rPr>
                <w:rFonts w:hint="eastAsia" w:ascii="宋体" w:hAnsi="宋体" w:cs="宋体"/>
                <w:color w:val="auto"/>
                <w:sz w:val="24"/>
                <w:szCs w:val="24"/>
                <w:highlight w:val="none"/>
              </w:rPr>
              <w:t>）表</w:t>
            </w:r>
            <w:r>
              <w:rPr>
                <w:rFonts w:ascii="宋体" w:hAnsi="宋体" w:cs="宋体"/>
                <w:color w:val="auto"/>
                <w:sz w:val="24"/>
                <w:szCs w:val="24"/>
                <w:highlight w:val="none"/>
              </w:rPr>
              <w:t>2</w:t>
            </w:r>
            <w:r>
              <w:rPr>
                <w:rFonts w:hint="eastAsia" w:ascii="宋体" w:hAnsi="宋体" w:cs="宋体"/>
                <w:color w:val="auto"/>
                <w:sz w:val="24"/>
                <w:szCs w:val="24"/>
                <w:highlight w:val="none"/>
              </w:rPr>
              <w:t>中的限值要求（</w:t>
            </w:r>
            <w:r>
              <w:rPr>
                <w:rFonts w:ascii="宋体" w:hAnsi="宋体" w:cs="宋体"/>
                <w:color w:val="auto"/>
                <w:sz w:val="24"/>
                <w:szCs w:val="24"/>
                <w:highlight w:val="none"/>
              </w:rPr>
              <w:t>GB37822-2019</w:t>
            </w:r>
            <w:r>
              <w:rPr>
                <w:rFonts w:hint="eastAsia" w:ascii="宋体" w:hAnsi="宋体" w:cs="宋体"/>
                <w:color w:val="auto"/>
                <w:sz w:val="24"/>
                <w:szCs w:val="24"/>
                <w:highlight w:val="none"/>
              </w:rPr>
              <w:t>）</w:t>
            </w:r>
          </w:p>
        </w:tc>
      </w:tr>
      <w:tr w14:paraId="74FEAE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277" w:type="dxa"/>
            <w:vMerge w:val="continue"/>
            <w:vAlign w:val="center"/>
          </w:tcPr>
          <w:p w14:paraId="3493C5F6">
            <w:pPr>
              <w:adjustRightInd w:val="0"/>
              <w:snapToGrid w:val="0"/>
              <w:jc w:val="center"/>
              <w:rPr>
                <w:rFonts w:hint="eastAsia" w:ascii="宋体" w:hAnsi="宋体" w:cs="宋体"/>
                <w:color w:val="auto"/>
                <w:sz w:val="24"/>
                <w:szCs w:val="24"/>
                <w:highlight w:val="none"/>
              </w:rPr>
            </w:pPr>
          </w:p>
        </w:tc>
        <w:tc>
          <w:tcPr>
            <w:tcW w:w="1835" w:type="dxa"/>
            <w:vAlign w:val="center"/>
          </w:tcPr>
          <w:p w14:paraId="24F02A81">
            <w:pPr>
              <w:adjustRightInd w:val="0"/>
              <w:snapToGrid w:val="0"/>
              <w:jc w:val="center"/>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原料装卸、输送</w:t>
            </w:r>
          </w:p>
        </w:tc>
        <w:tc>
          <w:tcPr>
            <w:tcW w:w="1445" w:type="dxa"/>
            <w:vAlign w:val="center"/>
          </w:tcPr>
          <w:p w14:paraId="5B879C75">
            <w:pPr>
              <w:adjustRightInd w:val="0"/>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颗粒物</w:t>
            </w:r>
          </w:p>
        </w:tc>
        <w:tc>
          <w:tcPr>
            <w:tcW w:w="1968" w:type="dxa"/>
            <w:vAlign w:val="center"/>
          </w:tcPr>
          <w:p w14:paraId="5AE424E7">
            <w:pPr>
              <w:adjustRightInd w:val="0"/>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lang w:eastAsia="zh-CN"/>
              </w:rPr>
              <w:t>物料库封闭；输送带做密闭处理</w:t>
            </w:r>
          </w:p>
        </w:tc>
        <w:tc>
          <w:tcPr>
            <w:tcW w:w="2673" w:type="dxa"/>
            <w:vMerge w:val="continue"/>
            <w:vAlign w:val="center"/>
          </w:tcPr>
          <w:p w14:paraId="43B4DC75">
            <w:pPr>
              <w:adjustRightInd w:val="0"/>
              <w:snapToGrid w:val="0"/>
              <w:jc w:val="center"/>
              <w:rPr>
                <w:rFonts w:hint="eastAsia" w:ascii="宋体" w:hAnsi="宋体" w:cs="宋体"/>
                <w:color w:val="auto"/>
                <w:sz w:val="24"/>
                <w:szCs w:val="24"/>
                <w:highlight w:val="none"/>
              </w:rPr>
            </w:pPr>
          </w:p>
        </w:tc>
      </w:tr>
      <w:tr w14:paraId="76670B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1277" w:type="dxa"/>
            <w:vMerge w:val="continue"/>
            <w:vAlign w:val="center"/>
          </w:tcPr>
          <w:p w14:paraId="3E2CFC47">
            <w:pPr>
              <w:adjustRightInd w:val="0"/>
              <w:snapToGrid w:val="0"/>
              <w:jc w:val="center"/>
              <w:rPr>
                <w:rFonts w:hint="eastAsia" w:ascii="宋体" w:hAnsi="宋体" w:cs="宋体"/>
                <w:color w:val="auto"/>
                <w:sz w:val="24"/>
                <w:szCs w:val="24"/>
                <w:highlight w:val="none"/>
              </w:rPr>
            </w:pPr>
          </w:p>
        </w:tc>
        <w:tc>
          <w:tcPr>
            <w:tcW w:w="1835" w:type="dxa"/>
            <w:vMerge w:val="restart"/>
            <w:vAlign w:val="center"/>
          </w:tcPr>
          <w:p w14:paraId="0D4C4CE8">
            <w:pPr>
              <w:adjustRightInd w:val="0"/>
              <w:snapToGrid w:val="0"/>
              <w:jc w:val="center"/>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车辆运输</w:t>
            </w:r>
          </w:p>
        </w:tc>
        <w:tc>
          <w:tcPr>
            <w:tcW w:w="1445" w:type="dxa"/>
            <w:vAlign w:val="center"/>
          </w:tcPr>
          <w:p w14:paraId="15D44EC8">
            <w:pPr>
              <w:adjustRightInd w:val="0"/>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扬尘</w:t>
            </w:r>
          </w:p>
        </w:tc>
        <w:tc>
          <w:tcPr>
            <w:tcW w:w="1968" w:type="dxa"/>
            <w:vMerge w:val="restart"/>
            <w:vAlign w:val="center"/>
          </w:tcPr>
          <w:p w14:paraId="3FBC5CAD">
            <w:pPr>
              <w:adjustRightInd w:val="0"/>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lang w:eastAsia="zh-CN"/>
              </w:rPr>
              <w:t>设置车辆洗车平台，厂区内道路路面硬化、定期清扫</w:t>
            </w:r>
          </w:p>
        </w:tc>
        <w:tc>
          <w:tcPr>
            <w:tcW w:w="2673" w:type="dxa"/>
            <w:vMerge w:val="continue"/>
            <w:vAlign w:val="center"/>
          </w:tcPr>
          <w:p w14:paraId="7D8D5ADE">
            <w:pPr>
              <w:adjustRightInd w:val="0"/>
              <w:snapToGrid w:val="0"/>
              <w:jc w:val="center"/>
              <w:rPr>
                <w:rFonts w:hint="eastAsia" w:ascii="宋体" w:hAnsi="宋体" w:cs="宋体"/>
                <w:color w:val="auto"/>
                <w:sz w:val="24"/>
                <w:szCs w:val="24"/>
                <w:highlight w:val="none"/>
              </w:rPr>
            </w:pPr>
          </w:p>
        </w:tc>
      </w:tr>
      <w:tr w14:paraId="71B65C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1277" w:type="dxa"/>
            <w:vMerge w:val="continue"/>
            <w:vAlign w:val="center"/>
          </w:tcPr>
          <w:p w14:paraId="4DDF61B7">
            <w:pPr>
              <w:adjustRightInd w:val="0"/>
              <w:snapToGrid w:val="0"/>
              <w:jc w:val="center"/>
              <w:rPr>
                <w:color w:val="auto"/>
              </w:rPr>
            </w:pPr>
          </w:p>
        </w:tc>
        <w:tc>
          <w:tcPr>
            <w:tcW w:w="1835" w:type="dxa"/>
            <w:vMerge w:val="continue"/>
            <w:vAlign w:val="center"/>
          </w:tcPr>
          <w:p w14:paraId="1297FC2F">
            <w:pPr>
              <w:adjustRightInd w:val="0"/>
              <w:snapToGrid w:val="0"/>
              <w:jc w:val="center"/>
              <w:rPr>
                <w:rFonts w:hint="eastAsia" w:ascii="宋体" w:hAnsi="宋体" w:cs="宋体"/>
                <w:color w:val="auto"/>
                <w:sz w:val="24"/>
                <w:szCs w:val="24"/>
                <w:highlight w:val="none"/>
              </w:rPr>
            </w:pPr>
          </w:p>
        </w:tc>
        <w:tc>
          <w:tcPr>
            <w:tcW w:w="1445" w:type="dxa"/>
            <w:vAlign w:val="center"/>
          </w:tcPr>
          <w:p w14:paraId="235E4284">
            <w:pPr>
              <w:adjustRightInd w:val="0"/>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CO</w:t>
            </w:r>
          </w:p>
        </w:tc>
        <w:tc>
          <w:tcPr>
            <w:tcW w:w="1968" w:type="dxa"/>
            <w:vMerge w:val="continue"/>
            <w:vAlign w:val="center"/>
          </w:tcPr>
          <w:p w14:paraId="74C4D24D">
            <w:pPr>
              <w:adjustRightInd w:val="0"/>
              <w:snapToGrid w:val="0"/>
              <w:jc w:val="center"/>
              <w:rPr>
                <w:rFonts w:hint="eastAsia" w:ascii="宋体" w:hAnsi="宋体" w:cs="宋体"/>
                <w:color w:val="auto"/>
                <w:sz w:val="24"/>
                <w:szCs w:val="24"/>
                <w:highlight w:val="none"/>
              </w:rPr>
            </w:pPr>
          </w:p>
        </w:tc>
        <w:tc>
          <w:tcPr>
            <w:tcW w:w="2673" w:type="dxa"/>
            <w:vMerge w:val="continue"/>
            <w:vAlign w:val="center"/>
          </w:tcPr>
          <w:p w14:paraId="568A889E">
            <w:pPr>
              <w:adjustRightInd w:val="0"/>
              <w:snapToGrid w:val="0"/>
              <w:jc w:val="center"/>
              <w:rPr>
                <w:rFonts w:hint="eastAsia" w:ascii="宋体" w:hAnsi="宋体" w:cs="宋体"/>
                <w:color w:val="auto"/>
                <w:sz w:val="24"/>
                <w:szCs w:val="24"/>
                <w:highlight w:val="none"/>
              </w:rPr>
            </w:pPr>
          </w:p>
        </w:tc>
      </w:tr>
      <w:tr w14:paraId="026A76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1277" w:type="dxa"/>
            <w:vMerge w:val="continue"/>
            <w:vAlign w:val="center"/>
          </w:tcPr>
          <w:p w14:paraId="081F9738">
            <w:pPr>
              <w:adjustRightInd w:val="0"/>
              <w:snapToGrid w:val="0"/>
              <w:jc w:val="center"/>
              <w:rPr>
                <w:rFonts w:hint="eastAsia" w:ascii="宋体" w:hAnsi="宋体" w:cs="宋体"/>
                <w:color w:val="auto"/>
                <w:sz w:val="24"/>
                <w:szCs w:val="24"/>
                <w:highlight w:val="none"/>
              </w:rPr>
            </w:pPr>
          </w:p>
        </w:tc>
        <w:tc>
          <w:tcPr>
            <w:tcW w:w="1835" w:type="dxa"/>
            <w:vMerge w:val="continue"/>
            <w:vAlign w:val="center"/>
          </w:tcPr>
          <w:p w14:paraId="7FB3C445">
            <w:pPr>
              <w:adjustRightInd w:val="0"/>
              <w:snapToGrid w:val="0"/>
              <w:jc w:val="center"/>
              <w:rPr>
                <w:rFonts w:hint="eastAsia" w:ascii="宋体" w:hAnsi="宋体" w:cs="宋体"/>
                <w:color w:val="auto"/>
                <w:sz w:val="24"/>
                <w:szCs w:val="24"/>
                <w:highlight w:val="none"/>
              </w:rPr>
            </w:pPr>
          </w:p>
        </w:tc>
        <w:tc>
          <w:tcPr>
            <w:tcW w:w="1445" w:type="dxa"/>
            <w:vAlign w:val="center"/>
          </w:tcPr>
          <w:p w14:paraId="2FC44511">
            <w:pPr>
              <w:adjustRightInd w:val="0"/>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NOx</w:t>
            </w:r>
          </w:p>
        </w:tc>
        <w:tc>
          <w:tcPr>
            <w:tcW w:w="1968" w:type="dxa"/>
            <w:vMerge w:val="continue"/>
            <w:vAlign w:val="center"/>
          </w:tcPr>
          <w:p w14:paraId="05FFE71F">
            <w:pPr>
              <w:adjustRightInd w:val="0"/>
              <w:snapToGrid w:val="0"/>
              <w:jc w:val="center"/>
              <w:rPr>
                <w:rFonts w:hint="eastAsia" w:ascii="宋体" w:hAnsi="宋体" w:cs="宋体"/>
                <w:color w:val="auto"/>
                <w:sz w:val="24"/>
                <w:szCs w:val="24"/>
                <w:highlight w:val="none"/>
              </w:rPr>
            </w:pPr>
          </w:p>
        </w:tc>
        <w:tc>
          <w:tcPr>
            <w:tcW w:w="2673" w:type="dxa"/>
            <w:vMerge w:val="continue"/>
            <w:vAlign w:val="center"/>
          </w:tcPr>
          <w:p w14:paraId="77584BC5">
            <w:pPr>
              <w:adjustRightInd w:val="0"/>
              <w:snapToGrid w:val="0"/>
              <w:jc w:val="center"/>
              <w:rPr>
                <w:rFonts w:hint="eastAsia" w:ascii="宋体" w:hAnsi="宋体" w:cs="宋体"/>
                <w:color w:val="auto"/>
                <w:sz w:val="24"/>
                <w:szCs w:val="24"/>
                <w:highlight w:val="none"/>
              </w:rPr>
            </w:pPr>
          </w:p>
        </w:tc>
      </w:tr>
      <w:tr w14:paraId="4D77F4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1277" w:type="dxa"/>
            <w:vMerge w:val="continue"/>
            <w:vAlign w:val="center"/>
          </w:tcPr>
          <w:p w14:paraId="7A76F79A">
            <w:pPr>
              <w:adjustRightInd w:val="0"/>
              <w:snapToGrid w:val="0"/>
              <w:jc w:val="center"/>
              <w:rPr>
                <w:rFonts w:hint="eastAsia" w:ascii="宋体" w:hAnsi="宋体" w:cs="宋体"/>
                <w:color w:val="auto"/>
                <w:sz w:val="24"/>
                <w:szCs w:val="24"/>
                <w:highlight w:val="none"/>
              </w:rPr>
            </w:pPr>
          </w:p>
        </w:tc>
        <w:tc>
          <w:tcPr>
            <w:tcW w:w="1835" w:type="dxa"/>
            <w:vMerge w:val="continue"/>
            <w:vAlign w:val="center"/>
          </w:tcPr>
          <w:p w14:paraId="5EBB6F08">
            <w:pPr>
              <w:adjustRightInd w:val="0"/>
              <w:snapToGrid w:val="0"/>
              <w:jc w:val="center"/>
              <w:rPr>
                <w:rFonts w:hint="eastAsia" w:ascii="宋体" w:hAnsi="宋体" w:cs="宋体"/>
                <w:color w:val="auto"/>
                <w:sz w:val="24"/>
                <w:szCs w:val="24"/>
                <w:highlight w:val="none"/>
              </w:rPr>
            </w:pPr>
          </w:p>
        </w:tc>
        <w:tc>
          <w:tcPr>
            <w:tcW w:w="1445" w:type="dxa"/>
            <w:vAlign w:val="center"/>
          </w:tcPr>
          <w:p w14:paraId="4A0467C4">
            <w:pPr>
              <w:adjustRightInd w:val="0"/>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HC</w:t>
            </w:r>
          </w:p>
        </w:tc>
        <w:tc>
          <w:tcPr>
            <w:tcW w:w="1968" w:type="dxa"/>
            <w:vMerge w:val="continue"/>
            <w:vAlign w:val="center"/>
          </w:tcPr>
          <w:p w14:paraId="3ECBD1A6">
            <w:pPr>
              <w:adjustRightInd w:val="0"/>
              <w:snapToGrid w:val="0"/>
              <w:jc w:val="center"/>
              <w:rPr>
                <w:rFonts w:hint="eastAsia" w:ascii="宋体" w:hAnsi="宋体" w:cs="宋体"/>
                <w:color w:val="auto"/>
                <w:sz w:val="24"/>
                <w:szCs w:val="24"/>
                <w:highlight w:val="none"/>
              </w:rPr>
            </w:pPr>
          </w:p>
        </w:tc>
        <w:tc>
          <w:tcPr>
            <w:tcW w:w="2673" w:type="dxa"/>
            <w:vMerge w:val="continue"/>
            <w:vAlign w:val="center"/>
          </w:tcPr>
          <w:p w14:paraId="5AF7DFAF">
            <w:pPr>
              <w:adjustRightInd w:val="0"/>
              <w:snapToGrid w:val="0"/>
              <w:jc w:val="center"/>
              <w:rPr>
                <w:rFonts w:hint="eastAsia" w:ascii="宋体" w:hAnsi="宋体" w:cs="宋体"/>
                <w:color w:val="auto"/>
                <w:sz w:val="24"/>
                <w:szCs w:val="24"/>
                <w:highlight w:val="none"/>
              </w:rPr>
            </w:pPr>
          </w:p>
        </w:tc>
      </w:tr>
      <w:tr w14:paraId="4C1C38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51" w:hRule="atLeast"/>
          <w:jc w:val="center"/>
        </w:trPr>
        <w:tc>
          <w:tcPr>
            <w:tcW w:w="1277" w:type="dxa"/>
            <w:vMerge w:val="restart"/>
            <w:vAlign w:val="center"/>
          </w:tcPr>
          <w:p w14:paraId="1E671886">
            <w:pPr>
              <w:adjustRightInd w:val="0"/>
              <w:snapToGrid w:val="0"/>
              <w:jc w:val="center"/>
              <w:rPr>
                <w:rFonts w:ascii="宋体"/>
                <w:color w:val="auto"/>
                <w:sz w:val="24"/>
                <w:szCs w:val="24"/>
                <w:highlight w:val="none"/>
              </w:rPr>
            </w:pPr>
            <w:r>
              <w:rPr>
                <w:rFonts w:hint="eastAsia" w:ascii="宋体" w:hAnsi="宋体" w:cs="宋体"/>
                <w:color w:val="auto"/>
                <w:sz w:val="24"/>
                <w:szCs w:val="24"/>
                <w:highlight w:val="none"/>
              </w:rPr>
              <w:t>地表水环境</w:t>
            </w:r>
          </w:p>
        </w:tc>
        <w:tc>
          <w:tcPr>
            <w:tcW w:w="1835" w:type="dxa"/>
            <w:vAlign w:val="center"/>
          </w:tcPr>
          <w:p w14:paraId="03A64104">
            <w:pPr>
              <w:adjustRightInd w:val="0"/>
              <w:snapToGrid w:val="0"/>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车辆冲洗废水</w:t>
            </w:r>
          </w:p>
        </w:tc>
        <w:tc>
          <w:tcPr>
            <w:tcW w:w="1445" w:type="dxa"/>
            <w:vAlign w:val="center"/>
          </w:tcPr>
          <w:p w14:paraId="3BD2DAC6">
            <w:pPr>
              <w:adjustRightInd w:val="0"/>
              <w:snapToGrid w:val="0"/>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SS</w:t>
            </w:r>
          </w:p>
        </w:tc>
        <w:tc>
          <w:tcPr>
            <w:tcW w:w="1968" w:type="dxa"/>
            <w:vAlign w:val="center"/>
          </w:tcPr>
          <w:p w14:paraId="27445E53">
            <w:pPr>
              <w:adjustRightInd w:val="0"/>
              <w:snapToGrid w:val="0"/>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eastAsia="zh-CN"/>
              </w:rPr>
              <w:t>沉淀池处理后回用于车辆冲洗，不外排</w:t>
            </w:r>
          </w:p>
        </w:tc>
        <w:tc>
          <w:tcPr>
            <w:tcW w:w="2673" w:type="dxa"/>
            <w:vAlign w:val="center"/>
          </w:tcPr>
          <w:p w14:paraId="319D1FA0">
            <w:pPr>
              <w:adjustRightInd w:val="0"/>
              <w:snapToGrid w:val="0"/>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w:t>
            </w:r>
          </w:p>
        </w:tc>
      </w:tr>
      <w:tr w14:paraId="2D8846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51" w:hRule="atLeast"/>
          <w:jc w:val="center"/>
        </w:trPr>
        <w:tc>
          <w:tcPr>
            <w:tcW w:w="1277" w:type="dxa"/>
            <w:vMerge w:val="continue"/>
            <w:vAlign w:val="center"/>
          </w:tcPr>
          <w:p w14:paraId="7B0EF95A">
            <w:pPr>
              <w:adjustRightInd w:val="0"/>
              <w:snapToGrid w:val="0"/>
              <w:jc w:val="center"/>
              <w:rPr>
                <w:rFonts w:ascii="宋体"/>
                <w:color w:val="auto"/>
                <w:sz w:val="24"/>
                <w:szCs w:val="24"/>
                <w:highlight w:val="none"/>
              </w:rPr>
            </w:pPr>
          </w:p>
        </w:tc>
        <w:tc>
          <w:tcPr>
            <w:tcW w:w="1835" w:type="dxa"/>
            <w:vAlign w:val="center"/>
          </w:tcPr>
          <w:p w14:paraId="33AB7720">
            <w:pPr>
              <w:adjustRightInd w:val="0"/>
              <w:snapToGrid w:val="0"/>
              <w:jc w:val="center"/>
              <w:rPr>
                <w:rFonts w:ascii="宋体"/>
                <w:color w:val="auto"/>
                <w:sz w:val="24"/>
                <w:szCs w:val="24"/>
                <w:highlight w:val="none"/>
              </w:rPr>
            </w:pPr>
            <w:r>
              <w:rPr>
                <w:rFonts w:hint="eastAsia" w:ascii="宋体" w:hAnsi="宋体" w:cs="宋体"/>
                <w:color w:val="auto"/>
                <w:sz w:val="24"/>
                <w:szCs w:val="24"/>
                <w:highlight w:val="none"/>
              </w:rPr>
              <w:t>生活污水</w:t>
            </w:r>
          </w:p>
        </w:tc>
        <w:tc>
          <w:tcPr>
            <w:tcW w:w="1445" w:type="dxa"/>
            <w:vAlign w:val="center"/>
          </w:tcPr>
          <w:p w14:paraId="6C94FB48">
            <w:pPr>
              <w:adjustRightInd w:val="0"/>
              <w:snapToGrid w:val="0"/>
              <w:jc w:val="center"/>
              <w:rPr>
                <w:rFonts w:ascii="宋体"/>
                <w:color w:val="auto"/>
                <w:sz w:val="24"/>
                <w:szCs w:val="24"/>
                <w:highlight w:val="none"/>
              </w:rPr>
            </w:pPr>
            <w:r>
              <w:rPr>
                <w:rFonts w:ascii="宋体" w:hAnsi="宋体" w:cs="宋体"/>
                <w:color w:val="auto"/>
                <w:sz w:val="24"/>
                <w:szCs w:val="24"/>
                <w:highlight w:val="none"/>
              </w:rPr>
              <w:t>COD</w:t>
            </w:r>
            <w:r>
              <w:rPr>
                <w:rFonts w:hint="eastAsia" w:ascii="宋体" w:hAnsi="宋体" w:cs="宋体"/>
                <w:color w:val="auto"/>
                <w:sz w:val="24"/>
                <w:szCs w:val="24"/>
                <w:highlight w:val="none"/>
              </w:rPr>
              <w:t>、</w:t>
            </w:r>
            <w:r>
              <w:rPr>
                <w:rFonts w:ascii="宋体" w:hAnsi="宋体" w:cs="宋体"/>
                <w:color w:val="auto"/>
                <w:sz w:val="24"/>
                <w:szCs w:val="24"/>
                <w:highlight w:val="none"/>
              </w:rPr>
              <w:t>SS</w:t>
            </w:r>
            <w:r>
              <w:rPr>
                <w:rFonts w:hint="eastAsia" w:ascii="宋体" w:hAnsi="宋体" w:cs="宋体"/>
                <w:color w:val="auto"/>
                <w:sz w:val="24"/>
                <w:szCs w:val="24"/>
                <w:highlight w:val="none"/>
              </w:rPr>
              <w:t>、氨氮、</w:t>
            </w:r>
            <w:r>
              <w:rPr>
                <w:rFonts w:ascii="宋体" w:hAnsi="宋体" w:cs="宋体"/>
                <w:color w:val="auto"/>
                <w:sz w:val="24"/>
                <w:szCs w:val="24"/>
                <w:highlight w:val="none"/>
              </w:rPr>
              <w:t>BOD5</w:t>
            </w:r>
          </w:p>
        </w:tc>
        <w:tc>
          <w:tcPr>
            <w:tcW w:w="1968" w:type="dxa"/>
            <w:vAlign w:val="center"/>
          </w:tcPr>
          <w:p w14:paraId="28F3620E">
            <w:pPr>
              <w:adjustRightInd w:val="0"/>
              <w:snapToGrid w:val="0"/>
              <w:jc w:val="center"/>
              <w:rPr>
                <w:rFonts w:ascii="宋体"/>
                <w:color w:val="auto"/>
                <w:sz w:val="24"/>
                <w:szCs w:val="24"/>
                <w:highlight w:val="none"/>
              </w:rPr>
            </w:pPr>
            <w:r>
              <w:rPr>
                <w:rFonts w:hint="eastAsia" w:ascii="宋体" w:hAnsi="宋体" w:cs="宋体"/>
                <w:color w:val="auto"/>
                <w:sz w:val="24"/>
                <w:szCs w:val="24"/>
                <w:highlight w:val="none"/>
              </w:rPr>
              <w:t>化粪池预处理</w:t>
            </w:r>
            <w:r>
              <w:rPr>
                <w:rFonts w:hint="eastAsia" w:ascii="宋体" w:hAnsi="宋体" w:cs="宋体"/>
                <w:color w:val="auto"/>
                <w:sz w:val="24"/>
                <w:szCs w:val="24"/>
                <w:highlight w:val="none"/>
                <w:lang w:eastAsia="zh-CN"/>
              </w:rPr>
              <w:t>后</w:t>
            </w:r>
            <w:r>
              <w:rPr>
                <w:rFonts w:hint="eastAsia" w:ascii="宋体" w:hAnsi="宋体" w:cs="宋体"/>
                <w:color w:val="auto"/>
                <w:sz w:val="24"/>
                <w:szCs w:val="24"/>
                <w:highlight w:val="none"/>
              </w:rPr>
              <w:t>经</w:t>
            </w:r>
            <w:r>
              <w:rPr>
                <w:rFonts w:hint="eastAsia" w:ascii="宋体" w:hAnsi="宋体" w:cs="宋体"/>
                <w:color w:val="auto"/>
                <w:sz w:val="24"/>
                <w:szCs w:val="24"/>
                <w:highlight w:val="none"/>
                <w:lang w:eastAsia="zh-CN"/>
              </w:rPr>
              <w:t>市政</w:t>
            </w:r>
            <w:r>
              <w:rPr>
                <w:rFonts w:hint="eastAsia" w:ascii="宋体" w:hAnsi="宋体" w:cs="宋体"/>
                <w:color w:val="auto"/>
                <w:sz w:val="24"/>
                <w:szCs w:val="24"/>
                <w:highlight w:val="none"/>
              </w:rPr>
              <w:t>污水管网排入</w:t>
            </w:r>
            <w:r>
              <w:rPr>
                <w:rFonts w:hint="eastAsia" w:ascii="宋体" w:hAnsi="宋体" w:cs="宋体"/>
                <w:color w:val="auto"/>
                <w:sz w:val="24"/>
                <w:szCs w:val="24"/>
                <w:highlight w:val="none"/>
                <w:lang w:eastAsia="zh-CN"/>
              </w:rPr>
              <w:t>淮北蓝海水处理有限公司处理，处理达标后部分作为平山电厂冷却循环水，剩余部分排入濉河</w:t>
            </w:r>
          </w:p>
        </w:tc>
        <w:tc>
          <w:tcPr>
            <w:tcW w:w="2673" w:type="dxa"/>
            <w:vAlign w:val="center"/>
          </w:tcPr>
          <w:p w14:paraId="0E22E2C5">
            <w:pPr>
              <w:adjustRightInd w:val="0"/>
              <w:snapToGrid w:val="0"/>
              <w:jc w:val="center"/>
              <w:rPr>
                <w:rFonts w:ascii="宋体"/>
                <w:color w:val="auto"/>
                <w:sz w:val="24"/>
                <w:szCs w:val="24"/>
                <w:highlight w:val="none"/>
              </w:rPr>
            </w:pPr>
            <w:r>
              <w:rPr>
                <w:rFonts w:hint="eastAsia" w:ascii="宋体" w:hAnsi="宋体" w:cs="宋体"/>
                <w:color w:val="auto"/>
                <w:sz w:val="24"/>
                <w:szCs w:val="24"/>
                <w:highlight w:val="none"/>
              </w:rPr>
              <w:t>执行</w:t>
            </w:r>
            <w:r>
              <w:rPr>
                <w:rFonts w:hint="eastAsia" w:ascii="宋体" w:hAnsi="宋体" w:cs="宋体"/>
                <w:color w:val="auto"/>
                <w:sz w:val="24"/>
                <w:szCs w:val="24"/>
                <w:highlight w:val="none"/>
                <w:lang w:eastAsia="zh-CN"/>
              </w:rPr>
              <w:t>淮北蓝海水处理有限公司</w:t>
            </w:r>
            <w:r>
              <w:rPr>
                <w:rFonts w:hint="eastAsia" w:ascii="宋体" w:hAnsi="宋体" w:cs="宋体"/>
                <w:color w:val="auto"/>
                <w:sz w:val="24"/>
                <w:szCs w:val="24"/>
                <w:highlight w:val="none"/>
              </w:rPr>
              <w:t>接管</w:t>
            </w:r>
            <w:r>
              <w:rPr>
                <w:rFonts w:hint="eastAsia" w:ascii="宋体" w:hAnsi="宋体" w:cs="宋体"/>
                <w:color w:val="auto"/>
                <w:sz w:val="24"/>
                <w:szCs w:val="24"/>
                <w:highlight w:val="none"/>
                <w:lang w:eastAsia="zh-CN"/>
              </w:rPr>
              <w:t>限值</w:t>
            </w:r>
            <w:r>
              <w:rPr>
                <w:rFonts w:hint="eastAsia" w:ascii="宋体" w:hAnsi="宋体" w:cs="宋体"/>
                <w:color w:val="auto"/>
                <w:sz w:val="24"/>
                <w:szCs w:val="24"/>
                <w:highlight w:val="none"/>
              </w:rPr>
              <w:t>及《污水综合排放标准》（</w:t>
            </w:r>
            <w:r>
              <w:rPr>
                <w:rFonts w:ascii="宋体" w:hAnsi="宋体" w:cs="宋体"/>
                <w:color w:val="auto"/>
                <w:sz w:val="24"/>
                <w:szCs w:val="24"/>
                <w:highlight w:val="none"/>
              </w:rPr>
              <w:t>GB8978-1996</w:t>
            </w:r>
            <w:r>
              <w:rPr>
                <w:rFonts w:hint="eastAsia" w:ascii="宋体" w:hAnsi="宋体" w:cs="宋体"/>
                <w:color w:val="auto"/>
                <w:sz w:val="24"/>
                <w:szCs w:val="24"/>
                <w:highlight w:val="none"/>
              </w:rPr>
              <w:t>）表</w:t>
            </w:r>
            <w:r>
              <w:rPr>
                <w:rFonts w:ascii="宋体" w:hAnsi="宋体" w:cs="宋体"/>
                <w:color w:val="auto"/>
                <w:sz w:val="24"/>
                <w:szCs w:val="24"/>
                <w:highlight w:val="none"/>
              </w:rPr>
              <w:t>4</w:t>
            </w:r>
            <w:r>
              <w:rPr>
                <w:rFonts w:hint="eastAsia" w:ascii="宋体" w:hAnsi="宋体" w:cs="宋体"/>
                <w:color w:val="auto"/>
                <w:sz w:val="24"/>
                <w:szCs w:val="24"/>
                <w:highlight w:val="none"/>
              </w:rPr>
              <w:t>中三级标准</w:t>
            </w:r>
          </w:p>
        </w:tc>
      </w:tr>
      <w:tr w14:paraId="20209C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92" w:hRule="atLeast"/>
          <w:jc w:val="center"/>
        </w:trPr>
        <w:tc>
          <w:tcPr>
            <w:tcW w:w="1277" w:type="dxa"/>
            <w:vAlign w:val="center"/>
          </w:tcPr>
          <w:p w14:paraId="68FA33A5">
            <w:pPr>
              <w:adjustRightInd w:val="0"/>
              <w:snapToGrid w:val="0"/>
              <w:jc w:val="center"/>
              <w:rPr>
                <w:rFonts w:ascii="宋体"/>
                <w:color w:val="auto"/>
                <w:sz w:val="24"/>
                <w:szCs w:val="24"/>
                <w:highlight w:val="none"/>
              </w:rPr>
            </w:pPr>
            <w:r>
              <w:rPr>
                <w:rFonts w:hint="eastAsia" w:ascii="宋体" w:hAnsi="宋体" w:cs="宋体"/>
                <w:color w:val="auto"/>
                <w:sz w:val="24"/>
                <w:szCs w:val="24"/>
                <w:highlight w:val="none"/>
              </w:rPr>
              <w:t>声环境</w:t>
            </w:r>
          </w:p>
        </w:tc>
        <w:tc>
          <w:tcPr>
            <w:tcW w:w="1835" w:type="dxa"/>
            <w:vAlign w:val="center"/>
          </w:tcPr>
          <w:p w14:paraId="4DAD56DC">
            <w:pPr>
              <w:adjustRightInd w:val="0"/>
              <w:snapToGrid w:val="0"/>
              <w:jc w:val="center"/>
              <w:rPr>
                <w:rFonts w:ascii="宋体"/>
                <w:color w:val="auto"/>
                <w:sz w:val="24"/>
                <w:szCs w:val="24"/>
                <w:highlight w:val="none"/>
              </w:rPr>
            </w:pPr>
            <w:r>
              <w:rPr>
                <w:rFonts w:hint="eastAsia" w:ascii="宋体" w:hAnsi="宋体" w:cs="宋体"/>
                <w:color w:val="auto"/>
                <w:sz w:val="24"/>
                <w:szCs w:val="24"/>
                <w:highlight w:val="none"/>
              </w:rPr>
              <w:t>高噪声设备</w:t>
            </w:r>
          </w:p>
        </w:tc>
        <w:tc>
          <w:tcPr>
            <w:tcW w:w="1445" w:type="dxa"/>
            <w:vAlign w:val="center"/>
          </w:tcPr>
          <w:p w14:paraId="173E1F77">
            <w:pPr>
              <w:adjustRightInd w:val="0"/>
              <w:snapToGrid w:val="0"/>
              <w:jc w:val="center"/>
              <w:rPr>
                <w:rFonts w:ascii="宋体"/>
                <w:color w:val="auto"/>
                <w:sz w:val="24"/>
                <w:szCs w:val="24"/>
                <w:highlight w:val="none"/>
              </w:rPr>
            </w:pPr>
            <w:r>
              <w:rPr>
                <w:rFonts w:hint="eastAsia" w:ascii="宋体" w:hAnsi="宋体" w:cs="宋体"/>
                <w:color w:val="auto"/>
                <w:sz w:val="24"/>
                <w:szCs w:val="24"/>
                <w:highlight w:val="none"/>
              </w:rPr>
              <w:t>等效噪声级</w:t>
            </w:r>
          </w:p>
        </w:tc>
        <w:tc>
          <w:tcPr>
            <w:tcW w:w="1968" w:type="dxa"/>
            <w:vAlign w:val="center"/>
          </w:tcPr>
          <w:p w14:paraId="56111332">
            <w:pPr>
              <w:adjustRightInd w:val="0"/>
              <w:snapToGrid w:val="0"/>
              <w:jc w:val="center"/>
              <w:rPr>
                <w:rFonts w:ascii="宋体"/>
                <w:color w:val="auto"/>
                <w:sz w:val="24"/>
                <w:szCs w:val="24"/>
                <w:highlight w:val="none"/>
              </w:rPr>
            </w:pPr>
            <w:r>
              <w:rPr>
                <w:rFonts w:hint="eastAsia" w:ascii="宋体" w:hAnsi="宋体" w:cs="宋体"/>
                <w:color w:val="auto"/>
                <w:sz w:val="24"/>
                <w:szCs w:val="24"/>
                <w:highlight w:val="none"/>
              </w:rPr>
              <w:t>选用低噪声设备，设置减振基座，厂房隔声</w:t>
            </w:r>
            <w:r>
              <w:rPr>
                <w:rFonts w:hint="eastAsia" w:ascii="宋体" w:hAnsi="宋体" w:cs="宋体"/>
                <w:color w:val="auto"/>
                <w:sz w:val="24"/>
                <w:szCs w:val="24"/>
                <w:highlight w:val="none"/>
                <w:lang w:eastAsia="zh-CN"/>
              </w:rPr>
              <w:t>等措施</w:t>
            </w:r>
            <w:r>
              <w:rPr>
                <w:rFonts w:hint="eastAsia" w:ascii="宋体" w:hAnsi="宋体" w:cs="宋体"/>
                <w:color w:val="auto"/>
                <w:sz w:val="24"/>
                <w:szCs w:val="24"/>
                <w:highlight w:val="none"/>
              </w:rPr>
              <w:t>。</w:t>
            </w:r>
          </w:p>
        </w:tc>
        <w:tc>
          <w:tcPr>
            <w:tcW w:w="2673" w:type="dxa"/>
            <w:vAlign w:val="center"/>
          </w:tcPr>
          <w:p w14:paraId="1CAB3964">
            <w:pPr>
              <w:adjustRightInd w:val="0"/>
              <w:snapToGrid w:val="0"/>
              <w:jc w:val="center"/>
              <w:rPr>
                <w:rFonts w:ascii="宋体"/>
                <w:color w:val="auto"/>
                <w:sz w:val="24"/>
                <w:szCs w:val="24"/>
                <w:highlight w:val="none"/>
              </w:rPr>
            </w:pPr>
            <w:r>
              <w:rPr>
                <w:rFonts w:hint="eastAsia" w:ascii="宋体" w:hAnsi="宋体" w:cs="宋体"/>
                <w:color w:val="auto"/>
                <w:sz w:val="24"/>
                <w:szCs w:val="24"/>
                <w:highlight w:val="none"/>
              </w:rPr>
              <w:t>《工业企业厂界环境噪声排放标准》（</w:t>
            </w:r>
            <w:r>
              <w:rPr>
                <w:rFonts w:ascii="宋体" w:hAnsi="宋体" w:cs="宋体"/>
                <w:color w:val="auto"/>
                <w:sz w:val="24"/>
                <w:szCs w:val="24"/>
                <w:highlight w:val="none"/>
              </w:rPr>
              <w:t>GB12348-2008</w:t>
            </w:r>
            <w:r>
              <w:rPr>
                <w:rFonts w:hint="eastAsia" w:ascii="宋体" w:hAnsi="宋体" w:cs="宋体"/>
                <w:color w:val="auto"/>
                <w:sz w:val="24"/>
                <w:szCs w:val="24"/>
                <w:highlight w:val="none"/>
              </w:rPr>
              <w:t>）中</w:t>
            </w:r>
            <w:r>
              <w:rPr>
                <w:rFonts w:hint="eastAsia" w:ascii="宋体" w:hAnsi="宋体" w:cs="宋体"/>
                <w:color w:val="auto"/>
                <w:sz w:val="24"/>
                <w:szCs w:val="24"/>
                <w:highlight w:val="none"/>
                <w:lang w:val="en-US" w:eastAsia="zh-CN"/>
              </w:rPr>
              <w:t>3</w:t>
            </w:r>
            <w:r>
              <w:rPr>
                <w:rFonts w:hint="eastAsia" w:ascii="宋体" w:hAnsi="宋体" w:cs="宋体"/>
                <w:color w:val="auto"/>
                <w:sz w:val="24"/>
                <w:szCs w:val="24"/>
                <w:highlight w:val="none"/>
              </w:rPr>
              <w:t>类区</w:t>
            </w:r>
          </w:p>
        </w:tc>
      </w:tr>
      <w:tr w14:paraId="3979BF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277" w:type="dxa"/>
            <w:vAlign w:val="center"/>
          </w:tcPr>
          <w:p w14:paraId="1F5466B8">
            <w:pPr>
              <w:adjustRightInd w:val="0"/>
              <w:snapToGrid w:val="0"/>
              <w:jc w:val="center"/>
              <w:rPr>
                <w:rFonts w:ascii="宋体"/>
                <w:color w:val="auto"/>
                <w:sz w:val="24"/>
                <w:szCs w:val="24"/>
                <w:highlight w:val="none"/>
              </w:rPr>
            </w:pPr>
            <w:r>
              <w:rPr>
                <w:rFonts w:hint="eastAsia" w:ascii="宋体" w:hAnsi="宋体" w:cs="宋体"/>
                <w:color w:val="auto"/>
                <w:sz w:val="24"/>
                <w:szCs w:val="24"/>
                <w:highlight w:val="none"/>
              </w:rPr>
              <w:t>电磁辐射</w:t>
            </w:r>
          </w:p>
        </w:tc>
        <w:tc>
          <w:tcPr>
            <w:tcW w:w="1835" w:type="dxa"/>
            <w:vAlign w:val="center"/>
          </w:tcPr>
          <w:p w14:paraId="14AC655E">
            <w:pPr>
              <w:adjustRightInd w:val="0"/>
              <w:snapToGrid w:val="0"/>
              <w:jc w:val="center"/>
              <w:rPr>
                <w:rFonts w:ascii="宋体"/>
                <w:color w:val="auto"/>
                <w:sz w:val="24"/>
                <w:szCs w:val="24"/>
                <w:highlight w:val="none"/>
              </w:rPr>
            </w:pPr>
            <w:r>
              <w:rPr>
                <w:rFonts w:ascii="宋体" w:hAnsi="宋体" w:cs="宋体"/>
                <w:color w:val="auto"/>
                <w:sz w:val="24"/>
                <w:szCs w:val="24"/>
                <w:highlight w:val="none"/>
              </w:rPr>
              <w:t>/</w:t>
            </w:r>
          </w:p>
        </w:tc>
        <w:tc>
          <w:tcPr>
            <w:tcW w:w="1445" w:type="dxa"/>
            <w:vAlign w:val="center"/>
          </w:tcPr>
          <w:p w14:paraId="7E6EFF70">
            <w:pPr>
              <w:adjustRightInd w:val="0"/>
              <w:snapToGrid w:val="0"/>
              <w:jc w:val="center"/>
              <w:rPr>
                <w:rFonts w:ascii="宋体"/>
                <w:color w:val="auto"/>
                <w:sz w:val="24"/>
                <w:szCs w:val="24"/>
                <w:highlight w:val="none"/>
              </w:rPr>
            </w:pPr>
            <w:r>
              <w:rPr>
                <w:rFonts w:ascii="宋体" w:hAnsi="宋体" w:cs="宋体"/>
                <w:color w:val="auto"/>
                <w:sz w:val="24"/>
                <w:szCs w:val="24"/>
                <w:highlight w:val="none"/>
              </w:rPr>
              <w:t>/</w:t>
            </w:r>
          </w:p>
        </w:tc>
        <w:tc>
          <w:tcPr>
            <w:tcW w:w="1968" w:type="dxa"/>
            <w:vAlign w:val="center"/>
          </w:tcPr>
          <w:p w14:paraId="35592BF1">
            <w:pPr>
              <w:adjustRightInd w:val="0"/>
              <w:snapToGrid w:val="0"/>
              <w:jc w:val="center"/>
              <w:rPr>
                <w:rFonts w:ascii="宋体"/>
                <w:color w:val="auto"/>
                <w:sz w:val="24"/>
                <w:szCs w:val="24"/>
                <w:highlight w:val="none"/>
              </w:rPr>
            </w:pPr>
            <w:r>
              <w:rPr>
                <w:rFonts w:ascii="宋体" w:hAnsi="宋体" w:cs="宋体"/>
                <w:color w:val="auto"/>
                <w:sz w:val="24"/>
                <w:szCs w:val="24"/>
                <w:highlight w:val="none"/>
              </w:rPr>
              <w:t>/</w:t>
            </w:r>
          </w:p>
        </w:tc>
        <w:tc>
          <w:tcPr>
            <w:tcW w:w="2673" w:type="dxa"/>
            <w:vAlign w:val="center"/>
          </w:tcPr>
          <w:p w14:paraId="0485B478">
            <w:pPr>
              <w:adjustRightInd w:val="0"/>
              <w:snapToGrid w:val="0"/>
              <w:jc w:val="center"/>
              <w:rPr>
                <w:rFonts w:ascii="宋体"/>
                <w:color w:val="auto"/>
                <w:sz w:val="24"/>
                <w:szCs w:val="24"/>
                <w:highlight w:val="none"/>
              </w:rPr>
            </w:pPr>
            <w:r>
              <w:rPr>
                <w:rFonts w:ascii="宋体" w:hAnsi="宋体" w:cs="宋体"/>
                <w:color w:val="auto"/>
                <w:sz w:val="24"/>
                <w:szCs w:val="24"/>
                <w:highlight w:val="none"/>
              </w:rPr>
              <w:t>/</w:t>
            </w:r>
          </w:p>
        </w:tc>
      </w:tr>
      <w:tr w14:paraId="35125A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2" w:hRule="atLeast"/>
          <w:jc w:val="center"/>
        </w:trPr>
        <w:tc>
          <w:tcPr>
            <w:tcW w:w="1277" w:type="dxa"/>
            <w:vAlign w:val="center"/>
          </w:tcPr>
          <w:p w14:paraId="48FD9902">
            <w:pPr>
              <w:adjustRightInd w:val="0"/>
              <w:snapToGrid w:val="0"/>
              <w:jc w:val="center"/>
              <w:rPr>
                <w:rFonts w:ascii="宋体"/>
                <w:color w:val="auto"/>
                <w:sz w:val="24"/>
                <w:szCs w:val="24"/>
                <w:highlight w:val="none"/>
              </w:rPr>
            </w:pPr>
            <w:r>
              <w:rPr>
                <w:rFonts w:hint="eastAsia" w:ascii="宋体" w:hAnsi="宋体" w:cs="宋体"/>
                <w:color w:val="auto"/>
                <w:sz w:val="24"/>
                <w:szCs w:val="24"/>
                <w:highlight w:val="none"/>
              </w:rPr>
              <w:t>固体废物</w:t>
            </w:r>
          </w:p>
        </w:tc>
        <w:tc>
          <w:tcPr>
            <w:tcW w:w="7921" w:type="dxa"/>
            <w:gridSpan w:val="4"/>
            <w:vAlign w:val="center"/>
          </w:tcPr>
          <w:p w14:paraId="4C490432">
            <w:pPr>
              <w:adjustRightInd w:val="0"/>
              <w:snapToGrid w:val="0"/>
              <w:ind w:firstLine="480" w:firstLineChars="200"/>
              <w:jc w:val="left"/>
              <w:rPr>
                <w:rFonts w:ascii="宋体"/>
                <w:color w:val="auto"/>
                <w:sz w:val="24"/>
                <w:szCs w:val="24"/>
                <w:highlight w:val="none"/>
              </w:rPr>
            </w:pPr>
            <w:r>
              <w:rPr>
                <w:rFonts w:hint="eastAsia" w:ascii="宋体" w:hAnsi="宋体" w:cs="宋体"/>
                <w:color w:val="auto"/>
                <w:sz w:val="24"/>
                <w:szCs w:val="24"/>
                <w:highlight w:val="none"/>
              </w:rPr>
              <w:t>除尘器收集的粉尘</w:t>
            </w:r>
            <w:r>
              <w:rPr>
                <w:rFonts w:hint="eastAsia" w:ascii="宋体" w:hAnsi="宋体" w:cs="宋体"/>
                <w:color w:val="auto"/>
                <w:sz w:val="24"/>
                <w:szCs w:val="24"/>
                <w:highlight w:val="none"/>
                <w:lang w:eastAsia="zh-CN"/>
              </w:rPr>
              <w:t>收集后</w:t>
            </w:r>
            <w:r>
              <w:rPr>
                <w:rFonts w:hint="eastAsia" w:ascii="宋体" w:hAnsi="宋体" w:cs="宋体"/>
                <w:color w:val="auto"/>
                <w:sz w:val="24"/>
                <w:szCs w:val="24"/>
                <w:highlight w:val="none"/>
              </w:rPr>
              <w:t>暂存一般固废间内，回用于生产；废机油</w:t>
            </w:r>
            <w:r>
              <w:rPr>
                <w:rFonts w:hint="eastAsia" w:ascii="宋体" w:hAnsi="宋体" w:cs="宋体"/>
                <w:color w:val="auto"/>
                <w:sz w:val="24"/>
                <w:szCs w:val="24"/>
                <w:highlight w:val="none"/>
                <w:lang w:eastAsia="zh-CN"/>
              </w:rPr>
              <w:t>、废液压油、</w:t>
            </w:r>
            <w:r>
              <w:rPr>
                <w:rFonts w:hint="eastAsia" w:ascii="宋体" w:hAnsi="宋体" w:cs="宋体"/>
                <w:color w:val="auto"/>
                <w:sz w:val="24"/>
                <w:szCs w:val="24"/>
                <w:highlight w:val="none"/>
              </w:rPr>
              <w:t>废油桶</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废含油抹布、劳保用品集中收集后暂存于危险废物暂存</w:t>
            </w:r>
            <w:r>
              <w:rPr>
                <w:rFonts w:hint="eastAsia" w:ascii="宋体" w:hAnsi="宋体" w:cs="宋体"/>
                <w:color w:val="auto"/>
                <w:sz w:val="24"/>
                <w:szCs w:val="24"/>
                <w:highlight w:val="none"/>
                <w:lang w:eastAsia="zh-CN"/>
              </w:rPr>
              <w:t>间</w:t>
            </w:r>
            <w:r>
              <w:rPr>
                <w:rFonts w:hint="eastAsia" w:ascii="宋体" w:hAnsi="宋体" w:cs="宋体"/>
                <w:color w:val="auto"/>
                <w:sz w:val="24"/>
                <w:szCs w:val="24"/>
                <w:highlight w:val="none"/>
              </w:rPr>
              <w:t>内，委托具有危险废物处理资质单位处置</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生活垃圾由环卫部门定期清运。</w:t>
            </w:r>
            <w:r>
              <w:rPr>
                <w:rFonts w:hint="eastAsia" w:ascii="宋体" w:hAnsi="宋体" w:cs="宋体"/>
                <w:color w:val="auto"/>
                <w:sz w:val="24"/>
                <w:szCs w:val="24"/>
                <w:highlight w:val="none"/>
                <w:lang w:eastAsia="zh-CN"/>
              </w:rPr>
              <w:t>一般固废暂存间</w:t>
            </w:r>
            <w:r>
              <w:rPr>
                <w:rFonts w:hint="eastAsia" w:ascii="宋体" w:hAnsi="宋体" w:cs="宋体"/>
                <w:color w:val="auto"/>
                <w:sz w:val="24"/>
                <w:szCs w:val="24"/>
                <w:highlight w:val="none"/>
              </w:rPr>
              <w:t>，占地面积约</w:t>
            </w:r>
            <w:r>
              <w:rPr>
                <w:rFonts w:hint="eastAsia" w:ascii="宋体" w:hAnsi="宋体" w:cs="宋体"/>
                <w:color w:val="auto"/>
                <w:sz w:val="24"/>
                <w:szCs w:val="24"/>
                <w:highlight w:val="none"/>
                <w:lang w:val="en-US" w:eastAsia="zh-CN"/>
              </w:rPr>
              <w:t>1</w:t>
            </w:r>
            <w:r>
              <w:rPr>
                <w:rFonts w:hint="eastAsia" w:ascii="宋体" w:hAnsi="宋体" w:cs="宋体"/>
                <w:color w:val="auto"/>
                <w:sz w:val="24"/>
                <w:szCs w:val="24"/>
                <w:highlight w:val="none"/>
              </w:rPr>
              <w:t>0m</w:t>
            </w:r>
            <w:r>
              <w:rPr>
                <w:rFonts w:hint="eastAsia" w:ascii="宋体" w:hAnsi="宋体" w:cs="宋体"/>
                <w:color w:val="auto"/>
                <w:sz w:val="24"/>
                <w:szCs w:val="24"/>
                <w:highlight w:val="none"/>
                <w:vertAlign w:val="superscript"/>
              </w:rPr>
              <w:t>2</w:t>
            </w:r>
            <w:r>
              <w:rPr>
                <w:rFonts w:hint="eastAsia" w:ascii="宋体" w:hAnsi="宋体" w:cs="宋体"/>
                <w:color w:val="auto"/>
                <w:sz w:val="24"/>
                <w:szCs w:val="24"/>
                <w:highlight w:val="none"/>
              </w:rPr>
              <w:t>位于生产车间内西侧；</w:t>
            </w:r>
            <w:r>
              <w:rPr>
                <w:rFonts w:hint="eastAsia" w:ascii="宋体" w:hAnsi="宋体" w:cs="宋体"/>
                <w:color w:val="auto"/>
                <w:sz w:val="24"/>
                <w:szCs w:val="24"/>
                <w:highlight w:val="none"/>
                <w:lang w:eastAsia="zh-CN"/>
              </w:rPr>
              <w:t>危险废物暂存间</w:t>
            </w:r>
            <w:r>
              <w:rPr>
                <w:rFonts w:hint="eastAsia" w:ascii="宋体" w:hAnsi="宋体" w:cs="宋体"/>
                <w:color w:val="auto"/>
                <w:sz w:val="24"/>
                <w:szCs w:val="24"/>
                <w:highlight w:val="none"/>
              </w:rPr>
              <w:t>占地面积约10m</w:t>
            </w:r>
            <w:r>
              <w:rPr>
                <w:rFonts w:hint="eastAsia" w:ascii="宋体" w:hAnsi="宋体" w:cs="宋体"/>
                <w:color w:val="auto"/>
                <w:sz w:val="24"/>
                <w:szCs w:val="24"/>
                <w:highlight w:val="none"/>
                <w:vertAlign w:val="superscript"/>
              </w:rPr>
              <w:t>2</w:t>
            </w:r>
            <w:r>
              <w:rPr>
                <w:rFonts w:hint="eastAsia" w:ascii="宋体" w:hAnsi="宋体" w:cs="宋体"/>
                <w:color w:val="auto"/>
                <w:sz w:val="24"/>
                <w:szCs w:val="24"/>
                <w:highlight w:val="none"/>
              </w:rPr>
              <w:t>，位于生产车间内</w:t>
            </w:r>
            <w:r>
              <w:rPr>
                <w:rFonts w:hint="eastAsia" w:ascii="宋体" w:hAnsi="宋体" w:cs="宋体"/>
                <w:color w:val="auto"/>
                <w:sz w:val="24"/>
                <w:szCs w:val="24"/>
                <w:highlight w:val="none"/>
                <w:lang w:eastAsia="zh-CN"/>
              </w:rPr>
              <w:t>西</w:t>
            </w:r>
            <w:r>
              <w:rPr>
                <w:rFonts w:hint="eastAsia" w:ascii="宋体" w:hAnsi="宋体" w:cs="宋体"/>
                <w:color w:val="auto"/>
                <w:sz w:val="24"/>
                <w:szCs w:val="24"/>
                <w:highlight w:val="none"/>
              </w:rPr>
              <w:t>侧。</w:t>
            </w:r>
          </w:p>
        </w:tc>
      </w:tr>
      <w:tr w14:paraId="43DF2A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1277" w:type="dxa"/>
            <w:vMerge w:val="restart"/>
            <w:vAlign w:val="center"/>
          </w:tcPr>
          <w:p w14:paraId="21A64EBE">
            <w:pPr>
              <w:adjustRightInd w:val="0"/>
              <w:snapToGrid w:val="0"/>
              <w:jc w:val="center"/>
              <w:rPr>
                <w:rFonts w:ascii="宋体"/>
                <w:color w:val="auto"/>
                <w:sz w:val="24"/>
                <w:szCs w:val="24"/>
                <w:highlight w:val="none"/>
              </w:rPr>
            </w:pPr>
            <w:r>
              <w:rPr>
                <w:rFonts w:hint="eastAsia" w:ascii="宋体" w:hAnsi="宋体" w:cs="宋体"/>
                <w:color w:val="auto"/>
                <w:sz w:val="24"/>
                <w:szCs w:val="24"/>
                <w:highlight w:val="none"/>
              </w:rPr>
              <w:t>土壤及地下水污染防治措施</w:t>
            </w:r>
          </w:p>
        </w:tc>
        <w:tc>
          <w:tcPr>
            <w:tcW w:w="7921" w:type="dxa"/>
            <w:gridSpan w:val="4"/>
            <w:vAlign w:val="center"/>
          </w:tcPr>
          <w:p w14:paraId="287A7C91">
            <w:pPr>
              <w:adjustRightInd w:val="0"/>
              <w:snapToGrid w:val="0"/>
              <w:ind w:firstLine="480" w:firstLineChars="200"/>
              <w:jc w:val="left"/>
              <w:rPr>
                <w:rFonts w:ascii="宋体"/>
                <w:color w:val="auto"/>
                <w:sz w:val="24"/>
                <w:szCs w:val="24"/>
                <w:highlight w:val="none"/>
              </w:rPr>
            </w:pPr>
            <w:r>
              <w:rPr>
                <w:rFonts w:hint="eastAsia" w:ascii="宋体" w:hAnsi="宋体" w:eastAsia="宋体" w:cs="宋体"/>
                <w:color w:val="auto"/>
                <w:sz w:val="24"/>
                <w:szCs w:val="24"/>
                <w:highlight w:val="none"/>
                <w:lang w:val="en-US" w:eastAsia="zh-CN"/>
              </w:rPr>
              <w:t>分区防控措施：</w:t>
            </w:r>
            <w:r>
              <w:rPr>
                <w:rFonts w:hint="eastAsia" w:ascii="宋体" w:hAnsi="宋体" w:cs="宋体"/>
                <w:color w:val="auto"/>
                <w:sz w:val="24"/>
                <w:szCs w:val="24"/>
                <w:highlight w:val="none"/>
                <w:lang w:val="en-US" w:eastAsia="zh-CN"/>
              </w:rPr>
              <w:t>办公区及</w:t>
            </w:r>
            <w:r>
              <w:rPr>
                <w:rFonts w:hint="eastAsia" w:ascii="宋体" w:hAnsi="宋体" w:eastAsia="宋体" w:cs="宋体"/>
                <w:color w:val="auto"/>
                <w:sz w:val="24"/>
                <w:szCs w:val="24"/>
                <w:highlight w:val="none"/>
                <w:lang w:val="en-US" w:eastAsia="zh-CN"/>
              </w:rPr>
              <w:t>其他区域设置为简单防渗区；</w:t>
            </w:r>
            <w:r>
              <w:rPr>
                <w:rFonts w:hint="eastAsia" w:ascii="宋体" w:hAnsi="宋体" w:cs="宋体"/>
                <w:color w:val="auto"/>
                <w:sz w:val="24"/>
                <w:szCs w:val="24"/>
                <w:highlight w:val="none"/>
                <w:lang w:eastAsia="zh-CN"/>
              </w:rPr>
              <w:t>物料库及生产车间内除去重点防渗外其他区域</w:t>
            </w:r>
            <w:r>
              <w:rPr>
                <w:rFonts w:hint="eastAsia" w:ascii="宋体" w:hAnsi="宋体" w:eastAsia="宋体" w:cs="宋体"/>
                <w:color w:val="auto"/>
                <w:sz w:val="24"/>
                <w:szCs w:val="24"/>
                <w:highlight w:val="none"/>
                <w:lang w:val="en-US" w:eastAsia="zh-CN"/>
              </w:rPr>
              <w:t>设置为一般防渗区</w:t>
            </w:r>
            <w:r>
              <w:rPr>
                <w:rFonts w:hint="eastAsia" w:ascii="宋体" w:hAnsi="宋体" w:cs="宋体"/>
                <w:color w:val="auto"/>
                <w:sz w:val="24"/>
                <w:szCs w:val="24"/>
                <w:highlight w:val="none"/>
                <w:lang w:val="en-US" w:eastAsia="zh-CN"/>
              </w:rPr>
              <w:t>；危险废物暂存间设置为重点防渗区</w:t>
            </w:r>
            <w:r>
              <w:rPr>
                <w:rFonts w:hint="eastAsia" w:ascii="宋体" w:hAnsi="宋体" w:eastAsia="宋体" w:cs="宋体"/>
                <w:color w:val="auto"/>
                <w:sz w:val="24"/>
                <w:szCs w:val="24"/>
                <w:highlight w:val="none"/>
                <w:lang w:val="en-US" w:eastAsia="zh-CN"/>
              </w:rPr>
              <w:t>。</w:t>
            </w:r>
          </w:p>
        </w:tc>
      </w:tr>
      <w:tr w14:paraId="205A88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23" w:hRule="atLeast"/>
          <w:jc w:val="center"/>
        </w:trPr>
        <w:tc>
          <w:tcPr>
            <w:tcW w:w="1277" w:type="dxa"/>
            <w:vMerge w:val="continue"/>
            <w:vAlign w:val="center"/>
          </w:tcPr>
          <w:p w14:paraId="75821EB1">
            <w:pPr>
              <w:adjustRightInd w:val="0"/>
              <w:snapToGrid w:val="0"/>
              <w:ind w:firstLine="420" w:firstLineChars="200"/>
              <w:jc w:val="left"/>
              <w:rPr>
                <w:color w:val="auto"/>
                <w:highlight w:val="none"/>
              </w:rPr>
            </w:pPr>
          </w:p>
        </w:tc>
        <w:tc>
          <w:tcPr>
            <w:tcW w:w="7921" w:type="dxa"/>
            <w:gridSpan w:val="4"/>
            <w:vAlign w:val="center"/>
          </w:tcPr>
          <w:p w14:paraId="52D0835A">
            <w:pPr>
              <w:adjustRightInd w:val="0"/>
              <w:snapToGrid w:val="0"/>
              <w:ind w:firstLine="480" w:firstLineChars="200"/>
              <w:jc w:val="left"/>
              <w:rPr>
                <w:rFonts w:hint="eastAsia" w:ascii="宋体" w:hAnsi="宋体" w:cs="宋体"/>
                <w:color w:val="auto"/>
                <w:sz w:val="24"/>
                <w:szCs w:val="24"/>
                <w:highlight w:val="none"/>
              </w:rPr>
            </w:pPr>
            <w:r>
              <w:rPr>
                <w:rFonts w:hint="eastAsia" w:ascii="宋体" w:hAnsi="宋体" w:eastAsia="宋体" w:cs="宋体"/>
                <w:color w:val="auto"/>
                <w:sz w:val="24"/>
                <w:szCs w:val="24"/>
                <w:highlight w:val="none"/>
                <w:lang w:val="en-US" w:eastAsia="zh-CN"/>
              </w:rPr>
              <w:t>简单防渗区采取地面硬化；一般防渗区采用双层复合防渗结构</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基础防渗层为至少1.5米厚粘土层（渗透系数≤10</w:t>
            </w:r>
            <w:r>
              <w:rPr>
                <w:rFonts w:hint="eastAsia" w:ascii="宋体" w:hAnsi="宋体" w:eastAsia="宋体" w:cs="宋体"/>
                <w:color w:val="auto"/>
                <w:sz w:val="24"/>
                <w:szCs w:val="24"/>
                <w:highlight w:val="none"/>
                <w:vertAlign w:val="superscript"/>
                <w:lang w:val="en-US" w:eastAsia="zh-CN"/>
              </w:rPr>
              <w:t>-7</w:t>
            </w:r>
            <w:r>
              <w:rPr>
                <w:rFonts w:hint="eastAsia" w:ascii="宋体" w:hAnsi="宋体" w:eastAsia="宋体" w:cs="宋体"/>
                <w:color w:val="auto"/>
                <w:sz w:val="24"/>
                <w:szCs w:val="24"/>
                <w:highlight w:val="none"/>
                <w:lang w:val="en-US" w:eastAsia="zh-CN"/>
              </w:rPr>
              <w:t>cm/s）</w:t>
            </w:r>
            <w:r>
              <w:rPr>
                <w:rFonts w:hint="eastAsia" w:ascii="宋体" w:hAnsi="宋体" w:cs="宋体"/>
                <w:color w:val="auto"/>
                <w:sz w:val="24"/>
                <w:szCs w:val="24"/>
                <w:highlight w:val="none"/>
                <w:lang w:val="en-US" w:eastAsia="zh-CN"/>
              </w:rPr>
              <w:t>；</w:t>
            </w:r>
            <w:r>
              <w:rPr>
                <w:rFonts w:hint="eastAsia" w:ascii="Times New Roman" w:hAnsi="Times New Roman" w:eastAsia="宋体" w:cs="Times New Roman"/>
                <w:color w:val="auto"/>
                <w:sz w:val="22"/>
                <w:szCs w:val="22"/>
                <w:highlight w:val="none"/>
                <w:lang w:val="en-US" w:eastAsia="zh-CN"/>
              </w:rPr>
              <w:t>重点防渗区</w:t>
            </w:r>
            <w:r>
              <w:rPr>
                <w:rFonts w:hint="eastAsia" w:cs="Times New Roman"/>
                <w:color w:val="auto"/>
                <w:sz w:val="22"/>
                <w:szCs w:val="22"/>
                <w:highlight w:val="none"/>
                <w:lang w:val="en-US" w:eastAsia="zh-CN"/>
              </w:rPr>
              <w:t>参照《危险废物贮存污染控制标准》（GB18597-2023）中相关要求执行（Mb</w:t>
            </w:r>
            <w:r>
              <w:rPr>
                <w:rFonts w:hint="default" w:cs="Times New Roman"/>
                <w:color w:val="auto"/>
                <w:sz w:val="22"/>
                <w:szCs w:val="22"/>
                <w:highlight w:val="none"/>
                <w:lang w:val="en-US" w:eastAsia="zh-CN"/>
              </w:rPr>
              <w:t>≥</w:t>
            </w:r>
            <w:r>
              <w:rPr>
                <w:rFonts w:hint="eastAsia" w:cs="Times New Roman"/>
                <w:color w:val="auto"/>
                <w:sz w:val="22"/>
                <w:szCs w:val="22"/>
                <w:highlight w:val="none"/>
                <w:lang w:val="en-US" w:eastAsia="zh-CN"/>
              </w:rPr>
              <w:t>1.0m，K&lt;1</w:t>
            </w:r>
            <w:r>
              <w:rPr>
                <w:rFonts w:hint="default" w:cs="Times New Roman"/>
                <w:color w:val="auto"/>
                <w:sz w:val="22"/>
                <w:szCs w:val="22"/>
                <w:highlight w:val="none"/>
                <w:lang w:val="en-US" w:eastAsia="zh-CN"/>
              </w:rPr>
              <w:t>×</w:t>
            </w:r>
            <w:r>
              <w:rPr>
                <w:rFonts w:hint="eastAsia" w:cs="Times New Roman"/>
                <w:color w:val="auto"/>
                <w:sz w:val="22"/>
                <w:szCs w:val="22"/>
                <w:highlight w:val="none"/>
                <w:lang w:val="en-US" w:eastAsia="zh-CN"/>
              </w:rPr>
              <w:t>10</w:t>
            </w:r>
            <w:r>
              <w:rPr>
                <w:rFonts w:hint="eastAsia" w:cs="Times New Roman"/>
                <w:color w:val="auto"/>
                <w:sz w:val="22"/>
                <w:szCs w:val="22"/>
                <w:highlight w:val="none"/>
                <w:vertAlign w:val="superscript"/>
                <w:lang w:val="en-US" w:eastAsia="zh-CN"/>
              </w:rPr>
              <w:t>-7</w:t>
            </w:r>
            <w:r>
              <w:rPr>
                <w:rFonts w:hint="eastAsia" w:cs="Times New Roman"/>
                <w:color w:val="auto"/>
                <w:sz w:val="22"/>
                <w:szCs w:val="22"/>
                <w:highlight w:val="none"/>
                <w:lang w:val="en-US" w:eastAsia="zh-CN"/>
              </w:rPr>
              <w:t>cm/s）。</w:t>
            </w:r>
          </w:p>
        </w:tc>
      </w:tr>
      <w:tr w14:paraId="1454CA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1277" w:type="dxa"/>
            <w:vAlign w:val="center"/>
          </w:tcPr>
          <w:p w14:paraId="65CB7936">
            <w:pPr>
              <w:adjustRightInd w:val="0"/>
              <w:snapToGrid w:val="0"/>
              <w:jc w:val="center"/>
              <w:rPr>
                <w:rFonts w:ascii="宋体"/>
                <w:color w:val="auto"/>
                <w:sz w:val="24"/>
                <w:szCs w:val="24"/>
                <w:highlight w:val="none"/>
              </w:rPr>
            </w:pPr>
            <w:r>
              <w:rPr>
                <w:rFonts w:hint="eastAsia" w:ascii="宋体" w:hAnsi="宋体" w:cs="宋体"/>
                <w:color w:val="auto"/>
                <w:sz w:val="24"/>
                <w:szCs w:val="24"/>
                <w:highlight w:val="none"/>
              </w:rPr>
              <w:t>生态保护措施</w:t>
            </w:r>
          </w:p>
        </w:tc>
        <w:tc>
          <w:tcPr>
            <w:tcW w:w="7921" w:type="dxa"/>
            <w:gridSpan w:val="4"/>
            <w:vAlign w:val="center"/>
          </w:tcPr>
          <w:p w14:paraId="75DCD9D9">
            <w:pPr>
              <w:adjustRightInd w:val="0"/>
              <w:snapToGrid w:val="0"/>
              <w:jc w:val="center"/>
              <w:rPr>
                <w:rFonts w:ascii="宋体"/>
                <w:color w:val="auto"/>
                <w:sz w:val="24"/>
                <w:szCs w:val="24"/>
                <w:highlight w:val="none"/>
              </w:rPr>
            </w:pPr>
            <w:r>
              <w:rPr>
                <w:rFonts w:ascii="宋体" w:hAnsi="宋体" w:cs="宋体"/>
                <w:color w:val="auto"/>
                <w:sz w:val="24"/>
                <w:szCs w:val="24"/>
                <w:highlight w:val="none"/>
              </w:rPr>
              <w:t>/</w:t>
            </w:r>
          </w:p>
        </w:tc>
      </w:tr>
      <w:tr w14:paraId="4DA38D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98" w:hRule="atLeast"/>
          <w:jc w:val="center"/>
        </w:trPr>
        <w:tc>
          <w:tcPr>
            <w:tcW w:w="1277" w:type="dxa"/>
            <w:vAlign w:val="center"/>
          </w:tcPr>
          <w:p w14:paraId="163D5EC2">
            <w:pPr>
              <w:adjustRightInd w:val="0"/>
              <w:snapToGrid w:val="0"/>
              <w:jc w:val="center"/>
              <w:rPr>
                <w:rFonts w:ascii="宋体"/>
                <w:color w:val="auto"/>
                <w:sz w:val="24"/>
                <w:szCs w:val="24"/>
                <w:highlight w:val="none"/>
              </w:rPr>
            </w:pPr>
            <w:r>
              <w:rPr>
                <w:rFonts w:hint="eastAsia" w:ascii="宋体" w:hAnsi="宋体" w:cs="宋体"/>
                <w:color w:val="auto"/>
                <w:sz w:val="24"/>
                <w:szCs w:val="24"/>
                <w:highlight w:val="none"/>
              </w:rPr>
              <w:t>环境风险</w:t>
            </w:r>
          </w:p>
          <w:p w14:paraId="32926EC0">
            <w:pPr>
              <w:adjustRightInd w:val="0"/>
              <w:snapToGrid w:val="0"/>
              <w:jc w:val="center"/>
              <w:rPr>
                <w:rFonts w:ascii="宋体"/>
                <w:color w:val="auto"/>
                <w:sz w:val="24"/>
                <w:szCs w:val="24"/>
                <w:highlight w:val="none"/>
              </w:rPr>
            </w:pPr>
            <w:r>
              <w:rPr>
                <w:rFonts w:hint="eastAsia" w:ascii="宋体" w:hAnsi="宋体" w:cs="宋体"/>
                <w:color w:val="auto"/>
                <w:sz w:val="24"/>
                <w:szCs w:val="24"/>
                <w:highlight w:val="none"/>
              </w:rPr>
              <w:t>防范措施</w:t>
            </w:r>
          </w:p>
        </w:tc>
        <w:tc>
          <w:tcPr>
            <w:tcW w:w="7921" w:type="dxa"/>
            <w:gridSpan w:val="4"/>
            <w:vAlign w:val="center"/>
          </w:tcPr>
          <w:p w14:paraId="5E5167E8">
            <w:pPr>
              <w:adjustRightInd w:val="0"/>
              <w:snapToGrid w:val="0"/>
              <w:jc w:val="both"/>
              <w:rPr>
                <w:rFonts w:hint="eastAsia" w:ascii="宋体" w:hAnsi="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1</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项目建成后建立安全巡视制度</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制定安全规章</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设置安全警示。</w:t>
            </w:r>
          </w:p>
          <w:p w14:paraId="5B8F5F1A">
            <w:pPr>
              <w:adjustRightInd w:val="0"/>
              <w:snapToGrid w:val="0"/>
              <w:jc w:val="left"/>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2</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在厂区配置消防直通电话</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严格按</w:t>
            </w: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rPr>
              <w:t>《建筑设计防火规范》</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GB50016-2014</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设置消火栓</w:t>
            </w:r>
            <w:r>
              <w:rPr>
                <w:rFonts w:hint="eastAsia" w:ascii="宋体" w:hAnsi="宋体" w:cs="宋体"/>
                <w:color w:val="auto"/>
                <w:sz w:val="24"/>
                <w:szCs w:val="24"/>
                <w:highlight w:val="none"/>
                <w:lang w:eastAsia="zh-CN"/>
              </w:rPr>
              <w:t>。</w:t>
            </w:r>
          </w:p>
          <w:p w14:paraId="3B918B7A">
            <w:pPr>
              <w:adjustRightInd w:val="0"/>
              <w:snapToGrid w:val="0"/>
              <w:jc w:val="left"/>
              <w:rPr>
                <w:rFonts w:ascii="宋体" w:hAnsi="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3</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设消防、火灾报警系统；编制应急预案</w:t>
            </w:r>
            <w:r>
              <w:rPr>
                <w:rFonts w:hint="eastAsia" w:ascii="宋体" w:hAnsi="宋体" w:cs="宋体"/>
                <w:color w:val="auto"/>
                <w:sz w:val="24"/>
                <w:szCs w:val="24"/>
                <w:highlight w:val="none"/>
                <w:lang w:eastAsia="zh-CN"/>
              </w:rPr>
              <w:t>并备案。</w:t>
            </w:r>
          </w:p>
        </w:tc>
      </w:tr>
      <w:tr w14:paraId="6565C0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94" w:hRule="atLeast"/>
          <w:jc w:val="center"/>
        </w:trPr>
        <w:tc>
          <w:tcPr>
            <w:tcW w:w="1277" w:type="dxa"/>
            <w:tcBorders>
              <w:bottom w:val="single" w:color="auto" w:sz="8" w:space="0"/>
            </w:tcBorders>
            <w:vAlign w:val="center"/>
          </w:tcPr>
          <w:p w14:paraId="5A7FEBF9">
            <w:pPr>
              <w:adjustRightInd w:val="0"/>
              <w:snapToGrid w:val="0"/>
              <w:jc w:val="center"/>
              <w:rPr>
                <w:rFonts w:ascii="宋体"/>
                <w:color w:val="auto"/>
                <w:sz w:val="24"/>
                <w:szCs w:val="24"/>
                <w:highlight w:val="none"/>
              </w:rPr>
            </w:pPr>
            <w:r>
              <w:rPr>
                <w:rFonts w:hint="eastAsia" w:ascii="宋体" w:hAnsi="宋体" w:cs="宋体"/>
                <w:color w:val="auto"/>
                <w:sz w:val="24"/>
                <w:szCs w:val="24"/>
                <w:highlight w:val="none"/>
              </w:rPr>
              <w:t>其他环境管理要求</w:t>
            </w:r>
          </w:p>
        </w:tc>
        <w:tc>
          <w:tcPr>
            <w:tcW w:w="7921" w:type="dxa"/>
            <w:gridSpan w:val="4"/>
            <w:tcBorders>
              <w:bottom w:val="single" w:color="auto" w:sz="8" w:space="0"/>
            </w:tcBorders>
            <w:vAlign w:val="center"/>
          </w:tcPr>
          <w:p w14:paraId="016E78B5">
            <w:pPr>
              <w:keepNext/>
              <w:keepLines/>
              <w:tabs>
                <w:tab w:val="left" w:pos="0"/>
              </w:tabs>
              <w:spacing w:line="360" w:lineRule="exact"/>
              <w:ind w:firstLine="240" w:firstLineChars="100"/>
              <w:jc w:val="left"/>
              <w:outlineLvl w:val="4"/>
              <w:rPr>
                <w:rFonts w:ascii="Times New Roman" w:hAnsi="Times New Roman" w:cs="Times New Roman"/>
                <w:b w:val="0"/>
                <w:bCs w:val="0"/>
                <w:color w:val="auto"/>
                <w:sz w:val="24"/>
                <w:szCs w:val="24"/>
                <w:highlight w:val="none"/>
              </w:rPr>
            </w:pPr>
            <w:r>
              <w:rPr>
                <w:rFonts w:ascii="Times New Roman" w:hAnsi="Times New Roman" w:cs="Times New Roman"/>
                <w:b w:val="0"/>
                <w:bCs w:val="0"/>
                <w:color w:val="auto"/>
                <w:sz w:val="24"/>
                <w:szCs w:val="24"/>
                <w:highlight w:val="none"/>
              </w:rPr>
              <w:t>1、成立环境管理机构，工作职责包括：</w:t>
            </w:r>
          </w:p>
          <w:p w14:paraId="32B87FC7">
            <w:pPr>
              <w:widowControl/>
              <w:numPr>
                <w:ilvl w:val="0"/>
                <w:numId w:val="8"/>
              </w:numPr>
              <w:snapToGrid w:val="0"/>
              <w:spacing w:line="360" w:lineRule="exact"/>
              <w:ind w:firstLine="480" w:firstLineChars="200"/>
              <w:jc w:val="left"/>
              <w:rPr>
                <w:rFonts w:ascii="Times New Roman" w:hAnsi="Times New Roman" w:cs="Times New Roman"/>
                <w:color w:val="auto"/>
                <w:kern w:val="0"/>
                <w:sz w:val="24"/>
                <w:szCs w:val="24"/>
                <w:highlight w:val="none"/>
              </w:rPr>
            </w:pPr>
            <w:r>
              <w:rPr>
                <w:rFonts w:ascii="Times New Roman" w:hAnsi="Times New Roman" w:cs="Times New Roman"/>
                <w:color w:val="auto"/>
                <w:kern w:val="0"/>
                <w:sz w:val="24"/>
                <w:szCs w:val="24"/>
                <w:highlight w:val="none"/>
              </w:rPr>
              <w:t>贯彻执行环境保护政策、法规及环境保护标准，制定本项目的环境管理办法；</w:t>
            </w:r>
          </w:p>
          <w:p w14:paraId="6383FC5D">
            <w:pPr>
              <w:widowControl/>
              <w:numPr>
                <w:ilvl w:val="0"/>
                <w:numId w:val="8"/>
              </w:numPr>
              <w:snapToGrid w:val="0"/>
              <w:spacing w:line="360" w:lineRule="exact"/>
              <w:ind w:firstLine="480" w:firstLineChars="200"/>
              <w:jc w:val="left"/>
              <w:rPr>
                <w:rFonts w:ascii="Times New Roman" w:hAnsi="Times New Roman" w:cs="Times New Roman"/>
                <w:color w:val="auto"/>
                <w:kern w:val="0"/>
                <w:sz w:val="24"/>
                <w:szCs w:val="24"/>
                <w:highlight w:val="none"/>
              </w:rPr>
            </w:pPr>
            <w:r>
              <w:rPr>
                <w:rFonts w:ascii="Times New Roman" w:hAnsi="Times New Roman" w:cs="Times New Roman"/>
                <w:color w:val="auto"/>
                <w:kern w:val="0"/>
                <w:sz w:val="24"/>
                <w:szCs w:val="24"/>
                <w:highlight w:val="none"/>
              </w:rPr>
              <w:t>建立健全企业的环境管理制度，并实施检查和监督工作；</w:t>
            </w:r>
          </w:p>
          <w:p w14:paraId="099709FC">
            <w:pPr>
              <w:widowControl/>
              <w:numPr>
                <w:ilvl w:val="0"/>
                <w:numId w:val="8"/>
              </w:numPr>
              <w:snapToGrid w:val="0"/>
              <w:spacing w:line="360" w:lineRule="exact"/>
              <w:ind w:firstLine="480" w:firstLineChars="200"/>
              <w:jc w:val="left"/>
              <w:rPr>
                <w:rFonts w:ascii="Times New Roman" w:hAnsi="Times New Roman" w:cs="Times New Roman"/>
                <w:color w:val="auto"/>
                <w:kern w:val="0"/>
                <w:sz w:val="24"/>
                <w:szCs w:val="24"/>
                <w:highlight w:val="none"/>
              </w:rPr>
            </w:pPr>
            <w:r>
              <w:rPr>
                <w:rFonts w:ascii="Times New Roman" w:hAnsi="Times New Roman" w:cs="Times New Roman"/>
                <w:color w:val="auto"/>
                <w:kern w:val="0"/>
                <w:sz w:val="24"/>
                <w:szCs w:val="24"/>
                <w:highlight w:val="none"/>
              </w:rPr>
              <w:t>编制并组织实施环境保护规划和计划，完成环境保护责任目标；</w:t>
            </w:r>
          </w:p>
          <w:p w14:paraId="4485A626">
            <w:pPr>
              <w:widowControl/>
              <w:numPr>
                <w:ilvl w:val="0"/>
                <w:numId w:val="8"/>
              </w:numPr>
              <w:snapToGrid w:val="0"/>
              <w:spacing w:line="360" w:lineRule="exact"/>
              <w:ind w:firstLine="480" w:firstLineChars="200"/>
              <w:jc w:val="left"/>
              <w:rPr>
                <w:rFonts w:ascii="Times New Roman" w:hAnsi="Times New Roman" w:cs="Times New Roman"/>
                <w:color w:val="auto"/>
                <w:kern w:val="0"/>
                <w:sz w:val="24"/>
                <w:szCs w:val="24"/>
                <w:highlight w:val="none"/>
              </w:rPr>
            </w:pPr>
            <w:r>
              <w:rPr>
                <w:rFonts w:ascii="Times New Roman" w:hAnsi="Times New Roman" w:cs="Times New Roman"/>
                <w:color w:val="auto"/>
                <w:kern w:val="0"/>
                <w:sz w:val="24"/>
                <w:szCs w:val="24"/>
                <w:highlight w:val="none"/>
              </w:rPr>
              <w:t>领导并组织企业环境监测工作；</w:t>
            </w:r>
          </w:p>
          <w:p w14:paraId="653ECE64">
            <w:pPr>
              <w:widowControl/>
              <w:numPr>
                <w:ilvl w:val="0"/>
                <w:numId w:val="8"/>
              </w:numPr>
              <w:snapToGrid w:val="0"/>
              <w:spacing w:line="360" w:lineRule="exact"/>
              <w:ind w:firstLine="480" w:firstLineChars="200"/>
              <w:jc w:val="left"/>
              <w:rPr>
                <w:rFonts w:ascii="Times New Roman" w:hAnsi="Times New Roman" w:cs="Times New Roman"/>
                <w:color w:val="auto"/>
                <w:kern w:val="0"/>
                <w:sz w:val="24"/>
                <w:szCs w:val="24"/>
                <w:highlight w:val="none"/>
              </w:rPr>
            </w:pPr>
            <w:r>
              <w:rPr>
                <w:rFonts w:ascii="Times New Roman" w:hAnsi="Times New Roman" w:cs="Times New Roman"/>
                <w:color w:val="auto"/>
                <w:kern w:val="0"/>
                <w:sz w:val="24"/>
                <w:szCs w:val="24"/>
                <w:highlight w:val="none"/>
              </w:rPr>
              <w:t>监督检查本项目各个环保设施的运行和环境管理措施的实施，并提出改善环境的建议和对策；</w:t>
            </w:r>
          </w:p>
          <w:p w14:paraId="04587F3B">
            <w:pPr>
              <w:widowControl/>
              <w:numPr>
                <w:ilvl w:val="0"/>
                <w:numId w:val="8"/>
              </w:numPr>
              <w:snapToGrid w:val="0"/>
              <w:spacing w:line="360" w:lineRule="exact"/>
              <w:ind w:firstLine="480" w:firstLineChars="200"/>
              <w:jc w:val="left"/>
              <w:rPr>
                <w:rFonts w:ascii="Times New Roman" w:hAnsi="Times New Roman" w:cs="Times New Roman"/>
                <w:color w:val="auto"/>
                <w:kern w:val="0"/>
                <w:sz w:val="24"/>
                <w:szCs w:val="24"/>
                <w:highlight w:val="none"/>
              </w:rPr>
            </w:pPr>
            <w:r>
              <w:rPr>
                <w:rFonts w:ascii="Times New Roman" w:hAnsi="Times New Roman" w:cs="Times New Roman"/>
                <w:color w:val="auto"/>
                <w:kern w:val="0"/>
                <w:sz w:val="24"/>
                <w:szCs w:val="24"/>
                <w:highlight w:val="none"/>
              </w:rPr>
              <w:t>负责本项目职工的环保教育工作，以提高职工的环保意识；</w:t>
            </w:r>
          </w:p>
          <w:p w14:paraId="155F63A5">
            <w:pPr>
              <w:widowControl/>
              <w:numPr>
                <w:ilvl w:val="0"/>
                <w:numId w:val="8"/>
              </w:numPr>
              <w:snapToGrid w:val="0"/>
              <w:spacing w:line="360" w:lineRule="exact"/>
              <w:ind w:firstLine="480" w:firstLineChars="200"/>
              <w:jc w:val="left"/>
              <w:rPr>
                <w:rFonts w:ascii="Times New Roman" w:hAnsi="Times New Roman" w:cs="Times New Roman"/>
                <w:color w:val="auto"/>
                <w:kern w:val="0"/>
                <w:sz w:val="24"/>
                <w:szCs w:val="24"/>
                <w:highlight w:val="none"/>
              </w:rPr>
            </w:pPr>
            <w:r>
              <w:rPr>
                <w:rFonts w:ascii="Times New Roman" w:hAnsi="Times New Roman" w:cs="Times New Roman"/>
                <w:color w:val="auto"/>
                <w:kern w:val="0"/>
                <w:sz w:val="24"/>
                <w:szCs w:val="24"/>
                <w:highlight w:val="none"/>
              </w:rPr>
              <w:t>接受省、市</w:t>
            </w:r>
            <w:r>
              <w:rPr>
                <w:rFonts w:hint="eastAsia" w:cs="Times New Roman"/>
                <w:color w:val="auto"/>
                <w:kern w:val="0"/>
                <w:sz w:val="24"/>
                <w:szCs w:val="24"/>
                <w:highlight w:val="none"/>
                <w:lang w:eastAsia="zh-CN"/>
              </w:rPr>
              <w:t>、区</w:t>
            </w:r>
            <w:r>
              <w:rPr>
                <w:rFonts w:ascii="Times New Roman" w:hAnsi="Times New Roman" w:cs="Times New Roman"/>
                <w:color w:val="auto"/>
                <w:kern w:val="0"/>
                <w:sz w:val="24"/>
                <w:szCs w:val="24"/>
                <w:highlight w:val="none"/>
              </w:rPr>
              <w:t>各级环保部门的检查、监督，按要求上报各项环保报表，并定期向上级主管部门汇报本项目的环保工作情况；</w:t>
            </w:r>
          </w:p>
          <w:p w14:paraId="16680B4E">
            <w:pPr>
              <w:widowControl/>
              <w:numPr>
                <w:ilvl w:val="0"/>
                <w:numId w:val="8"/>
              </w:numPr>
              <w:snapToGrid w:val="0"/>
              <w:spacing w:line="360" w:lineRule="exact"/>
              <w:ind w:firstLine="480" w:firstLineChars="200"/>
              <w:jc w:val="left"/>
              <w:rPr>
                <w:rFonts w:ascii="Times New Roman" w:hAnsi="Times New Roman" w:cs="Times New Roman"/>
                <w:color w:val="auto"/>
                <w:kern w:val="0"/>
                <w:sz w:val="24"/>
                <w:szCs w:val="24"/>
                <w:highlight w:val="none"/>
              </w:rPr>
            </w:pPr>
            <w:r>
              <w:rPr>
                <w:rFonts w:ascii="Times New Roman" w:hAnsi="Times New Roman" w:cs="Times New Roman"/>
                <w:color w:val="auto"/>
                <w:kern w:val="0"/>
                <w:sz w:val="24"/>
                <w:szCs w:val="24"/>
                <w:highlight w:val="none"/>
              </w:rPr>
              <w:t>组织调查污染事故及污染纠纷案件，并提出具体处理意见；</w:t>
            </w:r>
          </w:p>
          <w:p w14:paraId="7BE34F2E">
            <w:pPr>
              <w:widowControl/>
              <w:numPr>
                <w:ilvl w:val="0"/>
                <w:numId w:val="8"/>
              </w:numPr>
              <w:snapToGrid w:val="0"/>
              <w:spacing w:line="360" w:lineRule="exact"/>
              <w:ind w:firstLine="480" w:firstLineChars="200"/>
              <w:jc w:val="left"/>
              <w:rPr>
                <w:rFonts w:ascii="Times New Roman" w:hAnsi="Times New Roman" w:cs="Times New Roman"/>
                <w:color w:val="auto"/>
                <w:kern w:val="0"/>
                <w:sz w:val="24"/>
                <w:szCs w:val="24"/>
                <w:highlight w:val="none"/>
              </w:rPr>
            </w:pPr>
            <w:r>
              <w:rPr>
                <w:rFonts w:ascii="Times New Roman" w:hAnsi="Times New Roman" w:cs="Times New Roman"/>
                <w:color w:val="auto"/>
                <w:kern w:val="0"/>
                <w:sz w:val="24"/>
                <w:szCs w:val="24"/>
                <w:highlight w:val="none"/>
              </w:rPr>
              <w:t>负责所有污染源的日常管理，掌握污染源排放情况，有效控制“三废”排放量；</w:t>
            </w:r>
          </w:p>
          <w:p w14:paraId="0D758BBD">
            <w:pPr>
              <w:widowControl/>
              <w:numPr>
                <w:ilvl w:val="0"/>
                <w:numId w:val="8"/>
              </w:numPr>
              <w:snapToGrid w:val="0"/>
              <w:spacing w:line="360" w:lineRule="exact"/>
              <w:ind w:firstLine="480" w:firstLineChars="200"/>
              <w:jc w:val="left"/>
              <w:rPr>
                <w:rFonts w:ascii="Times New Roman" w:hAnsi="Times New Roman" w:cs="Times New Roman"/>
                <w:color w:val="auto"/>
                <w:kern w:val="0"/>
                <w:sz w:val="24"/>
                <w:szCs w:val="24"/>
                <w:highlight w:val="none"/>
              </w:rPr>
            </w:pPr>
            <w:r>
              <w:rPr>
                <w:rFonts w:ascii="Times New Roman" w:hAnsi="Times New Roman" w:cs="Times New Roman"/>
                <w:color w:val="auto"/>
                <w:kern w:val="0"/>
                <w:sz w:val="24"/>
                <w:szCs w:val="24"/>
                <w:highlight w:val="none"/>
              </w:rPr>
              <w:t>负责企业环境统计工作，并根据统计数据对环境质量进行定时定量分析；负责企业的</w:t>
            </w:r>
            <w:r>
              <w:rPr>
                <w:rFonts w:hint="eastAsia" w:ascii="Times New Roman" w:hAnsi="Times New Roman" w:cs="Times New Roman"/>
                <w:color w:val="auto"/>
                <w:kern w:val="0"/>
                <w:sz w:val="24"/>
                <w:szCs w:val="24"/>
                <w:highlight w:val="none"/>
                <w:lang w:eastAsia="zh-CN"/>
              </w:rPr>
              <w:t>“</w:t>
            </w:r>
            <w:r>
              <w:rPr>
                <w:rFonts w:ascii="Times New Roman" w:hAnsi="Times New Roman" w:cs="Times New Roman"/>
                <w:color w:val="auto"/>
                <w:kern w:val="0"/>
                <w:sz w:val="24"/>
                <w:szCs w:val="24"/>
                <w:highlight w:val="none"/>
              </w:rPr>
              <w:t>三废</w:t>
            </w:r>
            <w:r>
              <w:rPr>
                <w:rFonts w:hint="eastAsia" w:ascii="Times New Roman" w:hAnsi="Times New Roman" w:cs="Times New Roman"/>
                <w:color w:val="auto"/>
                <w:kern w:val="0"/>
                <w:sz w:val="24"/>
                <w:szCs w:val="24"/>
                <w:highlight w:val="none"/>
                <w:lang w:eastAsia="zh-CN"/>
              </w:rPr>
              <w:t>”</w:t>
            </w:r>
            <w:r>
              <w:rPr>
                <w:rFonts w:ascii="Times New Roman" w:hAnsi="Times New Roman" w:cs="Times New Roman"/>
                <w:color w:val="auto"/>
                <w:kern w:val="0"/>
                <w:sz w:val="24"/>
                <w:szCs w:val="24"/>
                <w:highlight w:val="none"/>
              </w:rPr>
              <w:t>治理及日常管理。</w:t>
            </w:r>
          </w:p>
          <w:p w14:paraId="6A352F89">
            <w:pPr>
              <w:keepNext/>
              <w:keepLines/>
              <w:tabs>
                <w:tab w:val="left" w:pos="0"/>
              </w:tabs>
              <w:spacing w:line="360" w:lineRule="exact"/>
              <w:ind w:left="0" w:leftChars="0" w:firstLine="240" w:firstLineChars="100"/>
              <w:jc w:val="left"/>
              <w:outlineLvl w:val="4"/>
              <w:rPr>
                <w:rFonts w:ascii="Times New Roman" w:hAnsi="Times New Roman" w:cs="Times New Roman"/>
                <w:b w:val="0"/>
                <w:bCs w:val="0"/>
                <w:color w:val="auto"/>
                <w:sz w:val="24"/>
                <w:szCs w:val="24"/>
                <w:highlight w:val="none"/>
              </w:rPr>
            </w:pPr>
            <w:r>
              <w:rPr>
                <w:rFonts w:ascii="Times New Roman" w:hAnsi="Times New Roman" w:cs="Times New Roman"/>
                <w:b w:val="0"/>
                <w:bCs w:val="0"/>
                <w:color w:val="auto"/>
                <w:sz w:val="24"/>
                <w:szCs w:val="24"/>
                <w:highlight w:val="none"/>
              </w:rPr>
              <w:t>2、制定环境管理制度，主要制度包括：</w:t>
            </w:r>
          </w:p>
          <w:p w14:paraId="16A443E9">
            <w:pPr>
              <w:pStyle w:val="140"/>
              <w:numPr>
                <w:ilvl w:val="0"/>
                <w:numId w:val="9"/>
              </w:numPr>
              <w:spacing w:line="360" w:lineRule="exact"/>
              <w:ind w:firstLine="420"/>
              <w:rPr>
                <w:b w:val="0"/>
                <w:bCs w:val="0"/>
                <w:color w:val="auto"/>
                <w:sz w:val="24"/>
                <w:szCs w:val="24"/>
                <w:highlight w:val="none"/>
              </w:rPr>
            </w:pPr>
            <w:r>
              <w:rPr>
                <w:b w:val="0"/>
                <w:bCs w:val="0"/>
                <w:color w:val="auto"/>
                <w:sz w:val="24"/>
                <w:szCs w:val="24"/>
                <w:highlight w:val="none"/>
              </w:rPr>
              <w:t>环境保护职责管理条例</w:t>
            </w:r>
            <w:r>
              <w:rPr>
                <w:rFonts w:hint="eastAsia"/>
                <w:b w:val="0"/>
                <w:bCs w:val="0"/>
                <w:color w:val="auto"/>
                <w:sz w:val="24"/>
                <w:szCs w:val="24"/>
                <w:highlight w:val="none"/>
              </w:rPr>
              <w:t>；</w:t>
            </w:r>
          </w:p>
          <w:p w14:paraId="0908FC26">
            <w:pPr>
              <w:pStyle w:val="140"/>
              <w:numPr>
                <w:ilvl w:val="0"/>
                <w:numId w:val="9"/>
              </w:numPr>
              <w:spacing w:line="360" w:lineRule="exact"/>
              <w:ind w:firstLine="420"/>
              <w:rPr>
                <w:b w:val="0"/>
                <w:bCs w:val="0"/>
                <w:color w:val="auto"/>
                <w:sz w:val="24"/>
                <w:szCs w:val="24"/>
                <w:highlight w:val="none"/>
              </w:rPr>
            </w:pPr>
            <w:r>
              <w:rPr>
                <w:b w:val="0"/>
                <w:bCs w:val="0"/>
                <w:color w:val="auto"/>
                <w:sz w:val="24"/>
                <w:szCs w:val="24"/>
                <w:highlight w:val="none"/>
              </w:rPr>
              <w:t>处理装置日常运行管理制度</w:t>
            </w:r>
            <w:r>
              <w:rPr>
                <w:rFonts w:hint="eastAsia"/>
                <w:b w:val="0"/>
                <w:bCs w:val="0"/>
                <w:color w:val="auto"/>
                <w:sz w:val="24"/>
                <w:szCs w:val="24"/>
                <w:highlight w:val="none"/>
              </w:rPr>
              <w:t>；</w:t>
            </w:r>
          </w:p>
          <w:p w14:paraId="6CEFEF3D">
            <w:pPr>
              <w:pStyle w:val="140"/>
              <w:numPr>
                <w:ilvl w:val="0"/>
                <w:numId w:val="9"/>
              </w:numPr>
              <w:spacing w:line="360" w:lineRule="exact"/>
              <w:ind w:firstLine="420"/>
              <w:rPr>
                <w:b w:val="0"/>
                <w:bCs w:val="0"/>
                <w:color w:val="auto"/>
                <w:sz w:val="24"/>
                <w:szCs w:val="24"/>
                <w:highlight w:val="none"/>
              </w:rPr>
            </w:pPr>
            <w:r>
              <w:rPr>
                <w:b w:val="0"/>
                <w:bCs w:val="0"/>
                <w:color w:val="auto"/>
                <w:sz w:val="24"/>
                <w:szCs w:val="24"/>
                <w:highlight w:val="none"/>
              </w:rPr>
              <w:t>污染物管理制度</w:t>
            </w:r>
            <w:r>
              <w:rPr>
                <w:rFonts w:hint="eastAsia"/>
                <w:b w:val="0"/>
                <w:bCs w:val="0"/>
                <w:color w:val="auto"/>
                <w:sz w:val="24"/>
                <w:szCs w:val="24"/>
                <w:highlight w:val="none"/>
              </w:rPr>
              <w:t>；</w:t>
            </w:r>
          </w:p>
          <w:p w14:paraId="35F0F807">
            <w:pPr>
              <w:pStyle w:val="140"/>
              <w:numPr>
                <w:ilvl w:val="0"/>
                <w:numId w:val="9"/>
              </w:numPr>
              <w:spacing w:line="360" w:lineRule="exact"/>
              <w:ind w:firstLine="420"/>
              <w:rPr>
                <w:b w:val="0"/>
                <w:bCs w:val="0"/>
                <w:color w:val="auto"/>
                <w:sz w:val="24"/>
                <w:szCs w:val="24"/>
                <w:highlight w:val="none"/>
              </w:rPr>
            </w:pPr>
            <w:r>
              <w:rPr>
                <w:b w:val="0"/>
                <w:bCs w:val="0"/>
                <w:color w:val="auto"/>
                <w:sz w:val="24"/>
                <w:szCs w:val="24"/>
                <w:highlight w:val="none"/>
              </w:rPr>
              <w:t>建立台账制度</w:t>
            </w:r>
            <w:r>
              <w:rPr>
                <w:rFonts w:hint="eastAsia"/>
                <w:b w:val="0"/>
                <w:bCs w:val="0"/>
                <w:color w:val="auto"/>
                <w:sz w:val="24"/>
                <w:szCs w:val="24"/>
                <w:highlight w:val="none"/>
              </w:rPr>
              <w:t>；</w:t>
            </w:r>
          </w:p>
          <w:p w14:paraId="6BB3C601">
            <w:pPr>
              <w:pStyle w:val="140"/>
              <w:numPr>
                <w:ilvl w:val="0"/>
                <w:numId w:val="9"/>
              </w:numPr>
              <w:spacing w:line="360" w:lineRule="exact"/>
              <w:ind w:firstLine="420"/>
              <w:rPr>
                <w:b w:val="0"/>
                <w:bCs w:val="0"/>
                <w:color w:val="auto"/>
                <w:sz w:val="24"/>
                <w:szCs w:val="24"/>
                <w:highlight w:val="none"/>
              </w:rPr>
            </w:pPr>
            <w:r>
              <w:rPr>
                <w:b w:val="0"/>
                <w:bCs w:val="0"/>
                <w:color w:val="auto"/>
                <w:sz w:val="24"/>
                <w:szCs w:val="24"/>
                <w:highlight w:val="none"/>
              </w:rPr>
              <w:t>排污许可制度</w:t>
            </w:r>
            <w:r>
              <w:rPr>
                <w:rFonts w:hint="eastAsia"/>
                <w:b w:val="0"/>
                <w:bCs w:val="0"/>
                <w:color w:val="auto"/>
                <w:sz w:val="24"/>
                <w:szCs w:val="24"/>
                <w:highlight w:val="none"/>
              </w:rPr>
              <w:t>；</w:t>
            </w:r>
          </w:p>
          <w:p w14:paraId="3284A9E3">
            <w:pPr>
              <w:spacing w:line="360" w:lineRule="exact"/>
              <w:ind w:firstLine="420"/>
              <w:rPr>
                <w:rFonts w:ascii="Times New Roman" w:hAnsi="Times New Roman" w:cs="Times New Roman"/>
                <w:b w:val="0"/>
                <w:bCs w:val="0"/>
                <w:color w:val="auto"/>
                <w:sz w:val="24"/>
                <w:szCs w:val="24"/>
                <w:highlight w:val="none"/>
              </w:rPr>
            </w:pPr>
            <w:r>
              <w:rPr>
                <w:rFonts w:ascii="Times New Roman" w:hAnsi="Times New Roman" w:cs="Times New Roman"/>
                <w:b w:val="0"/>
                <w:bCs w:val="0"/>
                <w:color w:val="auto"/>
                <w:sz w:val="24"/>
                <w:szCs w:val="24"/>
                <w:highlight w:val="none"/>
              </w:rPr>
              <w:t>发生实际排污行为之前依据《固定污染源排污许可分类管理名录（2019年版）》申领排污许可</w:t>
            </w:r>
            <w:r>
              <w:rPr>
                <w:rFonts w:hint="eastAsia" w:ascii="Times New Roman" w:hAnsi="Times New Roman" w:cs="Times New Roman"/>
                <w:b w:val="0"/>
                <w:bCs w:val="0"/>
                <w:color w:val="auto"/>
                <w:sz w:val="24"/>
                <w:szCs w:val="24"/>
                <w:highlight w:val="none"/>
              </w:rPr>
              <w:t>；</w:t>
            </w:r>
          </w:p>
          <w:p w14:paraId="23FFF6D7">
            <w:pPr>
              <w:pStyle w:val="140"/>
              <w:numPr>
                <w:ilvl w:val="0"/>
                <w:numId w:val="9"/>
              </w:numPr>
              <w:spacing w:line="360" w:lineRule="exact"/>
              <w:ind w:firstLine="420"/>
              <w:rPr>
                <w:b w:val="0"/>
                <w:bCs w:val="0"/>
                <w:color w:val="auto"/>
                <w:sz w:val="24"/>
                <w:szCs w:val="24"/>
                <w:highlight w:val="none"/>
              </w:rPr>
            </w:pPr>
            <w:r>
              <w:rPr>
                <w:b w:val="0"/>
                <w:bCs w:val="0"/>
                <w:color w:val="auto"/>
                <w:sz w:val="24"/>
                <w:szCs w:val="24"/>
                <w:highlight w:val="none"/>
              </w:rPr>
              <w:t>排污情况报告制度</w:t>
            </w:r>
            <w:r>
              <w:rPr>
                <w:rFonts w:hint="eastAsia"/>
                <w:b w:val="0"/>
                <w:bCs w:val="0"/>
                <w:color w:val="auto"/>
                <w:sz w:val="24"/>
                <w:szCs w:val="24"/>
                <w:highlight w:val="none"/>
              </w:rPr>
              <w:t>；</w:t>
            </w:r>
          </w:p>
          <w:p w14:paraId="1D5D549B">
            <w:pPr>
              <w:pStyle w:val="140"/>
              <w:numPr>
                <w:ilvl w:val="0"/>
                <w:numId w:val="9"/>
              </w:numPr>
              <w:spacing w:line="360" w:lineRule="exact"/>
              <w:ind w:firstLine="420"/>
              <w:rPr>
                <w:b w:val="0"/>
                <w:bCs w:val="0"/>
                <w:color w:val="auto"/>
                <w:sz w:val="24"/>
                <w:szCs w:val="24"/>
                <w:highlight w:val="none"/>
              </w:rPr>
            </w:pPr>
            <w:r>
              <w:rPr>
                <w:b w:val="0"/>
                <w:bCs w:val="0"/>
                <w:color w:val="auto"/>
                <w:sz w:val="24"/>
                <w:szCs w:val="24"/>
                <w:highlight w:val="none"/>
              </w:rPr>
              <w:t>污染事故处理制度</w:t>
            </w:r>
            <w:r>
              <w:rPr>
                <w:rFonts w:hint="eastAsia"/>
                <w:b w:val="0"/>
                <w:bCs w:val="0"/>
                <w:color w:val="auto"/>
                <w:sz w:val="24"/>
                <w:szCs w:val="24"/>
                <w:highlight w:val="none"/>
              </w:rPr>
              <w:t>；</w:t>
            </w:r>
          </w:p>
          <w:p w14:paraId="4733617A">
            <w:pPr>
              <w:pStyle w:val="140"/>
              <w:numPr>
                <w:ilvl w:val="0"/>
                <w:numId w:val="9"/>
              </w:numPr>
              <w:spacing w:line="360" w:lineRule="exact"/>
              <w:ind w:firstLine="420"/>
              <w:rPr>
                <w:b w:val="0"/>
                <w:bCs w:val="0"/>
                <w:color w:val="auto"/>
                <w:sz w:val="24"/>
                <w:szCs w:val="24"/>
                <w:highlight w:val="none"/>
              </w:rPr>
            </w:pPr>
            <w:r>
              <w:rPr>
                <w:b w:val="0"/>
                <w:bCs w:val="0"/>
                <w:color w:val="auto"/>
                <w:sz w:val="24"/>
                <w:szCs w:val="24"/>
                <w:highlight w:val="none"/>
              </w:rPr>
              <w:t>信息公开制度（如实向社会公开其主要污染物的名称、排放方式、排放浓度和总量、超标排放情况，以及防治污染设施的建设和运行情况，接受社会监督）</w:t>
            </w:r>
            <w:r>
              <w:rPr>
                <w:rFonts w:hint="eastAsia"/>
                <w:b w:val="0"/>
                <w:bCs w:val="0"/>
                <w:color w:val="auto"/>
                <w:sz w:val="24"/>
                <w:szCs w:val="24"/>
                <w:highlight w:val="none"/>
              </w:rPr>
              <w:t>；</w:t>
            </w:r>
          </w:p>
          <w:p w14:paraId="248708A0">
            <w:pPr>
              <w:pStyle w:val="140"/>
              <w:numPr>
                <w:ilvl w:val="0"/>
                <w:numId w:val="9"/>
              </w:numPr>
              <w:spacing w:line="360" w:lineRule="exact"/>
              <w:ind w:firstLine="420"/>
              <w:rPr>
                <w:b w:val="0"/>
                <w:bCs w:val="0"/>
                <w:color w:val="auto"/>
                <w:sz w:val="24"/>
                <w:szCs w:val="24"/>
                <w:highlight w:val="none"/>
              </w:rPr>
            </w:pPr>
            <w:r>
              <w:rPr>
                <w:b w:val="0"/>
                <w:bCs w:val="0"/>
                <w:color w:val="auto"/>
                <w:sz w:val="24"/>
                <w:szCs w:val="24"/>
                <w:highlight w:val="none"/>
              </w:rPr>
              <w:t>环保教育制度</w:t>
            </w:r>
            <w:r>
              <w:rPr>
                <w:rFonts w:hint="eastAsia"/>
                <w:b w:val="0"/>
                <w:bCs w:val="0"/>
                <w:color w:val="auto"/>
                <w:sz w:val="24"/>
                <w:szCs w:val="24"/>
                <w:highlight w:val="none"/>
              </w:rPr>
              <w:t>；</w:t>
            </w:r>
          </w:p>
          <w:p w14:paraId="5EFCD860">
            <w:pPr>
              <w:pStyle w:val="140"/>
              <w:numPr>
                <w:ilvl w:val="0"/>
                <w:numId w:val="9"/>
              </w:numPr>
              <w:spacing w:line="360" w:lineRule="exact"/>
              <w:ind w:firstLine="420"/>
              <w:rPr>
                <w:b w:val="0"/>
                <w:bCs w:val="0"/>
                <w:color w:val="auto"/>
                <w:sz w:val="24"/>
                <w:szCs w:val="24"/>
                <w:highlight w:val="none"/>
              </w:rPr>
            </w:pPr>
            <w:r>
              <w:rPr>
                <w:b w:val="0"/>
                <w:bCs w:val="0"/>
                <w:color w:val="auto"/>
                <w:sz w:val="24"/>
                <w:szCs w:val="24"/>
                <w:highlight w:val="none"/>
              </w:rPr>
              <w:t>各项环境保护设施和措施的建设、运行及维护费用保障计划</w:t>
            </w:r>
            <w:r>
              <w:rPr>
                <w:rFonts w:hint="eastAsia"/>
                <w:b w:val="0"/>
                <w:bCs w:val="0"/>
                <w:color w:val="auto"/>
                <w:sz w:val="24"/>
                <w:szCs w:val="24"/>
                <w:highlight w:val="none"/>
              </w:rPr>
              <w:t>。</w:t>
            </w:r>
          </w:p>
          <w:p w14:paraId="1D36865A">
            <w:pPr>
              <w:keepNext/>
              <w:keepLines/>
              <w:tabs>
                <w:tab w:val="left" w:pos="0"/>
              </w:tabs>
              <w:spacing w:line="360" w:lineRule="exact"/>
              <w:ind w:firstLine="240" w:firstLineChars="100"/>
              <w:jc w:val="left"/>
              <w:outlineLvl w:val="4"/>
              <w:rPr>
                <w:rFonts w:ascii="Times New Roman" w:hAnsi="Times New Roman" w:cs="Times New Roman"/>
                <w:b w:val="0"/>
                <w:bCs w:val="0"/>
                <w:color w:val="auto"/>
                <w:sz w:val="24"/>
                <w:szCs w:val="24"/>
                <w:highlight w:val="none"/>
              </w:rPr>
            </w:pPr>
            <w:r>
              <w:rPr>
                <w:rFonts w:ascii="Times New Roman" w:hAnsi="Times New Roman" w:cs="Times New Roman"/>
                <w:b w:val="0"/>
                <w:bCs w:val="0"/>
                <w:color w:val="auto"/>
                <w:sz w:val="24"/>
                <w:szCs w:val="24"/>
                <w:highlight w:val="none"/>
              </w:rPr>
              <w:t>3、开展自行监测</w:t>
            </w:r>
          </w:p>
          <w:p w14:paraId="3F58E07D">
            <w:pPr>
              <w:pStyle w:val="140"/>
              <w:spacing w:line="360" w:lineRule="exact"/>
              <w:ind w:firstLine="420"/>
              <w:rPr>
                <w:b w:val="0"/>
                <w:bCs w:val="0"/>
                <w:color w:val="auto"/>
                <w:sz w:val="24"/>
                <w:szCs w:val="24"/>
                <w:highlight w:val="none"/>
              </w:rPr>
            </w:pPr>
            <w:r>
              <w:rPr>
                <w:rFonts w:hint="eastAsia"/>
                <w:b w:val="0"/>
                <w:bCs w:val="0"/>
                <w:color w:val="auto"/>
                <w:sz w:val="24"/>
                <w:szCs w:val="24"/>
                <w:highlight w:val="none"/>
                <w:lang w:eastAsia="zh-CN"/>
              </w:rPr>
              <w:t>应</w:t>
            </w:r>
            <w:r>
              <w:rPr>
                <w:b w:val="0"/>
                <w:bCs w:val="0"/>
                <w:color w:val="auto"/>
                <w:sz w:val="24"/>
                <w:szCs w:val="24"/>
                <w:highlight w:val="none"/>
              </w:rPr>
              <w:t>结合“</w:t>
            </w:r>
            <w:r>
              <w:rPr>
                <w:rFonts w:hint="eastAsia"/>
                <w:b w:val="0"/>
                <w:bCs w:val="0"/>
                <w:color w:val="auto"/>
                <w:sz w:val="24"/>
                <w:szCs w:val="24"/>
                <w:highlight w:val="none"/>
                <w:lang w:eastAsia="zh-CN"/>
              </w:rPr>
              <w:t>四</w:t>
            </w:r>
            <w:r>
              <w:rPr>
                <w:b w:val="0"/>
                <w:bCs w:val="0"/>
                <w:color w:val="auto"/>
                <w:sz w:val="24"/>
                <w:szCs w:val="24"/>
                <w:highlight w:val="none"/>
              </w:rPr>
              <w:t>、主要环境影响和保护措施”章节中各要素的自行监测方案开展相应监测工作。</w:t>
            </w:r>
          </w:p>
          <w:p w14:paraId="18CC59EE">
            <w:pPr>
              <w:keepNext/>
              <w:keepLines/>
              <w:tabs>
                <w:tab w:val="left" w:pos="0"/>
              </w:tabs>
              <w:spacing w:line="360" w:lineRule="exact"/>
              <w:ind w:left="0" w:leftChars="0" w:firstLine="240" w:firstLineChars="100"/>
              <w:jc w:val="left"/>
              <w:outlineLvl w:val="4"/>
              <w:rPr>
                <w:rFonts w:ascii="Times New Roman" w:hAnsi="Times New Roman" w:cs="Times New Roman"/>
                <w:b w:val="0"/>
                <w:bCs w:val="0"/>
                <w:color w:val="auto"/>
                <w:sz w:val="24"/>
                <w:szCs w:val="24"/>
                <w:highlight w:val="none"/>
              </w:rPr>
            </w:pPr>
            <w:r>
              <w:rPr>
                <w:rFonts w:ascii="Times New Roman" w:hAnsi="Times New Roman" w:cs="Times New Roman"/>
                <w:b w:val="0"/>
                <w:bCs w:val="0"/>
                <w:color w:val="auto"/>
                <w:sz w:val="24"/>
                <w:szCs w:val="24"/>
                <w:highlight w:val="none"/>
              </w:rPr>
              <w:t>4、排污口规范化设置</w:t>
            </w:r>
          </w:p>
          <w:p w14:paraId="7E65E555">
            <w:pPr>
              <w:pStyle w:val="140"/>
              <w:spacing w:line="360" w:lineRule="exact"/>
              <w:ind w:firstLine="420"/>
              <w:rPr>
                <w:b w:val="0"/>
                <w:bCs w:val="0"/>
                <w:color w:val="auto"/>
                <w:sz w:val="24"/>
                <w:szCs w:val="24"/>
                <w:highlight w:val="none"/>
              </w:rPr>
            </w:pPr>
            <w:r>
              <w:rPr>
                <w:b w:val="0"/>
                <w:bCs w:val="0"/>
                <w:color w:val="auto"/>
                <w:sz w:val="24"/>
                <w:szCs w:val="24"/>
                <w:highlight w:val="none"/>
              </w:rPr>
              <w:t>根据国家标准《环境保护图形标志—排放口（源）》和国家环保总局《排污口规范化整治要求（试行）》的技术要求，企业所有排放口，包括水、气、声、固体废物，必须按照“便于计量监测、便于日常现场监督检查”的原则和规范化要求，设置与之相适应的环境保护图形标志牌。</w:t>
            </w:r>
          </w:p>
          <w:p w14:paraId="5D5538CD">
            <w:pPr>
              <w:pStyle w:val="140"/>
              <w:spacing w:line="360" w:lineRule="exact"/>
              <w:ind w:firstLine="420"/>
              <w:rPr>
                <w:b w:val="0"/>
                <w:bCs w:val="0"/>
                <w:color w:val="auto"/>
                <w:sz w:val="24"/>
                <w:szCs w:val="24"/>
                <w:highlight w:val="none"/>
              </w:rPr>
            </w:pPr>
            <w:r>
              <w:rPr>
                <w:b w:val="0"/>
                <w:bCs w:val="0"/>
                <w:color w:val="auto"/>
                <w:sz w:val="24"/>
                <w:szCs w:val="24"/>
                <w:highlight w:val="none"/>
              </w:rPr>
              <w:t>污染物排放口（源）和固体废物贮存、处置场，必须实行规范化整治，按照国家标准《环境保护图形标志》（GB15562.1-1995）（GB15562.2-1995）的规定，设置与之相适应的环境保护图形标志牌。一般污染物排污口（源），设置提示式标志牌，有毒、有害污染物的排污口设置警告式标志牌。</w:t>
            </w:r>
          </w:p>
          <w:p w14:paraId="7AB8FC33">
            <w:pPr>
              <w:pStyle w:val="140"/>
              <w:spacing w:line="360" w:lineRule="exact"/>
              <w:ind w:firstLine="420"/>
              <w:rPr>
                <w:b w:val="0"/>
                <w:bCs w:val="0"/>
                <w:color w:val="auto"/>
                <w:sz w:val="24"/>
                <w:szCs w:val="24"/>
                <w:highlight w:val="none"/>
              </w:rPr>
            </w:pPr>
            <w:r>
              <w:rPr>
                <w:b w:val="0"/>
                <w:bCs w:val="0"/>
                <w:color w:val="auto"/>
                <w:sz w:val="24"/>
                <w:szCs w:val="24"/>
                <w:highlight w:val="none"/>
              </w:rPr>
              <w:t>标志牌应设置在排污口（采样点）附近且醒目处，高度为标志牌上缘离地面2m。排污口附近1m范围内有建筑物的，设平面式标志牌，无建筑物的设立式标志牌。</w:t>
            </w:r>
          </w:p>
          <w:p w14:paraId="53A079DC">
            <w:pPr>
              <w:pStyle w:val="140"/>
              <w:spacing w:line="360" w:lineRule="exact"/>
              <w:ind w:firstLine="420"/>
              <w:rPr>
                <w:b w:val="0"/>
                <w:bCs w:val="0"/>
                <w:color w:val="auto"/>
                <w:sz w:val="24"/>
                <w:szCs w:val="24"/>
                <w:highlight w:val="none"/>
              </w:rPr>
            </w:pPr>
            <w:r>
              <w:rPr>
                <w:b w:val="0"/>
                <w:bCs w:val="0"/>
                <w:color w:val="auto"/>
                <w:sz w:val="24"/>
                <w:szCs w:val="24"/>
                <w:highlight w:val="none"/>
              </w:rPr>
              <w:t>规范化排污口的有关设置（如图形标志牌、计量装置、在线监控装置等）属环保设施，建设单位必须负责日常的维护保养，任何单位和个人不得擅自拆除，如果需要变更的必须报当地环保部门同意并办理变更手续。</w:t>
            </w:r>
          </w:p>
          <w:p w14:paraId="38EB507B">
            <w:pPr>
              <w:pStyle w:val="141"/>
              <w:keepNext w:val="0"/>
              <w:keepLines w:val="0"/>
              <w:pageBreakBefore w:val="0"/>
              <w:widowControl/>
              <w:kinsoku/>
              <w:wordWrap w:val="0"/>
              <w:overflowPunct/>
              <w:topLinePunct/>
              <w:autoSpaceDE/>
              <w:autoSpaceDN/>
              <w:bidi w:val="0"/>
              <w:spacing w:line="240" w:lineRule="auto"/>
              <w:ind w:left="0" w:leftChars="0" w:firstLine="480" w:firstLineChars="200"/>
              <w:jc w:val="left"/>
              <w:outlineLvl w:val="9"/>
              <w:rPr>
                <w:rFonts w:hint="eastAsia" w:eastAsia="宋体"/>
                <w:b w:val="0"/>
                <w:bCs w:val="0"/>
                <w:color w:val="auto"/>
                <w:sz w:val="24"/>
                <w:szCs w:val="24"/>
                <w:highlight w:val="none"/>
                <w:lang w:eastAsia="zh-CN"/>
              </w:rPr>
            </w:pPr>
            <w:r>
              <w:rPr>
                <w:b w:val="0"/>
                <w:bCs w:val="0"/>
                <w:color w:val="auto"/>
                <w:sz w:val="24"/>
                <w:szCs w:val="24"/>
                <w:highlight w:val="none"/>
              </w:rPr>
              <w:t>项目需要设置的标识标牌有：污水排放口、废气排放口、一般固废暂存场所、危险固废暂存场所；此外，各废水、废气治理设施应挂牌标识名称及操作规程</w:t>
            </w:r>
            <w:r>
              <w:rPr>
                <w:rFonts w:hint="eastAsia"/>
                <w:b w:val="0"/>
                <w:bCs w:val="0"/>
                <w:color w:val="auto"/>
                <w:sz w:val="24"/>
                <w:szCs w:val="24"/>
                <w:highlight w:val="none"/>
              </w:rPr>
              <w:t>。</w:t>
            </w:r>
          </w:p>
          <w:p w14:paraId="45943417">
            <w:pPr>
              <w:pStyle w:val="141"/>
              <w:keepNext w:val="0"/>
              <w:keepLines w:val="0"/>
              <w:pageBreakBefore w:val="0"/>
              <w:widowControl/>
              <w:kinsoku/>
              <w:wordWrap w:val="0"/>
              <w:overflowPunct/>
              <w:topLinePunct/>
              <w:autoSpaceDE/>
              <w:autoSpaceDN/>
              <w:bidi w:val="0"/>
              <w:spacing w:line="360" w:lineRule="auto"/>
              <w:ind w:left="0" w:leftChars="0" w:firstLine="420" w:firstLineChars="200"/>
              <w:outlineLvl w:val="9"/>
              <w:rPr>
                <w:rFonts w:cs="Times New Roman"/>
                <w:b w:val="0"/>
                <w:bCs w:val="0"/>
                <w:color w:val="auto"/>
                <w:sz w:val="21"/>
                <w:szCs w:val="21"/>
                <w:highlight w:val="none"/>
              </w:rPr>
            </w:pPr>
            <w:r>
              <w:rPr>
                <w:rFonts w:cs="Times New Roman"/>
                <w:b w:val="0"/>
                <w:bCs w:val="0"/>
                <w:color w:val="auto"/>
                <w:sz w:val="21"/>
                <w:szCs w:val="21"/>
                <w:highlight w:val="none"/>
              </w:rPr>
              <w:t>表</w:t>
            </w:r>
            <w:r>
              <w:rPr>
                <w:rFonts w:hint="eastAsia" w:cs="Times New Roman"/>
                <w:b w:val="0"/>
                <w:bCs w:val="0"/>
                <w:color w:val="auto"/>
                <w:sz w:val="21"/>
                <w:szCs w:val="21"/>
                <w:highlight w:val="none"/>
                <w:lang w:val="en-US" w:eastAsia="zh-CN"/>
              </w:rPr>
              <w:t>5.1</w:t>
            </w:r>
            <w:r>
              <w:rPr>
                <w:rFonts w:hint="eastAsia" w:cs="Times New Roman"/>
                <w:b w:val="0"/>
                <w:bCs w:val="0"/>
                <w:color w:val="auto"/>
                <w:sz w:val="21"/>
                <w:szCs w:val="21"/>
                <w:highlight w:val="none"/>
              </w:rPr>
              <w:t xml:space="preserve"> </w:t>
            </w:r>
            <w:r>
              <w:rPr>
                <w:rFonts w:cs="Times New Roman"/>
                <w:b w:val="0"/>
                <w:bCs w:val="0"/>
                <w:color w:val="auto"/>
                <w:sz w:val="21"/>
                <w:szCs w:val="21"/>
                <w:highlight w:val="none"/>
              </w:rPr>
              <w:t>排污口图形符号（提示标志）一览表</w:t>
            </w:r>
          </w:p>
          <w:tbl>
            <w:tblPr>
              <w:tblStyle w:val="3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88"/>
              <w:gridCol w:w="1427"/>
              <w:gridCol w:w="1619"/>
              <w:gridCol w:w="1833"/>
              <w:gridCol w:w="2125"/>
            </w:tblGrid>
            <w:tr w14:paraId="2D01B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5" w:hRule="atLeast"/>
                <w:jc w:val="center"/>
              </w:trPr>
              <w:tc>
                <w:tcPr>
                  <w:tcW w:w="447" w:type="pct"/>
                  <w:noWrap w:val="0"/>
                  <w:vAlign w:val="center"/>
                </w:tcPr>
                <w:p w14:paraId="41B09F66">
                  <w:pPr>
                    <w:keepNext w:val="0"/>
                    <w:keepLines w:val="0"/>
                    <w:pageBreakBefore w:val="0"/>
                    <w:widowControl/>
                    <w:kinsoku/>
                    <w:wordWrap w:val="0"/>
                    <w:overflowPunct/>
                    <w:topLinePunct/>
                    <w:autoSpaceDE/>
                    <w:autoSpaceDN/>
                    <w:bidi w:val="0"/>
                    <w:adjustRightInd w:val="0"/>
                    <w:snapToGrid w:val="0"/>
                    <w:spacing w:line="240" w:lineRule="auto"/>
                    <w:ind w:left="0" w:leftChars="0" w:firstLine="0" w:firstLineChars="0"/>
                    <w:jc w:val="center"/>
                    <w:textAlignment w:val="auto"/>
                    <w:outlineLvl w:val="9"/>
                    <w:rPr>
                      <w:b w:val="0"/>
                      <w:bCs w:val="0"/>
                      <w:color w:val="auto"/>
                      <w:sz w:val="21"/>
                      <w:szCs w:val="21"/>
                      <w:highlight w:val="none"/>
                    </w:rPr>
                  </w:pPr>
                  <w:r>
                    <w:rPr>
                      <w:b w:val="0"/>
                      <w:bCs w:val="0"/>
                      <w:color w:val="auto"/>
                      <w:sz w:val="21"/>
                      <w:szCs w:val="21"/>
                      <w:highlight w:val="none"/>
                    </w:rPr>
                    <w:t>序号</w:t>
                  </w:r>
                </w:p>
              </w:tc>
              <w:tc>
                <w:tcPr>
                  <w:tcW w:w="927" w:type="pct"/>
                  <w:noWrap w:val="0"/>
                  <w:vAlign w:val="center"/>
                </w:tcPr>
                <w:p w14:paraId="4FEED601">
                  <w:pPr>
                    <w:keepNext w:val="0"/>
                    <w:keepLines w:val="0"/>
                    <w:pageBreakBefore w:val="0"/>
                    <w:widowControl/>
                    <w:kinsoku/>
                    <w:wordWrap w:val="0"/>
                    <w:overflowPunct/>
                    <w:topLinePunct/>
                    <w:autoSpaceDE/>
                    <w:autoSpaceDN/>
                    <w:bidi w:val="0"/>
                    <w:adjustRightInd w:val="0"/>
                    <w:snapToGrid w:val="0"/>
                    <w:spacing w:line="240" w:lineRule="auto"/>
                    <w:ind w:left="0" w:leftChars="0" w:firstLine="0" w:firstLineChars="0"/>
                    <w:jc w:val="center"/>
                    <w:textAlignment w:val="auto"/>
                    <w:outlineLvl w:val="9"/>
                    <w:rPr>
                      <w:b w:val="0"/>
                      <w:bCs w:val="0"/>
                      <w:color w:val="auto"/>
                      <w:sz w:val="21"/>
                      <w:szCs w:val="21"/>
                      <w:highlight w:val="none"/>
                    </w:rPr>
                  </w:pPr>
                  <w:r>
                    <w:rPr>
                      <w:b w:val="0"/>
                      <w:bCs w:val="0"/>
                      <w:color w:val="auto"/>
                      <w:sz w:val="21"/>
                      <w:szCs w:val="21"/>
                      <w:highlight w:val="none"/>
                    </w:rPr>
                    <w:t>提示图形符号</w:t>
                  </w:r>
                </w:p>
              </w:tc>
              <w:tc>
                <w:tcPr>
                  <w:tcW w:w="1052" w:type="pct"/>
                  <w:noWrap w:val="0"/>
                  <w:vAlign w:val="center"/>
                </w:tcPr>
                <w:p w14:paraId="3642367C">
                  <w:pPr>
                    <w:keepNext w:val="0"/>
                    <w:keepLines w:val="0"/>
                    <w:pageBreakBefore w:val="0"/>
                    <w:widowControl/>
                    <w:kinsoku/>
                    <w:wordWrap w:val="0"/>
                    <w:overflowPunct/>
                    <w:topLinePunct/>
                    <w:autoSpaceDE/>
                    <w:autoSpaceDN/>
                    <w:bidi w:val="0"/>
                    <w:adjustRightInd w:val="0"/>
                    <w:snapToGrid w:val="0"/>
                    <w:spacing w:line="240" w:lineRule="auto"/>
                    <w:ind w:left="0" w:leftChars="0" w:firstLine="0" w:firstLineChars="0"/>
                    <w:jc w:val="center"/>
                    <w:textAlignment w:val="auto"/>
                    <w:outlineLvl w:val="9"/>
                    <w:rPr>
                      <w:b w:val="0"/>
                      <w:bCs w:val="0"/>
                      <w:color w:val="auto"/>
                      <w:sz w:val="21"/>
                      <w:szCs w:val="21"/>
                      <w:highlight w:val="none"/>
                    </w:rPr>
                  </w:pPr>
                  <w:r>
                    <w:rPr>
                      <w:b w:val="0"/>
                      <w:bCs w:val="0"/>
                      <w:color w:val="auto"/>
                      <w:sz w:val="21"/>
                      <w:szCs w:val="21"/>
                      <w:highlight w:val="none"/>
                    </w:rPr>
                    <w:t>警告图形符号</w:t>
                  </w:r>
                </w:p>
              </w:tc>
              <w:tc>
                <w:tcPr>
                  <w:tcW w:w="1191" w:type="pct"/>
                  <w:noWrap w:val="0"/>
                  <w:vAlign w:val="center"/>
                </w:tcPr>
                <w:p w14:paraId="6BD274EE">
                  <w:pPr>
                    <w:keepNext w:val="0"/>
                    <w:keepLines w:val="0"/>
                    <w:pageBreakBefore w:val="0"/>
                    <w:widowControl/>
                    <w:kinsoku/>
                    <w:wordWrap w:val="0"/>
                    <w:overflowPunct/>
                    <w:topLinePunct/>
                    <w:autoSpaceDE/>
                    <w:autoSpaceDN/>
                    <w:bidi w:val="0"/>
                    <w:adjustRightInd w:val="0"/>
                    <w:snapToGrid w:val="0"/>
                    <w:spacing w:line="240" w:lineRule="auto"/>
                    <w:ind w:left="0" w:leftChars="0" w:firstLine="0" w:firstLineChars="0"/>
                    <w:jc w:val="center"/>
                    <w:textAlignment w:val="auto"/>
                    <w:outlineLvl w:val="9"/>
                    <w:rPr>
                      <w:b w:val="0"/>
                      <w:bCs w:val="0"/>
                      <w:color w:val="auto"/>
                      <w:sz w:val="21"/>
                      <w:szCs w:val="21"/>
                      <w:highlight w:val="none"/>
                    </w:rPr>
                  </w:pPr>
                  <w:r>
                    <w:rPr>
                      <w:b w:val="0"/>
                      <w:bCs w:val="0"/>
                      <w:color w:val="auto"/>
                      <w:sz w:val="21"/>
                      <w:szCs w:val="21"/>
                      <w:highlight w:val="none"/>
                    </w:rPr>
                    <w:t>名称</w:t>
                  </w:r>
                </w:p>
              </w:tc>
              <w:tc>
                <w:tcPr>
                  <w:tcW w:w="1381" w:type="pct"/>
                  <w:noWrap w:val="0"/>
                  <w:vAlign w:val="center"/>
                </w:tcPr>
                <w:p w14:paraId="05793F4D">
                  <w:pPr>
                    <w:keepNext w:val="0"/>
                    <w:keepLines w:val="0"/>
                    <w:pageBreakBefore w:val="0"/>
                    <w:widowControl/>
                    <w:kinsoku/>
                    <w:wordWrap w:val="0"/>
                    <w:overflowPunct/>
                    <w:topLinePunct/>
                    <w:autoSpaceDE/>
                    <w:autoSpaceDN/>
                    <w:bidi w:val="0"/>
                    <w:adjustRightInd w:val="0"/>
                    <w:snapToGrid w:val="0"/>
                    <w:spacing w:line="240" w:lineRule="auto"/>
                    <w:ind w:left="0" w:leftChars="0" w:firstLine="0" w:firstLineChars="0"/>
                    <w:jc w:val="center"/>
                    <w:textAlignment w:val="auto"/>
                    <w:outlineLvl w:val="9"/>
                    <w:rPr>
                      <w:b w:val="0"/>
                      <w:bCs w:val="0"/>
                      <w:color w:val="auto"/>
                      <w:sz w:val="21"/>
                      <w:szCs w:val="21"/>
                      <w:highlight w:val="none"/>
                    </w:rPr>
                  </w:pPr>
                  <w:r>
                    <w:rPr>
                      <w:b w:val="0"/>
                      <w:bCs w:val="0"/>
                      <w:color w:val="auto"/>
                      <w:sz w:val="21"/>
                      <w:szCs w:val="21"/>
                      <w:highlight w:val="none"/>
                    </w:rPr>
                    <w:t>功能</w:t>
                  </w:r>
                </w:p>
              </w:tc>
            </w:tr>
            <w:tr w14:paraId="26BEE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57" w:hRule="atLeast"/>
                <w:jc w:val="center"/>
              </w:trPr>
              <w:tc>
                <w:tcPr>
                  <w:tcW w:w="447" w:type="pct"/>
                  <w:noWrap w:val="0"/>
                  <w:vAlign w:val="center"/>
                </w:tcPr>
                <w:p w14:paraId="5F503873">
                  <w:pPr>
                    <w:keepNext w:val="0"/>
                    <w:keepLines w:val="0"/>
                    <w:pageBreakBefore w:val="0"/>
                    <w:widowControl/>
                    <w:kinsoku/>
                    <w:wordWrap w:val="0"/>
                    <w:overflowPunct/>
                    <w:topLinePunct/>
                    <w:autoSpaceDE/>
                    <w:autoSpaceDN/>
                    <w:bidi w:val="0"/>
                    <w:adjustRightInd w:val="0"/>
                    <w:snapToGrid w:val="0"/>
                    <w:spacing w:line="240" w:lineRule="auto"/>
                    <w:ind w:left="0" w:leftChars="0" w:firstLine="0" w:firstLineChars="0"/>
                    <w:jc w:val="center"/>
                    <w:textAlignment w:val="auto"/>
                    <w:outlineLvl w:val="9"/>
                    <w:rPr>
                      <w:color w:val="auto"/>
                      <w:sz w:val="21"/>
                      <w:szCs w:val="21"/>
                      <w:highlight w:val="none"/>
                    </w:rPr>
                  </w:pPr>
                  <w:r>
                    <w:rPr>
                      <w:color w:val="auto"/>
                      <w:sz w:val="21"/>
                      <w:szCs w:val="21"/>
                      <w:highlight w:val="none"/>
                    </w:rPr>
                    <w:t>1</w:t>
                  </w:r>
                </w:p>
              </w:tc>
              <w:tc>
                <w:tcPr>
                  <w:tcW w:w="927" w:type="pct"/>
                  <w:noWrap w:val="0"/>
                  <w:vAlign w:val="center"/>
                </w:tcPr>
                <w:p w14:paraId="385C030D">
                  <w:pPr>
                    <w:keepNext w:val="0"/>
                    <w:keepLines w:val="0"/>
                    <w:pageBreakBefore w:val="0"/>
                    <w:widowControl/>
                    <w:kinsoku/>
                    <w:wordWrap w:val="0"/>
                    <w:overflowPunct/>
                    <w:topLinePunct/>
                    <w:autoSpaceDE/>
                    <w:autoSpaceDN/>
                    <w:bidi w:val="0"/>
                    <w:adjustRightInd w:val="0"/>
                    <w:snapToGrid w:val="0"/>
                    <w:spacing w:line="240" w:lineRule="auto"/>
                    <w:ind w:left="0" w:leftChars="0" w:firstLine="0" w:firstLineChars="0"/>
                    <w:jc w:val="center"/>
                    <w:textAlignment w:val="auto"/>
                    <w:outlineLvl w:val="9"/>
                    <w:rPr>
                      <w:color w:val="auto"/>
                      <w:sz w:val="21"/>
                      <w:szCs w:val="21"/>
                      <w:highlight w:val="none"/>
                    </w:rPr>
                  </w:pPr>
                  <w:r>
                    <w:rPr>
                      <w:color w:val="auto"/>
                      <w:sz w:val="21"/>
                      <w:szCs w:val="21"/>
                      <w:highlight w:val="none"/>
                    </w:rPr>
                    <w:drawing>
                      <wp:inline distT="0" distB="0" distL="114300" distR="114300">
                        <wp:extent cx="933450" cy="619125"/>
                        <wp:effectExtent l="0" t="0" r="11430" b="5715"/>
                        <wp:docPr id="12" name="图片 13" descr="V@W](71CG7GH@($BSX9B4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descr="V@W](71CG7GH@($BSX9B4CY"/>
                                <pic:cNvPicPr>
                                  <a:picLocks noChangeAspect="1"/>
                                </pic:cNvPicPr>
                              </pic:nvPicPr>
                              <pic:blipFill>
                                <a:blip r:embed="rId20"/>
                                <a:stretch>
                                  <a:fillRect/>
                                </a:stretch>
                              </pic:blipFill>
                              <pic:spPr>
                                <a:xfrm>
                                  <a:off x="0" y="0"/>
                                  <a:ext cx="933450" cy="619125"/>
                                </a:xfrm>
                                <a:prstGeom prst="rect">
                                  <a:avLst/>
                                </a:prstGeom>
                                <a:noFill/>
                                <a:ln>
                                  <a:noFill/>
                                </a:ln>
                              </pic:spPr>
                            </pic:pic>
                          </a:graphicData>
                        </a:graphic>
                      </wp:inline>
                    </w:drawing>
                  </w:r>
                </w:p>
              </w:tc>
              <w:tc>
                <w:tcPr>
                  <w:tcW w:w="1052" w:type="pct"/>
                  <w:noWrap w:val="0"/>
                  <w:vAlign w:val="center"/>
                </w:tcPr>
                <w:p w14:paraId="2E2D106D">
                  <w:pPr>
                    <w:keepNext w:val="0"/>
                    <w:keepLines w:val="0"/>
                    <w:pageBreakBefore w:val="0"/>
                    <w:widowControl/>
                    <w:kinsoku/>
                    <w:wordWrap w:val="0"/>
                    <w:overflowPunct/>
                    <w:topLinePunct/>
                    <w:autoSpaceDE/>
                    <w:autoSpaceDN/>
                    <w:bidi w:val="0"/>
                    <w:adjustRightInd w:val="0"/>
                    <w:snapToGrid w:val="0"/>
                    <w:spacing w:line="240" w:lineRule="auto"/>
                    <w:ind w:left="0" w:leftChars="0" w:firstLine="0" w:firstLineChars="0"/>
                    <w:jc w:val="center"/>
                    <w:textAlignment w:val="auto"/>
                    <w:outlineLvl w:val="9"/>
                    <w:rPr>
                      <w:color w:val="auto"/>
                      <w:sz w:val="21"/>
                      <w:szCs w:val="21"/>
                      <w:highlight w:val="none"/>
                    </w:rPr>
                  </w:pPr>
                  <w:r>
                    <w:rPr>
                      <w:color w:val="auto"/>
                      <w:sz w:val="21"/>
                      <w:szCs w:val="21"/>
                      <w:highlight w:val="none"/>
                    </w:rPr>
                    <w:drawing>
                      <wp:inline distT="0" distB="0" distL="114300" distR="114300">
                        <wp:extent cx="895350" cy="638175"/>
                        <wp:effectExtent l="0" t="0" r="3810" b="1905"/>
                        <wp:docPr id="13" name="图片 14" descr="ZZ]TQF)]20V@N%G~)R3]5J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descr="ZZ]TQF)]20V@N%G~)R3]5J2"/>
                                <pic:cNvPicPr>
                                  <a:picLocks noChangeAspect="1"/>
                                </pic:cNvPicPr>
                              </pic:nvPicPr>
                              <pic:blipFill>
                                <a:blip r:embed="rId21"/>
                                <a:stretch>
                                  <a:fillRect/>
                                </a:stretch>
                              </pic:blipFill>
                              <pic:spPr>
                                <a:xfrm>
                                  <a:off x="0" y="0"/>
                                  <a:ext cx="895350" cy="638175"/>
                                </a:xfrm>
                                <a:prstGeom prst="rect">
                                  <a:avLst/>
                                </a:prstGeom>
                                <a:noFill/>
                                <a:ln>
                                  <a:noFill/>
                                </a:ln>
                              </pic:spPr>
                            </pic:pic>
                          </a:graphicData>
                        </a:graphic>
                      </wp:inline>
                    </w:drawing>
                  </w:r>
                </w:p>
              </w:tc>
              <w:tc>
                <w:tcPr>
                  <w:tcW w:w="1191" w:type="pct"/>
                  <w:noWrap w:val="0"/>
                  <w:vAlign w:val="center"/>
                </w:tcPr>
                <w:p w14:paraId="229AF46E">
                  <w:pPr>
                    <w:keepNext w:val="0"/>
                    <w:keepLines w:val="0"/>
                    <w:pageBreakBefore w:val="0"/>
                    <w:widowControl/>
                    <w:kinsoku/>
                    <w:wordWrap w:val="0"/>
                    <w:overflowPunct/>
                    <w:topLinePunct/>
                    <w:autoSpaceDE/>
                    <w:autoSpaceDN/>
                    <w:bidi w:val="0"/>
                    <w:adjustRightInd w:val="0"/>
                    <w:snapToGrid w:val="0"/>
                    <w:spacing w:line="240" w:lineRule="auto"/>
                    <w:ind w:left="0" w:leftChars="0" w:firstLine="0" w:firstLineChars="0"/>
                    <w:jc w:val="center"/>
                    <w:textAlignment w:val="auto"/>
                    <w:outlineLvl w:val="9"/>
                    <w:rPr>
                      <w:color w:val="auto"/>
                      <w:sz w:val="21"/>
                      <w:szCs w:val="21"/>
                      <w:highlight w:val="none"/>
                    </w:rPr>
                  </w:pPr>
                  <w:r>
                    <w:rPr>
                      <w:color w:val="auto"/>
                      <w:sz w:val="21"/>
                      <w:szCs w:val="21"/>
                      <w:highlight w:val="none"/>
                    </w:rPr>
                    <w:t>废水排放口</w:t>
                  </w:r>
                </w:p>
              </w:tc>
              <w:tc>
                <w:tcPr>
                  <w:tcW w:w="1381" w:type="pct"/>
                  <w:noWrap w:val="0"/>
                  <w:vAlign w:val="center"/>
                </w:tcPr>
                <w:p w14:paraId="7312AE42">
                  <w:pPr>
                    <w:keepNext w:val="0"/>
                    <w:keepLines w:val="0"/>
                    <w:pageBreakBefore w:val="0"/>
                    <w:widowControl/>
                    <w:kinsoku/>
                    <w:wordWrap w:val="0"/>
                    <w:overflowPunct/>
                    <w:topLinePunct/>
                    <w:autoSpaceDE/>
                    <w:autoSpaceDN/>
                    <w:bidi w:val="0"/>
                    <w:adjustRightInd w:val="0"/>
                    <w:snapToGrid w:val="0"/>
                    <w:spacing w:line="240" w:lineRule="auto"/>
                    <w:ind w:left="0" w:leftChars="0" w:firstLine="0" w:firstLineChars="0"/>
                    <w:jc w:val="center"/>
                    <w:textAlignment w:val="auto"/>
                    <w:outlineLvl w:val="9"/>
                    <w:rPr>
                      <w:color w:val="auto"/>
                      <w:sz w:val="21"/>
                      <w:szCs w:val="21"/>
                      <w:highlight w:val="none"/>
                    </w:rPr>
                  </w:pPr>
                  <w:r>
                    <w:rPr>
                      <w:color w:val="auto"/>
                      <w:sz w:val="21"/>
                      <w:szCs w:val="21"/>
                      <w:highlight w:val="none"/>
                    </w:rPr>
                    <w:t>表示污水向水体排放</w:t>
                  </w:r>
                </w:p>
              </w:tc>
            </w:tr>
            <w:tr w14:paraId="23D77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57" w:hRule="atLeast"/>
                <w:jc w:val="center"/>
              </w:trPr>
              <w:tc>
                <w:tcPr>
                  <w:tcW w:w="447" w:type="pct"/>
                  <w:noWrap w:val="0"/>
                  <w:vAlign w:val="center"/>
                </w:tcPr>
                <w:p w14:paraId="6683AC9E">
                  <w:pPr>
                    <w:keepNext w:val="0"/>
                    <w:keepLines w:val="0"/>
                    <w:pageBreakBefore w:val="0"/>
                    <w:widowControl/>
                    <w:kinsoku/>
                    <w:wordWrap w:val="0"/>
                    <w:overflowPunct/>
                    <w:topLinePunct/>
                    <w:autoSpaceDE/>
                    <w:autoSpaceDN/>
                    <w:bidi w:val="0"/>
                    <w:adjustRightInd w:val="0"/>
                    <w:snapToGrid w:val="0"/>
                    <w:spacing w:line="240" w:lineRule="auto"/>
                    <w:ind w:left="0" w:leftChars="0" w:firstLine="0" w:firstLineChars="0"/>
                    <w:jc w:val="center"/>
                    <w:textAlignment w:val="auto"/>
                    <w:outlineLvl w:val="9"/>
                    <w:rPr>
                      <w:color w:val="auto"/>
                      <w:sz w:val="21"/>
                      <w:szCs w:val="21"/>
                      <w:highlight w:val="none"/>
                    </w:rPr>
                  </w:pPr>
                  <w:r>
                    <w:rPr>
                      <w:color w:val="auto"/>
                      <w:sz w:val="21"/>
                      <w:szCs w:val="21"/>
                      <w:highlight w:val="none"/>
                    </w:rPr>
                    <w:t>2</w:t>
                  </w:r>
                </w:p>
              </w:tc>
              <w:tc>
                <w:tcPr>
                  <w:tcW w:w="927" w:type="pct"/>
                  <w:noWrap w:val="0"/>
                  <w:vAlign w:val="center"/>
                </w:tcPr>
                <w:p w14:paraId="7D330909">
                  <w:pPr>
                    <w:keepNext w:val="0"/>
                    <w:keepLines w:val="0"/>
                    <w:pageBreakBefore w:val="0"/>
                    <w:widowControl/>
                    <w:kinsoku/>
                    <w:wordWrap w:val="0"/>
                    <w:overflowPunct/>
                    <w:topLinePunct/>
                    <w:autoSpaceDE/>
                    <w:autoSpaceDN/>
                    <w:bidi w:val="0"/>
                    <w:adjustRightInd w:val="0"/>
                    <w:snapToGrid w:val="0"/>
                    <w:spacing w:line="240" w:lineRule="auto"/>
                    <w:ind w:left="0" w:leftChars="0" w:firstLine="0" w:firstLineChars="0"/>
                    <w:jc w:val="center"/>
                    <w:textAlignment w:val="auto"/>
                    <w:outlineLvl w:val="9"/>
                    <w:rPr>
                      <w:color w:val="auto"/>
                      <w:sz w:val="21"/>
                      <w:szCs w:val="21"/>
                      <w:highlight w:val="none"/>
                    </w:rPr>
                  </w:pPr>
                  <w:r>
                    <w:rPr>
                      <w:color w:val="auto"/>
                      <w:sz w:val="21"/>
                      <w:szCs w:val="21"/>
                      <w:highlight w:val="none"/>
                    </w:rPr>
                    <w:drawing>
                      <wp:inline distT="0" distB="0" distL="114300" distR="114300">
                        <wp:extent cx="933450" cy="642620"/>
                        <wp:effectExtent l="0" t="0" r="11430" b="12700"/>
                        <wp:docPr id="14" name="图片 15" descr="V3OQ`G)ZN]VYNC8Y}K]PX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 descr="V3OQ`G)ZN]VYNC8Y}K]PXEP"/>
                                <pic:cNvPicPr>
                                  <a:picLocks noChangeAspect="1"/>
                                </pic:cNvPicPr>
                              </pic:nvPicPr>
                              <pic:blipFill>
                                <a:blip r:embed="rId22"/>
                                <a:stretch>
                                  <a:fillRect/>
                                </a:stretch>
                              </pic:blipFill>
                              <pic:spPr>
                                <a:xfrm>
                                  <a:off x="0" y="0"/>
                                  <a:ext cx="933450" cy="642620"/>
                                </a:xfrm>
                                <a:prstGeom prst="rect">
                                  <a:avLst/>
                                </a:prstGeom>
                                <a:noFill/>
                                <a:ln>
                                  <a:noFill/>
                                </a:ln>
                              </pic:spPr>
                            </pic:pic>
                          </a:graphicData>
                        </a:graphic>
                      </wp:inline>
                    </w:drawing>
                  </w:r>
                </w:p>
              </w:tc>
              <w:tc>
                <w:tcPr>
                  <w:tcW w:w="1052" w:type="pct"/>
                  <w:noWrap w:val="0"/>
                  <w:vAlign w:val="center"/>
                </w:tcPr>
                <w:p w14:paraId="75303F8B">
                  <w:pPr>
                    <w:keepNext w:val="0"/>
                    <w:keepLines w:val="0"/>
                    <w:pageBreakBefore w:val="0"/>
                    <w:widowControl/>
                    <w:kinsoku/>
                    <w:wordWrap w:val="0"/>
                    <w:overflowPunct/>
                    <w:topLinePunct/>
                    <w:autoSpaceDE/>
                    <w:autoSpaceDN/>
                    <w:bidi w:val="0"/>
                    <w:adjustRightInd w:val="0"/>
                    <w:snapToGrid w:val="0"/>
                    <w:spacing w:line="240" w:lineRule="auto"/>
                    <w:ind w:left="0" w:leftChars="0" w:firstLine="0" w:firstLineChars="0"/>
                    <w:jc w:val="center"/>
                    <w:textAlignment w:val="auto"/>
                    <w:outlineLvl w:val="9"/>
                    <w:rPr>
                      <w:color w:val="auto"/>
                      <w:sz w:val="21"/>
                      <w:szCs w:val="21"/>
                      <w:highlight w:val="none"/>
                    </w:rPr>
                  </w:pPr>
                  <w:r>
                    <w:rPr>
                      <w:color w:val="auto"/>
                      <w:sz w:val="21"/>
                      <w:szCs w:val="21"/>
                      <w:highlight w:val="none"/>
                    </w:rPr>
                    <w:drawing>
                      <wp:inline distT="0" distB="0" distL="114300" distR="114300">
                        <wp:extent cx="895350" cy="638175"/>
                        <wp:effectExtent l="0" t="0" r="3810" b="1905"/>
                        <wp:docPr id="15" name="图片 16" descr=")CO78GYEM0__E0PWK}J~B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 descr=")CO78GYEM0__E0PWK}J~BHO"/>
                                <pic:cNvPicPr>
                                  <a:picLocks noChangeAspect="1"/>
                                </pic:cNvPicPr>
                              </pic:nvPicPr>
                              <pic:blipFill>
                                <a:blip r:embed="rId23"/>
                                <a:stretch>
                                  <a:fillRect/>
                                </a:stretch>
                              </pic:blipFill>
                              <pic:spPr>
                                <a:xfrm>
                                  <a:off x="0" y="0"/>
                                  <a:ext cx="895350" cy="638175"/>
                                </a:xfrm>
                                <a:prstGeom prst="rect">
                                  <a:avLst/>
                                </a:prstGeom>
                                <a:noFill/>
                                <a:ln>
                                  <a:noFill/>
                                </a:ln>
                              </pic:spPr>
                            </pic:pic>
                          </a:graphicData>
                        </a:graphic>
                      </wp:inline>
                    </w:drawing>
                  </w:r>
                </w:p>
              </w:tc>
              <w:tc>
                <w:tcPr>
                  <w:tcW w:w="1191" w:type="pct"/>
                  <w:noWrap w:val="0"/>
                  <w:vAlign w:val="center"/>
                </w:tcPr>
                <w:p w14:paraId="5BF6688F">
                  <w:pPr>
                    <w:keepNext w:val="0"/>
                    <w:keepLines w:val="0"/>
                    <w:pageBreakBefore w:val="0"/>
                    <w:widowControl/>
                    <w:kinsoku/>
                    <w:wordWrap w:val="0"/>
                    <w:overflowPunct/>
                    <w:topLinePunct/>
                    <w:autoSpaceDE/>
                    <w:autoSpaceDN/>
                    <w:bidi w:val="0"/>
                    <w:adjustRightInd w:val="0"/>
                    <w:snapToGrid w:val="0"/>
                    <w:spacing w:line="240" w:lineRule="auto"/>
                    <w:ind w:left="0" w:leftChars="0" w:firstLine="0" w:firstLineChars="0"/>
                    <w:jc w:val="center"/>
                    <w:textAlignment w:val="auto"/>
                    <w:outlineLvl w:val="9"/>
                    <w:rPr>
                      <w:color w:val="auto"/>
                      <w:sz w:val="21"/>
                      <w:szCs w:val="21"/>
                      <w:highlight w:val="none"/>
                    </w:rPr>
                  </w:pPr>
                  <w:r>
                    <w:rPr>
                      <w:color w:val="auto"/>
                      <w:sz w:val="21"/>
                      <w:szCs w:val="21"/>
                      <w:highlight w:val="none"/>
                    </w:rPr>
                    <w:t>废气排放口</w:t>
                  </w:r>
                </w:p>
              </w:tc>
              <w:tc>
                <w:tcPr>
                  <w:tcW w:w="1381" w:type="pct"/>
                  <w:noWrap w:val="0"/>
                  <w:vAlign w:val="center"/>
                </w:tcPr>
                <w:p w14:paraId="3CE05187">
                  <w:pPr>
                    <w:keepNext w:val="0"/>
                    <w:keepLines w:val="0"/>
                    <w:pageBreakBefore w:val="0"/>
                    <w:widowControl/>
                    <w:kinsoku/>
                    <w:wordWrap w:val="0"/>
                    <w:overflowPunct/>
                    <w:topLinePunct/>
                    <w:autoSpaceDE/>
                    <w:autoSpaceDN/>
                    <w:bidi w:val="0"/>
                    <w:adjustRightInd w:val="0"/>
                    <w:snapToGrid w:val="0"/>
                    <w:spacing w:line="240" w:lineRule="auto"/>
                    <w:ind w:left="0" w:leftChars="0" w:firstLine="0" w:firstLineChars="0"/>
                    <w:jc w:val="center"/>
                    <w:textAlignment w:val="auto"/>
                    <w:outlineLvl w:val="9"/>
                    <w:rPr>
                      <w:color w:val="auto"/>
                      <w:sz w:val="21"/>
                      <w:szCs w:val="21"/>
                      <w:highlight w:val="none"/>
                    </w:rPr>
                  </w:pPr>
                  <w:r>
                    <w:rPr>
                      <w:color w:val="auto"/>
                      <w:sz w:val="21"/>
                      <w:szCs w:val="21"/>
                      <w:highlight w:val="none"/>
                    </w:rPr>
                    <w:t>表示废气向大气环境排放</w:t>
                  </w:r>
                </w:p>
              </w:tc>
            </w:tr>
            <w:tr w14:paraId="7735C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57" w:hRule="atLeast"/>
                <w:jc w:val="center"/>
              </w:trPr>
              <w:tc>
                <w:tcPr>
                  <w:tcW w:w="447" w:type="pct"/>
                  <w:noWrap w:val="0"/>
                  <w:vAlign w:val="center"/>
                </w:tcPr>
                <w:p w14:paraId="31DE4AF1">
                  <w:pPr>
                    <w:keepNext w:val="0"/>
                    <w:keepLines w:val="0"/>
                    <w:pageBreakBefore w:val="0"/>
                    <w:widowControl/>
                    <w:kinsoku/>
                    <w:wordWrap w:val="0"/>
                    <w:overflowPunct/>
                    <w:topLinePunct/>
                    <w:autoSpaceDE/>
                    <w:autoSpaceDN/>
                    <w:bidi w:val="0"/>
                    <w:adjustRightInd w:val="0"/>
                    <w:snapToGrid w:val="0"/>
                    <w:spacing w:line="240" w:lineRule="auto"/>
                    <w:ind w:left="0" w:leftChars="0" w:firstLine="0" w:firstLineChars="0"/>
                    <w:jc w:val="center"/>
                    <w:textAlignment w:val="auto"/>
                    <w:outlineLvl w:val="9"/>
                    <w:rPr>
                      <w:color w:val="auto"/>
                      <w:sz w:val="21"/>
                      <w:szCs w:val="21"/>
                      <w:highlight w:val="none"/>
                    </w:rPr>
                  </w:pPr>
                  <w:r>
                    <w:rPr>
                      <w:color w:val="auto"/>
                      <w:sz w:val="21"/>
                      <w:szCs w:val="21"/>
                      <w:highlight w:val="none"/>
                    </w:rPr>
                    <w:t>3</w:t>
                  </w:r>
                </w:p>
              </w:tc>
              <w:tc>
                <w:tcPr>
                  <w:tcW w:w="927" w:type="pct"/>
                  <w:noWrap w:val="0"/>
                  <w:vAlign w:val="center"/>
                </w:tcPr>
                <w:p w14:paraId="4BD76ABE">
                  <w:pPr>
                    <w:keepNext w:val="0"/>
                    <w:keepLines w:val="0"/>
                    <w:pageBreakBefore w:val="0"/>
                    <w:widowControl/>
                    <w:kinsoku/>
                    <w:wordWrap w:val="0"/>
                    <w:overflowPunct/>
                    <w:topLinePunct/>
                    <w:autoSpaceDE/>
                    <w:autoSpaceDN/>
                    <w:bidi w:val="0"/>
                    <w:adjustRightInd w:val="0"/>
                    <w:snapToGrid w:val="0"/>
                    <w:spacing w:line="240" w:lineRule="auto"/>
                    <w:ind w:left="0" w:leftChars="0" w:firstLine="0" w:firstLineChars="0"/>
                    <w:jc w:val="center"/>
                    <w:textAlignment w:val="auto"/>
                    <w:outlineLvl w:val="9"/>
                    <w:rPr>
                      <w:color w:val="auto"/>
                      <w:sz w:val="21"/>
                      <w:szCs w:val="21"/>
                      <w:highlight w:val="none"/>
                    </w:rPr>
                  </w:pPr>
                  <w:r>
                    <w:rPr>
                      <w:color w:val="auto"/>
                      <w:sz w:val="21"/>
                      <w:szCs w:val="21"/>
                      <w:highlight w:val="none"/>
                    </w:rPr>
                    <w:drawing>
                      <wp:inline distT="0" distB="0" distL="114300" distR="114300">
                        <wp:extent cx="923925" cy="746760"/>
                        <wp:effectExtent l="0" t="0" r="5715" b="0"/>
                        <wp:docPr id="16" name="图片 17" descr="U1_05@$XA%BP_})JY4EO7P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7" descr="U1_05@$XA%BP_})JY4EO7P6"/>
                                <pic:cNvPicPr>
                                  <a:picLocks noChangeAspect="1"/>
                                </pic:cNvPicPr>
                              </pic:nvPicPr>
                              <pic:blipFill>
                                <a:blip r:embed="rId24"/>
                                <a:stretch>
                                  <a:fillRect/>
                                </a:stretch>
                              </pic:blipFill>
                              <pic:spPr>
                                <a:xfrm>
                                  <a:off x="0" y="0"/>
                                  <a:ext cx="923925" cy="746760"/>
                                </a:xfrm>
                                <a:prstGeom prst="rect">
                                  <a:avLst/>
                                </a:prstGeom>
                                <a:noFill/>
                                <a:ln>
                                  <a:noFill/>
                                </a:ln>
                              </pic:spPr>
                            </pic:pic>
                          </a:graphicData>
                        </a:graphic>
                      </wp:inline>
                    </w:drawing>
                  </w:r>
                </w:p>
              </w:tc>
              <w:tc>
                <w:tcPr>
                  <w:tcW w:w="1052" w:type="pct"/>
                  <w:noWrap w:val="0"/>
                  <w:vAlign w:val="center"/>
                </w:tcPr>
                <w:p w14:paraId="6F8AC393">
                  <w:pPr>
                    <w:keepNext w:val="0"/>
                    <w:keepLines w:val="0"/>
                    <w:pageBreakBefore w:val="0"/>
                    <w:widowControl/>
                    <w:kinsoku/>
                    <w:wordWrap w:val="0"/>
                    <w:overflowPunct/>
                    <w:topLinePunct/>
                    <w:autoSpaceDE/>
                    <w:autoSpaceDN/>
                    <w:bidi w:val="0"/>
                    <w:adjustRightInd w:val="0"/>
                    <w:snapToGrid w:val="0"/>
                    <w:spacing w:line="240" w:lineRule="auto"/>
                    <w:ind w:left="0" w:leftChars="0" w:firstLine="0" w:firstLineChars="0"/>
                    <w:jc w:val="center"/>
                    <w:textAlignment w:val="auto"/>
                    <w:outlineLvl w:val="9"/>
                    <w:rPr>
                      <w:color w:val="auto"/>
                      <w:sz w:val="21"/>
                      <w:szCs w:val="21"/>
                      <w:highlight w:val="none"/>
                    </w:rPr>
                  </w:pPr>
                  <w:r>
                    <w:rPr>
                      <w:color w:val="auto"/>
                      <w:sz w:val="21"/>
                      <w:szCs w:val="21"/>
                      <w:highlight w:val="none"/>
                    </w:rPr>
                    <w:drawing>
                      <wp:inline distT="0" distB="0" distL="114300" distR="114300">
                        <wp:extent cx="904875" cy="700405"/>
                        <wp:effectExtent l="0" t="0" r="9525" b="635"/>
                        <wp:docPr id="17" name="图片 18" descr="HL{CL)7G@6RXZ_@WR[)PK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8" descr="HL{CL)7G@6RXZ_@WR[)PKDS"/>
                                <pic:cNvPicPr>
                                  <a:picLocks noChangeAspect="1"/>
                                </pic:cNvPicPr>
                              </pic:nvPicPr>
                              <pic:blipFill>
                                <a:blip r:embed="rId25"/>
                                <a:stretch>
                                  <a:fillRect/>
                                </a:stretch>
                              </pic:blipFill>
                              <pic:spPr>
                                <a:xfrm>
                                  <a:off x="0" y="0"/>
                                  <a:ext cx="904875" cy="700405"/>
                                </a:xfrm>
                                <a:prstGeom prst="rect">
                                  <a:avLst/>
                                </a:prstGeom>
                                <a:noFill/>
                                <a:ln>
                                  <a:noFill/>
                                </a:ln>
                              </pic:spPr>
                            </pic:pic>
                          </a:graphicData>
                        </a:graphic>
                      </wp:inline>
                    </w:drawing>
                  </w:r>
                </w:p>
              </w:tc>
              <w:tc>
                <w:tcPr>
                  <w:tcW w:w="1191" w:type="pct"/>
                  <w:noWrap w:val="0"/>
                  <w:vAlign w:val="center"/>
                </w:tcPr>
                <w:p w14:paraId="0CDA55B5">
                  <w:pPr>
                    <w:keepNext w:val="0"/>
                    <w:keepLines w:val="0"/>
                    <w:pageBreakBefore w:val="0"/>
                    <w:widowControl/>
                    <w:kinsoku/>
                    <w:wordWrap w:val="0"/>
                    <w:overflowPunct/>
                    <w:topLinePunct/>
                    <w:autoSpaceDE/>
                    <w:autoSpaceDN/>
                    <w:bidi w:val="0"/>
                    <w:adjustRightInd w:val="0"/>
                    <w:snapToGrid w:val="0"/>
                    <w:spacing w:line="240" w:lineRule="auto"/>
                    <w:ind w:left="0" w:leftChars="0" w:firstLine="0" w:firstLineChars="0"/>
                    <w:jc w:val="center"/>
                    <w:textAlignment w:val="auto"/>
                    <w:outlineLvl w:val="9"/>
                    <w:rPr>
                      <w:color w:val="auto"/>
                      <w:sz w:val="21"/>
                      <w:szCs w:val="21"/>
                      <w:highlight w:val="none"/>
                    </w:rPr>
                  </w:pPr>
                  <w:r>
                    <w:rPr>
                      <w:color w:val="auto"/>
                      <w:sz w:val="21"/>
                      <w:szCs w:val="21"/>
                      <w:highlight w:val="none"/>
                    </w:rPr>
                    <w:t>一般固体废物</w:t>
                  </w:r>
                </w:p>
              </w:tc>
              <w:tc>
                <w:tcPr>
                  <w:tcW w:w="1381" w:type="pct"/>
                  <w:noWrap w:val="0"/>
                  <w:vAlign w:val="center"/>
                </w:tcPr>
                <w:p w14:paraId="5C1A5151">
                  <w:pPr>
                    <w:keepNext w:val="0"/>
                    <w:keepLines w:val="0"/>
                    <w:pageBreakBefore w:val="0"/>
                    <w:widowControl/>
                    <w:kinsoku/>
                    <w:wordWrap w:val="0"/>
                    <w:overflowPunct/>
                    <w:topLinePunct/>
                    <w:autoSpaceDE/>
                    <w:autoSpaceDN/>
                    <w:bidi w:val="0"/>
                    <w:adjustRightInd w:val="0"/>
                    <w:snapToGrid w:val="0"/>
                    <w:spacing w:line="240" w:lineRule="auto"/>
                    <w:ind w:left="0" w:leftChars="0" w:firstLine="0" w:firstLineChars="0"/>
                    <w:jc w:val="center"/>
                    <w:textAlignment w:val="auto"/>
                    <w:outlineLvl w:val="9"/>
                    <w:rPr>
                      <w:color w:val="auto"/>
                      <w:sz w:val="21"/>
                      <w:szCs w:val="21"/>
                      <w:highlight w:val="none"/>
                    </w:rPr>
                  </w:pPr>
                  <w:r>
                    <w:rPr>
                      <w:color w:val="auto"/>
                      <w:sz w:val="21"/>
                      <w:szCs w:val="21"/>
                      <w:highlight w:val="none"/>
                    </w:rPr>
                    <w:t>表示一般固体废物贮存、处置场</w:t>
                  </w:r>
                </w:p>
              </w:tc>
            </w:tr>
            <w:tr w14:paraId="5DB15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57" w:hRule="atLeast"/>
                <w:jc w:val="center"/>
              </w:trPr>
              <w:tc>
                <w:tcPr>
                  <w:tcW w:w="447" w:type="pct"/>
                  <w:noWrap w:val="0"/>
                  <w:vAlign w:val="center"/>
                </w:tcPr>
                <w:p w14:paraId="1B722421">
                  <w:pPr>
                    <w:keepNext w:val="0"/>
                    <w:keepLines w:val="0"/>
                    <w:pageBreakBefore w:val="0"/>
                    <w:widowControl/>
                    <w:kinsoku/>
                    <w:wordWrap w:val="0"/>
                    <w:overflowPunct/>
                    <w:topLinePunct/>
                    <w:autoSpaceDE/>
                    <w:autoSpaceDN/>
                    <w:bidi w:val="0"/>
                    <w:adjustRightInd w:val="0"/>
                    <w:snapToGrid w:val="0"/>
                    <w:spacing w:line="240" w:lineRule="auto"/>
                    <w:ind w:left="0" w:leftChars="0" w:firstLine="0" w:firstLineChars="0"/>
                    <w:jc w:val="center"/>
                    <w:textAlignment w:val="auto"/>
                    <w:outlineLvl w:val="9"/>
                    <w:rPr>
                      <w:color w:val="auto"/>
                      <w:sz w:val="21"/>
                      <w:szCs w:val="21"/>
                      <w:highlight w:val="none"/>
                    </w:rPr>
                  </w:pPr>
                  <w:r>
                    <w:rPr>
                      <w:color w:val="auto"/>
                      <w:sz w:val="21"/>
                      <w:szCs w:val="21"/>
                      <w:highlight w:val="none"/>
                    </w:rPr>
                    <w:t>4</w:t>
                  </w:r>
                </w:p>
              </w:tc>
              <w:tc>
                <w:tcPr>
                  <w:tcW w:w="927" w:type="pct"/>
                  <w:noWrap w:val="0"/>
                  <w:vAlign w:val="center"/>
                </w:tcPr>
                <w:p w14:paraId="74A4006C">
                  <w:pPr>
                    <w:keepNext w:val="0"/>
                    <w:keepLines w:val="0"/>
                    <w:pageBreakBefore w:val="0"/>
                    <w:widowControl/>
                    <w:kinsoku/>
                    <w:wordWrap w:val="0"/>
                    <w:overflowPunct/>
                    <w:topLinePunct/>
                    <w:autoSpaceDE/>
                    <w:autoSpaceDN/>
                    <w:bidi w:val="0"/>
                    <w:adjustRightInd w:val="0"/>
                    <w:snapToGrid w:val="0"/>
                    <w:spacing w:line="240" w:lineRule="auto"/>
                    <w:ind w:left="0" w:leftChars="0" w:firstLine="0" w:firstLineChars="0"/>
                    <w:jc w:val="center"/>
                    <w:textAlignment w:val="auto"/>
                    <w:outlineLvl w:val="9"/>
                    <w:rPr>
                      <w:color w:val="auto"/>
                      <w:sz w:val="21"/>
                      <w:szCs w:val="21"/>
                      <w:highlight w:val="none"/>
                    </w:rPr>
                  </w:pPr>
                  <w:r>
                    <w:rPr>
                      <w:color w:val="auto"/>
                      <w:sz w:val="21"/>
                      <w:szCs w:val="21"/>
                      <w:highlight w:val="none"/>
                    </w:rPr>
                    <w:drawing>
                      <wp:inline distT="0" distB="0" distL="114300" distR="114300">
                        <wp:extent cx="895350" cy="619125"/>
                        <wp:effectExtent l="0" t="0" r="3810" b="5715"/>
                        <wp:docPr id="18" name="图片 19" descr="1_6NTSTZZAB3LN)ZML~1X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9" descr="1_6NTSTZZAB3LN)ZML~1XAK"/>
                                <pic:cNvPicPr>
                                  <a:picLocks noChangeAspect="1"/>
                                </pic:cNvPicPr>
                              </pic:nvPicPr>
                              <pic:blipFill>
                                <a:blip r:embed="rId26"/>
                                <a:stretch>
                                  <a:fillRect/>
                                </a:stretch>
                              </pic:blipFill>
                              <pic:spPr>
                                <a:xfrm>
                                  <a:off x="0" y="0"/>
                                  <a:ext cx="895350" cy="619125"/>
                                </a:xfrm>
                                <a:prstGeom prst="rect">
                                  <a:avLst/>
                                </a:prstGeom>
                                <a:noFill/>
                                <a:ln>
                                  <a:noFill/>
                                </a:ln>
                              </pic:spPr>
                            </pic:pic>
                          </a:graphicData>
                        </a:graphic>
                      </wp:inline>
                    </w:drawing>
                  </w:r>
                </w:p>
              </w:tc>
              <w:tc>
                <w:tcPr>
                  <w:tcW w:w="1052" w:type="pct"/>
                  <w:noWrap w:val="0"/>
                  <w:vAlign w:val="center"/>
                </w:tcPr>
                <w:p w14:paraId="38F068FE">
                  <w:pPr>
                    <w:keepNext w:val="0"/>
                    <w:keepLines w:val="0"/>
                    <w:pageBreakBefore w:val="0"/>
                    <w:widowControl/>
                    <w:kinsoku/>
                    <w:wordWrap w:val="0"/>
                    <w:overflowPunct/>
                    <w:topLinePunct/>
                    <w:autoSpaceDE/>
                    <w:autoSpaceDN/>
                    <w:bidi w:val="0"/>
                    <w:adjustRightInd w:val="0"/>
                    <w:snapToGrid w:val="0"/>
                    <w:spacing w:line="240" w:lineRule="auto"/>
                    <w:ind w:left="0" w:leftChars="0" w:firstLine="0" w:firstLineChars="0"/>
                    <w:jc w:val="center"/>
                    <w:textAlignment w:val="auto"/>
                    <w:outlineLvl w:val="9"/>
                    <w:rPr>
                      <w:color w:val="auto"/>
                      <w:sz w:val="21"/>
                      <w:szCs w:val="21"/>
                      <w:highlight w:val="none"/>
                    </w:rPr>
                  </w:pPr>
                  <w:r>
                    <w:rPr>
                      <w:color w:val="auto"/>
                      <w:sz w:val="21"/>
                      <w:szCs w:val="21"/>
                      <w:highlight w:val="none"/>
                    </w:rPr>
                    <w:drawing>
                      <wp:inline distT="0" distB="0" distL="114300" distR="114300">
                        <wp:extent cx="828675" cy="628650"/>
                        <wp:effectExtent l="0" t="0" r="9525" b="11430"/>
                        <wp:docPr id="19" name="图片 20" descr="9IADFLE`%R6CV}S~1MNV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0" descr="9IADFLE`%R6CV}S~1MNVA%G"/>
                                <pic:cNvPicPr>
                                  <a:picLocks noChangeAspect="1"/>
                                </pic:cNvPicPr>
                              </pic:nvPicPr>
                              <pic:blipFill>
                                <a:blip r:embed="rId27"/>
                                <a:stretch>
                                  <a:fillRect/>
                                </a:stretch>
                              </pic:blipFill>
                              <pic:spPr>
                                <a:xfrm>
                                  <a:off x="0" y="0"/>
                                  <a:ext cx="828675" cy="628650"/>
                                </a:xfrm>
                                <a:prstGeom prst="rect">
                                  <a:avLst/>
                                </a:prstGeom>
                                <a:noFill/>
                                <a:ln>
                                  <a:noFill/>
                                </a:ln>
                              </pic:spPr>
                            </pic:pic>
                          </a:graphicData>
                        </a:graphic>
                      </wp:inline>
                    </w:drawing>
                  </w:r>
                </w:p>
              </w:tc>
              <w:tc>
                <w:tcPr>
                  <w:tcW w:w="1191" w:type="pct"/>
                  <w:noWrap w:val="0"/>
                  <w:vAlign w:val="center"/>
                </w:tcPr>
                <w:p w14:paraId="01ED89BF">
                  <w:pPr>
                    <w:keepNext w:val="0"/>
                    <w:keepLines w:val="0"/>
                    <w:pageBreakBefore w:val="0"/>
                    <w:widowControl/>
                    <w:kinsoku/>
                    <w:wordWrap w:val="0"/>
                    <w:overflowPunct/>
                    <w:topLinePunct/>
                    <w:autoSpaceDE/>
                    <w:autoSpaceDN/>
                    <w:bidi w:val="0"/>
                    <w:adjustRightInd w:val="0"/>
                    <w:snapToGrid w:val="0"/>
                    <w:spacing w:line="240" w:lineRule="auto"/>
                    <w:ind w:left="0" w:leftChars="0" w:firstLine="0" w:firstLineChars="0"/>
                    <w:jc w:val="center"/>
                    <w:textAlignment w:val="auto"/>
                    <w:outlineLvl w:val="9"/>
                    <w:rPr>
                      <w:color w:val="auto"/>
                      <w:sz w:val="21"/>
                      <w:szCs w:val="21"/>
                      <w:highlight w:val="none"/>
                    </w:rPr>
                  </w:pPr>
                  <w:r>
                    <w:rPr>
                      <w:color w:val="auto"/>
                      <w:sz w:val="21"/>
                      <w:szCs w:val="21"/>
                      <w:highlight w:val="none"/>
                    </w:rPr>
                    <w:t>噪声排放源</w:t>
                  </w:r>
                </w:p>
              </w:tc>
              <w:tc>
                <w:tcPr>
                  <w:tcW w:w="1381" w:type="pct"/>
                  <w:noWrap w:val="0"/>
                  <w:vAlign w:val="center"/>
                </w:tcPr>
                <w:p w14:paraId="59AFB1B4">
                  <w:pPr>
                    <w:keepNext w:val="0"/>
                    <w:keepLines w:val="0"/>
                    <w:pageBreakBefore w:val="0"/>
                    <w:widowControl/>
                    <w:kinsoku/>
                    <w:wordWrap w:val="0"/>
                    <w:overflowPunct/>
                    <w:topLinePunct/>
                    <w:autoSpaceDE/>
                    <w:autoSpaceDN/>
                    <w:bidi w:val="0"/>
                    <w:adjustRightInd w:val="0"/>
                    <w:snapToGrid w:val="0"/>
                    <w:spacing w:line="240" w:lineRule="auto"/>
                    <w:ind w:left="0" w:leftChars="0" w:firstLine="0" w:firstLineChars="0"/>
                    <w:jc w:val="center"/>
                    <w:textAlignment w:val="auto"/>
                    <w:outlineLvl w:val="9"/>
                    <w:rPr>
                      <w:color w:val="auto"/>
                      <w:sz w:val="21"/>
                      <w:szCs w:val="21"/>
                      <w:highlight w:val="none"/>
                    </w:rPr>
                  </w:pPr>
                  <w:r>
                    <w:rPr>
                      <w:color w:val="auto"/>
                      <w:sz w:val="21"/>
                      <w:szCs w:val="21"/>
                      <w:highlight w:val="none"/>
                    </w:rPr>
                    <w:t>表示噪声向外环境排放</w:t>
                  </w:r>
                </w:p>
              </w:tc>
            </w:tr>
            <w:tr w14:paraId="21FE2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90" w:hRule="atLeast"/>
                <w:jc w:val="center"/>
              </w:trPr>
              <w:tc>
                <w:tcPr>
                  <w:tcW w:w="447" w:type="pct"/>
                  <w:noWrap w:val="0"/>
                  <w:vAlign w:val="center"/>
                </w:tcPr>
                <w:p w14:paraId="03816DA1">
                  <w:pPr>
                    <w:keepNext w:val="0"/>
                    <w:keepLines w:val="0"/>
                    <w:pageBreakBefore w:val="0"/>
                    <w:widowControl/>
                    <w:kinsoku/>
                    <w:wordWrap w:val="0"/>
                    <w:overflowPunct/>
                    <w:topLinePunct/>
                    <w:autoSpaceDE/>
                    <w:autoSpaceDN/>
                    <w:bidi w:val="0"/>
                    <w:adjustRightInd w:val="0"/>
                    <w:snapToGrid w:val="0"/>
                    <w:spacing w:line="240" w:lineRule="auto"/>
                    <w:ind w:left="0" w:leftChars="0" w:firstLine="0" w:firstLineChars="0"/>
                    <w:jc w:val="center"/>
                    <w:textAlignment w:val="auto"/>
                    <w:outlineLvl w:val="9"/>
                    <w:rPr>
                      <w:color w:val="auto"/>
                      <w:sz w:val="21"/>
                      <w:szCs w:val="21"/>
                      <w:highlight w:val="none"/>
                    </w:rPr>
                  </w:pPr>
                  <w:r>
                    <w:rPr>
                      <w:color w:val="auto"/>
                      <w:sz w:val="21"/>
                      <w:szCs w:val="21"/>
                      <w:highlight w:val="none"/>
                    </w:rPr>
                    <w:t>5</w:t>
                  </w:r>
                </w:p>
              </w:tc>
              <w:tc>
                <w:tcPr>
                  <w:tcW w:w="927" w:type="pct"/>
                  <w:noWrap w:val="0"/>
                  <w:vAlign w:val="center"/>
                </w:tcPr>
                <w:p w14:paraId="5322A0D8">
                  <w:pPr>
                    <w:keepNext w:val="0"/>
                    <w:keepLines w:val="0"/>
                    <w:pageBreakBefore w:val="0"/>
                    <w:widowControl/>
                    <w:kinsoku/>
                    <w:wordWrap w:val="0"/>
                    <w:overflowPunct/>
                    <w:topLinePunct/>
                    <w:autoSpaceDE/>
                    <w:autoSpaceDN/>
                    <w:bidi w:val="0"/>
                    <w:adjustRightInd w:val="0"/>
                    <w:snapToGrid w:val="0"/>
                    <w:spacing w:line="240" w:lineRule="auto"/>
                    <w:ind w:left="0" w:leftChars="0" w:firstLine="0" w:firstLineChars="0"/>
                    <w:jc w:val="center"/>
                    <w:textAlignment w:val="auto"/>
                    <w:outlineLvl w:val="9"/>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c>
                <w:tcPr>
                  <w:tcW w:w="1052" w:type="pct"/>
                  <w:noWrap w:val="0"/>
                  <w:vAlign w:val="center"/>
                </w:tcPr>
                <w:p w14:paraId="36BC3C12">
                  <w:pPr>
                    <w:keepNext w:val="0"/>
                    <w:keepLines w:val="0"/>
                    <w:pageBreakBefore w:val="0"/>
                    <w:widowControl/>
                    <w:kinsoku/>
                    <w:wordWrap w:val="0"/>
                    <w:overflowPunct/>
                    <w:topLinePunct/>
                    <w:autoSpaceDE/>
                    <w:autoSpaceDN/>
                    <w:bidi w:val="0"/>
                    <w:adjustRightInd w:val="0"/>
                    <w:snapToGrid w:val="0"/>
                    <w:spacing w:line="240" w:lineRule="auto"/>
                    <w:ind w:left="0" w:leftChars="0" w:firstLine="0" w:firstLineChars="0"/>
                    <w:jc w:val="center"/>
                    <w:textAlignment w:val="auto"/>
                    <w:outlineLvl w:val="9"/>
                    <w:rPr>
                      <w:color w:val="auto"/>
                      <w:sz w:val="21"/>
                      <w:szCs w:val="21"/>
                      <w:highlight w:val="none"/>
                    </w:rPr>
                  </w:pPr>
                  <w:r>
                    <w:rPr>
                      <w:color w:val="auto"/>
                      <w:highlight w:val="none"/>
                    </w:rPr>
                    <w:drawing>
                      <wp:inline distT="0" distB="0" distL="114300" distR="114300">
                        <wp:extent cx="588645" cy="615315"/>
                        <wp:effectExtent l="0" t="0" r="5715" b="9525"/>
                        <wp:docPr id="2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1"/>
                                <pic:cNvPicPr>
                                  <a:picLocks noChangeAspect="1"/>
                                </pic:cNvPicPr>
                              </pic:nvPicPr>
                              <pic:blipFill>
                                <a:blip r:embed="rId28"/>
                                <a:stretch>
                                  <a:fillRect/>
                                </a:stretch>
                              </pic:blipFill>
                              <pic:spPr>
                                <a:xfrm>
                                  <a:off x="0" y="0"/>
                                  <a:ext cx="588645" cy="615315"/>
                                </a:xfrm>
                                <a:prstGeom prst="rect">
                                  <a:avLst/>
                                </a:prstGeom>
                                <a:noFill/>
                                <a:ln>
                                  <a:noFill/>
                                </a:ln>
                              </pic:spPr>
                            </pic:pic>
                          </a:graphicData>
                        </a:graphic>
                      </wp:inline>
                    </w:drawing>
                  </w:r>
                </w:p>
              </w:tc>
              <w:tc>
                <w:tcPr>
                  <w:tcW w:w="1191" w:type="pct"/>
                  <w:noWrap w:val="0"/>
                  <w:vAlign w:val="center"/>
                </w:tcPr>
                <w:p w14:paraId="66CE1BCA">
                  <w:pPr>
                    <w:keepNext w:val="0"/>
                    <w:keepLines w:val="0"/>
                    <w:pageBreakBefore w:val="0"/>
                    <w:widowControl/>
                    <w:kinsoku/>
                    <w:wordWrap w:val="0"/>
                    <w:overflowPunct/>
                    <w:topLinePunct/>
                    <w:autoSpaceDE/>
                    <w:autoSpaceDN/>
                    <w:bidi w:val="0"/>
                    <w:adjustRightInd w:val="0"/>
                    <w:snapToGrid w:val="0"/>
                    <w:spacing w:line="240" w:lineRule="auto"/>
                    <w:ind w:left="0" w:leftChars="0" w:firstLine="0" w:firstLineChars="0"/>
                    <w:jc w:val="center"/>
                    <w:textAlignment w:val="auto"/>
                    <w:outlineLvl w:val="9"/>
                    <w:rPr>
                      <w:color w:val="auto"/>
                      <w:sz w:val="21"/>
                      <w:szCs w:val="21"/>
                      <w:highlight w:val="none"/>
                    </w:rPr>
                  </w:pPr>
                  <w:r>
                    <w:rPr>
                      <w:color w:val="auto"/>
                      <w:sz w:val="21"/>
                      <w:szCs w:val="21"/>
                      <w:highlight w:val="none"/>
                    </w:rPr>
                    <w:t>危险废物</w:t>
                  </w:r>
                </w:p>
              </w:tc>
              <w:tc>
                <w:tcPr>
                  <w:tcW w:w="1381" w:type="pct"/>
                  <w:noWrap w:val="0"/>
                  <w:vAlign w:val="center"/>
                </w:tcPr>
                <w:p w14:paraId="3947D89D">
                  <w:pPr>
                    <w:keepNext w:val="0"/>
                    <w:keepLines w:val="0"/>
                    <w:pageBreakBefore w:val="0"/>
                    <w:widowControl/>
                    <w:kinsoku/>
                    <w:wordWrap w:val="0"/>
                    <w:overflowPunct/>
                    <w:topLinePunct/>
                    <w:autoSpaceDE/>
                    <w:autoSpaceDN/>
                    <w:bidi w:val="0"/>
                    <w:adjustRightInd w:val="0"/>
                    <w:snapToGrid w:val="0"/>
                    <w:spacing w:line="240" w:lineRule="auto"/>
                    <w:ind w:left="0" w:leftChars="0" w:firstLine="0" w:firstLineChars="0"/>
                    <w:jc w:val="center"/>
                    <w:textAlignment w:val="auto"/>
                    <w:outlineLvl w:val="9"/>
                    <w:rPr>
                      <w:color w:val="auto"/>
                      <w:sz w:val="21"/>
                      <w:szCs w:val="21"/>
                      <w:highlight w:val="none"/>
                    </w:rPr>
                  </w:pPr>
                  <w:r>
                    <w:rPr>
                      <w:color w:val="auto"/>
                      <w:sz w:val="21"/>
                      <w:szCs w:val="21"/>
                      <w:highlight w:val="none"/>
                    </w:rPr>
                    <w:t>表示危险废物贮存、处置场</w:t>
                  </w:r>
                </w:p>
              </w:tc>
            </w:tr>
          </w:tbl>
          <w:p w14:paraId="750B746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rPr>
                <w:rFonts w:hint="eastAsia"/>
                <w:color w:val="auto"/>
                <w:sz w:val="21"/>
                <w:szCs w:val="21"/>
                <w:highlight w:val="none"/>
              </w:rPr>
            </w:pPr>
          </w:p>
          <w:p w14:paraId="1665EBBA">
            <w:pPr>
              <w:keepNext w:val="0"/>
              <w:keepLines w:val="0"/>
              <w:widowControl/>
              <w:suppressLineNumbers w:val="0"/>
              <w:jc w:val="left"/>
              <w:rPr>
                <w:rFonts w:ascii="宋体"/>
                <w:color w:val="auto"/>
                <w:sz w:val="24"/>
                <w:szCs w:val="24"/>
                <w:highlight w:val="none"/>
              </w:rPr>
            </w:pPr>
          </w:p>
        </w:tc>
      </w:tr>
    </w:tbl>
    <w:p w14:paraId="213AD466">
      <w:pPr>
        <w:adjustRightInd w:val="0"/>
        <w:snapToGrid w:val="0"/>
        <w:jc w:val="center"/>
        <w:rPr>
          <w:rFonts w:ascii="宋体"/>
          <w:color w:val="auto"/>
          <w:sz w:val="24"/>
          <w:szCs w:val="24"/>
          <w:highlight w:val="none"/>
        </w:rPr>
      </w:pPr>
    </w:p>
    <w:p w14:paraId="6D35D513">
      <w:pPr>
        <w:adjustRightInd w:val="0"/>
        <w:snapToGrid w:val="0"/>
        <w:spacing w:line="360" w:lineRule="auto"/>
        <w:jc w:val="center"/>
        <w:rPr>
          <w:rFonts w:ascii="黑体" w:hAnsi="黑体" w:eastAsia="黑体"/>
          <w:snapToGrid w:val="0"/>
          <w:color w:val="auto"/>
          <w:sz w:val="30"/>
          <w:szCs w:val="30"/>
          <w:highlight w:val="none"/>
        </w:rPr>
      </w:pPr>
      <w:r>
        <w:rPr>
          <w:rFonts w:ascii="宋体"/>
          <w:color w:val="auto"/>
          <w:sz w:val="24"/>
          <w:szCs w:val="24"/>
          <w:highlight w:val="none"/>
        </w:rPr>
        <w:br w:type="page"/>
      </w:r>
      <w:r>
        <w:rPr>
          <w:rFonts w:hint="eastAsia" w:ascii="黑体" w:hAnsi="黑体" w:eastAsia="黑体" w:cs="黑体"/>
          <w:snapToGrid w:val="0"/>
          <w:color w:val="auto"/>
          <w:sz w:val="30"/>
          <w:szCs w:val="30"/>
          <w:highlight w:val="none"/>
        </w:rPr>
        <w:t>六、结论</w:t>
      </w:r>
    </w:p>
    <w:tbl>
      <w:tblPr>
        <w:tblStyle w:val="3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00"/>
      </w:tblGrid>
      <w:tr w14:paraId="330995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50" w:hRule="atLeast"/>
          <w:jc w:val="center"/>
        </w:trPr>
        <w:tc>
          <w:tcPr>
            <w:tcW w:w="9000" w:type="dxa"/>
            <w:tcBorders>
              <w:top w:val="single" w:color="auto" w:sz="8" w:space="0"/>
              <w:bottom w:val="single" w:color="auto" w:sz="8" w:space="0"/>
            </w:tcBorders>
          </w:tcPr>
          <w:p w14:paraId="587E7770">
            <w:pPr>
              <w:adjustRightInd w:val="0"/>
              <w:snapToGrid w:val="0"/>
              <w:spacing w:before="240" w:beforeLines="100" w:line="360" w:lineRule="auto"/>
              <w:ind w:firstLine="567"/>
              <w:rPr>
                <w:color w:val="auto"/>
                <w:sz w:val="24"/>
                <w:szCs w:val="24"/>
                <w:highlight w:val="none"/>
              </w:rPr>
            </w:pPr>
            <w:r>
              <w:rPr>
                <w:rFonts w:hint="eastAsia" w:cs="宋体"/>
                <w:color w:val="auto"/>
                <w:sz w:val="24"/>
                <w:szCs w:val="24"/>
                <w:highlight w:val="none"/>
                <w:lang w:eastAsia="zh-CN"/>
              </w:rPr>
              <w:t>安徽金之源生物科技有限公司年加工20万吨生物质颗粒建设项目</w:t>
            </w:r>
            <w:r>
              <w:rPr>
                <w:rFonts w:hint="eastAsia" w:cs="宋体"/>
                <w:color w:val="auto"/>
                <w:sz w:val="24"/>
                <w:szCs w:val="24"/>
                <w:highlight w:val="none"/>
              </w:rPr>
              <w:t>符合国家和地方产业政策，选址符合用地要求；本项目采取各项污染防治措施后，可使产生的各项污染物达标排放。本次评价认为项目在建设和生产运行过程中，在严格落实环评报告中提出的各项污染防治措施的前提下，从环境影响角度，项目建设可行。</w:t>
            </w:r>
          </w:p>
          <w:p w14:paraId="09DD939F">
            <w:pPr>
              <w:pStyle w:val="45"/>
              <w:spacing w:line="360" w:lineRule="auto"/>
              <w:ind w:firstLine="482" w:firstLineChars="200"/>
              <w:rPr>
                <w:color w:val="auto"/>
                <w:highlight w:val="none"/>
              </w:rPr>
            </w:pPr>
          </w:p>
        </w:tc>
      </w:tr>
    </w:tbl>
    <w:p w14:paraId="4C34E34F">
      <w:pPr>
        <w:rPr>
          <w:rFonts w:ascii="宋体"/>
          <w:color w:val="auto"/>
          <w:highlight w:val="none"/>
        </w:rPr>
        <w:sectPr>
          <w:pgSz w:w="11906" w:h="16838"/>
          <w:pgMar w:top="1701" w:right="1531" w:bottom="1701" w:left="1531" w:header="851" w:footer="851" w:gutter="0"/>
          <w:cols w:space="720" w:num="1"/>
          <w:docGrid w:linePitch="312" w:charSpace="0"/>
        </w:sectPr>
      </w:pPr>
    </w:p>
    <w:p w14:paraId="53744066">
      <w:pPr>
        <w:pStyle w:val="34"/>
        <w:adjustRightInd w:val="0"/>
        <w:snapToGrid w:val="0"/>
        <w:spacing w:before="0" w:beforeAutospacing="0" w:after="0" w:afterAutospacing="0"/>
        <w:outlineLvl w:val="0"/>
        <w:rPr>
          <w:rFonts w:cs="Times New Roman"/>
          <w:snapToGrid w:val="0"/>
          <w:color w:val="auto"/>
          <w:sz w:val="32"/>
          <w:szCs w:val="32"/>
          <w:highlight w:val="none"/>
        </w:rPr>
      </w:pPr>
      <w:r>
        <w:rPr>
          <w:rFonts w:hint="eastAsia"/>
          <w:snapToGrid w:val="0"/>
          <w:color w:val="auto"/>
          <w:sz w:val="32"/>
          <w:szCs w:val="32"/>
          <w:highlight w:val="none"/>
        </w:rPr>
        <w:t>附表</w:t>
      </w:r>
    </w:p>
    <w:p w14:paraId="2524A6B9">
      <w:pPr>
        <w:pStyle w:val="34"/>
        <w:adjustRightInd w:val="0"/>
        <w:snapToGrid w:val="0"/>
        <w:spacing w:before="0" w:beforeAutospacing="0" w:after="0" w:afterAutospacing="0" w:line="360" w:lineRule="auto"/>
        <w:jc w:val="center"/>
        <w:outlineLvl w:val="0"/>
        <w:rPr>
          <w:rFonts w:cs="Times New Roman"/>
          <w:snapToGrid w:val="0"/>
          <w:color w:val="auto"/>
          <w:sz w:val="38"/>
          <w:szCs w:val="38"/>
          <w:highlight w:val="none"/>
        </w:rPr>
      </w:pPr>
      <w:r>
        <w:rPr>
          <w:rFonts w:hint="eastAsia"/>
          <w:snapToGrid w:val="0"/>
          <w:color w:val="auto"/>
          <w:sz w:val="38"/>
          <w:szCs w:val="38"/>
          <w:highlight w:val="none"/>
        </w:rPr>
        <w:t>建设项目污染物排放量汇总表</w:t>
      </w:r>
    </w:p>
    <w:tbl>
      <w:tblPr>
        <w:tblStyle w:val="37"/>
        <w:tblW w:w="1301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00"/>
        <w:gridCol w:w="1519"/>
        <w:gridCol w:w="1424"/>
        <w:gridCol w:w="1204"/>
        <w:gridCol w:w="1603"/>
        <w:gridCol w:w="1470"/>
        <w:gridCol w:w="1670"/>
        <w:gridCol w:w="1688"/>
        <w:gridCol w:w="1338"/>
      </w:tblGrid>
      <w:tr w14:paraId="0A0733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74" w:hRule="atLeast"/>
          <w:jc w:val="center"/>
        </w:trPr>
        <w:tc>
          <w:tcPr>
            <w:tcW w:w="1100" w:type="dxa"/>
            <w:tcBorders>
              <w:top w:val="single" w:color="auto" w:sz="8" w:space="0"/>
              <w:tl2br w:val="single" w:color="auto" w:sz="4" w:space="0"/>
            </w:tcBorders>
            <w:tcMar>
              <w:left w:w="28" w:type="dxa"/>
              <w:right w:w="28" w:type="dxa"/>
            </w:tcMar>
            <w:vAlign w:val="center"/>
          </w:tcPr>
          <w:p w14:paraId="278F273D">
            <w:pPr>
              <w:pStyle w:val="75"/>
              <w:spacing w:beforeLines="0" w:afterLines="0" w:line="240" w:lineRule="auto"/>
              <w:jc w:val="right"/>
              <w:rPr>
                <w:rFonts w:ascii="Times New Roman" w:cs="Times New Roman"/>
                <w:snapToGrid w:val="0"/>
                <w:color w:val="auto"/>
                <w:spacing w:val="-6"/>
                <w:kern w:val="21"/>
                <w:highlight w:val="none"/>
              </w:rPr>
            </w:pPr>
            <w:r>
              <w:rPr>
                <w:rFonts w:hint="eastAsia" w:ascii="Times New Roman"/>
                <w:snapToGrid w:val="0"/>
                <w:color w:val="auto"/>
                <w:spacing w:val="-6"/>
                <w:kern w:val="21"/>
                <w:highlight w:val="none"/>
              </w:rPr>
              <w:t>项目</w:t>
            </w:r>
          </w:p>
          <w:p w14:paraId="74043F32">
            <w:pPr>
              <w:pStyle w:val="75"/>
              <w:spacing w:beforeLines="0" w:afterLines="0" w:line="240" w:lineRule="auto"/>
              <w:jc w:val="left"/>
              <w:rPr>
                <w:rFonts w:ascii="Times New Roman" w:cs="Times New Roman"/>
                <w:snapToGrid w:val="0"/>
                <w:color w:val="auto"/>
                <w:spacing w:val="-6"/>
                <w:kern w:val="21"/>
                <w:highlight w:val="none"/>
              </w:rPr>
            </w:pPr>
            <w:r>
              <w:rPr>
                <w:rFonts w:hint="eastAsia" w:ascii="Times New Roman"/>
                <w:snapToGrid w:val="0"/>
                <w:color w:val="auto"/>
                <w:spacing w:val="-6"/>
                <w:kern w:val="21"/>
                <w:highlight w:val="none"/>
              </w:rPr>
              <w:t>分类</w:t>
            </w:r>
          </w:p>
        </w:tc>
        <w:tc>
          <w:tcPr>
            <w:tcW w:w="1519" w:type="dxa"/>
            <w:tcBorders>
              <w:top w:val="single" w:color="auto" w:sz="8" w:space="0"/>
            </w:tcBorders>
            <w:tcMar>
              <w:left w:w="28" w:type="dxa"/>
              <w:right w:w="28" w:type="dxa"/>
            </w:tcMar>
            <w:vAlign w:val="center"/>
          </w:tcPr>
          <w:p w14:paraId="748CE263">
            <w:pPr>
              <w:pStyle w:val="75"/>
              <w:spacing w:beforeLines="0" w:afterLines="0" w:line="240" w:lineRule="auto"/>
              <w:rPr>
                <w:rFonts w:ascii="Times New Roman"/>
                <w:snapToGrid w:val="0"/>
                <w:color w:val="auto"/>
                <w:kern w:val="21"/>
                <w:highlight w:val="none"/>
              </w:rPr>
            </w:pPr>
            <w:r>
              <w:rPr>
                <w:rFonts w:hint="eastAsia" w:ascii="Times New Roman"/>
                <w:snapToGrid w:val="0"/>
                <w:color w:val="auto"/>
                <w:kern w:val="21"/>
                <w:highlight w:val="none"/>
              </w:rPr>
              <w:t>污染物名称</w:t>
            </w:r>
          </w:p>
        </w:tc>
        <w:tc>
          <w:tcPr>
            <w:tcW w:w="1424" w:type="dxa"/>
            <w:tcBorders>
              <w:top w:val="single" w:color="auto" w:sz="8" w:space="0"/>
            </w:tcBorders>
            <w:tcMar>
              <w:left w:w="28" w:type="dxa"/>
              <w:right w:w="28" w:type="dxa"/>
            </w:tcMar>
            <w:vAlign w:val="center"/>
          </w:tcPr>
          <w:p w14:paraId="015C766D">
            <w:pPr>
              <w:pStyle w:val="75"/>
              <w:spacing w:beforeLines="0" w:afterLines="0" w:line="240" w:lineRule="auto"/>
              <w:rPr>
                <w:rFonts w:ascii="Times New Roman" w:cs="Times New Roman"/>
                <w:snapToGrid w:val="0"/>
                <w:color w:val="auto"/>
                <w:spacing w:val="-6"/>
                <w:kern w:val="21"/>
                <w:highlight w:val="none"/>
              </w:rPr>
            </w:pPr>
            <w:r>
              <w:rPr>
                <w:rFonts w:hint="eastAsia" w:ascii="Times New Roman"/>
                <w:snapToGrid w:val="0"/>
                <w:color w:val="auto"/>
                <w:spacing w:val="-6"/>
                <w:kern w:val="21"/>
                <w:highlight w:val="none"/>
              </w:rPr>
              <w:t>原有工程</w:t>
            </w:r>
          </w:p>
          <w:p w14:paraId="0B23B130">
            <w:pPr>
              <w:pStyle w:val="75"/>
              <w:spacing w:beforeLines="0" w:afterLines="0" w:line="240" w:lineRule="auto"/>
              <w:rPr>
                <w:rFonts w:ascii="Times New Roman" w:cs="Times New Roman"/>
                <w:snapToGrid w:val="0"/>
                <w:color w:val="auto"/>
                <w:spacing w:val="-6"/>
                <w:kern w:val="21"/>
                <w:highlight w:val="none"/>
              </w:rPr>
            </w:pPr>
            <w:r>
              <w:rPr>
                <w:rFonts w:hint="eastAsia" w:ascii="Times New Roman"/>
                <w:snapToGrid w:val="0"/>
                <w:color w:val="auto"/>
                <w:spacing w:val="-6"/>
                <w:kern w:val="21"/>
                <w:highlight w:val="none"/>
              </w:rPr>
              <w:t>排放量（固体废物产生量）</w:t>
            </w:r>
            <w:r>
              <w:rPr>
                <w:rFonts w:ascii="Times New Roman" w:cs="Times New Roman"/>
                <w:snapToGrid w:val="0"/>
                <w:color w:val="auto"/>
                <w:spacing w:val="-6"/>
                <w:kern w:val="21"/>
                <w:highlight w:val="none"/>
              </w:rPr>
              <w:fldChar w:fldCharType="begin"/>
            </w:r>
            <w:r>
              <w:rPr>
                <w:rFonts w:ascii="Times New Roman" w:cs="Times New Roman"/>
                <w:snapToGrid w:val="0"/>
                <w:color w:val="auto"/>
                <w:spacing w:val="-6"/>
                <w:kern w:val="21"/>
                <w:highlight w:val="none"/>
              </w:rPr>
              <w:instrText xml:space="preserve"> = 1 \* GB3 \* MERGEFORMAT </w:instrText>
            </w:r>
            <w:r>
              <w:rPr>
                <w:rFonts w:ascii="Times New Roman" w:cs="Times New Roman"/>
                <w:snapToGrid w:val="0"/>
                <w:color w:val="auto"/>
                <w:spacing w:val="-6"/>
                <w:kern w:val="21"/>
                <w:highlight w:val="none"/>
              </w:rPr>
              <w:fldChar w:fldCharType="separate"/>
            </w:r>
            <w:r>
              <w:rPr>
                <w:rFonts w:hint="eastAsia" w:hAnsi="宋体"/>
                <w:color w:val="auto"/>
                <w:kern w:val="2"/>
                <w:highlight w:val="none"/>
              </w:rPr>
              <w:t>①</w:t>
            </w:r>
            <w:r>
              <w:rPr>
                <w:rFonts w:ascii="Times New Roman" w:cs="Times New Roman"/>
                <w:snapToGrid w:val="0"/>
                <w:color w:val="auto"/>
                <w:spacing w:val="-6"/>
                <w:kern w:val="21"/>
                <w:highlight w:val="none"/>
              </w:rPr>
              <w:fldChar w:fldCharType="end"/>
            </w:r>
          </w:p>
        </w:tc>
        <w:tc>
          <w:tcPr>
            <w:tcW w:w="1204" w:type="dxa"/>
            <w:tcBorders>
              <w:top w:val="single" w:color="auto" w:sz="8" w:space="0"/>
            </w:tcBorders>
            <w:tcMar>
              <w:left w:w="28" w:type="dxa"/>
              <w:right w:w="28" w:type="dxa"/>
            </w:tcMar>
            <w:vAlign w:val="center"/>
          </w:tcPr>
          <w:p w14:paraId="0A3FA115">
            <w:pPr>
              <w:pStyle w:val="75"/>
              <w:spacing w:beforeLines="0" w:afterLines="0" w:line="240" w:lineRule="auto"/>
              <w:rPr>
                <w:rFonts w:ascii="Times New Roman" w:cs="Times New Roman"/>
                <w:snapToGrid w:val="0"/>
                <w:color w:val="auto"/>
                <w:spacing w:val="-6"/>
                <w:kern w:val="21"/>
                <w:highlight w:val="none"/>
              </w:rPr>
            </w:pPr>
            <w:r>
              <w:rPr>
                <w:rFonts w:hint="eastAsia" w:ascii="Times New Roman"/>
                <w:snapToGrid w:val="0"/>
                <w:color w:val="auto"/>
                <w:spacing w:val="-6"/>
                <w:kern w:val="21"/>
                <w:highlight w:val="none"/>
              </w:rPr>
              <w:t>原有工程</w:t>
            </w:r>
          </w:p>
          <w:p w14:paraId="46C19263">
            <w:pPr>
              <w:pStyle w:val="75"/>
              <w:spacing w:beforeLines="0" w:afterLines="0" w:line="240" w:lineRule="auto"/>
              <w:rPr>
                <w:rFonts w:ascii="Times New Roman" w:cs="Times New Roman"/>
                <w:snapToGrid w:val="0"/>
                <w:color w:val="auto"/>
                <w:spacing w:val="-6"/>
                <w:kern w:val="21"/>
                <w:highlight w:val="none"/>
              </w:rPr>
            </w:pPr>
            <w:r>
              <w:rPr>
                <w:rFonts w:hint="eastAsia" w:ascii="Times New Roman"/>
                <w:snapToGrid w:val="0"/>
                <w:color w:val="auto"/>
                <w:spacing w:val="-6"/>
                <w:kern w:val="21"/>
                <w:highlight w:val="none"/>
              </w:rPr>
              <w:t>许可排放量</w:t>
            </w:r>
          </w:p>
          <w:p w14:paraId="53258A8E">
            <w:pPr>
              <w:pStyle w:val="75"/>
              <w:spacing w:beforeLines="0" w:afterLines="0"/>
              <w:rPr>
                <w:rFonts w:ascii="Times New Roman" w:cs="Times New Roman"/>
                <w:snapToGrid w:val="0"/>
                <w:color w:val="auto"/>
                <w:spacing w:val="-6"/>
                <w:kern w:val="21"/>
                <w:highlight w:val="none"/>
              </w:rPr>
            </w:pPr>
            <w:r>
              <w:rPr>
                <w:rFonts w:ascii="Times New Roman" w:cs="Times New Roman"/>
                <w:snapToGrid w:val="0"/>
                <w:color w:val="auto"/>
                <w:spacing w:val="-6"/>
                <w:kern w:val="21"/>
                <w:highlight w:val="none"/>
              </w:rPr>
              <w:fldChar w:fldCharType="begin"/>
            </w:r>
            <w:r>
              <w:rPr>
                <w:rFonts w:ascii="Times New Roman" w:cs="Times New Roman"/>
                <w:snapToGrid w:val="0"/>
                <w:color w:val="auto"/>
                <w:spacing w:val="-6"/>
                <w:kern w:val="21"/>
                <w:highlight w:val="none"/>
              </w:rPr>
              <w:instrText xml:space="preserve"> = 2 \* GB3 \* MERGEFORMAT </w:instrText>
            </w:r>
            <w:r>
              <w:rPr>
                <w:rFonts w:ascii="Times New Roman" w:cs="Times New Roman"/>
                <w:snapToGrid w:val="0"/>
                <w:color w:val="auto"/>
                <w:spacing w:val="-6"/>
                <w:kern w:val="21"/>
                <w:highlight w:val="none"/>
              </w:rPr>
              <w:fldChar w:fldCharType="separate"/>
            </w:r>
            <w:r>
              <w:rPr>
                <w:rFonts w:hint="eastAsia" w:hAnsi="宋体"/>
                <w:snapToGrid w:val="0"/>
                <w:color w:val="auto"/>
                <w:spacing w:val="-6"/>
                <w:kern w:val="21"/>
                <w:highlight w:val="none"/>
              </w:rPr>
              <w:t>②</w:t>
            </w:r>
            <w:r>
              <w:rPr>
                <w:rFonts w:ascii="Times New Roman" w:cs="Times New Roman"/>
                <w:snapToGrid w:val="0"/>
                <w:color w:val="auto"/>
                <w:spacing w:val="-6"/>
                <w:kern w:val="21"/>
                <w:highlight w:val="none"/>
              </w:rPr>
              <w:fldChar w:fldCharType="end"/>
            </w:r>
          </w:p>
        </w:tc>
        <w:tc>
          <w:tcPr>
            <w:tcW w:w="1603" w:type="dxa"/>
            <w:tcBorders>
              <w:top w:val="single" w:color="auto" w:sz="8" w:space="0"/>
            </w:tcBorders>
            <w:tcMar>
              <w:left w:w="28" w:type="dxa"/>
              <w:right w:w="28" w:type="dxa"/>
            </w:tcMar>
            <w:vAlign w:val="center"/>
          </w:tcPr>
          <w:p w14:paraId="2C9AC51B">
            <w:pPr>
              <w:pStyle w:val="75"/>
              <w:spacing w:beforeLines="0" w:afterLines="0" w:line="240" w:lineRule="auto"/>
              <w:rPr>
                <w:rFonts w:ascii="Times New Roman" w:cs="Times New Roman"/>
                <w:snapToGrid w:val="0"/>
                <w:color w:val="auto"/>
                <w:spacing w:val="-6"/>
                <w:kern w:val="21"/>
                <w:highlight w:val="none"/>
              </w:rPr>
            </w:pPr>
            <w:r>
              <w:rPr>
                <w:rFonts w:hint="eastAsia" w:ascii="Times New Roman"/>
                <w:snapToGrid w:val="0"/>
                <w:color w:val="auto"/>
                <w:spacing w:val="-6"/>
                <w:kern w:val="21"/>
                <w:highlight w:val="none"/>
              </w:rPr>
              <w:t>在建工程</w:t>
            </w:r>
          </w:p>
          <w:p w14:paraId="42B553CD">
            <w:pPr>
              <w:pStyle w:val="75"/>
              <w:spacing w:beforeLines="0" w:afterLines="0" w:line="240" w:lineRule="auto"/>
              <w:rPr>
                <w:rFonts w:ascii="Times New Roman" w:cs="Times New Roman"/>
                <w:snapToGrid w:val="0"/>
                <w:color w:val="auto"/>
                <w:spacing w:val="-6"/>
                <w:kern w:val="21"/>
                <w:highlight w:val="none"/>
              </w:rPr>
            </w:pPr>
            <w:r>
              <w:rPr>
                <w:rFonts w:hint="eastAsia" w:ascii="Times New Roman"/>
                <w:snapToGrid w:val="0"/>
                <w:color w:val="auto"/>
                <w:spacing w:val="-6"/>
                <w:kern w:val="21"/>
                <w:highlight w:val="none"/>
              </w:rPr>
              <w:t>排放量（固体废物产生量）</w:t>
            </w:r>
            <w:r>
              <w:rPr>
                <w:rFonts w:ascii="Times New Roman" w:cs="Times New Roman"/>
                <w:snapToGrid w:val="0"/>
                <w:color w:val="auto"/>
                <w:spacing w:val="-6"/>
                <w:kern w:val="21"/>
                <w:highlight w:val="none"/>
              </w:rPr>
              <w:fldChar w:fldCharType="begin"/>
            </w:r>
            <w:r>
              <w:rPr>
                <w:rFonts w:ascii="Times New Roman" w:cs="Times New Roman"/>
                <w:snapToGrid w:val="0"/>
                <w:color w:val="auto"/>
                <w:spacing w:val="-6"/>
                <w:kern w:val="21"/>
                <w:highlight w:val="none"/>
              </w:rPr>
              <w:instrText xml:space="preserve"> = 3 \* GB3 \* MERGEFORMAT </w:instrText>
            </w:r>
            <w:r>
              <w:rPr>
                <w:rFonts w:ascii="Times New Roman" w:cs="Times New Roman"/>
                <w:snapToGrid w:val="0"/>
                <w:color w:val="auto"/>
                <w:spacing w:val="-6"/>
                <w:kern w:val="21"/>
                <w:highlight w:val="none"/>
              </w:rPr>
              <w:fldChar w:fldCharType="separate"/>
            </w:r>
            <w:r>
              <w:rPr>
                <w:rFonts w:hint="eastAsia" w:hAnsi="宋体"/>
                <w:color w:val="auto"/>
                <w:kern w:val="2"/>
                <w:highlight w:val="none"/>
              </w:rPr>
              <w:t>③</w:t>
            </w:r>
            <w:r>
              <w:rPr>
                <w:rFonts w:ascii="Times New Roman" w:cs="Times New Roman"/>
                <w:snapToGrid w:val="0"/>
                <w:color w:val="auto"/>
                <w:spacing w:val="-6"/>
                <w:kern w:val="21"/>
                <w:highlight w:val="none"/>
              </w:rPr>
              <w:fldChar w:fldCharType="end"/>
            </w:r>
          </w:p>
        </w:tc>
        <w:tc>
          <w:tcPr>
            <w:tcW w:w="1470" w:type="dxa"/>
            <w:tcBorders>
              <w:top w:val="single" w:color="auto" w:sz="8" w:space="0"/>
            </w:tcBorders>
            <w:tcMar>
              <w:left w:w="28" w:type="dxa"/>
              <w:right w:w="28" w:type="dxa"/>
            </w:tcMar>
            <w:vAlign w:val="center"/>
          </w:tcPr>
          <w:p w14:paraId="6DE29830">
            <w:pPr>
              <w:pStyle w:val="75"/>
              <w:spacing w:beforeLines="0" w:afterLines="0" w:line="240" w:lineRule="auto"/>
              <w:rPr>
                <w:rFonts w:ascii="Times New Roman" w:cs="Times New Roman"/>
                <w:snapToGrid w:val="0"/>
                <w:color w:val="auto"/>
                <w:spacing w:val="-6"/>
                <w:kern w:val="21"/>
                <w:highlight w:val="none"/>
              </w:rPr>
            </w:pPr>
            <w:r>
              <w:rPr>
                <w:rFonts w:hint="eastAsia" w:ascii="Times New Roman"/>
                <w:snapToGrid w:val="0"/>
                <w:color w:val="auto"/>
                <w:spacing w:val="-6"/>
                <w:kern w:val="21"/>
                <w:highlight w:val="none"/>
              </w:rPr>
              <w:t>本项目</w:t>
            </w:r>
          </w:p>
          <w:p w14:paraId="4AC63D82">
            <w:pPr>
              <w:pStyle w:val="75"/>
              <w:spacing w:beforeLines="0" w:afterLines="0" w:line="240" w:lineRule="auto"/>
              <w:rPr>
                <w:rFonts w:ascii="Times New Roman" w:cs="Times New Roman"/>
                <w:snapToGrid w:val="0"/>
                <w:color w:val="auto"/>
                <w:spacing w:val="-6"/>
                <w:kern w:val="21"/>
                <w:highlight w:val="none"/>
              </w:rPr>
            </w:pPr>
            <w:r>
              <w:rPr>
                <w:rFonts w:hint="eastAsia" w:ascii="Times New Roman"/>
                <w:snapToGrid w:val="0"/>
                <w:color w:val="auto"/>
                <w:spacing w:val="-6"/>
                <w:kern w:val="21"/>
                <w:highlight w:val="none"/>
              </w:rPr>
              <w:t>排放量（固体废物产生量）</w:t>
            </w:r>
            <w:r>
              <w:rPr>
                <w:rFonts w:ascii="Times New Roman" w:cs="Times New Roman"/>
                <w:snapToGrid w:val="0"/>
                <w:color w:val="auto"/>
                <w:spacing w:val="-6"/>
                <w:kern w:val="21"/>
                <w:highlight w:val="none"/>
              </w:rPr>
              <w:fldChar w:fldCharType="begin"/>
            </w:r>
            <w:r>
              <w:rPr>
                <w:rFonts w:ascii="Times New Roman" w:cs="Times New Roman"/>
                <w:snapToGrid w:val="0"/>
                <w:color w:val="auto"/>
                <w:spacing w:val="-6"/>
                <w:kern w:val="21"/>
                <w:highlight w:val="none"/>
              </w:rPr>
              <w:instrText xml:space="preserve"> = 4 \* GB3 \* MERGEFORMAT </w:instrText>
            </w:r>
            <w:r>
              <w:rPr>
                <w:rFonts w:ascii="Times New Roman" w:cs="Times New Roman"/>
                <w:snapToGrid w:val="0"/>
                <w:color w:val="auto"/>
                <w:spacing w:val="-6"/>
                <w:kern w:val="21"/>
                <w:highlight w:val="none"/>
              </w:rPr>
              <w:fldChar w:fldCharType="separate"/>
            </w:r>
            <w:r>
              <w:rPr>
                <w:rFonts w:hint="eastAsia" w:hAnsi="宋体"/>
                <w:color w:val="auto"/>
                <w:kern w:val="2"/>
                <w:highlight w:val="none"/>
              </w:rPr>
              <w:t>④</w:t>
            </w:r>
            <w:r>
              <w:rPr>
                <w:rFonts w:ascii="Times New Roman" w:cs="Times New Roman"/>
                <w:snapToGrid w:val="0"/>
                <w:color w:val="auto"/>
                <w:spacing w:val="-6"/>
                <w:kern w:val="21"/>
                <w:highlight w:val="none"/>
              </w:rPr>
              <w:fldChar w:fldCharType="end"/>
            </w:r>
          </w:p>
        </w:tc>
        <w:tc>
          <w:tcPr>
            <w:tcW w:w="1670" w:type="dxa"/>
            <w:tcBorders>
              <w:top w:val="single" w:color="auto" w:sz="8" w:space="0"/>
            </w:tcBorders>
            <w:tcMar>
              <w:left w:w="28" w:type="dxa"/>
              <w:right w:w="28" w:type="dxa"/>
            </w:tcMar>
            <w:vAlign w:val="center"/>
          </w:tcPr>
          <w:p w14:paraId="67FD2030">
            <w:pPr>
              <w:pStyle w:val="75"/>
              <w:spacing w:beforeLines="0" w:afterLines="0" w:line="240" w:lineRule="auto"/>
              <w:rPr>
                <w:rFonts w:ascii="Times New Roman" w:cs="Times New Roman"/>
                <w:snapToGrid w:val="0"/>
                <w:color w:val="auto"/>
                <w:spacing w:val="-16"/>
                <w:kern w:val="21"/>
                <w:highlight w:val="none"/>
              </w:rPr>
            </w:pPr>
            <w:r>
              <w:rPr>
                <w:rFonts w:hint="eastAsia" w:ascii="Times New Roman"/>
                <w:snapToGrid w:val="0"/>
                <w:color w:val="auto"/>
                <w:spacing w:val="-16"/>
                <w:kern w:val="21"/>
                <w:highlight w:val="none"/>
              </w:rPr>
              <w:t>以新带老削减量</w:t>
            </w:r>
          </w:p>
          <w:p w14:paraId="697DB634">
            <w:pPr>
              <w:pStyle w:val="75"/>
              <w:spacing w:beforeLines="0" w:afterLines="0" w:line="240" w:lineRule="auto"/>
              <w:rPr>
                <w:rFonts w:ascii="Times New Roman" w:cs="Times New Roman"/>
                <w:snapToGrid w:val="0"/>
                <w:color w:val="auto"/>
                <w:spacing w:val="-16"/>
                <w:kern w:val="21"/>
                <w:highlight w:val="none"/>
              </w:rPr>
            </w:pPr>
            <w:r>
              <w:rPr>
                <w:rFonts w:hint="eastAsia" w:ascii="Times New Roman"/>
                <w:snapToGrid w:val="0"/>
                <w:color w:val="auto"/>
                <w:spacing w:val="-16"/>
                <w:kern w:val="21"/>
                <w:highlight w:val="none"/>
              </w:rPr>
              <w:t>（新建项目不填）</w:t>
            </w:r>
            <w:r>
              <w:rPr>
                <w:rFonts w:ascii="Times New Roman" w:cs="Times New Roman"/>
                <w:snapToGrid w:val="0"/>
                <w:color w:val="auto"/>
                <w:spacing w:val="-16"/>
                <w:kern w:val="21"/>
                <w:highlight w:val="none"/>
              </w:rPr>
              <w:fldChar w:fldCharType="begin"/>
            </w:r>
            <w:r>
              <w:rPr>
                <w:rFonts w:ascii="Times New Roman" w:cs="Times New Roman"/>
                <w:snapToGrid w:val="0"/>
                <w:color w:val="auto"/>
                <w:spacing w:val="-16"/>
                <w:kern w:val="21"/>
                <w:highlight w:val="none"/>
              </w:rPr>
              <w:instrText xml:space="preserve"> = 5 \* GB3 \* MERGEFORMAT </w:instrText>
            </w:r>
            <w:r>
              <w:rPr>
                <w:rFonts w:ascii="Times New Roman" w:cs="Times New Roman"/>
                <w:snapToGrid w:val="0"/>
                <w:color w:val="auto"/>
                <w:spacing w:val="-16"/>
                <w:kern w:val="21"/>
                <w:highlight w:val="none"/>
              </w:rPr>
              <w:fldChar w:fldCharType="separate"/>
            </w:r>
            <w:r>
              <w:rPr>
                <w:rFonts w:hint="eastAsia" w:hAnsi="宋体"/>
                <w:color w:val="auto"/>
                <w:kern w:val="2"/>
                <w:highlight w:val="none"/>
              </w:rPr>
              <w:t>⑤</w:t>
            </w:r>
            <w:r>
              <w:rPr>
                <w:rFonts w:ascii="Times New Roman" w:cs="Times New Roman"/>
                <w:snapToGrid w:val="0"/>
                <w:color w:val="auto"/>
                <w:spacing w:val="-16"/>
                <w:kern w:val="21"/>
                <w:highlight w:val="none"/>
              </w:rPr>
              <w:fldChar w:fldCharType="end"/>
            </w:r>
          </w:p>
        </w:tc>
        <w:tc>
          <w:tcPr>
            <w:tcW w:w="1688" w:type="dxa"/>
            <w:tcBorders>
              <w:top w:val="single" w:color="auto" w:sz="8" w:space="0"/>
            </w:tcBorders>
            <w:tcMar>
              <w:left w:w="28" w:type="dxa"/>
              <w:right w:w="28" w:type="dxa"/>
            </w:tcMar>
            <w:vAlign w:val="center"/>
          </w:tcPr>
          <w:p w14:paraId="68644BC7">
            <w:pPr>
              <w:pStyle w:val="75"/>
              <w:spacing w:beforeLines="0" w:afterLines="0" w:line="240" w:lineRule="auto"/>
              <w:rPr>
                <w:rFonts w:ascii="Times New Roman" w:cs="Times New Roman"/>
                <w:snapToGrid w:val="0"/>
                <w:color w:val="auto"/>
                <w:spacing w:val="-16"/>
                <w:kern w:val="21"/>
                <w:highlight w:val="none"/>
              </w:rPr>
            </w:pPr>
            <w:r>
              <w:rPr>
                <w:rFonts w:hint="eastAsia" w:ascii="Times New Roman"/>
                <w:snapToGrid w:val="0"/>
                <w:color w:val="auto"/>
                <w:spacing w:val="-16"/>
                <w:kern w:val="21"/>
                <w:highlight w:val="none"/>
              </w:rPr>
              <w:t>本项目建成后</w:t>
            </w:r>
          </w:p>
          <w:p w14:paraId="7CF01126">
            <w:pPr>
              <w:pStyle w:val="75"/>
              <w:spacing w:beforeLines="0" w:afterLines="0" w:line="240" w:lineRule="auto"/>
              <w:rPr>
                <w:rFonts w:ascii="Times New Roman" w:cs="Times New Roman"/>
                <w:snapToGrid w:val="0"/>
                <w:color w:val="auto"/>
                <w:spacing w:val="-16"/>
                <w:kern w:val="21"/>
                <w:highlight w:val="none"/>
              </w:rPr>
            </w:pPr>
            <w:r>
              <w:rPr>
                <w:rFonts w:hint="eastAsia" w:ascii="Times New Roman"/>
                <w:snapToGrid w:val="0"/>
                <w:color w:val="auto"/>
                <w:spacing w:val="-16"/>
                <w:kern w:val="21"/>
                <w:highlight w:val="none"/>
              </w:rPr>
              <w:t>全厂排放量（固体废物产生量）</w:t>
            </w:r>
            <w:r>
              <w:rPr>
                <w:rFonts w:ascii="Times New Roman" w:cs="Times New Roman"/>
                <w:snapToGrid w:val="0"/>
                <w:color w:val="auto"/>
                <w:spacing w:val="-16"/>
                <w:kern w:val="21"/>
                <w:highlight w:val="none"/>
              </w:rPr>
              <w:fldChar w:fldCharType="begin"/>
            </w:r>
            <w:r>
              <w:rPr>
                <w:rFonts w:ascii="Times New Roman" w:cs="Times New Roman"/>
                <w:snapToGrid w:val="0"/>
                <w:color w:val="auto"/>
                <w:spacing w:val="-16"/>
                <w:kern w:val="21"/>
                <w:highlight w:val="none"/>
              </w:rPr>
              <w:instrText xml:space="preserve"> = 6 \* GB3 \* MERGEFORMAT </w:instrText>
            </w:r>
            <w:r>
              <w:rPr>
                <w:rFonts w:ascii="Times New Roman" w:cs="Times New Roman"/>
                <w:snapToGrid w:val="0"/>
                <w:color w:val="auto"/>
                <w:spacing w:val="-16"/>
                <w:kern w:val="21"/>
                <w:highlight w:val="none"/>
              </w:rPr>
              <w:fldChar w:fldCharType="separate"/>
            </w:r>
            <w:r>
              <w:rPr>
                <w:rFonts w:hint="eastAsia" w:hAnsi="宋体"/>
                <w:color w:val="auto"/>
                <w:kern w:val="2"/>
                <w:highlight w:val="none"/>
              </w:rPr>
              <w:t>⑥</w:t>
            </w:r>
            <w:r>
              <w:rPr>
                <w:rFonts w:ascii="Times New Roman" w:cs="Times New Roman"/>
                <w:snapToGrid w:val="0"/>
                <w:color w:val="auto"/>
                <w:spacing w:val="-16"/>
                <w:kern w:val="21"/>
                <w:highlight w:val="none"/>
              </w:rPr>
              <w:fldChar w:fldCharType="end"/>
            </w:r>
          </w:p>
        </w:tc>
        <w:tc>
          <w:tcPr>
            <w:tcW w:w="1338" w:type="dxa"/>
            <w:tcBorders>
              <w:top w:val="single" w:color="auto" w:sz="8" w:space="0"/>
            </w:tcBorders>
            <w:tcMar>
              <w:left w:w="28" w:type="dxa"/>
              <w:right w:w="28" w:type="dxa"/>
            </w:tcMar>
            <w:vAlign w:val="center"/>
          </w:tcPr>
          <w:p w14:paraId="4F10DA84">
            <w:pPr>
              <w:pStyle w:val="75"/>
              <w:spacing w:beforeLines="0" w:afterLines="0" w:line="240" w:lineRule="auto"/>
              <w:rPr>
                <w:rFonts w:ascii="Times New Roman" w:cs="Times New Roman"/>
                <w:snapToGrid w:val="0"/>
                <w:color w:val="auto"/>
                <w:spacing w:val="-6"/>
                <w:kern w:val="21"/>
                <w:highlight w:val="none"/>
              </w:rPr>
            </w:pPr>
            <w:r>
              <w:rPr>
                <w:rFonts w:hint="eastAsia" w:ascii="Times New Roman"/>
                <w:snapToGrid w:val="0"/>
                <w:color w:val="auto"/>
                <w:spacing w:val="-6"/>
                <w:kern w:val="21"/>
                <w:highlight w:val="none"/>
              </w:rPr>
              <w:t>变化量</w:t>
            </w:r>
          </w:p>
          <w:p w14:paraId="4738F372">
            <w:pPr>
              <w:pStyle w:val="75"/>
              <w:spacing w:beforeLines="0" w:afterLines="0" w:line="240" w:lineRule="auto"/>
              <w:rPr>
                <w:rFonts w:ascii="Times New Roman" w:cs="Times New Roman"/>
                <w:snapToGrid w:val="0"/>
                <w:color w:val="auto"/>
                <w:spacing w:val="-6"/>
                <w:kern w:val="21"/>
                <w:highlight w:val="none"/>
              </w:rPr>
            </w:pPr>
            <w:r>
              <w:rPr>
                <w:rFonts w:ascii="Times New Roman" w:cs="Times New Roman"/>
                <w:snapToGrid w:val="0"/>
                <w:color w:val="auto"/>
                <w:spacing w:val="-6"/>
                <w:kern w:val="21"/>
                <w:highlight w:val="none"/>
              </w:rPr>
              <w:fldChar w:fldCharType="begin"/>
            </w:r>
            <w:r>
              <w:rPr>
                <w:rFonts w:ascii="Times New Roman" w:cs="Times New Roman"/>
                <w:snapToGrid w:val="0"/>
                <w:color w:val="auto"/>
                <w:spacing w:val="-6"/>
                <w:kern w:val="21"/>
                <w:highlight w:val="none"/>
              </w:rPr>
              <w:instrText xml:space="preserve"> = 7 \* GB3 \* MERGEFORMAT </w:instrText>
            </w:r>
            <w:r>
              <w:rPr>
                <w:rFonts w:ascii="Times New Roman" w:cs="Times New Roman"/>
                <w:snapToGrid w:val="0"/>
                <w:color w:val="auto"/>
                <w:spacing w:val="-6"/>
                <w:kern w:val="21"/>
                <w:highlight w:val="none"/>
              </w:rPr>
              <w:fldChar w:fldCharType="separate"/>
            </w:r>
            <w:r>
              <w:rPr>
                <w:rFonts w:hint="eastAsia" w:hAnsi="宋体"/>
                <w:color w:val="auto"/>
                <w:kern w:val="2"/>
                <w:highlight w:val="none"/>
              </w:rPr>
              <w:t>⑦</w:t>
            </w:r>
            <w:r>
              <w:rPr>
                <w:rFonts w:ascii="Times New Roman" w:cs="Times New Roman"/>
                <w:snapToGrid w:val="0"/>
                <w:color w:val="auto"/>
                <w:spacing w:val="-6"/>
                <w:kern w:val="21"/>
                <w:highlight w:val="none"/>
              </w:rPr>
              <w:fldChar w:fldCharType="end"/>
            </w:r>
          </w:p>
        </w:tc>
      </w:tr>
      <w:tr w14:paraId="7664EA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00" w:type="dxa"/>
            <w:vAlign w:val="center"/>
          </w:tcPr>
          <w:p w14:paraId="2FBDD739">
            <w:pPr>
              <w:pStyle w:val="75"/>
              <w:spacing w:beforeLines="0" w:afterLines="0" w:line="240" w:lineRule="auto"/>
              <w:rPr>
                <w:rFonts w:ascii="Times New Roman" w:cs="Times New Roman"/>
                <w:snapToGrid w:val="0"/>
                <w:color w:val="auto"/>
                <w:kern w:val="21"/>
                <w:highlight w:val="none"/>
              </w:rPr>
            </w:pPr>
            <w:r>
              <w:rPr>
                <w:rFonts w:hint="eastAsia" w:ascii="Times New Roman" w:cs="Times New Roman"/>
                <w:snapToGrid w:val="0"/>
                <w:color w:val="auto"/>
                <w:kern w:val="21"/>
                <w:highlight w:val="none"/>
              </w:rPr>
              <w:t>废气</w:t>
            </w:r>
          </w:p>
        </w:tc>
        <w:tc>
          <w:tcPr>
            <w:tcW w:w="1519" w:type="dxa"/>
            <w:vAlign w:val="center"/>
          </w:tcPr>
          <w:p w14:paraId="4D0D2E3B">
            <w:pPr>
              <w:pStyle w:val="75"/>
              <w:spacing w:beforeLines="0" w:afterLines="0" w:line="240" w:lineRule="auto"/>
              <w:rPr>
                <w:rFonts w:ascii="Times New Roman" w:cs="Times New Roman"/>
                <w:snapToGrid w:val="0"/>
                <w:color w:val="auto"/>
                <w:kern w:val="21"/>
                <w:highlight w:val="none"/>
              </w:rPr>
            </w:pPr>
            <w:r>
              <w:rPr>
                <w:rFonts w:hint="eastAsia" w:ascii="Times New Roman" w:cs="Times New Roman"/>
                <w:snapToGrid w:val="0"/>
                <w:color w:val="auto"/>
                <w:kern w:val="21"/>
                <w:highlight w:val="none"/>
              </w:rPr>
              <w:t>颗粒物</w:t>
            </w:r>
          </w:p>
        </w:tc>
        <w:tc>
          <w:tcPr>
            <w:tcW w:w="1424" w:type="dxa"/>
            <w:vAlign w:val="center"/>
          </w:tcPr>
          <w:p w14:paraId="557E96BD">
            <w:pPr>
              <w:pStyle w:val="75"/>
              <w:spacing w:beforeLines="0" w:afterLines="0" w:line="240" w:lineRule="auto"/>
              <w:rPr>
                <w:rFonts w:hint="eastAsia" w:ascii="Times New Roman" w:cs="Times New Roman"/>
                <w:snapToGrid w:val="0"/>
                <w:color w:val="auto"/>
                <w:kern w:val="21"/>
                <w:highlight w:val="none"/>
                <w:lang w:eastAsia="zh-CN"/>
              </w:rPr>
            </w:pPr>
            <w:r>
              <w:rPr>
                <w:rFonts w:hint="eastAsia" w:ascii="Times New Roman" w:cs="Times New Roman"/>
                <w:snapToGrid w:val="0"/>
                <w:color w:val="auto"/>
                <w:kern w:val="21"/>
                <w:highlight w:val="none"/>
              </w:rPr>
              <w:t>/</w:t>
            </w:r>
          </w:p>
        </w:tc>
        <w:tc>
          <w:tcPr>
            <w:tcW w:w="1204" w:type="dxa"/>
            <w:vAlign w:val="center"/>
          </w:tcPr>
          <w:p w14:paraId="40CEAB4B">
            <w:pPr>
              <w:pStyle w:val="75"/>
              <w:spacing w:beforeLines="0" w:afterLines="0" w:line="240" w:lineRule="auto"/>
              <w:rPr>
                <w:rFonts w:hint="eastAsia" w:ascii="Times New Roman" w:cs="Times New Roman"/>
                <w:snapToGrid w:val="0"/>
                <w:color w:val="auto"/>
                <w:kern w:val="21"/>
                <w:highlight w:val="none"/>
                <w:lang w:eastAsia="zh-CN"/>
              </w:rPr>
            </w:pPr>
            <w:r>
              <w:rPr>
                <w:rFonts w:hint="eastAsia" w:ascii="Times New Roman" w:cs="Times New Roman"/>
                <w:snapToGrid w:val="0"/>
                <w:color w:val="auto"/>
                <w:kern w:val="21"/>
                <w:highlight w:val="none"/>
              </w:rPr>
              <w:t>/</w:t>
            </w:r>
          </w:p>
        </w:tc>
        <w:tc>
          <w:tcPr>
            <w:tcW w:w="1603" w:type="dxa"/>
            <w:vAlign w:val="center"/>
          </w:tcPr>
          <w:p w14:paraId="5934A35C">
            <w:pPr>
              <w:pStyle w:val="75"/>
              <w:spacing w:beforeLines="0" w:afterLines="0" w:line="240" w:lineRule="auto"/>
              <w:rPr>
                <w:rFonts w:hint="eastAsia" w:ascii="Times New Roman" w:cs="Times New Roman"/>
                <w:snapToGrid w:val="0"/>
                <w:color w:val="auto"/>
                <w:kern w:val="21"/>
                <w:highlight w:val="none"/>
                <w:lang w:eastAsia="zh-CN"/>
              </w:rPr>
            </w:pPr>
            <w:r>
              <w:rPr>
                <w:rFonts w:hint="eastAsia" w:ascii="Times New Roman" w:cs="Times New Roman"/>
                <w:snapToGrid w:val="0"/>
                <w:color w:val="auto"/>
                <w:kern w:val="21"/>
                <w:highlight w:val="none"/>
              </w:rPr>
              <w:t>/</w:t>
            </w:r>
          </w:p>
        </w:tc>
        <w:tc>
          <w:tcPr>
            <w:tcW w:w="1470" w:type="dxa"/>
            <w:vAlign w:val="center"/>
          </w:tcPr>
          <w:p w14:paraId="54A6B171">
            <w:pPr>
              <w:pStyle w:val="75"/>
              <w:spacing w:beforeLines="0" w:afterLines="0" w:line="240" w:lineRule="auto"/>
              <w:rPr>
                <w:rFonts w:hint="default" w:ascii="Times New Roman" w:cs="Times New Roman"/>
                <w:snapToGrid w:val="0"/>
                <w:color w:val="auto"/>
                <w:kern w:val="21"/>
                <w:highlight w:val="none"/>
                <w:lang w:val="en-US" w:eastAsia="zh-CN"/>
              </w:rPr>
            </w:pPr>
            <w:r>
              <w:rPr>
                <w:rFonts w:hint="eastAsia" w:cs="Times New Roman"/>
                <w:snapToGrid w:val="0"/>
                <w:color w:val="auto"/>
                <w:kern w:val="21"/>
                <w:highlight w:val="none"/>
                <w:lang w:val="en-US" w:eastAsia="zh-CN"/>
              </w:rPr>
              <w:t>0.603</w:t>
            </w:r>
          </w:p>
        </w:tc>
        <w:tc>
          <w:tcPr>
            <w:tcW w:w="1670" w:type="dxa"/>
            <w:vAlign w:val="center"/>
          </w:tcPr>
          <w:p w14:paraId="71551F70">
            <w:pPr>
              <w:pStyle w:val="75"/>
              <w:spacing w:beforeLines="0" w:afterLines="0" w:line="240" w:lineRule="auto"/>
              <w:rPr>
                <w:rFonts w:hint="eastAsia" w:ascii="Times New Roman" w:cs="Times New Roman"/>
                <w:snapToGrid w:val="0"/>
                <w:color w:val="auto"/>
                <w:kern w:val="21"/>
                <w:highlight w:val="none"/>
                <w:lang w:val="en-US" w:eastAsia="zh-CN"/>
              </w:rPr>
            </w:pPr>
            <w:r>
              <w:rPr>
                <w:rFonts w:hint="eastAsia" w:ascii="Times New Roman" w:cs="Times New Roman"/>
                <w:snapToGrid w:val="0"/>
                <w:color w:val="auto"/>
                <w:kern w:val="21"/>
                <w:highlight w:val="none"/>
                <w:lang w:val="en-US" w:eastAsia="zh-CN"/>
              </w:rPr>
              <w:t>/</w:t>
            </w:r>
          </w:p>
        </w:tc>
        <w:tc>
          <w:tcPr>
            <w:tcW w:w="1688" w:type="dxa"/>
            <w:vAlign w:val="center"/>
          </w:tcPr>
          <w:p w14:paraId="4AA18DF0">
            <w:pPr>
              <w:pStyle w:val="75"/>
              <w:spacing w:beforeLines="0" w:afterLines="0" w:line="240" w:lineRule="auto"/>
              <w:rPr>
                <w:rFonts w:hint="eastAsia" w:ascii="Times New Roman" w:cs="Times New Roman"/>
                <w:snapToGrid w:val="0"/>
                <w:color w:val="auto"/>
                <w:kern w:val="21"/>
                <w:highlight w:val="none"/>
                <w:lang w:val="en-US" w:eastAsia="zh-CN"/>
              </w:rPr>
            </w:pPr>
            <w:r>
              <w:rPr>
                <w:rFonts w:hint="eastAsia" w:ascii="Times New Roman" w:cs="Times New Roman"/>
                <w:snapToGrid w:val="0"/>
                <w:color w:val="auto"/>
                <w:kern w:val="21"/>
                <w:highlight w:val="none"/>
                <w:lang w:val="en-US" w:eastAsia="zh-CN"/>
              </w:rPr>
              <w:t>+</w:t>
            </w:r>
            <w:r>
              <w:rPr>
                <w:rFonts w:hint="eastAsia" w:cs="Times New Roman"/>
                <w:snapToGrid w:val="0"/>
                <w:color w:val="auto"/>
                <w:kern w:val="21"/>
                <w:highlight w:val="none"/>
                <w:lang w:val="en-US" w:eastAsia="zh-CN"/>
              </w:rPr>
              <w:t>0.603</w:t>
            </w:r>
          </w:p>
        </w:tc>
        <w:tc>
          <w:tcPr>
            <w:tcW w:w="1338" w:type="dxa"/>
            <w:vAlign w:val="center"/>
          </w:tcPr>
          <w:p w14:paraId="1A224C86">
            <w:pPr>
              <w:pStyle w:val="75"/>
              <w:spacing w:beforeLines="0" w:afterLines="0" w:line="240" w:lineRule="auto"/>
              <w:rPr>
                <w:rFonts w:hint="eastAsia" w:ascii="Times New Roman" w:cs="Times New Roman"/>
                <w:snapToGrid w:val="0"/>
                <w:color w:val="auto"/>
                <w:kern w:val="21"/>
                <w:highlight w:val="none"/>
                <w:lang w:val="en-US" w:eastAsia="zh-CN"/>
              </w:rPr>
            </w:pPr>
            <w:r>
              <w:rPr>
                <w:rFonts w:hint="eastAsia" w:ascii="Times New Roman" w:cs="Times New Roman"/>
                <w:snapToGrid w:val="0"/>
                <w:color w:val="auto"/>
                <w:kern w:val="21"/>
                <w:highlight w:val="none"/>
                <w:lang w:val="en-US" w:eastAsia="zh-CN"/>
              </w:rPr>
              <w:t>+</w:t>
            </w:r>
            <w:r>
              <w:rPr>
                <w:rFonts w:hint="eastAsia" w:cs="Times New Roman"/>
                <w:snapToGrid w:val="0"/>
                <w:color w:val="auto"/>
                <w:kern w:val="21"/>
                <w:highlight w:val="none"/>
                <w:lang w:val="en-US" w:eastAsia="zh-CN"/>
              </w:rPr>
              <w:t>0.603</w:t>
            </w:r>
          </w:p>
        </w:tc>
      </w:tr>
      <w:tr w14:paraId="45F121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100" w:type="dxa"/>
            <w:vMerge w:val="restart"/>
            <w:vAlign w:val="center"/>
          </w:tcPr>
          <w:p w14:paraId="6B0CEFEC">
            <w:pPr>
              <w:pStyle w:val="75"/>
              <w:spacing w:beforeLines="0" w:afterLines="0" w:line="240" w:lineRule="auto"/>
              <w:rPr>
                <w:rFonts w:ascii="Times New Roman" w:cs="Times New Roman"/>
                <w:snapToGrid w:val="0"/>
                <w:color w:val="auto"/>
                <w:kern w:val="21"/>
                <w:highlight w:val="none"/>
              </w:rPr>
            </w:pPr>
            <w:r>
              <w:rPr>
                <w:rFonts w:hint="eastAsia" w:ascii="Times New Roman" w:cs="Times New Roman"/>
                <w:snapToGrid w:val="0"/>
                <w:color w:val="auto"/>
                <w:kern w:val="21"/>
                <w:highlight w:val="none"/>
              </w:rPr>
              <w:t>废水</w:t>
            </w:r>
          </w:p>
        </w:tc>
        <w:tc>
          <w:tcPr>
            <w:tcW w:w="1519" w:type="dxa"/>
            <w:vAlign w:val="center"/>
          </w:tcPr>
          <w:p w14:paraId="7DFC873F">
            <w:pPr>
              <w:pStyle w:val="75"/>
              <w:spacing w:beforeLines="0" w:afterLines="0" w:line="240" w:lineRule="auto"/>
              <w:rPr>
                <w:rFonts w:ascii="Times New Roman" w:cs="Times New Roman"/>
                <w:snapToGrid w:val="0"/>
                <w:color w:val="auto"/>
                <w:kern w:val="21"/>
                <w:highlight w:val="none"/>
              </w:rPr>
            </w:pPr>
            <w:r>
              <w:rPr>
                <w:rFonts w:hint="eastAsia" w:ascii="Times New Roman" w:cs="Times New Roman"/>
                <w:snapToGrid w:val="0"/>
                <w:color w:val="auto"/>
                <w:kern w:val="21"/>
                <w:highlight w:val="none"/>
              </w:rPr>
              <w:t>COD</w:t>
            </w:r>
          </w:p>
        </w:tc>
        <w:tc>
          <w:tcPr>
            <w:tcW w:w="1424" w:type="dxa"/>
            <w:vAlign w:val="center"/>
          </w:tcPr>
          <w:p w14:paraId="6322AE93">
            <w:pPr>
              <w:pStyle w:val="75"/>
              <w:spacing w:beforeLines="0" w:afterLines="0" w:line="240" w:lineRule="auto"/>
              <w:rPr>
                <w:rFonts w:hint="eastAsia" w:ascii="Times New Roman" w:cs="Times New Roman"/>
                <w:snapToGrid w:val="0"/>
                <w:color w:val="auto"/>
                <w:kern w:val="21"/>
                <w:highlight w:val="none"/>
                <w:lang w:val="en-US" w:eastAsia="zh-CN"/>
              </w:rPr>
            </w:pPr>
            <w:r>
              <w:rPr>
                <w:rFonts w:hint="eastAsia" w:ascii="Times New Roman" w:cs="Times New Roman"/>
                <w:snapToGrid w:val="0"/>
                <w:color w:val="auto"/>
                <w:kern w:val="21"/>
                <w:highlight w:val="none"/>
                <w:lang w:val="en-US" w:eastAsia="zh-CN"/>
              </w:rPr>
              <w:t>0</w:t>
            </w:r>
          </w:p>
        </w:tc>
        <w:tc>
          <w:tcPr>
            <w:tcW w:w="1204" w:type="dxa"/>
            <w:vAlign w:val="center"/>
          </w:tcPr>
          <w:p w14:paraId="59463487">
            <w:pPr>
              <w:pStyle w:val="75"/>
              <w:spacing w:beforeLines="0" w:afterLines="0" w:line="240" w:lineRule="auto"/>
              <w:rPr>
                <w:rFonts w:ascii="Times New Roman" w:cs="Times New Roman"/>
                <w:snapToGrid w:val="0"/>
                <w:color w:val="auto"/>
                <w:kern w:val="21"/>
                <w:highlight w:val="none"/>
              </w:rPr>
            </w:pPr>
            <w:r>
              <w:rPr>
                <w:rFonts w:hint="eastAsia" w:ascii="Times New Roman" w:cs="Times New Roman"/>
                <w:snapToGrid w:val="0"/>
                <w:color w:val="auto"/>
                <w:kern w:val="21"/>
                <w:highlight w:val="none"/>
                <w:lang w:val="en-US" w:eastAsia="zh-CN"/>
              </w:rPr>
              <w:t>0</w:t>
            </w:r>
          </w:p>
        </w:tc>
        <w:tc>
          <w:tcPr>
            <w:tcW w:w="1603" w:type="dxa"/>
            <w:vAlign w:val="center"/>
          </w:tcPr>
          <w:p w14:paraId="7B9C809F">
            <w:pPr>
              <w:pStyle w:val="75"/>
              <w:spacing w:beforeLines="0" w:afterLines="0" w:line="240" w:lineRule="auto"/>
              <w:rPr>
                <w:rFonts w:ascii="Times New Roman" w:cs="Times New Roman"/>
                <w:snapToGrid w:val="0"/>
                <w:color w:val="auto"/>
                <w:kern w:val="21"/>
                <w:highlight w:val="none"/>
              </w:rPr>
            </w:pPr>
            <w:r>
              <w:rPr>
                <w:rFonts w:hint="eastAsia" w:ascii="Times New Roman" w:cs="Times New Roman"/>
                <w:snapToGrid w:val="0"/>
                <w:color w:val="auto"/>
                <w:kern w:val="21"/>
                <w:highlight w:val="none"/>
                <w:lang w:val="en-US" w:eastAsia="zh-CN"/>
              </w:rPr>
              <w:t>0</w:t>
            </w:r>
          </w:p>
        </w:tc>
        <w:tc>
          <w:tcPr>
            <w:tcW w:w="1470" w:type="dxa"/>
            <w:vAlign w:val="center"/>
          </w:tcPr>
          <w:p w14:paraId="10E53CE0">
            <w:pPr>
              <w:pStyle w:val="75"/>
              <w:spacing w:beforeLines="0" w:afterLines="0" w:line="240" w:lineRule="auto"/>
              <w:rPr>
                <w:rFonts w:ascii="Times New Roman" w:cs="Times New Roman"/>
                <w:snapToGrid w:val="0"/>
                <w:color w:val="auto"/>
                <w:kern w:val="21"/>
                <w:highlight w:val="none"/>
              </w:rPr>
            </w:pPr>
            <w:r>
              <w:rPr>
                <w:rFonts w:hint="eastAsia" w:ascii="Times New Roman" w:cs="Times New Roman"/>
                <w:snapToGrid w:val="0"/>
                <w:color w:val="auto"/>
                <w:kern w:val="21"/>
                <w:highlight w:val="none"/>
                <w:lang w:val="en-US" w:eastAsia="zh-CN"/>
              </w:rPr>
              <w:t>0</w:t>
            </w:r>
          </w:p>
        </w:tc>
        <w:tc>
          <w:tcPr>
            <w:tcW w:w="1670" w:type="dxa"/>
            <w:vAlign w:val="center"/>
          </w:tcPr>
          <w:p w14:paraId="4790A6B0">
            <w:pPr>
              <w:pStyle w:val="75"/>
              <w:spacing w:beforeLines="0" w:afterLines="0" w:line="240" w:lineRule="auto"/>
              <w:rPr>
                <w:rFonts w:ascii="Times New Roman" w:cs="Times New Roman"/>
                <w:snapToGrid w:val="0"/>
                <w:color w:val="auto"/>
                <w:kern w:val="21"/>
                <w:highlight w:val="none"/>
              </w:rPr>
            </w:pPr>
            <w:r>
              <w:rPr>
                <w:rFonts w:hint="eastAsia" w:ascii="Times New Roman" w:cs="Times New Roman"/>
                <w:snapToGrid w:val="0"/>
                <w:color w:val="auto"/>
                <w:kern w:val="21"/>
                <w:highlight w:val="none"/>
                <w:lang w:val="en-US" w:eastAsia="zh-CN"/>
              </w:rPr>
              <w:t>0</w:t>
            </w:r>
          </w:p>
        </w:tc>
        <w:tc>
          <w:tcPr>
            <w:tcW w:w="1688" w:type="dxa"/>
            <w:vAlign w:val="center"/>
          </w:tcPr>
          <w:p w14:paraId="225BA064">
            <w:pPr>
              <w:pStyle w:val="75"/>
              <w:spacing w:beforeLines="0" w:afterLines="0" w:line="240" w:lineRule="auto"/>
              <w:rPr>
                <w:rFonts w:ascii="Times New Roman" w:cs="Times New Roman"/>
                <w:snapToGrid w:val="0"/>
                <w:color w:val="auto"/>
                <w:kern w:val="21"/>
                <w:highlight w:val="none"/>
              </w:rPr>
            </w:pPr>
            <w:r>
              <w:rPr>
                <w:rFonts w:hint="eastAsia" w:ascii="Times New Roman" w:cs="Times New Roman"/>
                <w:snapToGrid w:val="0"/>
                <w:color w:val="auto"/>
                <w:kern w:val="21"/>
                <w:highlight w:val="none"/>
                <w:lang w:val="en-US" w:eastAsia="zh-CN"/>
              </w:rPr>
              <w:t>0</w:t>
            </w:r>
          </w:p>
        </w:tc>
        <w:tc>
          <w:tcPr>
            <w:tcW w:w="1338" w:type="dxa"/>
            <w:vAlign w:val="center"/>
          </w:tcPr>
          <w:p w14:paraId="015F5011">
            <w:pPr>
              <w:pStyle w:val="75"/>
              <w:spacing w:beforeLines="0" w:afterLines="0" w:line="240" w:lineRule="auto"/>
              <w:rPr>
                <w:rFonts w:ascii="Times New Roman" w:cs="Times New Roman"/>
                <w:snapToGrid w:val="0"/>
                <w:color w:val="auto"/>
                <w:kern w:val="21"/>
                <w:highlight w:val="none"/>
              </w:rPr>
            </w:pPr>
            <w:r>
              <w:rPr>
                <w:rFonts w:hint="eastAsia" w:ascii="Times New Roman" w:cs="Times New Roman"/>
                <w:snapToGrid w:val="0"/>
                <w:color w:val="auto"/>
                <w:kern w:val="21"/>
                <w:highlight w:val="none"/>
                <w:lang w:val="en-US" w:eastAsia="zh-CN"/>
              </w:rPr>
              <w:t>0</w:t>
            </w:r>
          </w:p>
        </w:tc>
      </w:tr>
      <w:tr w14:paraId="2CA90E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00" w:type="dxa"/>
            <w:vMerge w:val="continue"/>
            <w:vAlign w:val="center"/>
          </w:tcPr>
          <w:p w14:paraId="38C96B20">
            <w:pPr>
              <w:pStyle w:val="75"/>
              <w:spacing w:beforeLines="0" w:afterLines="0" w:line="240" w:lineRule="auto"/>
              <w:rPr>
                <w:rFonts w:ascii="Times New Roman" w:cs="Times New Roman"/>
                <w:snapToGrid w:val="0"/>
                <w:color w:val="auto"/>
                <w:kern w:val="21"/>
                <w:highlight w:val="none"/>
              </w:rPr>
            </w:pPr>
          </w:p>
        </w:tc>
        <w:tc>
          <w:tcPr>
            <w:tcW w:w="1519" w:type="dxa"/>
            <w:vAlign w:val="center"/>
          </w:tcPr>
          <w:p w14:paraId="0F3C517C">
            <w:pPr>
              <w:pStyle w:val="75"/>
              <w:spacing w:beforeLines="0" w:afterLines="0" w:line="240" w:lineRule="auto"/>
              <w:rPr>
                <w:rFonts w:ascii="Times New Roman" w:cs="Times New Roman"/>
                <w:snapToGrid w:val="0"/>
                <w:color w:val="auto"/>
                <w:kern w:val="21"/>
                <w:highlight w:val="none"/>
              </w:rPr>
            </w:pPr>
            <w:r>
              <w:rPr>
                <w:rFonts w:hint="eastAsia" w:ascii="Times New Roman" w:cs="Times New Roman"/>
                <w:snapToGrid w:val="0"/>
                <w:color w:val="auto"/>
                <w:kern w:val="21"/>
                <w:highlight w:val="none"/>
              </w:rPr>
              <w:t>氨氮</w:t>
            </w:r>
          </w:p>
        </w:tc>
        <w:tc>
          <w:tcPr>
            <w:tcW w:w="1424" w:type="dxa"/>
            <w:vAlign w:val="center"/>
          </w:tcPr>
          <w:p w14:paraId="1B33DC65">
            <w:pPr>
              <w:pStyle w:val="75"/>
              <w:spacing w:beforeLines="0" w:afterLines="0" w:line="240" w:lineRule="auto"/>
              <w:rPr>
                <w:rFonts w:hint="eastAsia" w:ascii="Times New Roman" w:cs="Times New Roman"/>
                <w:snapToGrid w:val="0"/>
                <w:color w:val="auto"/>
                <w:kern w:val="21"/>
                <w:highlight w:val="none"/>
                <w:lang w:val="en-US" w:eastAsia="zh-CN"/>
              </w:rPr>
            </w:pPr>
            <w:r>
              <w:rPr>
                <w:rFonts w:hint="eastAsia" w:ascii="Times New Roman" w:cs="Times New Roman"/>
                <w:snapToGrid w:val="0"/>
                <w:color w:val="auto"/>
                <w:kern w:val="21"/>
                <w:highlight w:val="none"/>
                <w:lang w:val="en-US" w:eastAsia="zh-CN"/>
              </w:rPr>
              <w:t>0</w:t>
            </w:r>
          </w:p>
        </w:tc>
        <w:tc>
          <w:tcPr>
            <w:tcW w:w="1204" w:type="dxa"/>
            <w:vAlign w:val="center"/>
          </w:tcPr>
          <w:p w14:paraId="609D0B94">
            <w:pPr>
              <w:pStyle w:val="75"/>
              <w:spacing w:beforeLines="0" w:afterLines="0" w:line="240" w:lineRule="auto"/>
              <w:rPr>
                <w:rFonts w:ascii="Times New Roman" w:cs="Times New Roman"/>
                <w:snapToGrid w:val="0"/>
                <w:color w:val="auto"/>
                <w:kern w:val="21"/>
                <w:highlight w:val="none"/>
              </w:rPr>
            </w:pPr>
            <w:r>
              <w:rPr>
                <w:rFonts w:hint="eastAsia" w:ascii="Times New Roman" w:cs="Times New Roman"/>
                <w:snapToGrid w:val="0"/>
                <w:color w:val="auto"/>
                <w:kern w:val="21"/>
                <w:highlight w:val="none"/>
                <w:lang w:val="en-US" w:eastAsia="zh-CN"/>
              </w:rPr>
              <w:t>0</w:t>
            </w:r>
          </w:p>
        </w:tc>
        <w:tc>
          <w:tcPr>
            <w:tcW w:w="1603" w:type="dxa"/>
            <w:vAlign w:val="center"/>
          </w:tcPr>
          <w:p w14:paraId="54EC959B">
            <w:pPr>
              <w:pStyle w:val="75"/>
              <w:spacing w:beforeLines="0" w:afterLines="0" w:line="240" w:lineRule="auto"/>
              <w:rPr>
                <w:rFonts w:ascii="Times New Roman" w:cs="Times New Roman"/>
                <w:snapToGrid w:val="0"/>
                <w:color w:val="auto"/>
                <w:kern w:val="21"/>
                <w:highlight w:val="none"/>
              </w:rPr>
            </w:pPr>
            <w:r>
              <w:rPr>
                <w:rFonts w:hint="eastAsia" w:ascii="Times New Roman" w:cs="Times New Roman"/>
                <w:snapToGrid w:val="0"/>
                <w:color w:val="auto"/>
                <w:kern w:val="21"/>
                <w:highlight w:val="none"/>
                <w:lang w:val="en-US" w:eastAsia="zh-CN"/>
              </w:rPr>
              <w:t>0</w:t>
            </w:r>
          </w:p>
        </w:tc>
        <w:tc>
          <w:tcPr>
            <w:tcW w:w="1470" w:type="dxa"/>
            <w:vAlign w:val="center"/>
          </w:tcPr>
          <w:p w14:paraId="7925CBBE">
            <w:pPr>
              <w:pStyle w:val="75"/>
              <w:spacing w:beforeLines="0" w:afterLines="0" w:line="240" w:lineRule="auto"/>
              <w:rPr>
                <w:rFonts w:ascii="Times New Roman" w:cs="Times New Roman"/>
                <w:snapToGrid w:val="0"/>
                <w:color w:val="auto"/>
                <w:kern w:val="21"/>
                <w:highlight w:val="none"/>
              </w:rPr>
            </w:pPr>
            <w:r>
              <w:rPr>
                <w:rFonts w:hint="eastAsia" w:ascii="Times New Roman" w:cs="Times New Roman"/>
                <w:snapToGrid w:val="0"/>
                <w:color w:val="auto"/>
                <w:kern w:val="21"/>
                <w:highlight w:val="none"/>
                <w:lang w:val="en-US" w:eastAsia="zh-CN"/>
              </w:rPr>
              <w:t>0</w:t>
            </w:r>
          </w:p>
        </w:tc>
        <w:tc>
          <w:tcPr>
            <w:tcW w:w="1670" w:type="dxa"/>
            <w:vAlign w:val="center"/>
          </w:tcPr>
          <w:p w14:paraId="6C3BDC6B">
            <w:pPr>
              <w:pStyle w:val="75"/>
              <w:spacing w:beforeLines="0" w:afterLines="0" w:line="240" w:lineRule="auto"/>
              <w:rPr>
                <w:rFonts w:ascii="Times New Roman" w:cs="Times New Roman"/>
                <w:snapToGrid w:val="0"/>
                <w:color w:val="auto"/>
                <w:kern w:val="21"/>
                <w:highlight w:val="none"/>
              </w:rPr>
            </w:pPr>
            <w:r>
              <w:rPr>
                <w:rFonts w:hint="eastAsia" w:ascii="Times New Roman" w:cs="Times New Roman"/>
                <w:snapToGrid w:val="0"/>
                <w:color w:val="auto"/>
                <w:kern w:val="21"/>
                <w:highlight w:val="none"/>
                <w:lang w:val="en-US" w:eastAsia="zh-CN"/>
              </w:rPr>
              <w:t>0</w:t>
            </w:r>
          </w:p>
        </w:tc>
        <w:tc>
          <w:tcPr>
            <w:tcW w:w="1688" w:type="dxa"/>
            <w:vAlign w:val="center"/>
          </w:tcPr>
          <w:p w14:paraId="37A7AB17">
            <w:pPr>
              <w:pStyle w:val="75"/>
              <w:spacing w:beforeLines="0" w:afterLines="0" w:line="240" w:lineRule="auto"/>
              <w:rPr>
                <w:rFonts w:ascii="Times New Roman" w:cs="Times New Roman"/>
                <w:snapToGrid w:val="0"/>
                <w:color w:val="auto"/>
                <w:kern w:val="21"/>
                <w:highlight w:val="none"/>
              </w:rPr>
            </w:pPr>
            <w:r>
              <w:rPr>
                <w:rFonts w:hint="eastAsia" w:ascii="Times New Roman" w:cs="Times New Roman"/>
                <w:snapToGrid w:val="0"/>
                <w:color w:val="auto"/>
                <w:kern w:val="21"/>
                <w:highlight w:val="none"/>
                <w:lang w:val="en-US" w:eastAsia="zh-CN"/>
              </w:rPr>
              <w:t>0</w:t>
            </w:r>
          </w:p>
        </w:tc>
        <w:tc>
          <w:tcPr>
            <w:tcW w:w="1338" w:type="dxa"/>
            <w:vAlign w:val="center"/>
          </w:tcPr>
          <w:p w14:paraId="1A5FE177">
            <w:pPr>
              <w:pStyle w:val="75"/>
              <w:spacing w:beforeLines="0" w:afterLines="0" w:line="240" w:lineRule="auto"/>
              <w:rPr>
                <w:rFonts w:ascii="Times New Roman" w:cs="Times New Roman"/>
                <w:snapToGrid w:val="0"/>
                <w:color w:val="auto"/>
                <w:kern w:val="21"/>
                <w:highlight w:val="none"/>
              </w:rPr>
            </w:pPr>
            <w:r>
              <w:rPr>
                <w:rFonts w:hint="eastAsia" w:ascii="Times New Roman" w:cs="Times New Roman"/>
                <w:snapToGrid w:val="0"/>
                <w:color w:val="auto"/>
                <w:kern w:val="21"/>
                <w:highlight w:val="none"/>
                <w:lang w:val="en-US" w:eastAsia="zh-CN"/>
              </w:rPr>
              <w:t>0</w:t>
            </w:r>
          </w:p>
        </w:tc>
      </w:tr>
      <w:tr w14:paraId="246F76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00" w:type="dxa"/>
            <w:vMerge w:val="restart"/>
            <w:vAlign w:val="center"/>
          </w:tcPr>
          <w:p w14:paraId="486C3FBA">
            <w:pPr>
              <w:pStyle w:val="75"/>
              <w:spacing w:beforeLines="0" w:afterLines="0" w:line="240" w:lineRule="auto"/>
              <w:rPr>
                <w:rFonts w:ascii="Times New Roman" w:cs="Times New Roman"/>
                <w:snapToGrid w:val="0"/>
                <w:color w:val="auto"/>
                <w:kern w:val="21"/>
                <w:highlight w:val="none"/>
              </w:rPr>
            </w:pPr>
            <w:r>
              <w:rPr>
                <w:rFonts w:hint="eastAsia" w:ascii="Times New Roman" w:cs="Times New Roman"/>
                <w:snapToGrid w:val="0"/>
                <w:color w:val="auto"/>
                <w:kern w:val="21"/>
                <w:highlight w:val="none"/>
              </w:rPr>
              <w:t>一般工业</w:t>
            </w:r>
          </w:p>
          <w:p w14:paraId="77475C70">
            <w:pPr>
              <w:pStyle w:val="75"/>
              <w:spacing w:beforeLines="0" w:afterLines="0" w:line="240" w:lineRule="auto"/>
              <w:rPr>
                <w:rFonts w:ascii="Times New Roman" w:cs="Times New Roman"/>
                <w:snapToGrid w:val="0"/>
                <w:color w:val="auto"/>
                <w:kern w:val="21"/>
                <w:highlight w:val="none"/>
              </w:rPr>
            </w:pPr>
            <w:r>
              <w:rPr>
                <w:rFonts w:hint="eastAsia" w:ascii="Times New Roman" w:cs="Times New Roman"/>
                <w:snapToGrid w:val="0"/>
                <w:color w:val="auto"/>
                <w:kern w:val="21"/>
                <w:highlight w:val="none"/>
              </w:rPr>
              <w:t>固体废物</w:t>
            </w:r>
          </w:p>
        </w:tc>
        <w:tc>
          <w:tcPr>
            <w:tcW w:w="1519" w:type="dxa"/>
            <w:vAlign w:val="center"/>
          </w:tcPr>
          <w:p w14:paraId="48FE71A4">
            <w:pPr>
              <w:pStyle w:val="75"/>
              <w:spacing w:beforeLines="0" w:afterLines="0" w:line="240" w:lineRule="auto"/>
              <w:rPr>
                <w:rFonts w:ascii="Times New Roman" w:cs="Times New Roman"/>
                <w:snapToGrid w:val="0"/>
                <w:color w:val="auto"/>
                <w:kern w:val="21"/>
                <w:highlight w:val="none"/>
              </w:rPr>
            </w:pPr>
            <w:r>
              <w:rPr>
                <w:rFonts w:hint="eastAsia" w:ascii="Times New Roman" w:cs="Times New Roman"/>
                <w:snapToGrid w:val="0"/>
                <w:color w:val="auto"/>
                <w:kern w:val="21"/>
                <w:highlight w:val="none"/>
              </w:rPr>
              <w:t>生活垃圾</w:t>
            </w:r>
          </w:p>
        </w:tc>
        <w:tc>
          <w:tcPr>
            <w:tcW w:w="1424" w:type="dxa"/>
            <w:vAlign w:val="center"/>
          </w:tcPr>
          <w:p w14:paraId="65DB9ACB">
            <w:pPr>
              <w:pStyle w:val="75"/>
              <w:spacing w:beforeLines="0" w:afterLines="0" w:line="240" w:lineRule="auto"/>
              <w:rPr>
                <w:rFonts w:ascii="Times New Roman" w:cs="Times New Roman"/>
                <w:snapToGrid w:val="0"/>
                <w:color w:val="auto"/>
                <w:kern w:val="21"/>
                <w:highlight w:val="none"/>
              </w:rPr>
            </w:pPr>
            <w:r>
              <w:rPr>
                <w:rFonts w:ascii="Times New Roman" w:cs="Times New Roman"/>
                <w:snapToGrid w:val="0"/>
                <w:color w:val="auto"/>
                <w:kern w:val="21"/>
                <w:highlight w:val="none"/>
              </w:rPr>
              <w:t>/</w:t>
            </w:r>
          </w:p>
        </w:tc>
        <w:tc>
          <w:tcPr>
            <w:tcW w:w="1204" w:type="dxa"/>
            <w:vAlign w:val="center"/>
          </w:tcPr>
          <w:p w14:paraId="65006968">
            <w:pPr>
              <w:pStyle w:val="75"/>
              <w:spacing w:beforeLines="0" w:afterLines="0" w:line="240" w:lineRule="auto"/>
              <w:rPr>
                <w:rFonts w:ascii="Times New Roman" w:cs="Times New Roman"/>
                <w:snapToGrid w:val="0"/>
                <w:color w:val="auto"/>
                <w:kern w:val="21"/>
                <w:highlight w:val="none"/>
              </w:rPr>
            </w:pPr>
            <w:r>
              <w:rPr>
                <w:rFonts w:ascii="Times New Roman" w:cs="Times New Roman"/>
                <w:snapToGrid w:val="0"/>
                <w:color w:val="auto"/>
                <w:kern w:val="21"/>
                <w:highlight w:val="none"/>
              </w:rPr>
              <w:t>/</w:t>
            </w:r>
          </w:p>
        </w:tc>
        <w:tc>
          <w:tcPr>
            <w:tcW w:w="1603" w:type="dxa"/>
            <w:vAlign w:val="center"/>
          </w:tcPr>
          <w:p w14:paraId="6DF9ABAA">
            <w:pPr>
              <w:pStyle w:val="75"/>
              <w:spacing w:beforeLines="0" w:afterLines="0" w:line="240" w:lineRule="auto"/>
              <w:rPr>
                <w:rFonts w:ascii="Times New Roman" w:cs="Times New Roman"/>
                <w:snapToGrid w:val="0"/>
                <w:color w:val="auto"/>
                <w:kern w:val="21"/>
                <w:highlight w:val="none"/>
              </w:rPr>
            </w:pPr>
            <w:r>
              <w:rPr>
                <w:rFonts w:ascii="Times New Roman" w:cs="Times New Roman"/>
                <w:snapToGrid w:val="0"/>
                <w:color w:val="auto"/>
                <w:kern w:val="21"/>
                <w:highlight w:val="none"/>
              </w:rPr>
              <w:t>/</w:t>
            </w:r>
          </w:p>
        </w:tc>
        <w:tc>
          <w:tcPr>
            <w:tcW w:w="1470" w:type="dxa"/>
            <w:vAlign w:val="center"/>
          </w:tcPr>
          <w:p w14:paraId="5403D725">
            <w:pPr>
              <w:pStyle w:val="75"/>
              <w:spacing w:beforeLines="0" w:afterLines="0" w:line="240" w:lineRule="auto"/>
              <w:rPr>
                <w:rFonts w:hint="eastAsia" w:ascii="Times New Roman" w:cs="Times New Roman"/>
                <w:snapToGrid w:val="0"/>
                <w:color w:val="auto"/>
                <w:kern w:val="21"/>
                <w:highlight w:val="none"/>
                <w:lang w:eastAsia="zh-CN"/>
              </w:rPr>
            </w:pPr>
            <w:r>
              <w:rPr>
                <w:rFonts w:hint="eastAsia" w:ascii="Times New Roman" w:cs="Times New Roman"/>
                <w:snapToGrid w:val="0"/>
                <w:color w:val="auto"/>
                <w:kern w:val="21"/>
                <w:highlight w:val="none"/>
                <w:lang w:val="en-US" w:eastAsia="zh-CN"/>
              </w:rPr>
              <w:t>6</w:t>
            </w:r>
          </w:p>
        </w:tc>
        <w:tc>
          <w:tcPr>
            <w:tcW w:w="1670" w:type="dxa"/>
            <w:vAlign w:val="center"/>
          </w:tcPr>
          <w:p w14:paraId="06278007">
            <w:pPr>
              <w:pStyle w:val="75"/>
              <w:spacing w:beforeLines="0" w:afterLines="0" w:line="240" w:lineRule="auto"/>
              <w:rPr>
                <w:rFonts w:ascii="Times New Roman" w:cs="Times New Roman"/>
                <w:snapToGrid w:val="0"/>
                <w:color w:val="auto"/>
                <w:kern w:val="21"/>
                <w:highlight w:val="none"/>
              </w:rPr>
            </w:pPr>
            <w:r>
              <w:rPr>
                <w:rFonts w:hint="eastAsia" w:ascii="Times New Roman" w:cs="Times New Roman"/>
                <w:snapToGrid w:val="0"/>
                <w:color w:val="auto"/>
                <w:kern w:val="21"/>
                <w:highlight w:val="none"/>
              </w:rPr>
              <w:t>/</w:t>
            </w:r>
          </w:p>
        </w:tc>
        <w:tc>
          <w:tcPr>
            <w:tcW w:w="1688" w:type="dxa"/>
            <w:vAlign w:val="center"/>
          </w:tcPr>
          <w:p w14:paraId="52CC2260">
            <w:pPr>
              <w:pStyle w:val="75"/>
              <w:spacing w:beforeLines="0" w:afterLines="0" w:line="240" w:lineRule="auto"/>
              <w:rPr>
                <w:rFonts w:hint="eastAsia" w:ascii="Times New Roman" w:cs="Times New Roman"/>
                <w:snapToGrid w:val="0"/>
                <w:color w:val="auto"/>
                <w:kern w:val="21"/>
                <w:highlight w:val="none"/>
                <w:lang w:eastAsia="zh-CN"/>
              </w:rPr>
            </w:pPr>
            <w:r>
              <w:rPr>
                <w:rFonts w:hint="eastAsia" w:ascii="Times New Roman" w:cs="Times New Roman"/>
                <w:snapToGrid w:val="0"/>
                <w:color w:val="auto"/>
                <w:kern w:val="21"/>
                <w:highlight w:val="none"/>
                <w:lang w:val="en-US" w:eastAsia="zh-CN"/>
              </w:rPr>
              <w:t>6</w:t>
            </w:r>
          </w:p>
        </w:tc>
        <w:tc>
          <w:tcPr>
            <w:tcW w:w="1338" w:type="dxa"/>
            <w:vAlign w:val="center"/>
          </w:tcPr>
          <w:p w14:paraId="1E3639ED">
            <w:pPr>
              <w:pStyle w:val="75"/>
              <w:spacing w:beforeLines="0" w:afterLines="0" w:line="240" w:lineRule="auto"/>
              <w:rPr>
                <w:rFonts w:hint="eastAsia" w:ascii="Times New Roman" w:cs="Times New Roman"/>
                <w:snapToGrid w:val="0"/>
                <w:color w:val="auto"/>
                <w:kern w:val="21"/>
                <w:highlight w:val="none"/>
                <w:lang w:eastAsia="zh-CN"/>
              </w:rPr>
            </w:pPr>
            <w:r>
              <w:rPr>
                <w:rFonts w:hint="eastAsia" w:ascii="Times New Roman" w:cs="Times New Roman"/>
                <w:snapToGrid w:val="0"/>
                <w:color w:val="auto"/>
                <w:kern w:val="21"/>
                <w:highlight w:val="none"/>
              </w:rPr>
              <w:t>+</w:t>
            </w:r>
            <w:r>
              <w:rPr>
                <w:rFonts w:hint="eastAsia" w:ascii="Times New Roman" w:cs="Times New Roman"/>
                <w:snapToGrid w:val="0"/>
                <w:color w:val="auto"/>
                <w:kern w:val="21"/>
                <w:highlight w:val="none"/>
                <w:lang w:val="en-US" w:eastAsia="zh-CN"/>
              </w:rPr>
              <w:t>6</w:t>
            </w:r>
          </w:p>
        </w:tc>
      </w:tr>
      <w:tr w14:paraId="6EF206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1100" w:type="dxa"/>
            <w:vMerge w:val="continue"/>
            <w:vAlign w:val="center"/>
          </w:tcPr>
          <w:p w14:paraId="2CE11870">
            <w:pPr>
              <w:pStyle w:val="75"/>
              <w:spacing w:beforeLines="0" w:afterLines="0" w:line="240" w:lineRule="auto"/>
              <w:rPr>
                <w:rFonts w:ascii="Times New Roman" w:cs="Times New Roman"/>
                <w:snapToGrid w:val="0"/>
                <w:color w:val="auto"/>
                <w:kern w:val="21"/>
                <w:highlight w:val="none"/>
              </w:rPr>
            </w:pPr>
          </w:p>
        </w:tc>
        <w:tc>
          <w:tcPr>
            <w:tcW w:w="1519" w:type="dxa"/>
            <w:vAlign w:val="center"/>
          </w:tcPr>
          <w:p w14:paraId="284CECB6">
            <w:pPr>
              <w:pStyle w:val="75"/>
              <w:spacing w:beforeLines="0" w:afterLines="0" w:line="240" w:lineRule="auto"/>
              <w:rPr>
                <w:rFonts w:ascii="Times New Roman" w:cs="Times New Roman"/>
                <w:snapToGrid w:val="0"/>
                <w:color w:val="auto"/>
                <w:kern w:val="21"/>
                <w:highlight w:val="none"/>
              </w:rPr>
            </w:pPr>
            <w:r>
              <w:rPr>
                <w:rFonts w:hint="eastAsia" w:ascii="Times New Roman" w:cs="Times New Roman"/>
                <w:snapToGrid w:val="0"/>
                <w:color w:val="auto"/>
                <w:kern w:val="21"/>
                <w:highlight w:val="none"/>
              </w:rPr>
              <w:t>除尘器收集的粉尘</w:t>
            </w:r>
          </w:p>
        </w:tc>
        <w:tc>
          <w:tcPr>
            <w:tcW w:w="1424" w:type="dxa"/>
            <w:vAlign w:val="center"/>
          </w:tcPr>
          <w:p w14:paraId="5409243F">
            <w:pPr>
              <w:pStyle w:val="75"/>
              <w:spacing w:beforeLines="0" w:afterLines="0" w:line="240" w:lineRule="auto"/>
              <w:rPr>
                <w:rFonts w:ascii="Times New Roman" w:cs="Times New Roman"/>
                <w:snapToGrid w:val="0"/>
                <w:color w:val="auto"/>
                <w:kern w:val="21"/>
                <w:highlight w:val="none"/>
              </w:rPr>
            </w:pPr>
            <w:r>
              <w:rPr>
                <w:rFonts w:hint="eastAsia" w:ascii="Times New Roman" w:cs="Times New Roman"/>
                <w:snapToGrid w:val="0"/>
                <w:color w:val="auto"/>
                <w:kern w:val="21"/>
                <w:highlight w:val="none"/>
              </w:rPr>
              <w:t>/</w:t>
            </w:r>
          </w:p>
        </w:tc>
        <w:tc>
          <w:tcPr>
            <w:tcW w:w="1204" w:type="dxa"/>
            <w:vAlign w:val="center"/>
          </w:tcPr>
          <w:p w14:paraId="30EE2FA0">
            <w:pPr>
              <w:pStyle w:val="75"/>
              <w:spacing w:beforeLines="0" w:afterLines="0" w:line="240" w:lineRule="auto"/>
              <w:rPr>
                <w:rFonts w:ascii="Times New Roman" w:cs="Times New Roman"/>
                <w:snapToGrid w:val="0"/>
                <w:color w:val="auto"/>
                <w:kern w:val="21"/>
                <w:highlight w:val="none"/>
              </w:rPr>
            </w:pPr>
            <w:r>
              <w:rPr>
                <w:rFonts w:hint="eastAsia" w:ascii="Times New Roman" w:cs="Times New Roman"/>
                <w:snapToGrid w:val="0"/>
                <w:color w:val="auto"/>
                <w:kern w:val="21"/>
                <w:highlight w:val="none"/>
              </w:rPr>
              <w:t>/</w:t>
            </w:r>
          </w:p>
        </w:tc>
        <w:tc>
          <w:tcPr>
            <w:tcW w:w="1603" w:type="dxa"/>
            <w:vAlign w:val="center"/>
          </w:tcPr>
          <w:p w14:paraId="4AF7D5F4">
            <w:pPr>
              <w:pStyle w:val="75"/>
              <w:spacing w:beforeLines="0" w:afterLines="0" w:line="240" w:lineRule="auto"/>
              <w:rPr>
                <w:rFonts w:ascii="Times New Roman" w:cs="Times New Roman"/>
                <w:snapToGrid w:val="0"/>
                <w:color w:val="auto"/>
                <w:kern w:val="21"/>
                <w:highlight w:val="none"/>
              </w:rPr>
            </w:pPr>
            <w:r>
              <w:rPr>
                <w:rFonts w:hint="eastAsia" w:ascii="Times New Roman" w:cs="Times New Roman"/>
                <w:snapToGrid w:val="0"/>
                <w:color w:val="auto"/>
                <w:kern w:val="21"/>
                <w:highlight w:val="none"/>
              </w:rPr>
              <w:t>/</w:t>
            </w:r>
          </w:p>
        </w:tc>
        <w:tc>
          <w:tcPr>
            <w:tcW w:w="1470" w:type="dxa"/>
            <w:vAlign w:val="center"/>
          </w:tcPr>
          <w:p w14:paraId="0620629E">
            <w:pPr>
              <w:pStyle w:val="75"/>
              <w:spacing w:beforeLines="0" w:afterLines="0" w:line="240" w:lineRule="auto"/>
              <w:rPr>
                <w:rFonts w:hint="eastAsia" w:ascii="Times New Roman" w:cs="Times New Roman"/>
                <w:snapToGrid w:val="0"/>
                <w:color w:val="auto"/>
                <w:kern w:val="21"/>
                <w:highlight w:val="none"/>
                <w:lang w:eastAsia="zh-CN"/>
              </w:rPr>
            </w:pPr>
            <w:r>
              <w:rPr>
                <w:rFonts w:hint="eastAsia" w:ascii="Times New Roman" w:cs="Times New Roman"/>
                <w:snapToGrid w:val="0"/>
                <w:color w:val="auto"/>
                <w:kern w:val="21"/>
                <w:highlight w:val="none"/>
                <w:lang w:eastAsia="zh-CN"/>
              </w:rPr>
              <w:t>120.42</w:t>
            </w:r>
          </w:p>
        </w:tc>
        <w:tc>
          <w:tcPr>
            <w:tcW w:w="1670" w:type="dxa"/>
            <w:vAlign w:val="center"/>
          </w:tcPr>
          <w:p w14:paraId="401A377C">
            <w:pPr>
              <w:pStyle w:val="75"/>
              <w:spacing w:beforeLines="0" w:afterLines="0" w:line="240" w:lineRule="auto"/>
              <w:rPr>
                <w:rFonts w:ascii="Times New Roman" w:cs="Times New Roman"/>
                <w:snapToGrid w:val="0"/>
                <w:color w:val="auto"/>
                <w:kern w:val="21"/>
                <w:highlight w:val="none"/>
              </w:rPr>
            </w:pPr>
            <w:r>
              <w:rPr>
                <w:rFonts w:hint="eastAsia" w:ascii="Times New Roman" w:cs="Times New Roman"/>
                <w:snapToGrid w:val="0"/>
                <w:color w:val="auto"/>
                <w:kern w:val="21"/>
                <w:highlight w:val="none"/>
              </w:rPr>
              <w:t>/</w:t>
            </w:r>
          </w:p>
        </w:tc>
        <w:tc>
          <w:tcPr>
            <w:tcW w:w="1688" w:type="dxa"/>
            <w:vAlign w:val="center"/>
          </w:tcPr>
          <w:p w14:paraId="6CFBD3D0">
            <w:pPr>
              <w:pStyle w:val="75"/>
              <w:spacing w:beforeLines="0" w:afterLines="0" w:line="240" w:lineRule="auto"/>
              <w:rPr>
                <w:rFonts w:hint="eastAsia" w:ascii="Times New Roman" w:cs="Times New Roman"/>
                <w:snapToGrid w:val="0"/>
                <w:color w:val="auto"/>
                <w:kern w:val="21"/>
                <w:highlight w:val="none"/>
                <w:lang w:eastAsia="zh-CN"/>
              </w:rPr>
            </w:pPr>
            <w:r>
              <w:rPr>
                <w:rFonts w:hint="eastAsia" w:ascii="Times New Roman" w:cs="Times New Roman"/>
                <w:snapToGrid w:val="0"/>
                <w:color w:val="auto"/>
                <w:kern w:val="21"/>
                <w:highlight w:val="none"/>
                <w:lang w:eastAsia="zh-CN"/>
              </w:rPr>
              <w:t>120.42</w:t>
            </w:r>
          </w:p>
        </w:tc>
        <w:tc>
          <w:tcPr>
            <w:tcW w:w="1338" w:type="dxa"/>
            <w:vAlign w:val="center"/>
          </w:tcPr>
          <w:p w14:paraId="307A6C6F">
            <w:pPr>
              <w:pStyle w:val="75"/>
              <w:spacing w:beforeLines="0" w:afterLines="0" w:line="240" w:lineRule="auto"/>
              <w:rPr>
                <w:rFonts w:hint="eastAsia" w:ascii="Times New Roman" w:cs="Times New Roman"/>
                <w:snapToGrid w:val="0"/>
                <w:color w:val="auto"/>
                <w:kern w:val="21"/>
                <w:highlight w:val="none"/>
                <w:lang w:eastAsia="zh-CN"/>
              </w:rPr>
            </w:pPr>
            <w:r>
              <w:rPr>
                <w:rFonts w:hint="eastAsia" w:ascii="Times New Roman" w:cs="Times New Roman"/>
                <w:snapToGrid w:val="0"/>
                <w:color w:val="auto"/>
                <w:kern w:val="21"/>
                <w:highlight w:val="none"/>
              </w:rPr>
              <w:t>+</w:t>
            </w:r>
            <w:r>
              <w:rPr>
                <w:rFonts w:hint="eastAsia" w:ascii="Times New Roman" w:cs="Times New Roman"/>
                <w:snapToGrid w:val="0"/>
                <w:color w:val="auto"/>
                <w:kern w:val="21"/>
                <w:highlight w:val="none"/>
                <w:lang w:eastAsia="zh-CN"/>
              </w:rPr>
              <w:t>120.42</w:t>
            </w:r>
          </w:p>
        </w:tc>
      </w:tr>
      <w:tr w14:paraId="2E70F8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1100" w:type="dxa"/>
            <w:vMerge w:val="restart"/>
            <w:vAlign w:val="center"/>
          </w:tcPr>
          <w:p w14:paraId="7A58A93C">
            <w:pPr>
              <w:pStyle w:val="75"/>
              <w:spacing w:beforeLines="0" w:afterLines="0" w:line="240" w:lineRule="auto"/>
              <w:rPr>
                <w:rFonts w:hint="eastAsia" w:ascii="Times New Roman" w:cs="Times New Roman"/>
                <w:snapToGrid w:val="0"/>
                <w:color w:val="auto"/>
                <w:kern w:val="21"/>
                <w:highlight w:val="none"/>
                <w:lang w:eastAsia="zh-CN"/>
              </w:rPr>
            </w:pPr>
            <w:r>
              <w:rPr>
                <w:rFonts w:hint="eastAsia" w:ascii="Times New Roman" w:cs="Times New Roman"/>
                <w:snapToGrid w:val="0"/>
                <w:color w:val="auto"/>
                <w:kern w:val="21"/>
                <w:highlight w:val="none"/>
                <w:lang w:eastAsia="zh-CN"/>
              </w:rPr>
              <w:t>危险废物</w:t>
            </w:r>
          </w:p>
        </w:tc>
        <w:tc>
          <w:tcPr>
            <w:tcW w:w="1519" w:type="dxa"/>
            <w:vAlign w:val="center"/>
          </w:tcPr>
          <w:p w14:paraId="6C3BFED8">
            <w:pPr>
              <w:pStyle w:val="75"/>
              <w:spacing w:beforeLines="0" w:afterLines="0" w:line="240" w:lineRule="auto"/>
              <w:rPr>
                <w:rFonts w:hint="eastAsia" w:ascii="Times New Roman" w:cs="Times New Roman"/>
                <w:snapToGrid w:val="0"/>
                <w:color w:val="auto"/>
                <w:kern w:val="21"/>
                <w:highlight w:val="none"/>
              </w:rPr>
            </w:pPr>
            <w:r>
              <w:rPr>
                <w:rFonts w:hint="eastAsia" w:ascii="Times New Roman" w:cs="Times New Roman"/>
                <w:snapToGrid w:val="0"/>
                <w:color w:val="auto"/>
                <w:kern w:val="21"/>
                <w:highlight w:val="none"/>
              </w:rPr>
              <w:t>废机油</w:t>
            </w:r>
          </w:p>
        </w:tc>
        <w:tc>
          <w:tcPr>
            <w:tcW w:w="1424" w:type="dxa"/>
            <w:vAlign w:val="center"/>
          </w:tcPr>
          <w:p w14:paraId="717F50A7">
            <w:pPr>
              <w:pStyle w:val="75"/>
              <w:spacing w:beforeLines="0" w:afterLines="0" w:line="240" w:lineRule="auto"/>
              <w:ind w:firstLine="0" w:firstLineChars="0"/>
              <w:rPr>
                <w:rFonts w:hint="eastAsia" w:ascii="Times New Roman" w:cs="Times New Roman"/>
                <w:snapToGrid w:val="0"/>
                <w:color w:val="auto"/>
                <w:kern w:val="21"/>
                <w:highlight w:val="none"/>
              </w:rPr>
            </w:pPr>
            <w:r>
              <w:rPr>
                <w:rFonts w:ascii="Times New Roman" w:cs="Times New Roman"/>
                <w:snapToGrid w:val="0"/>
                <w:color w:val="auto"/>
                <w:kern w:val="21"/>
                <w:highlight w:val="none"/>
              </w:rPr>
              <w:t>/</w:t>
            </w:r>
          </w:p>
        </w:tc>
        <w:tc>
          <w:tcPr>
            <w:tcW w:w="1204" w:type="dxa"/>
            <w:vAlign w:val="center"/>
          </w:tcPr>
          <w:p w14:paraId="34716D82">
            <w:pPr>
              <w:pStyle w:val="75"/>
              <w:spacing w:beforeLines="0" w:afterLines="0" w:line="240" w:lineRule="auto"/>
              <w:ind w:firstLine="0" w:firstLineChars="0"/>
              <w:rPr>
                <w:rFonts w:hint="eastAsia" w:ascii="Times New Roman" w:cs="Times New Roman"/>
                <w:snapToGrid w:val="0"/>
                <w:color w:val="auto"/>
                <w:kern w:val="21"/>
                <w:highlight w:val="none"/>
              </w:rPr>
            </w:pPr>
            <w:r>
              <w:rPr>
                <w:rFonts w:ascii="Times New Roman" w:cs="Times New Roman"/>
                <w:snapToGrid w:val="0"/>
                <w:color w:val="auto"/>
                <w:kern w:val="21"/>
                <w:highlight w:val="none"/>
              </w:rPr>
              <w:t>/</w:t>
            </w:r>
          </w:p>
        </w:tc>
        <w:tc>
          <w:tcPr>
            <w:tcW w:w="1603" w:type="dxa"/>
            <w:vAlign w:val="center"/>
          </w:tcPr>
          <w:p w14:paraId="52B11BB8">
            <w:pPr>
              <w:pStyle w:val="75"/>
              <w:spacing w:beforeLines="0" w:afterLines="0" w:line="240" w:lineRule="auto"/>
              <w:ind w:firstLine="0" w:firstLineChars="0"/>
              <w:rPr>
                <w:rFonts w:hint="eastAsia" w:ascii="Times New Roman" w:cs="Times New Roman"/>
                <w:snapToGrid w:val="0"/>
                <w:color w:val="auto"/>
                <w:kern w:val="21"/>
                <w:highlight w:val="none"/>
              </w:rPr>
            </w:pPr>
            <w:r>
              <w:rPr>
                <w:rFonts w:ascii="Times New Roman" w:cs="Times New Roman"/>
                <w:snapToGrid w:val="0"/>
                <w:color w:val="auto"/>
                <w:kern w:val="21"/>
                <w:highlight w:val="none"/>
              </w:rPr>
              <w:t>/</w:t>
            </w:r>
          </w:p>
        </w:tc>
        <w:tc>
          <w:tcPr>
            <w:tcW w:w="1470" w:type="dxa"/>
            <w:vAlign w:val="center"/>
          </w:tcPr>
          <w:p w14:paraId="6FC9E437">
            <w:pPr>
              <w:jc w:val="center"/>
              <w:rPr>
                <w:rFonts w:hint="eastAsia" w:ascii="Times New Roman" w:cs="Times New Roman"/>
                <w:snapToGrid w:val="0"/>
                <w:color w:val="auto"/>
                <w:kern w:val="21"/>
                <w:highlight w:val="none"/>
                <w:lang w:eastAsia="zh-CN"/>
              </w:rPr>
            </w:pPr>
            <w:r>
              <w:rPr>
                <w:rFonts w:hint="eastAsia" w:ascii="Times New Roman" w:hAnsi="Times New Roman" w:eastAsia="宋体" w:cs="Times New Roman"/>
                <w:bCs/>
                <w:color w:val="auto"/>
                <w:sz w:val="21"/>
                <w:szCs w:val="21"/>
                <w:highlight w:val="none"/>
                <w:lang w:val="en-US" w:eastAsia="zh-CN"/>
              </w:rPr>
              <w:t>0.</w:t>
            </w:r>
            <w:r>
              <w:rPr>
                <w:rFonts w:hint="eastAsia" w:ascii="Times New Roman" w:hAnsi="Times New Roman" w:cs="Times New Roman"/>
                <w:bCs/>
                <w:color w:val="auto"/>
                <w:sz w:val="21"/>
                <w:szCs w:val="21"/>
                <w:highlight w:val="none"/>
                <w:lang w:val="en-US" w:eastAsia="zh-CN"/>
              </w:rPr>
              <w:t>5</w:t>
            </w:r>
          </w:p>
        </w:tc>
        <w:tc>
          <w:tcPr>
            <w:tcW w:w="1670" w:type="dxa"/>
            <w:vAlign w:val="center"/>
          </w:tcPr>
          <w:p w14:paraId="0BF01821">
            <w:pPr>
              <w:pStyle w:val="75"/>
              <w:spacing w:beforeLines="0" w:afterLines="0" w:line="240" w:lineRule="auto"/>
              <w:ind w:firstLine="0" w:firstLineChars="0"/>
              <w:rPr>
                <w:rFonts w:hint="eastAsia" w:ascii="Times New Roman" w:cs="Times New Roman"/>
                <w:snapToGrid w:val="0"/>
                <w:color w:val="auto"/>
                <w:kern w:val="21"/>
                <w:highlight w:val="none"/>
              </w:rPr>
            </w:pPr>
            <w:r>
              <w:rPr>
                <w:rFonts w:ascii="Times New Roman" w:cs="Times New Roman"/>
                <w:snapToGrid w:val="0"/>
                <w:color w:val="auto"/>
                <w:kern w:val="21"/>
                <w:highlight w:val="none"/>
              </w:rPr>
              <w:t>/</w:t>
            </w:r>
          </w:p>
        </w:tc>
        <w:tc>
          <w:tcPr>
            <w:tcW w:w="1688" w:type="dxa"/>
            <w:vAlign w:val="center"/>
          </w:tcPr>
          <w:p w14:paraId="1A82C0BD">
            <w:pPr>
              <w:jc w:val="center"/>
              <w:rPr>
                <w:rFonts w:hint="eastAsia" w:ascii="Times New Roman" w:cs="Times New Roman"/>
                <w:snapToGrid w:val="0"/>
                <w:color w:val="auto"/>
                <w:kern w:val="21"/>
                <w:highlight w:val="none"/>
                <w:lang w:eastAsia="zh-CN"/>
              </w:rPr>
            </w:pPr>
            <w:r>
              <w:rPr>
                <w:rFonts w:hint="eastAsia" w:ascii="Times New Roman" w:hAnsi="Times New Roman" w:eastAsia="宋体" w:cs="Times New Roman"/>
                <w:bCs/>
                <w:color w:val="auto"/>
                <w:sz w:val="21"/>
                <w:szCs w:val="21"/>
                <w:highlight w:val="none"/>
                <w:lang w:val="en-US" w:eastAsia="zh-CN"/>
              </w:rPr>
              <w:t>0.</w:t>
            </w:r>
            <w:r>
              <w:rPr>
                <w:rFonts w:hint="eastAsia" w:ascii="Times New Roman" w:hAnsi="Times New Roman" w:cs="Times New Roman"/>
                <w:bCs/>
                <w:color w:val="auto"/>
                <w:sz w:val="21"/>
                <w:szCs w:val="21"/>
                <w:highlight w:val="none"/>
                <w:lang w:val="en-US" w:eastAsia="zh-CN"/>
              </w:rPr>
              <w:t>5</w:t>
            </w:r>
          </w:p>
        </w:tc>
        <w:tc>
          <w:tcPr>
            <w:tcW w:w="1338" w:type="dxa"/>
            <w:vAlign w:val="center"/>
          </w:tcPr>
          <w:p w14:paraId="41F57E4C">
            <w:pPr>
              <w:jc w:val="center"/>
              <w:rPr>
                <w:rFonts w:hint="eastAsia" w:ascii="Times New Roman" w:cs="Times New Roman"/>
                <w:snapToGrid w:val="0"/>
                <w:color w:val="auto"/>
                <w:kern w:val="21"/>
                <w:highlight w:val="none"/>
              </w:rPr>
            </w:pPr>
            <w:r>
              <w:rPr>
                <w:rFonts w:hint="eastAsia" w:cs="Times New Roman"/>
                <w:bCs/>
                <w:color w:val="auto"/>
                <w:sz w:val="21"/>
                <w:szCs w:val="21"/>
                <w:highlight w:val="none"/>
                <w:lang w:val="en-US" w:eastAsia="zh-CN"/>
              </w:rPr>
              <w:t>+</w:t>
            </w:r>
            <w:r>
              <w:rPr>
                <w:rFonts w:hint="eastAsia" w:ascii="Times New Roman" w:hAnsi="Times New Roman" w:eastAsia="宋体" w:cs="Times New Roman"/>
                <w:bCs/>
                <w:color w:val="auto"/>
                <w:sz w:val="21"/>
                <w:szCs w:val="21"/>
                <w:highlight w:val="none"/>
                <w:lang w:val="en-US" w:eastAsia="zh-CN"/>
              </w:rPr>
              <w:t>0.</w:t>
            </w:r>
            <w:r>
              <w:rPr>
                <w:rFonts w:hint="eastAsia" w:ascii="Times New Roman" w:hAnsi="Times New Roman" w:cs="Times New Roman"/>
                <w:bCs/>
                <w:color w:val="auto"/>
                <w:sz w:val="21"/>
                <w:szCs w:val="21"/>
                <w:highlight w:val="none"/>
                <w:lang w:val="en-US" w:eastAsia="zh-CN"/>
              </w:rPr>
              <w:t>5</w:t>
            </w:r>
          </w:p>
        </w:tc>
      </w:tr>
      <w:tr w14:paraId="41053A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1100" w:type="dxa"/>
            <w:vMerge w:val="continue"/>
            <w:vAlign w:val="center"/>
          </w:tcPr>
          <w:p w14:paraId="6C22930B">
            <w:pPr>
              <w:pStyle w:val="75"/>
              <w:spacing w:beforeLines="0" w:afterLines="0" w:line="240" w:lineRule="auto"/>
              <w:rPr>
                <w:rFonts w:hint="eastAsia" w:ascii="Times New Roman" w:cs="Times New Roman"/>
                <w:snapToGrid w:val="0"/>
                <w:color w:val="auto"/>
                <w:kern w:val="21"/>
                <w:highlight w:val="none"/>
                <w:lang w:eastAsia="zh-CN"/>
              </w:rPr>
            </w:pPr>
          </w:p>
        </w:tc>
        <w:tc>
          <w:tcPr>
            <w:tcW w:w="1519" w:type="dxa"/>
            <w:vAlign w:val="center"/>
          </w:tcPr>
          <w:p w14:paraId="4BA8A167">
            <w:pPr>
              <w:pStyle w:val="75"/>
              <w:spacing w:beforeLines="0" w:afterLines="0" w:line="240" w:lineRule="auto"/>
              <w:rPr>
                <w:rFonts w:hint="eastAsia" w:ascii="Times New Roman" w:cs="Times New Roman"/>
                <w:snapToGrid w:val="0"/>
                <w:color w:val="auto"/>
                <w:kern w:val="21"/>
                <w:highlight w:val="none"/>
              </w:rPr>
            </w:pPr>
            <w:r>
              <w:rPr>
                <w:rFonts w:hint="eastAsia" w:ascii="Times New Roman" w:cs="Times New Roman"/>
                <w:snapToGrid w:val="0"/>
                <w:color w:val="auto"/>
                <w:kern w:val="21"/>
                <w:highlight w:val="none"/>
                <w:lang w:eastAsia="zh-CN"/>
              </w:rPr>
              <w:t>废液压油</w:t>
            </w:r>
          </w:p>
        </w:tc>
        <w:tc>
          <w:tcPr>
            <w:tcW w:w="1424" w:type="dxa"/>
            <w:vAlign w:val="center"/>
          </w:tcPr>
          <w:p w14:paraId="73D96BE3">
            <w:pPr>
              <w:pStyle w:val="75"/>
              <w:spacing w:beforeLines="0" w:afterLines="0" w:line="240" w:lineRule="auto"/>
              <w:ind w:firstLine="0" w:firstLineChars="0"/>
              <w:rPr>
                <w:rFonts w:hint="eastAsia" w:ascii="Times New Roman" w:cs="Times New Roman"/>
                <w:snapToGrid w:val="0"/>
                <w:color w:val="auto"/>
                <w:kern w:val="21"/>
                <w:highlight w:val="none"/>
              </w:rPr>
            </w:pPr>
            <w:r>
              <w:rPr>
                <w:rFonts w:ascii="Times New Roman" w:cs="Times New Roman"/>
                <w:snapToGrid w:val="0"/>
                <w:color w:val="auto"/>
                <w:kern w:val="21"/>
                <w:highlight w:val="none"/>
              </w:rPr>
              <w:t>/</w:t>
            </w:r>
          </w:p>
        </w:tc>
        <w:tc>
          <w:tcPr>
            <w:tcW w:w="1204" w:type="dxa"/>
            <w:vAlign w:val="center"/>
          </w:tcPr>
          <w:p w14:paraId="3F87B76E">
            <w:pPr>
              <w:pStyle w:val="75"/>
              <w:spacing w:beforeLines="0" w:afterLines="0" w:line="240" w:lineRule="auto"/>
              <w:ind w:firstLine="0" w:firstLineChars="0"/>
              <w:rPr>
                <w:rFonts w:hint="eastAsia" w:ascii="Times New Roman" w:cs="Times New Roman"/>
                <w:snapToGrid w:val="0"/>
                <w:color w:val="auto"/>
                <w:kern w:val="21"/>
                <w:highlight w:val="none"/>
              </w:rPr>
            </w:pPr>
            <w:r>
              <w:rPr>
                <w:rFonts w:ascii="Times New Roman" w:cs="Times New Roman"/>
                <w:snapToGrid w:val="0"/>
                <w:color w:val="auto"/>
                <w:kern w:val="21"/>
                <w:highlight w:val="none"/>
              </w:rPr>
              <w:t>/</w:t>
            </w:r>
          </w:p>
        </w:tc>
        <w:tc>
          <w:tcPr>
            <w:tcW w:w="1603" w:type="dxa"/>
            <w:vAlign w:val="center"/>
          </w:tcPr>
          <w:p w14:paraId="398B953F">
            <w:pPr>
              <w:pStyle w:val="75"/>
              <w:spacing w:beforeLines="0" w:afterLines="0" w:line="240" w:lineRule="auto"/>
              <w:ind w:firstLine="0" w:firstLineChars="0"/>
              <w:rPr>
                <w:rFonts w:hint="eastAsia" w:ascii="Times New Roman" w:cs="Times New Roman"/>
                <w:snapToGrid w:val="0"/>
                <w:color w:val="auto"/>
                <w:kern w:val="21"/>
                <w:highlight w:val="none"/>
              </w:rPr>
            </w:pPr>
            <w:r>
              <w:rPr>
                <w:rFonts w:ascii="Times New Roman" w:cs="Times New Roman"/>
                <w:snapToGrid w:val="0"/>
                <w:color w:val="auto"/>
                <w:kern w:val="21"/>
                <w:highlight w:val="none"/>
              </w:rPr>
              <w:t>/</w:t>
            </w:r>
          </w:p>
        </w:tc>
        <w:tc>
          <w:tcPr>
            <w:tcW w:w="1470" w:type="dxa"/>
            <w:vAlign w:val="center"/>
          </w:tcPr>
          <w:p w14:paraId="641F506F">
            <w:pPr>
              <w:jc w:val="center"/>
              <w:rPr>
                <w:rFonts w:hint="eastAsia" w:ascii="Times New Roman" w:cs="Times New Roman"/>
                <w:snapToGrid w:val="0"/>
                <w:color w:val="auto"/>
                <w:kern w:val="21"/>
                <w:highlight w:val="none"/>
                <w:lang w:eastAsia="zh-CN"/>
              </w:rPr>
            </w:pPr>
            <w:r>
              <w:rPr>
                <w:rFonts w:hint="eastAsia" w:ascii="Times New Roman" w:hAnsi="Times New Roman" w:eastAsia="宋体" w:cs="Times New Roman"/>
                <w:bCs/>
                <w:color w:val="auto"/>
                <w:sz w:val="21"/>
                <w:szCs w:val="21"/>
                <w:highlight w:val="none"/>
                <w:lang w:val="en-US" w:eastAsia="zh-CN"/>
              </w:rPr>
              <w:t>0.</w:t>
            </w:r>
            <w:r>
              <w:rPr>
                <w:rFonts w:hint="eastAsia" w:ascii="Times New Roman" w:hAnsi="Times New Roman" w:cs="Times New Roman"/>
                <w:bCs/>
                <w:color w:val="auto"/>
                <w:sz w:val="21"/>
                <w:szCs w:val="21"/>
                <w:highlight w:val="none"/>
                <w:lang w:val="en-US" w:eastAsia="zh-CN"/>
              </w:rPr>
              <w:t>5</w:t>
            </w:r>
          </w:p>
        </w:tc>
        <w:tc>
          <w:tcPr>
            <w:tcW w:w="1670" w:type="dxa"/>
            <w:vAlign w:val="center"/>
          </w:tcPr>
          <w:p w14:paraId="27D267AA">
            <w:pPr>
              <w:pStyle w:val="75"/>
              <w:spacing w:beforeLines="0" w:afterLines="0" w:line="240" w:lineRule="auto"/>
              <w:ind w:firstLine="0" w:firstLineChars="0"/>
              <w:rPr>
                <w:rFonts w:hint="eastAsia" w:ascii="Times New Roman" w:cs="Times New Roman"/>
                <w:snapToGrid w:val="0"/>
                <w:color w:val="auto"/>
                <w:kern w:val="21"/>
                <w:highlight w:val="none"/>
              </w:rPr>
            </w:pPr>
            <w:r>
              <w:rPr>
                <w:rFonts w:ascii="Times New Roman" w:cs="Times New Roman"/>
                <w:snapToGrid w:val="0"/>
                <w:color w:val="auto"/>
                <w:kern w:val="21"/>
                <w:highlight w:val="none"/>
              </w:rPr>
              <w:t>/</w:t>
            </w:r>
          </w:p>
        </w:tc>
        <w:tc>
          <w:tcPr>
            <w:tcW w:w="1688" w:type="dxa"/>
            <w:vAlign w:val="center"/>
          </w:tcPr>
          <w:p w14:paraId="76DF75B9">
            <w:pPr>
              <w:jc w:val="center"/>
              <w:rPr>
                <w:rFonts w:hint="eastAsia" w:ascii="Times New Roman" w:cs="Times New Roman"/>
                <w:snapToGrid w:val="0"/>
                <w:color w:val="auto"/>
                <w:kern w:val="21"/>
                <w:highlight w:val="none"/>
                <w:lang w:eastAsia="zh-CN"/>
              </w:rPr>
            </w:pPr>
            <w:r>
              <w:rPr>
                <w:rFonts w:hint="eastAsia" w:ascii="Times New Roman" w:hAnsi="Times New Roman" w:eastAsia="宋体" w:cs="Times New Roman"/>
                <w:bCs/>
                <w:color w:val="auto"/>
                <w:sz w:val="21"/>
                <w:szCs w:val="21"/>
                <w:highlight w:val="none"/>
                <w:lang w:val="en-US" w:eastAsia="zh-CN"/>
              </w:rPr>
              <w:t>0.</w:t>
            </w:r>
            <w:r>
              <w:rPr>
                <w:rFonts w:hint="eastAsia" w:ascii="Times New Roman" w:hAnsi="Times New Roman" w:cs="Times New Roman"/>
                <w:bCs/>
                <w:color w:val="auto"/>
                <w:sz w:val="21"/>
                <w:szCs w:val="21"/>
                <w:highlight w:val="none"/>
                <w:lang w:val="en-US" w:eastAsia="zh-CN"/>
              </w:rPr>
              <w:t>5</w:t>
            </w:r>
          </w:p>
        </w:tc>
        <w:tc>
          <w:tcPr>
            <w:tcW w:w="1338" w:type="dxa"/>
            <w:vAlign w:val="center"/>
          </w:tcPr>
          <w:p w14:paraId="1E4C1197">
            <w:pPr>
              <w:jc w:val="center"/>
              <w:rPr>
                <w:rFonts w:hint="eastAsia" w:ascii="Times New Roman" w:cs="Times New Roman"/>
                <w:snapToGrid w:val="0"/>
                <w:color w:val="auto"/>
                <w:kern w:val="21"/>
                <w:highlight w:val="none"/>
              </w:rPr>
            </w:pPr>
            <w:r>
              <w:rPr>
                <w:rFonts w:hint="eastAsia" w:cs="Times New Roman"/>
                <w:bCs/>
                <w:color w:val="auto"/>
                <w:sz w:val="21"/>
                <w:szCs w:val="21"/>
                <w:highlight w:val="none"/>
                <w:lang w:val="en-US" w:eastAsia="zh-CN"/>
              </w:rPr>
              <w:t>+</w:t>
            </w:r>
            <w:r>
              <w:rPr>
                <w:rFonts w:hint="eastAsia" w:ascii="Times New Roman" w:hAnsi="Times New Roman" w:eastAsia="宋体" w:cs="Times New Roman"/>
                <w:bCs/>
                <w:color w:val="auto"/>
                <w:sz w:val="21"/>
                <w:szCs w:val="21"/>
                <w:highlight w:val="none"/>
                <w:lang w:val="en-US" w:eastAsia="zh-CN"/>
              </w:rPr>
              <w:t>0.</w:t>
            </w:r>
            <w:r>
              <w:rPr>
                <w:rFonts w:hint="eastAsia" w:ascii="Times New Roman" w:hAnsi="Times New Roman" w:cs="Times New Roman"/>
                <w:bCs/>
                <w:color w:val="auto"/>
                <w:sz w:val="21"/>
                <w:szCs w:val="21"/>
                <w:highlight w:val="none"/>
                <w:lang w:val="en-US" w:eastAsia="zh-CN"/>
              </w:rPr>
              <w:t>5</w:t>
            </w:r>
          </w:p>
        </w:tc>
      </w:tr>
      <w:tr w14:paraId="5D1457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1100" w:type="dxa"/>
            <w:vMerge w:val="continue"/>
            <w:vAlign w:val="center"/>
          </w:tcPr>
          <w:p w14:paraId="0370D438">
            <w:pPr>
              <w:pStyle w:val="75"/>
              <w:spacing w:beforeLines="0" w:afterLines="0" w:line="240" w:lineRule="auto"/>
              <w:rPr>
                <w:rFonts w:hint="eastAsia" w:ascii="Times New Roman"/>
                <w:snapToGrid w:val="0"/>
                <w:color w:val="auto"/>
                <w:kern w:val="21"/>
                <w:highlight w:val="none"/>
                <w:lang w:eastAsia="zh-CN"/>
              </w:rPr>
            </w:pPr>
          </w:p>
        </w:tc>
        <w:tc>
          <w:tcPr>
            <w:tcW w:w="1519" w:type="dxa"/>
            <w:vAlign w:val="center"/>
          </w:tcPr>
          <w:p w14:paraId="43EEB671">
            <w:pPr>
              <w:pStyle w:val="75"/>
              <w:spacing w:beforeLines="0" w:afterLines="0" w:line="240" w:lineRule="auto"/>
              <w:rPr>
                <w:rFonts w:hint="eastAsia" w:ascii="Times New Roman" w:cs="Times New Roman"/>
                <w:snapToGrid w:val="0"/>
                <w:color w:val="auto"/>
                <w:kern w:val="21"/>
                <w:highlight w:val="none"/>
              </w:rPr>
            </w:pPr>
            <w:r>
              <w:rPr>
                <w:rFonts w:hint="eastAsia" w:ascii="Times New Roman" w:cs="Times New Roman"/>
                <w:snapToGrid w:val="0"/>
                <w:color w:val="auto"/>
                <w:kern w:val="21"/>
                <w:highlight w:val="none"/>
              </w:rPr>
              <w:t>废油桶</w:t>
            </w:r>
          </w:p>
        </w:tc>
        <w:tc>
          <w:tcPr>
            <w:tcW w:w="1424" w:type="dxa"/>
            <w:vAlign w:val="center"/>
          </w:tcPr>
          <w:p w14:paraId="52D51130">
            <w:pPr>
              <w:pStyle w:val="75"/>
              <w:spacing w:beforeLines="0" w:afterLines="0" w:line="240" w:lineRule="auto"/>
              <w:rPr>
                <w:rFonts w:hint="eastAsia" w:ascii="Times New Roman" w:cs="Times New Roman"/>
                <w:snapToGrid w:val="0"/>
                <w:color w:val="auto"/>
                <w:kern w:val="21"/>
                <w:highlight w:val="none"/>
              </w:rPr>
            </w:pPr>
            <w:r>
              <w:rPr>
                <w:rFonts w:hint="eastAsia" w:ascii="Times New Roman" w:cs="Times New Roman"/>
                <w:snapToGrid w:val="0"/>
                <w:color w:val="auto"/>
                <w:kern w:val="21"/>
                <w:highlight w:val="none"/>
              </w:rPr>
              <w:t>/</w:t>
            </w:r>
          </w:p>
        </w:tc>
        <w:tc>
          <w:tcPr>
            <w:tcW w:w="1204" w:type="dxa"/>
            <w:vAlign w:val="center"/>
          </w:tcPr>
          <w:p w14:paraId="73441901">
            <w:pPr>
              <w:pStyle w:val="75"/>
              <w:spacing w:beforeLines="0" w:afterLines="0" w:line="240" w:lineRule="auto"/>
              <w:rPr>
                <w:rFonts w:hint="eastAsia" w:ascii="Times New Roman" w:cs="Times New Roman"/>
                <w:snapToGrid w:val="0"/>
                <w:color w:val="auto"/>
                <w:kern w:val="21"/>
                <w:highlight w:val="none"/>
              </w:rPr>
            </w:pPr>
            <w:r>
              <w:rPr>
                <w:rFonts w:hint="eastAsia" w:ascii="Times New Roman" w:cs="Times New Roman"/>
                <w:snapToGrid w:val="0"/>
                <w:color w:val="auto"/>
                <w:kern w:val="21"/>
                <w:highlight w:val="none"/>
              </w:rPr>
              <w:t>/</w:t>
            </w:r>
          </w:p>
        </w:tc>
        <w:tc>
          <w:tcPr>
            <w:tcW w:w="1603" w:type="dxa"/>
            <w:vAlign w:val="center"/>
          </w:tcPr>
          <w:p w14:paraId="337A0BD7">
            <w:pPr>
              <w:pStyle w:val="75"/>
              <w:spacing w:beforeLines="0" w:afterLines="0" w:line="240" w:lineRule="auto"/>
              <w:rPr>
                <w:rFonts w:hint="eastAsia" w:ascii="Times New Roman" w:cs="Times New Roman"/>
                <w:snapToGrid w:val="0"/>
                <w:color w:val="auto"/>
                <w:kern w:val="21"/>
                <w:highlight w:val="none"/>
              </w:rPr>
            </w:pPr>
            <w:r>
              <w:rPr>
                <w:rFonts w:hint="eastAsia" w:ascii="Times New Roman" w:cs="Times New Roman"/>
                <w:snapToGrid w:val="0"/>
                <w:color w:val="auto"/>
                <w:kern w:val="21"/>
                <w:highlight w:val="none"/>
              </w:rPr>
              <w:t>/</w:t>
            </w:r>
          </w:p>
        </w:tc>
        <w:tc>
          <w:tcPr>
            <w:tcW w:w="1470" w:type="dxa"/>
            <w:vAlign w:val="center"/>
          </w:tcPr>
          <w:p w14:paraId="070172FD">
            <w:pPr>
              <w:pStyle w:val="75"/>
              <w:spacing w:beforeLines="0" w:afterLines="0" w:line="240" w:lineRule="auto"/>
              <w:rPr>
                <w:rFonts w:hint="eastAsia" w:ascii="Times New Roman" w:cs="Times New Roman"/>
                <w:snapToGrid w:val="0"/>
                <w:color w:val="auto"/>
                <w:kern w:val="21"/>
                <w:highlight w:val="none"/>
                <w:lang w:eastAsia="zh-CN"/>
              </w:rPr>
            </w:pPr>
            <w:r>
              <w:rPr>
                <w:rFonts w:hint="eastAsia" w:ascii="Times New Roman" w:cs="Times New Roman"/>
                <w:snapToGrid w:val="0"/>
                <w:color w:val="auto"/>
                <w:kern w:val="21"/>
                <w:highlight w:val="none"/>
                <w:lang w:val="en-US" w:eastAsia="zh-CN"/>
              </w:rPr>
              <w:t>0.2</w:t>
            </w:r>
          </w:p>
        </w:tc>
        <w:tc>
          <w:tcPr>
            <w:tcW w:w="1670" w:type="dxa"/>
            <w:vAlign w:val="center"/>
          </w:tcPr>
          <w:p w14:paraId="521AE763">
            <w:pPr>
              <w:pStyle w:val="75"/>
              <w:spacing w:beforeLines="0" w:afterLines="0" w:line="240" w:lineRule="auto"/>
              <w:rPr>
                <w:rFonts w:hint="eastAsia" w:ascii="Times New Roman" w:cs="Times New Roman"/>
                <w:snapToGrid w:val="0"/>
                <w:color w:val="auto"/>
                <w:kern w:val="21"/>
                <w:highlight w:val="none"/>
              </w:rPr>
            </w:pPr>
            <w:r>
              <w:rPr>
                <w:rFonts w:hint="eastAsia" w:ascii="Times New Roman" w:cs="Times New Roman"/>
                <w:snapToGrid w:val="0"/>
                <w:color w:val="auto"/>
                <w:kern w:val="21"/>
                <w:highlight w:val="none"/>
              </w:rPr>
              <w:t>/</w:t>
            </w:r>
          </w:p>
        </w:tc>
        <w:tc>
          <w:tcPr>
            <w:tcW w:w="1688" w:type="dxa"/>
            <w:vAlign w:val="center"/>
          </w:tcPr>
          <w:p w14:paraId="39911DE5">
            <w:pPr>
              <w:pStyle w:val="75"/>
              <w:spacing w:beforeLines="0" w:afterLines="0" w:line="240" w:lineRule="auto"/>
              <w:rPr>
                <w:rFonts w:hint="eastAsia" w:ascii="Times New Roman" w:cs="Times New Roman"/>
                <w:snapToGrid w:val="0"/>
                <w:color w:val="auto"/>
                <w:kern w:val="21"/>
                <w:highlight w:val="none"/>
                <w:lang w:eastAsia="zh-CN"/>
              </w:rPr>
            </w:pPr>
            <w:r>
              <w:rPr>
                <w:rFonts w:hint="eastAsia" w:ascii="Times New Roman" w:cs="Times New Roman"/>
                <w:snapToGrid w:val="0"/>
                <w:color w:val="auto"/>
                <w:kern w:val="21"/>
                <w:highlight w:val="none"/>
                <w:lang w:val="en-US" w:eastAsia="zh-CN"/>
              </w:rPr>
              <w:t>0.2</w:t>
            </w:r>
          </w:p>
        </w:tc>
        <w:tc>
          <w:tcPr>
            <w:tcW w:w="1338" w:type="dxa"/>
            <w:vAlign w:val="center"/>
          </w:tcPr>
          <w:p w14:paraId="35AEFC74">
            <w:pPr>
              <w:pStyle w:val="75"/>
              <w:spacing w:beforeLines="0" w:afterLines="0" w:line="240" w:lineRule="auto"/>
              <w:rPr>
                <w:rFonts w:hint="eastAsia" w:ascii="Times New Roman" w:cs="Times New Roman"/>
                <w:snapToGrid w:val="0"/>
                <w:color w:val="auto"/>
                <w:kern w:val="21"/>
                <w:highlight w:val="none"/>
              </w:rPr>
            </w:pPr>
            <w:r>
              <w:rPr>
                <w:rFonts w:hint="eastAsia" w:ascii="Times New Roman" w:cs="Times New Roman"/>
                <w:snapToGrid w:val="0"/>
                <w:color w:val="auto"/>
                <w:kern w:val="21"/>
                <w:highlight w:val="none"/>
                <w:lang w:val="en-US" w:eastAsia="zh-CN"/>
              </w:rPr>
              <w:t>+0.2</w:t>
            </w:r>
          </w:p>
        </w:tc>
      </w:tr>
      <w:tr w14:paraId="1027BE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1100" w:type="dxa"/>
            <w:vMerge w:val="continue"/>
            <w:vAlign w:val="center"/>
          </w:tcPr>
          <w:p w14:paraId="71BD5A5E">
            <w:pPr>
              <w:pStyle w:val="75"/>
              <w:spacing w:beforeLines="0" w:afterLines="0" w:line="240" w:lineRule="auto"/>
              <w:rPr>
                <w:rFonts w:hint="eastAsia" w:ascii="Times New Roman"/>
                <w:snapToGrid w:val="0"/>
                <w:color w:val="auto"/>
                <w:kern w:val="21"/>
                <w:highlight w:val="none"/>
                <w:lang w:eastAsia="zh-CN"/>
              </w:rPr>
            </w:pPr>
          </w:p>
        </w:tc>
        <w:tc>
          <w:tcPr>
            <w:tcW w:w="1519" w:type="dxa"/>
            <w:vAlign w:val="center"/>
          </w:tcPr>
          <w:p w14:paraId="26163497">
            <w:pPr>
              <w:pStyle w:val="75"/>
              <w:spacing w:beforeLines="0" w:afterLines="0" w:line="240" w:lineRule="auto"/>
              <w:rPr>
                <w:rFonts w:hint="eastAsia" w:ascii="Times New Roman" w:cs="Times New Roman"/>
                <w:snapToGrid w:val="0"/>
                <w:color w:val="auto"/>
                <w:kern w:val="21"/>
                <w:highlight w:val="none"/>
              </w:rPr>
            </w:pPr>
            <w:r>
              <w:rPr>
                <w:rFonts w:hint="eastAsia" w:ascii="Times New Roman" w:cs="Times New Roman"/>
                <w:snapToGrid w:val="0"/>
                <w:color w:val="auto"/>
                <w:kern w:val="21"/>
                <w:highlight w:val="none"/>
              </w:rPr>
              <w:t>废含油抹布、劳保用品</w:t>
            </w:r>
          </w:p>
        </w:tc>
        <w:tc>
          <w:tcPr>
            <w:tcW w:w="1424" w:type="dxa"/>
            <w:vAlign w:val="center"/>
          </w:tcPr>
          <w:p w14:paraId="203087E0">
            <w:pPr>
              <w:pStyle w:val="75"/>
              <w:spacing w:beforeLines="0" w:afterLines="0" w:line="240" w:lineRule="auto"/>
              <w:rPr>
                <w:rFonts w:hint="eastAsia" w:ascii="Times New Roman" w:cs="Times New Roman"/>
                <w:snapToGrid w:val="0"/>
                <w:color w:val="auto"/>
                <w:kern w:val="21"/>
                <w:highlight w:val="none"/>
              </w:rPr>
            </w:pPr>
            <w:r>
              <w:rPr>
                <w:rFonts w:hint="eastAsia" w:ascii="Times New Roman" w:cs="Times New Roman"/>
                <w:snapToGrid w:val="0"/>
                <w:color w:val="auto"/>
                <w:kern w:val="21"/>
                <w:highlight w:val="none"/>
              </w:rPr>
              <w:t>/</w:t>
            </w:r>
          </w:p>
        </w:tc>
        <w:tc>
          <w:tcPr>
            <w:tcW w:w="1204" w:type="dxa"/>
            <w:vAlign w:val="center"/>
          </w:tcPr>
          <w:p w14:paraId="1F81CA28">
            <w:pPr>
              <w:pStyle w:val="75"/>
              <w:spacing w:beforeLines="0" w:afterLines="0" w:line="240" w:lineRule="auto"/>
              <w:rPr>
                <w:rFonts w:hint="eastAsia" w:ascii="Times New Roman" w:cs="Times New Roman"/>
                <w:snapToGrid w:val="0"/>
                <w:color w:val="auto"/>
                <w:kern w:val="21"/>
                <w:highlight w:val="none"/>
              </w:rPr>
            </w:pPr>
            <w:r>
              <w:rPr>
                <w:rFonts w:hint="eastAsia" w:ascii="Times New Roman" w:cs="Times New Roman"/>
                <w:snapToGrid w:val="0"/>
                <w:color w:val="auto"/>
                <w:kern w:val="21"/>
                <w:highlight w:val="none"/>
              </w:rPr>
              <w:t>/</w:t>
            </w:r>
          </w:p>
        </w:tc>
        <w:tc>
          <w:tcPr>
            <w:tcW w:w="1603" w:type="dxa"/>
            <w:vAlign w:val="center"/>
          </w:tcPr>
          <w:p w14:paraId="324D9898">
            <w:pPr>
              <w:pStyle w:val="75"/>
              <w:spacing w:beforeLines="0" w:afterLines="0" w:line="240" w:lineRule="auto"/>
              <w:rPr>
                <w:rFonts w:hint="eastAsia" w:ascii="Times New Roman" w:cs="Times New Roman"/>
                <w:snapToGrid w:val="0"/>
                <w:color w:val="auto"/>
                <w:kern w:val="21"/>
                <w:highlight w:val="none"/>
              </w:rPr>
            </w:pPr>
            <w:r>
              <w:rPr>
                <w:rFonts w:hint="eastAsia" w:ascii="Times New Roman" w:cs="Times New Roman"/>
                <w:snapToGrid w:val="0"/>
                <w:color w:val="auto"/>
                <w:kern w:val="21"/>
                <w:highlight w:val="none"/>
              </w:rPr>
              <w:t>/</w:t>
            </w:r>
          </w:p>
        </w:tc>
        <w:tc>
          <w:tcPr>
            <w:tcW w:w="1470" w:type="dxa"/>
            <w:vAlign w:val="center"/>
          </w:tcPr>
          <w:p w14:paraId="03D0FC22">
            <w:pPr>
              <w:pStyle w:val="75"/>
              <w:spacing w:beforeLines="0" w:afterLines="0" w:line="240" w:lineRule="auto"/>
              <w:rPr>
                <w:rFonts w:hint="eastAsia" w:ascii="Times New Roman" w:cs="Times New Roman"/>
                <w:snapToGrid w:val="0"/>
                <w:color w:val="auto"/>
                <w:kern w:val="21"/>
                <w:highlight w:val="none"/>
                <w:lang w:eastAsia="zh-CN"/>
              </w:rPr>
            </w:pPr>
            <w:r>
              <w:rPr>
                <w:rFonts w:hint="eastAsia" w:ascii="Times New Roman" w:cs="Times New Roman"/>
                <w:snapToGrid w:val="0"/>
                <w:color w:val="auto"/>
                <w:kern w:val="21"/>
                <w:highlight w:val="none"/>
                <w:lang w:val="en-US" w:eastAsia="zh-CN"/>
              </w:rPr>
              <w:t>0.2</w:t>
            </w:r>
          </w:p>
        </w:tc>
        <w:tc>
          <w:tcPr>
            <w:tcW w:w="1670" w:type="dxa"/>
            <w:vAlign w:val="center"/>
          </w:tcPr>
          <w:p w14:paraId="7658A457">
            <w:pPr>
              <w:pStyle w:val="75"/>
              <w:spacing w:beforeLines="0" w:afterLines="0" w:line="240" w:lineRule="auto"/>
              <w:rPr>
                <w:rFonts w:hint="eastAsia" w:ascii="Times New Roman" w:cs="Times New Roman"/>
                <w:snapToGrid w:val="0"/>
                <w:color w:val="auto"/>
                <w:kern w:val="21"/>
                <w:highlight w:val="none"/>
              </w:rPr>
            </w:pPr>
            <w:r>
              <w:rPr>
                <w:rFonts w:hint="eastAsia" w:ascii="Times New Roman" w:cs="Times New Roman"/>
                <w:snapToGrid w:val="0"/>
                <w:color w:val="auto"/>
                <w:kern w:val="21"/>
                <w:highlight w:val="none"/>
              </w:rPr>
              <w:t>/</w:t>
            </w:r>
          </w:p>
        </w:tc>
        <w:tc>
          <w:tcPr>
            <w:tcW w:w="1688" w:type="dxa"/>
            <w:vAlign w:val="center"/>
          </w:tcPr>
          <w:p w14:paraId="0E9C709C">
            <w:pPr>
              <w:pStyle w:val="75"/>
              <w:spacing w:beforeLines="0" w:afterLines="0" w:line="240" w:lineRule="auto"/>
              <w:rPr>
                <w:rFonts w:hint="eastAsia" w:ascii="Times New Roman" w:cs="Times New Roman"/>
                <w:snapToGrid w:val="0"/>
                <w:color w:val="auto"/>
                <w:kern w:val="21"/>
                <w:highlight w:val="none"/>
                <w:lang w:eastAsia="zh-CN"/>
              </w:rPr>
            </w:pPr>
            <w:r>
              <w:rPr>
                <w:rFonts w:hint="eastAsia" w:ascii="Times New Roman" w:cs="Times New Roman"/>
                <w:snapToGrid w:val="0"/>
                <w:color w:val="auto"/>
                <w:kern w:val="21"/>
                <w:highlight w:val="none"/>
                <w:lang w:val="en-US" w:eastAsia="zh-CN"/>
              </w:rPr>
              <w:t>0.2</w:t>
            </w:r>
          </w:p>
        </w:tc>
        <w:tc>
          <w:tcPr>
            <w:tcW w:w="1338" w:type="dxa"/>
            <w:vAlign w:val="center"/>
          </w:tcPr>
          <w:p w14:paraId="087424E2">
            <w:pPr>
              <w:pStyle w:val="75"/>
              <w:spacing w:beforeLines="0" w:afterLines="0" w:line="240" w:lineRule="auto"/>
              <w:rPr>
                <w:rFonts w:hint="eastAsia" w:ascii="Times New Roman" w:cs="Times New Roman"/>
                <w:snapToGrid w:val="0"/>
                <w:color w:val="auto"/>
                <w:kern w:val="21"/>
                <w:highlight w:val="none"/>
              </w:rPr>
            </w:pPr>
            <w:r>
              <w:rPr>
                <w:rFonts w:hint="eastAsia" w:ascii="Times New Roman" w:cs="Times New Roman"/>
                <w:snapToGrid w:val="0"/>
                <w:color w:val="auto"/>
                <w:kern w:val="21"/>
                <w:highlight w:val="none"/>
                <w:lang w:val="en-US" w:eastAsia="zh-CN"/>
              </w:rPr>
              <w:t>+0.2</w:t>
            </w:r>
          </w:p>
        </w:tc>
      </w:tr>
    </w:tbl>
    <w:p w14:paraId="3229C8BF">
      <w:pPr>
        <w:pStyle w:val="75"/>
        <w:spacing w:before="312" w:beforeLines="100" w:after="0" w:afterLines="0" w:line="240" w:lineRule="auto"/>
        <w:jc w:val="left"/>
        <w:rPr>
          <w:color w:val="auto"/>
          <w:highlight w:val="none"/>
        </w:rPr>
      </w:pPr>
      <w:r>
        <w:rPr>
          <w:rFonts w:hint="eastAsia" w:hAnsi="宋体"/>
          <w:snapToGrid w:val="0"/>
          <w:color w:val="auto"/>
          <w:kern w:val="21"/>
          <w:highlight w:val="none"/>
        </w:rPr>
        <w:t>注：</w:t>
      </w:r>
      <w:r>
        <w:rPr>
          <w:rFonts w:hAnsi="宋体"/>
          <w:snapToGrid w:val="0"/>
          <w:color w:val="auto"/>
          <w:spacing w:val="-16"/>
          <w:kern w:val="21"/>
          <w:highlight w:val="none"/>
        </w:rPr>
        <w:fldChar w:fldCharType="begin"/>
      </w:r>
      <w:r>
        <w:rPr>
          <w:rFonts w:hAnsi="宋体"/>
          <w:snapToGrid w:val="0"/>
          <w:color w:val="auto"/>
          <w:spacing w:val="-16"/>
          <w:kern w:val="21"/>
          <w:highlight w:val="none"/>
        </w:rPr>
        <w:instrText xml:space="preserve"> = 6 \* GB3 \* MERGEFORMAT </w:instrText>
      </w:r>
      <w:r>
        <w:rPr>
          <w:rFonts w:hAnsi="宋体"/>
          <w:snapToGrid w:val="0"/>
          <w:color w:val="auto"/>
          <w:spacing w:val="-16"/>
          <w:kern w:val="21"/>
          <w:highlight w:val="none"/>
        </w:rPr>
        <w:fldChar w:fldCharType="separate"/>
      </w:r>
      <w:r>
        <w:rPr>
          <w:rFonts w:hint="eastAsia" w:hAnsi="宋体"/>
          <w:color w:val="auto"/>
          <w:highlight w:val="none"/>
        </w:rPr>
        <w:t>⑥</w:t>
      </w:r>
      <w:r>
        <w:rPr>
          <w:rFonts w:hAnsi="宋体"/>
          <w:snapToGrid w:val="0"/>
          <w:color w:val="auto"/>
          <w:spacing w:val="-16"/>
          <w:kern w:val="21"/>
          <w:highlight w:val="none"/>
        </w:rPr>
        <w:fldChar w:fldCharType="end"/>
      </w:r>
      <w:r>
        <w:rPr>
          <w:rFonts w:hAnsi="宋体"/>
          <w:snapToGrid w:val="0"/>
          <w:color w:val="auto"/>
          <w:spacing w:val="-16"/>
          <w:kern w:val="21"/>
          <w:highlight w:val="none"/>
        </w:rPr>
        <w:t>=</w:t>
      </w:r>
      <w:r>
        <w:rPr>
          <w:rFonts w:hAnsi="宋体"/>
          <w:snapToGrid w:val="0"/>
          <w:color w:val="auto"/>
          <w:spacing w:val="-6"/>
          <w:kern w:val="21"/>
          <w:highlight w:val="none"/>
        </w:rPr>
        <w:fldChar w:fldCharType="begin"/>
      </w:r>
      <w:r>
        <w:rPr>
          <w:rFonts w:hAnsi="宋体"/>
          <w:snapToGrid w:val="0"/>
          <w:color w:val="auto"/>
          <w:spacing w:val="-6"/>
          <w:kern w:val="21"/>
          <w:highlight w:val="none"/>
        </w:rPr>
        <w:instrText xml:space="preserve"> = 1 \* GB3 \* MERGEFORMAT </w:instrText>
      </w:r>
      <w:r>
        <w:rPr>
          <w:rFonts w:hAnsi="宋体"/>
          <w:snapToGrid w:val="0"/>
          <w:color w:val="auto"/>
          <w:spacing w:val="-6"/>
          <w:kern w:val="21"/>
          <w:highlight w:val="none"/>
        </w:rPr>
        <w:fldChar w:fldCharType="separate"/>
      </w:r>
      <w:r>
        <w:rPr>
          <w:rFonts w:hint="eastAsia" w:hAnsi="宋体"/>
          <w:color w:val="auto"/>
          <w:highlight w:val="none"/>
        </w:rPr>
        <w:t>①</w:t>
      </w:r>
      <w:r>
        <w:rPr>
          <w:rFonts w:hAnsi="宋体"/>
          <w:snapToGrid w:val="0"/>
          <w:color w:val="auto"/>
          <w:spacing w:val="-6"/>
          <w:kern w:val="21"/>
          <w:highlight w:val="none"/>
        </w:rPr>
        <w:fldChar w:fldCharType="end"/>
      </w:r>
      <w:r>
        <w:rPr>
          <w:rFonts w:hAnsi="宋体"/>
          <w:snapToGrid w:val="0"/>
          <w:color w:val="auto"/>
          <w:spacing w:val="-6"/>
          <w:kern w:val="21"/>
          <w:highlight w:val="none"/>
        </w:rPr>
        <w:t>+</w:t>
      </w:r>
      <w:r>
        <w:rPr>
          <w:rFonts w:hAnsi="宋体"/>
          <w:snapToGrid w:val="0"/>
          <w:color w:val="auto"/>
          <w:spacing w:val="-6"/>
          <w:kern w:val="21"/>
          <w:highlight w:val="none"/>
        </w:rPr>
        <w:fldChar w:fldCharType="begin"/>
      </w:r>
      <w:r>
        <w:rPr>
          <w:rFonts w:hAnsi="宋体"/>
          <w:snapToGrid w:val="0"/>
          <w:color w:val="auto"/>
          <w:spacing w:val="-6"/>
          <w:kern w:val="21"/>
          <w:highlight w:val="none"/>
        </w:rPr>
        <w:instrText xml:space="preserve"> = 3 \* GB3 \* MERGEFORMAT </w:instrText>
      </w:r>
      <w:r>
        <w:rPr>
          <w:rFonts w:hAnsi="宋体"/>
          <w:snapToGrid w:val="0"/>
          <w:color w:val="auto"/>
          <w:spacing w:val="-6"/>
          <w:kern w:val="21"/>
          <w:highlight w:val="none"/>
        </w:rPr>
        <w:fldChar w:fldCharType="separate"/>
      </w:r>
      <w:r>
        <w:rPr>
          <w:rFonts w:hint="eastAsia" w:hAnsi="宋体"/>
          <w:color w:val="auto"/>
          <w:highlight w:val="none"/>
        </w:rPr>
        <w:t>③</w:t>
      </w:r>
      <w:r>
        <w:rPr>
          <w:rFonts w:hAnsi="宋体"/>
          <w:snapToGrid w:val="0"/>
          <w:color w:val="auto"/>
          <w:spacing w:val="-6"/>
          <w:kern w:val="21"/>
          <w:highlight w:val="none"/>
        </w:rPr>
        <w:fldChar w:fldCharType="end"/>
      </w:r>
      <w:r>
        <w:rPr>
          <w:rFonts w:hAnsi="宋体"/>
          <w:snapToGrid w:val="0"/>
          <w:color w:val="auto"/>
          <w:spacing w:val="-6"/>
          <w:kern w:val="21"/>
          <w:highlight w:val="none"/>
        </w:rPr>
        <w:t>+</w:t>
      </w:r>
      <w:r>
        <w:rPr>
          <w:rFonts w:hAnsi="宋体"/>
          <w:snapToGrid w:val="0"/>
          <w:color w:val="auto"/>
          <w:spacing w:val="-6"/>
          <w:kern w:val="21"/>
          <w:highlight w:val="none"/>
        </w:rPr>
        <w:fldChar w:fldCharType="begin"/>
      </w:r>
      <w:r>
        <w:rPr>
          <w:rFonts w:hAnsi="宋体"/>
          <w:snapToGrid w:val="0"/>
          <w:color w:val="auto"/>
          <w:spacing w:val="-6"/>
          <w:kern w:val="21"/>
          <w:highlight w:val="none"/>
        </w:rPr>
        <w:instrText xml:space="preserve"> = 4 \* GB3 \* MERGEFORMAT </w:instrText>
      </w:r>
      <w:r>
        <w:rPr>
          <w:rFonts w:hAnsi="宋体"/>
          <w:snapToGrid w:val="0"/>
          <w:color w:val="auto"/>
          <w:spacing w:val="-6"/>
          <w:kern w:val="21"/>
          <w:highlight w:val="none"/>
        </w:rPr>
        <w:fldChar w:fldCharType="separate"/>
      </w:r>
      <w:r>
        <w:rPr>
          <w:rFonts w:hint="eastAsia" w:hAnsi="宋体"/>
          <w:color w:val="auto"/>
          <w:highlight w:val="none"/>
        </w:rPr>
        <w:t>④</w:t>
      </w:r>
      <w:r>
        <w:rPr>
          <w:rFonts w:hAnsi="宋体"/>
          <w:snapToGrid w:val="0"/>
          <w:color w:val="auto"/>
          <w:spacing w:val="-6"/>
          <w:kern w:val="21"/>
          <w:highlight w:val="none"/>
        </w:rPr>
        <w:fldChar w:fldCharType="end"/>
      </w:r>
      <w:r>
        <w:rPr>
          <w:rFonts w:hAnsi="宋体"/>
          <w:snapToGrid w:val="0"/>
          <w:color w:val="auto"/>
          <w:spacing w:val="-6"/>
          <w:kern w:val="21"/>
          <w:highlight w:val="none"/>
        </w:rPr>
        <w:t>-</w:t>
      </w:r>
      <w:r>
        <w:rPr>
          <w:rFonts w:hAnsi="宋体"/>
          <w:snapToGrid w:val="0"/>
          <w:color w:val="auto"/>
          <w:spacing w:val="-16"/>
          <w:kern w:val="21"/>
          <w:highlight w:val="none"/>
        </w:rPr>
        <w:fldChar w:fldCharType="begin"/>
      </w:r>
      <w:r>
        <w:rPr>
          <w:rFonts w:hAnsi="宋体"/>
          <w:snapToGrid w:val="0"/>
          <w:color w:val="auto"/>
          <w:spacing w:val="-16"/>
          <w:kern w:val="21"/>
          <w:highlight w:val="none"/>
        </w:rPr>
        <w:instrText xml:space="preserve"> = 5 \* GB3 \* MERGEFORMAT </w:instrText>
      </w:r>
      <w:r>
        <w:rPr>
          <w:rFonts w:hAnsi="宋体"/>
          <w:snapToGrid w:val="0"/>
          <w:color w:val="auto"/>
          <w:spacing w:val="-16"/>
          <w:kern w:val="21"/>
          <w:highlight w:val="none"/>
        </w:rPr>
        <w:fldChar w:fldCharType="separate"/>
      </w:r>
      <w:r>
        <w:rPr>
          <w:rFonts w:hint="eastAsia" w:hAnsi="宋体"/>
          <w:color w:val="auto"/>
          <w:highlight w:val="none"/>
        </w:rPr>
        <w:t>⑤</w:t>
      </w:r>
      <w:r>
        <w:rPr>
          <w:rFonts w:hAnsi="宋体"/>
          <w:snapToGrid w:val="0"/>
          <w:color w:val="auto"/>
          <w:spacing w:val="-16"/>
          <w:kern w:val="21"/>
          <w:highlight w:val="none"/>
        </w:rPr>
        <w:fldChar w:fldCharType="end"/>
      </w:r>
      <w:r>
        <w:rPr>
          <w:rFonts w:hint="eastAsia" w:hAnsi="宋体"/>
          <w:snapToGrid w:val="0"/>
          <w:color w:val="auto"/>
          <w:spacing w:val="-16"/>
          <w:kern w:val="21"/>
          <w:highlight w:val="none"/>
        </w:rPr>
        <w:t>；</w:t>
      </w:r>
      <w:r>
        <w:rPr>
          <w:rFonts w:hAnsi="宋体"/>
          <w:snapToGrid w:val="0"/>
          <w:color w:val="auto"/>
          <w:spacing w:val="-6"/>
          <w:kern w:val="21"/>
          <w:highlight w:val="none"/>
        </w:rPr>
        <w:fldChar w:fldCharType="begin"/>
      </w:r>
      <w:r>
        <w:rPr>
          <w:rFonts w:hAnsi="宋体"/>
          <w:snapToGrid w:val="0"/>
          <w:color w:val="auto"/>
          <w:spacing w:val="-6"/>
          <w:kern w:val="21"/>
          <w:highlight w:val="none"/>
        </w:rPr>
        <w:instrText xml:space="preserve"> = 7 \* GB3 \* MERGEFORMAT </w:instrText>
      </w:r>
      <w:r>
        <w:rPr>
          <w:rFonts w:hAnsi="宋体"/>
          <w:snapToGrid w:val="0"/>
          <w:color w:val="auto"/>
          <w:spacing w:val="-6"/>
          <w:kern w:val="21"/>
          <w:highlight w:val="none"/>
        </w:rPr>
        <w:fldChar w:fldCharType="separate"/>
      </w:r>
      <w:r>
        <w:rPr>
          <w:rFonts w:hint="eastAsia" w:hAnsi="宋体"/>
          <w:color w:val="auto"/>
          <w:highlight w:val="none"/>
        </w:rPr>
        <w:t>⑦</w:t>
      </w:r>
      <w:r>
        <w:rPr>
          <w:rFonts w:hAnsi="宋体"/>
          <w:snapToGrid w:val="0"/>
          <w:color w:val="auto"/>
          <w:spacing w:val="-6"/>
          <w:kern w:val="21"/>
          <w:highlight w:val="none"/>
        </w:rPr>
        <w:fldChar w:fldCharType="end"/>
      </w:r>
      <w:r>
        <w:rPr>
          <w:rFonts w:hAnsi="宋体"/>
          <w:snapToGrid w:val="0"/>
          <w:color w:val="auto"/>
          <w:spacing w:val="-6"/>
          <w:kern w:val="21"/>
          <w:highlight w:val="none"/>
        </w:rPr>
        <w:t>=</w:t>
      </w:r>
      <w:r>
        <w:rPr>
          <w:rFonts w:hAnsi="宋体"/>
          <w:snapToGrid w:val="0"/>
          <w:color w:val="auto"/>
          <w:spacing w:val="-16"/>
          <w:kern w:val="21"/>
          <w:highlight w:val="none"/>
        </w:rPr>
        <w:fldChar w:fldCharType="begin"/>
      </w:r>
      <w:r>
        <w:rPr>
          <w:rFonts w:hAnsi="宋体"/>
          <w:snapToGrid w:val="0"/>
          <w:color w:val="auto"/>
          <w:spacing w:val="-16"/>
          <w:kern w:val="21"/>
          <w:highlight w:val="none"/>
        </w:rPr>
        <w:instrText xml:space="preserve"> = 6 \* GB3 \* MERGEFORMAT </w:instrText>
      </w:r>
      <w:r>
        <w:rPr>
          <w:rFonts w:hAnsi="宋体"/>
          <w:snapToGrid w:val="0"/>
          <w:color w:val="auto"/>
          <w:spacing w:val="-16"/>
          <w:kern w:val="21"/>
          <w:highlight w:val="none"/>
        </w:rPr>
        <w:fldChar w:fldCharType="separate"/>
      </w:r>
      <w:r>
        <w:rPr>
          <w:rFonts w:hint="eastAsia" w:hAnsi="宋体"/>
          <w:color w:val="auto"/>
          <w:highlight w:val="none"/>
        </w:rPr>
        <w:t>⑥</w:t>
      </w:r>
      <w:r>
        <w:rPr>
          <w:rFonts w:hAnsi="宋体"/>
          <w:snapToGrid w:val="0"/>
          <w:color w:val="auto"/>
          <w:spacing w:val="-16"/>
          <w:kern w:val="21"/>
          <w:highlight w:val="none"/>
        </w:rPr>
        <w:fldChar w:fldCharType="end"/>
      </w:r>
      <w:r>
        <w:rPr>
          <w:rFonts w:hAnsi="宋体"/>
          <w:snapToGrid w:val="0"/>
          <w:color w:val="auto"/>
          <w:spacing w:val="-16"/>
          <w:kern w:val="21"/>
          <w:highlight w:val="none"/>
        </w:rPr>
        <w:t>-</w:t>
      </w:r>
      <w:r>
        <w:rPr>
          <w:rFonts w:hAnsi="宋体"/>
          <w:snapToGrid w:val="0"/>
          <w:color w:val="auto"/>
          <w:spacing w:val="-6"/>
          <w:kern w:val="21"/>
          <w:highlight w:val="none"/>
        </w:rPr>
        <w:fldChar w:fldCharType="begin"/>
      </w:r>
      <w:r>
        <w:rPr>
          <w:rFonts w:hAnsi="宋体"/>
          <w:snapToGrid w:val="0"/>
          <w:color w:val="auto"/>
          <w:spacing w:val="-6"/>
          <w:kern w:val="21"/>
          <w:highlight w:val="none"/>
        </w:rPr>
        <w:instrText xml:space="preserve"> = 1 \* GB3 \* MERGEFORMAT </w:instrText>
      </w:r>
      <w:r>
        <w:rPr>
          <w:rFonts w:hAnsi="宋体"/>
          <w:snapToGrid w:val="0"/>
          <w:color w:val="auto"/>
          <w:spacing w:val="-6"/>
          <w:kern w:val="21"/>
          <w:highlight w:val="none"/>
        </w:rPr>
        <w:fldChar w:fldCharType="separate"/>
      </w:r>
      <w:r>
        <w:rPr>
          <w:rFonts w:hint="eastAsia" w:hAnsi="宋体"/>
          <w:color w:val="auto"/>
          <w:highlight w:val="none"/>
        </w:rPr>
        <w:t>①</w:t>
      </w:r>
      <w:r>
        <w:rPr>
          <w:rFonts w:hAnsi="宋体"/>
          <w:snapToGrid w:val="0"/>
          <w:color w:val="auto"/>
          <w:spacing w:val="-6"/>
          <w:kern w:val="21"/>
          <w:highlight w:val="none"/>
        </w:rPr>
        <w:fldChar w:fldCharType="end"/>
      </w:r>
    </w:p>
    <w:sectPr>
      <w:footerReference r:id="rId5" w:type="default"/>
      <w:pgSz w:w="16838" w:h="11906" w:orient="landscape"/>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2"/>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Brush Script MT">
    <w:altName w:val="Mongolian Baiti"/>
    <w:panose1 w:val="03060802040406070304"/>
    <w:charset w:val="00"/>
    <w:family w:val="script"/>
    <w:pitch w:val="default"/>
    <w:sig w:usb0="00000000" w:usb1="00000000" w:usb2="00000000" w:usb3="00000000" w:csb0="20000001" w:csb1="00000000"/>
  </w:font>
  <w:font w:name="Mongolian Baiti">
    <w:panose1 w:val="03000500000000000000"/>
    <w:charset w:val="00"/>
    <w:family w:val="auto"/>
    <w:pitch w:val="default"/>
    <w:sig w:usb0="80000023" w:usb1="00000000" w:usb2="00020000" w:usb3="00000000" w:csb0="00000001" w:csb1="00000000"/>
  </w:font>
  <w:font w:name="新宋体">
    <w:panose1 w:val="02010609030101010101"/>
    <w:charset w:val="86"/>
    <w:family w:val="modern"/>
    <w:pitch w:val="default"/>
    <w:sig w:usb0="0000028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modern"/>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楷体_GB2312">
    <w:panose1 w:val="02010609030101010101"/>
    <w:charset w:val="86"/>
    <w:family w:val="modern"/>
    <w:pitch w:val="default"/>
    <w:sig w:usb0="00000001" w:usb1="080E0000" w:usb2="00000000" w:usb3="00000000" w:csb0="00040000" w:csb1="00000000"/>
  </w:font>
  <w:font w:name="MS Mincho">
    <w:altName w:val="Yu Gothic UI"/>
    <w:panose1 w:val="02020609040205080304"/>
    <w:charset w:val="80"/>
    <w:family w:val="modern"/>
    <w:pitch w:val="default"/>
    <w:sig w:usb0="00000000" w:usb1="00000000"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86BAED">
    <w:pPr>
      <w:pStyle w:val="24"/>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24528D">
    <w:pPr>
      <w:pStyle w:val="24"/>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6AC99A4B">
                          <w:pPr>
                            <w:pStyle w:val="24"/>
                            <w:rPr>
                              <w:rStyle w:val="41"/>
                              <w:rFonts w:ascii="宋体"/>
                              <w:sz w:val="28"/>
                              <w:szCs w:val="28"/>
                            </w:rPr>
                          </w:pPr>
                          <w:r>
                            <w:rPr>
                              <w:rStyle w:val="41"/>
                              <w:rFonts w:ascii="宋体" w:hAnsi="宋体" w:cs="宋体"/>
                              <w:sz w:val="28"/>
                              <w:szCs w:val="28"/>
                            </w:rPr>
                            <w:t>—</w:t>
                          </w:r>
                          <w:r>
                            <w:rPr>
                              <w:rStyle w:val="41"/>
                              <w:rFonts w:ascii="宋体" w:hAnsi="宋体" w:cs="宋体"/>
                              <w:sz w:val="26"/>
                              <w:szCs w:val="26"/>
                            </w:rPr>
                            <w:fldChar w:fldCharType="begin"/>
                          </w:r>
                          <w:r>
                            <w:rPr>
                              <w:rStyle w:val="41"/>
                              <w:rFonts w:ascii="宋体" w:hAnsi="宋体" w:cs="宋体"/>
                              <w:sz w:val="26"/>
                              <w:szCs w:val="26"/>
                            </w:rPr>
                            <w:instrText xml:space="preserve">PAGE  </w:instrText>
                          </w:r>
                          <w:r>
                            <w:rPr>
                              <w:rStyle w:val="41"/>
                              <w:rFonts w:ascii="宋体" w:hAnsi="宋体" w:cs="宋体"/>
                              <w:sz w:val="26"/>
                              <w:szCs w:val="26"/>
                            </w:rPr>
                            <w:fldChar w:fldCharType="separate"/>
                          </w:r>
                          <w:r>
                            <w:rPr>
                              <w:rStyle w:val="41"/>
                              <w:rFonts w:ascii="宋体" w:hAnsi="宋体" w:cs="宋体"/>
                              <w:sz w:val="26"/>
                              <w:szCs w:val="26"/>
                            </w:rPr>
                            <w:t>40</w:t>
                          </w:r>
                          <w:r>
                            <w:rPr>
                              <w:rStyle w:val="41"/>
                              <w:rFonts w:ascii="宋体" w:hAnsi="宋体" w:cs="宋体"/>
                              <w:sz w:val="26"/>
                              <w:szCs w:val="26"/>
                            </w:rPr>
                            <w:fldChar w:fldCharType="end"/>
                          </w:r>
                          <w:r>
                            <w:rPr>
                              <w:rStyle w:val="41"/>
                              <w:rFonts w:ascii="宋体" w:hAnsi="宋体" w:cs="宋体"/>
                              <w:sz w:val="28"/>
                              <w:szCs w:val="28"/>
                            </w:rPr>
                            <w:t>—</w:t>
                          </w:r>
                        </w:p>
                      </w:txbxContent>
                    </wps:txbx>
                    <wps:bodyPr wrap="none" lIns="0" tIns="0" rIns="0" bIns="0" upright="1">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zSVju0AAAAAUBAAAPAAAAAAAAAAEAIAAAACIAAABk&#10;cnMvZG93bnJldi54bWxQSwECFAAUAAAACACHTuJAqs6KNdUBAACmAwAADgAAAAAAAAABACAAAAAf&#10;AQAAZHJzL2Uyb0RvYy54bWxQSwUGAAAAAAYABgBZAQAAZgUAAAAA&#10;">
              <v:fill on="f" focussize="0,0"/>
              <v:stroke on="f" weight="0.5pt"/>
              <v:imagedata o:title=""/>
              <o:lock v:ext="edit" aspectratio="f"/>
              <v:textbox inset="0mm,0mm,0mm,0mm" style="mso-fit-shape-to-text:t;">
                <w:txbxContent>
                  <w:p w14:paraId="6AC99A4B">
                    <w:pPr>
                      <w:pStyle w:val="24"/>
                      <w:rPr>
                        <w:rStyle w:val="41"/>
                        <w:rFonts w:ascii="宋体"/>
                        <w:sz w:val="28"/>
                        <w:szCs w:val="28"/>
                      </w:rPr>
                    </w:pPr>
                    <w:r>
                      <w:rPr>
                        <w:rStyle w:val="41"/>
                        <w:rFonts w:ascii="宋体" w:hAnsi="宋体" w:cs="宋体"/>
                        <w:sz w:val="28"/>
                        <w:szCs w:val="28"/>
                      </w:rPr>
                      <w:t>—</w:t>
                    </w:r>
                    <w:r>
                      <w:rPr>
                        <w:rStyle w:val="41"/>
                        <w:rFonts w:ascii="宋体" w:hAnsi="宋体" w:cs="宋体"/>
                        <w:sz w:val="26"/>
                        <w:szCs w:val="26"/>
                      </w:rPr>
                      <w:fldChar w:fldCharType="begin"/>
                    </w:r>
                    <w:r>
                      <w:rPr>
                        <w:rStyle w:val="41"/>
                        <w:rFonts w:ascii="宋体" w:hAnsi="宋体" w:cs="宋体"/>
                        <w:sz w:val="26"/>
                        <w:szCs w:val="26"/>
                      </w:rPr>
                      <w:instrText xml:space="preserve">PAGE  </w:instrText>
                    </w:r>
                    <w:r>
                      <w:rPr>
                        <w:rStyle w:val="41"/>
                        <w:rFonts w:ascii="宋体" w:hAnsi="宋体" w:cs="宋体"/>
                        <w:sz w:val="26"/>
                        <w:szCs w:val="26"/>
                      </w:rPr>
                      <w:fldChar w:fldCharType="separate"/>
                    </w:r>
                    <w:r>
                      <w:rPr>
                        <w:rStyle w:val="41"/>
                        <w:rFonts w:ascii="宋体" w:hAnsi="宋体" w:cs="宋体"/>
                        <w:sz w:val="26"/>
                        <w:szCs w:val="26"/>
                      </w:rPr>
                      <w:t>40</w:t>
                    </w:r>
                    <w:r>
                      <w:rPr>
                        <w:rStyle w:val="41"/>
                        <w:rFonts w:ascii="宋体" w:hAnsi="宋体" w:cs="宋体"/>
                        <w:sz w:val="26"/>
                        <w:szCs w:val="26"/>
                      </w:rPr>
                      <w:fldChar w:fldCharType="end"/>
                    </w:r>
                    <w:r>
                      <w:rPr>
                        <w:rStyle w:val="41"/>
                        <w:rFonts w:ascii="宋体" w:hAnsi="宋体" w:cs="宋体"/>
                        <w:sz w:val="28"/>
                        <w:szCs w:val="28"/>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931E73">
    <w:pPr>
      <w:pStyle w:val="24"/>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36B866E8">
                          <w:pPr>
                            <w:pStyle w:val="24"/>
                            <w:rPr>
                              <w:rStyle w:val="41"/>
                              <w:rFonts w:ascii="宋体"/>
                              <w:sz w:val="28"/>
                              <w:szCs w:val="28"/>
                            </w:rPr>
                          </w:pPr>
                          <w:r>
                            <w:rPr>
                              <w:rStyle w:val="41"/>
                              <w:rFonts w:ascii="宋体" w:hAnsi="宋体" w:cs="宋体"/>
                              <w:sz w:val="28"/>
                              <w:szCs w:val="28"/>
                            </w:rPr>
                            <w:t>—</w:t>
                          </w:r>
                          <w:r>
                            <w:rPr>
                              <w:rStyle w:val="41"/>
                              <w:rFonts w:ascii="宋体" w:hAnsi="宋体" w:cs="宋体"/>
                              <w:sz w:val="26"/>
                              <w:szCs w:val="26"/>
                            </w:rPr>
                            <w:fldChar w:fldCharType="begin"/>
                          </w:r>
                          <w:r>
                            <w:rPr>
                              <w:rStyle w:val="41"/>
                              <w:rFonts w:ascii="宋体" w:hAnsi="宋体" w:cs="宋体"/>
                              <w:sz w:val="26"/>
                              <w:szCs w:val="26"/>
                            </w:rPr>
                            <w:instrText xml:space="preserve">PAGE  </w:instrText>
                          </w:r>
                          <w:r>
                            <w:rPr>
                              <w:rStyle w:val="41"/>
                              <w:rFonts w:ascii="宋体" w:hAnsi="宋体" w:cs="宋体"/>
                              <w:sz w:val="26"/>
                              <w:szCs w:val="26"/>
                            </w:rPr>
                            <w:fldChar w:fldCharType="separate"/>
                          </w:r>
                          <w:r>
                            <w:rPr>
                              <w:rStyle w:val="41"/>
                              <w:rFonts w:ascii="宋体" w:hAnsi="宋体" w:cs="宋体"/>
                              <w:sz w:val="26"/>
                              <w:szCs w:val="26"/>
                            </w:rPr>
                            <w:t>42</w:t>
                          </w:r>
                          <w:r>
                            <w:rPr>
                              <w:rStyle w:val="41"/>
                              <w:rFonts w:ascii="宋体" w:hAnsi="宋体" w:cs="宋体"/>
                              <w:sz w:val="26"/>
                              <w:szCs w:val="26"/>
                            </w:rPr>
                            <w:fldChar w:fldCharType="end"/>
                          </w:r>
                          <w:r>
                            <w:rPr>
                              <w:rStyle w:val="41"/>
                              <w:rFonts w:ascii="宋体" w:hAnsi="宋体" w:cs="宋体"/>
                              <w:sz w:val="28"/>
                              <w:szCs w:val="28"/>
                            </w:rPr>
                            <w:t>—</w:t>
                          </w:r>
                        </w:p>
                      </w:txbxContent>
                    </wps:txbx>
                    <wps:bodyPr wrap="none" lIns="0" tIns="0" rIns="0" bIns="0" upright="1">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zSVju0AAAAAUBAAAPAAAAAAAAAAEAIAAAACIAAABk&#10;cnMvZG93bnJldi54bWxQSwECFAAUAAAACACHTuJAczNvuNUBAACmAwAADgAAAAAAAAABACAAAAAf&#10;AQAAZHJzL2Uyb0RvYy54bWxQSwUGAAAAAAYABgBZAQAAZgUAAAAA&#10;">
              <v:fill on="f" focussize="0,0"/>
              <v:stroke on="f" weight="0.5pt"/>
              <v:imagedata o:title=""/>
              <o:lock v:ext="edit" aspectratio="f"/>
              <v:textbox inset="0mm,0mm,0mm,0mm" style="mso-fit-shape-to-text:t;">
                <w:txbxContent>
                  <w:p w14:paraId="36B866E8">
                    <w:pPr>
                      <w:pStyle w:val="24"/>
                      <w:rPr>
                        <w:rStyle w:val="41"/>
                        <w:rFonts w:ascii="宋体"/>
                        <w:sz w:val="28"/>
                        <w:szCs w:val="28"/>
                      </w:rPr>
                    </w:pPr>
                    <w:r>
                      <w:rPr>
                        <w:rStyle w:val="41"/>
                        <w:rFonts w:ascii="宋体" w:hAnsi="宋体" w:cs="宋体"/>
                        <w:sz w:val="28"/>
                        <w:szCs w:val="28"/>
                      </w:rPr>
                      <w:t>—</w:t>
                    </w:r>
                    <w:r>
                      <w:rPr>
                        <w:rStyle w:val="41"/>
                        <w:rFonts w:ascii="宋体" w:hAnsi="宋体" w:cs="宋体"/>
                        <w:sz w:val="26"/>
                        <w:szCs w:val="26"/>
                      </w:rPr>
                      <w:fldChar w:fldCharType="begin"/>
                    </w:r>
                    <w:r>
                      <w:rPr>
                        <w:rStyle w:val="41"/>
                        <w:rFonts w:ascii="宋体" w:hAnsi="宋体" w:cs="宋体"/>
                        <w:sz w:val="26"/>
                        <w:szCs w:val="26"/>
                      </w:rPr>
                      <w:instrText xml:space="preserve">PAGE  </w:instrText>
                    </w:r>
                    <w:r>
                      <w:rPr>
                        <w:rStyle w:val="41"/>
                        <w:rFonts w:ascii="宋体" w:hAnsi="宋体" w:cs="宋体"/>
                        <w:sz w:val="26"/>
                        <w:szCs w:val="26"/>
                      </w:rPr>
                      <w:fldChar w:fldCharType="separate"/>
                    </w:r>
                    <w:r>
                      <w:rPr>
                        <w:rStyle w:val="41"/>
                        <w:rFonts w:ascii="宋体" w:hAnsi="宋体" w:cs="宋体"/>
                        <w:sz w:val="26"/>
                        <w:szCs w:val="26"/>
                      </w:rPr>
                      <w:t>42</w:t>
                    </w:r>
                    <w:r>
                      <w:rPr>
                        <w:rStyle w:val="41"/>
                        <w:rFonts w:ascii="宋体" w:hAnsi="宋体" w:cs="宋体"/>
                        <w:sz w:val="26"/>
                        <w:szCs w:val="26"/>
                      </w:rPr>
                      <w:fldChar w:fldCharType="end"/>
                    </w:r>
                    <w:r>
                      <w:rPr>
                        <w:rStyle w:val="41"/>
                        <w:rFonts w:ascii="宋体" w:hAnsi="宋体" w:cs="宋体"/>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67F3840"/>
    <w:multiLevelType w:val="singleLevel"/>
    <w:tmpl w:val="F67F3840"/>
    <w:lvl w:ilvl="0" w:tentative="0">
      <w:start w:val="2"/>
      <w:numFmt w:val="decimal"/>
      <w:suff w:val="nothing"/>
      <w:lvlText w:val="（%1）"/>
      <w:lvlJc w:val="left"/>
    </w:lvl>
  </w:abstractNum>
  <w:abstractNum w:abstractNumId="1">
    <w:nsid w:val="F7619721"/>
    <w:multiLevelType w:val="singleLevel"/>
    <w:tmpl w:val="F7619721"/>
    <w:lvl w:ilvl="0" w:tentative="0">
      <w:start w:val="1"/>
      <w:numFmt w:val="bullet"/>
      <w:pStyle w:val="19"/>
      <w:lvlText w:val=""/>
      <w:lvlJc w:val="left"/>
      <w:pPr>
        <w:tabs>
          <w:tab w:val="left" w:pos="2040"/>
        </w:tabs>
        <w:ind w:left="2040" w:hanging="360"/>
      </w:pPr>
      <w:rPr>
        <w:rFonts w:hint="default" w:ascii="Wingdings" w:hAnsi="Wingdings"/>
      </w:rPr>
    </w:lvl>
  </w:abstractNum>
  <w:abstractNum w:abstractNumId="2">
    <w:nsid w:val="08579E5E"/>
    <w:multiLevelType w:val="singleLevel"/>
    <w:tmpl w:val="08579E5E"/>
    <w:lvl w:ilvl="0" w:tentative="0">
      <w:start w:val="1"/>
      <w:numFmt w:val="decimal"/>
      <w:lvlText w:val="%1"/>
      <w:lvlJc w:val="left"/>
      <w:pPr>
        <w:tabs>
          <w:tab w:val="left" w:pos="420"/>
        </w:tabs>
        <w:ind w:left="425" w:leftChars="0" w:hanging="425" w:firstLineChars="0"/>
      </w:pPr>
      <w:rPr>
        <w:rFonts w:hint="default"/>
      </w:rPr>
    </w:lvl>
  </w:abstractNum>
  <w:abstractNum w:abstractNumId="3">
    <w:nsid w:val="2F79A84C"/>
    <w:multiLevelType w:val="singleLevel"/>
    <w:tmpl w:val="2F79A84C"/>
    <w:lvl w:ilvl="0" w:tentative="0">
      <w:start w:val="1"/>
      <w:numFmt w:val="decimal"/>
      <w:suff w:val="nothing"/>
      <w:lvlText w:val="（%1）"/>
      <w:lvlJc w:val="left"/>
    </w:lvl>
  </w:abstractNum>
  <w:abstractNum w:abstractNumId="4">
    <w:nsid w:val="343E091B"/>
    <w:multiLevelType w:val="singleLevel"/>
    <w:tmpl w:val="343E091B"/>
    <w:lvl w:ilvl="0" w:tentative="0">
      <w:start w:val="1"/>
      <w:numFmt w:val="decimal"/>
      <w:suff w:val="nothing"/>
      <w:lvlText w:val="（%1）"/>
      <w:lvlJc w:val="left"/>
    </w:lvl>
  </w:abstractNum>
  <w:abstractNum w:abstractNumId="5">
    <w:nsid w:val="67DE1203"/>
    <w:multiLevelType w:val="singleLevel"/>
    <w:tmpl w:val="67DE1203"/>
    <w:lvl w:ilvl="0" w:tentative="0">
      <w:start w:val="2"/>
      <w:numFmt w:val="decimal"/>
      <w:suff w:val="nothing"/>
      <w:lvlText w:val="%1、"/>
      <w:lvlJc w:val="left"/>
    </w:lvl>
  </w:abstractNum>
  <w:abstractNum w:abstractNumId="6">
    <w:nsid w:val="73634486"/>
    <w:multiLevelType w:val="singleLevel"/>
    <w:tmpl w:val="73634486"/>
    <w:lvl w:ilvl="0" w:tentative="0">
      <w:start w:val="1"/>
      <w:numFmt w:val="decimal"/>
      <w:suff w:val="nothing"/>
      <w:lvlText w:val="（%1）"/>
      <w:lvlJc w:val="left"/>
    </w:lvl>
  </w:abstractNum>
  <w:abstractNum w:abstractNumId="7">
    <w:nsid w:val="738B02CC"/>
    <w:multiLevelType w:val="singleLevel"/>
    <w:tmpl w:val="738B02CC"/>
    <w:lvl w:ilvl="0" w:tentative="0">
      <w:start w:val="1"/>
      <w:numFmt w:val="decimal"/>
      <w:suff w:val="nothing"/>
      <w:lvlText w:val="（%1）"/>
      <w:lvlJc w:val="left"/>
    </w:lvl>
  </w:abstractNum>
  <w:abstractNum w:abstractNumId="8">
    <w:nsid w:val="795E399F"/>
    <w:multiLevelType w:val="singleLevel"/>
    <w:tmpl w:val="795E399F"/>
    <w:lvl w:ilvl="0" w:tentative="0">
      <w:start w:val="1"/>
      <w:numFmt w:val="decimal"/>
      <w:lvlText w:val="%1"/>
      <w:lvlJc w:val="left"/>
      <w:pPr>
        <w:tabs>
          <w:tab w:val="left" w:pos="420"/>
        </w:tabs>
        <w:ind w:left="425" w:leftChars="0" w:hanging="425" w:firstLineChars="0"/>
      </w:pPr>
      <w:rPr>
        <w:rFonts w:hint="default"/>
      </w:rPr>
    </w:lvl>
  </w:abstractNum>
  <w:num w:numId="1">
    <w:abstractNumId w:val="1"/>
  </w:num>
  <w:num w:numId="2">
    <w:abstractNumId w:val="0"/>
  </w:num>
  <w:num w:numId="3">
    <w:abstractNumId w:val="6"/>
  </w:num>
  <w:num w:numId="4">
    <w:abstractNumId w:val="8"/>
  </w:num>
  <w:num w:numId="5">
    <w:abstractNumId w:val="7"/>
  </w:num>
  <w:num w:numId="6">
    <w:abstractNumId w:val="5"/>
  </w:num>
  <w:num w:numId="7">
    <w:abstractNumId w:val="2"/>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NotTrackMoves/>
  <w:documentProtection w:edit="trackedChanges" w:enforcement="0"/>
  <w:defaultTabStop w:val="42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YyOGU0Yjg4YmRlZTU1NGM5ZDhiNjQ3YmIxODMyZGQifQ=="/>
  </w:docVars>
  <w:rsids>
    <w:rsidRoot w:val="00A14947"/>
    <w:rsid w:val="00001AEE"/>
    <w:rsid w:val="0000206B"/>
    <w:rsid w:val="00003B83"/>
    <w:rsid w:val="00004DAB"/>
    <w:rsid w:val="000060B3"/>
    <w:rsid w:val="000072FB"/>
    <w:rsid w:val="00007548"/>
    <w:rsid w:val="0000763C"/>
    <w:rsid w:val="00007C37"/>
    <w:rsid w:val="000119DD"/>
    <w:rsid w:val="00012905"/>
    <w:rsid w:val="000139AB"/>
    <w:rsid w:val="0001412B"/>
    <w:rsid w:val="00015405"/>
    <w:rsid w:val="00016671"/>
    <w:rsid w:val="0001724E"/>
    <w:rsid w:val="00017392"/>
    <w:rsid w:val="000219E9"/>
    <w:rsid w:val="000222E9"/>
    <w:rsid w:val="0002360E"/>
    <w:rsid w:val="00024943"/>
    <w:rsid w:val="00025542"/>
    <w:rsid w:val="0002575E"/>
    <w:rsid w:val="00026BD5"/>
    <w:rsid w:val="00030416"/>
    <w:rsid w:val="000306B8"/>
    <w:rsid w:val="0003267F"/>
    <w:rsid w:val="00034147"/>
    <w:rsid w:val="00035CB9"/>
    <w:rsid w:val="00036758"/>
    <w:rsid w:val="00036B2C"/>
    <w:rsid w:val="00036DA2"/>
    <w:rsid w:val="00040456"/>
    <w:rsid w:val="000405F4"/>
    <w:rsid w:val="00041D87"/>
    <w:rsid w:val="00041FED"/>
    <w:rsid w:val="000421B4"/>
    <w:rsid w:val="000432E7"/>
    <w:rsid w:val="0004364B"/>
    <w:rsid w:val="00043CD7"/>
    <w:rsid w:val="000442E4"/>
    <w:rsid w:val="00044478"/>
    <w:rsid w:val="00044B06"/>
    <w:rsid w:val="000456A6"/>
    <w:rsid w:val="00045994"/>
    <w:rsid w:val="0004776A"/>
    <w:rsid w:val="00050124"/>
    <w:rsid w:val="000522C6"/>
    <w:rsid w:val="0005242E"/>
    <w:rsid w:val="0005297A"/>
    <w:rsid w:val="00053D40"/>
    <w:rsid w:val="00055356"/>
    <w:rsid w:val="000572CE"/>
    <w:rsid w:val="00060425"/>
    <w:rsid w:val="0006050E"/>
    <w:rsid w:val="00061AE8"/>
    <w:rsid w:val="00061B1F"/>
    <w:rsid w:val="0006447C"/>
    <w:rsid w:val="0006507F"/>
    <w:rsid w:val="00070597"/>
    <w:rsid w:val="00071E2C"/>
    <w:rsid w:val="000733C4"/>
    <w:rsid w:val="000733FD"/>
    <w:rsid w:val="00073B3B"/>
    <w:rsid w:val="00074783"/>
    <w:rsid w:val="00074D24"/>
    <w:rsid w:val="00080210"/>
    <w:rsid w:val="000803CE"/>
    <w:rsid w:val="0008070B"/>
    <w:rsid w:val="00080E01"/>
    <w:rsid w:val="000810AC"/>
    <w:rsid w:val="00081152"/>
    <w:rsid w:val="000817FC"/>
    <w:rsid w:val="00081A02"/>
    <w:rsid w:val="00082231"/>
    <w:rsid w:val="00084DAF"/>
    <w:rsid w:val="000919D5"/>
    <w:rsid w:val="00091BD9"/>
    <w:rsid w:val="00091F00"/>
    <w:rsid w:val="00092D38"/>
    <w:rsid w:val="00092D69"/>
    <w:rsid w:val="0009377B"/>
    <w:rsid w:val="00093790"/>
    <w:rsid w:val="00094207"/>
    <w:rsid w:val="0009533F"/>
    <w:rsid w:val="00097E9E"/>
    <w:rsid w:val="000A1F0D"/>
    <w:rsid w:val="000A20C9"/>
    <w:rsid w:val="000A287A"/>
    <w:rsid w:val="000A2C2D"/>
    <w:rsid w:val="000A2C45"/>
    <w:rsid w:val="000A33A4"/>
    <w:rsid w:val="000A51D3"/>
    <w:rsid w:val="000A598F"/>
    <w:rsid w:val="000A7674"/>
    <w:rsid w:val="000A7699"/>
    <w:rsid w:val="000A7A55"/>
    <w:rsid w:val="000A7DE5"/>
    <w:rsid w:val="000B058F"/>
    <w:rsid w:val="000B06F4"/>
    <w:rsid w:val="000B1170"/>
    <w:rsid w:val="000B1C83"/>
    <w:rsid w:val="000B4467"/>
    <w:rsid w:val="000B48AC"/>
    <w:rsid w:val="000B4DB9"/>
    <w:rsid w:val="000B5DEB"/>
    <w:rsid w:val="000C09AC"/>
    <w:rsid w:val="000C1657"/>
    <w:rsid w:val="000C1875"/>
    <w:rsid w:val="000C18B1"/>
    <w:rsid w:val="000C18E9"/>
    <w:rsid w:val="000C21D2"/>
    <w:rsid w:val="000C2DF5"/>
    <w:rsid w:val="000C3726"/>
    <w:rsid w:val="000C4522"/>
    <w:rsid w:val="000C56F3"/>
    <w:rsid w:val="000C5CA6"/>
    <w:rsid w:val="000C5FFC"/>
    <w:rsid w:val="000C767F"/>
    <w:rsid w:val="000C7BC3"/>
    <w:rsid w:val="000D03A9"/>
    <w:rsid w:val="000D2E42"/>
    <w:rsid w:val="000D3786"/>
    <w:rsid w:val="000D3CCA"/>
    <w:rsid w:val="000D3EDC"/>
    <w:rsid w:val="000D4B78"/>
    <w:rsid w:val="000D4C59"/>
    <w:rsid w:val="000D52FF"/>
    <w:rsid w:val="000D5A44"/>
    <w:rsid w:val="000D681C"/>
    <w:rsid w:val="000D74BB"/>
    <w:rsid w:val="000E2A0B"/>
    <w:rsid w:val="000E3993"/>
    <w:rsid w:val="000E3ED2"/>
    <w:rsid w:val="000E66E2"/>
    <w:rsid w:val="000E7BEC"/>
    <w:rsid w:val="000F02DE"/>
    <w:rsid w:val="000F1362"/>
    <w:rsid w:val="000F164B"/>
    <w:rsid w:val="000F1FF2"/>
    <w:rsid w:val="000F2A5D"/>
    <w:rsid w:val="000F3222"/>
    <w:rsid w:val="000F53EA"/>
    <w:rsid w:val="000F580C"/>
    <w:rsid w:val="000F5F42"/>
    <w:rsid w:val="000F67BD"/>
    <w:rsid w:val="000F7BEF"/>
    <w:rsid w:val="000F7C20"/>
    <w:rsid w:val="000F7C23"/>
    <w:rsid w:val="000F7C53"/>
    <w:rsid w:val="001011BB"/>
    <w:rsid w:val="001018C2"/>
    <w:rsid w:val="00101C94"/>
    <w:rsid w:val="001020BF"/>
    <w:rsid w:val="0011055A"/>
    <w:rsid w:val="001110AD"/>
    <w:rsid w:val="001112C9"/>
    <w:rsid w:val="0011171C"/>
    <w:rsid w:val="00112442"/>
    <w:rsid w:val="00113215"/>
    <w:rsid w:val="00113E0A"/>
    <w:rsid w:val="00114F33"/>
    <w:rsid w:val="00115174"/>
    <w:rsid w:val="001163CD"/>
    <w:rsid w:val="001202FB"/>
    <w:rsid w:val="00120876"/>
    <w:rsid w:val="00121BA9"/>
    <w:rsid w:val="0012286D"/>
    <w:rsid w:val="001234DB"/>
    <w:rsid w:val="001271EB"/>
    <w:rsid w:val="00127F48"/>
    <w:rsid w:val="001300BB"/>
    <w:rsid w:val="0013096F"/>
    <w:rsid w:val="00131990"/>
    <w:rsid w:val="00131F42"/>
    <w:rsid w:val="00133396"/>
    <w:rsid w:val="001333D6"/>
    <w:rsid w:val="00133F01"/>
    <w:rsid w:val="00134C34"/>
    <w:rsid w:val="00135101"/>
    <w:rsid w:val="0013551E"/>
    <w:rsid w:val="001357F1"/>
    <w:rsid w:val="0013592B"/>
    <w:rsid w:val="00135EBA"/>
    <w:rsid w:val="00136F24"/>
    <w:rsid w:val="00140FA8"/>
    <w:rsid w:val="00142FEB"/>
    <w:rsid w:val="00143A2D"/>
    <w:rsid w:val="00143DEB"/>
    <w:rsid w:val="00144D62"/>
    <w:rsid w:val="001458B6"/>
    <w:rsid w:val="00145A41"/>
    <w:rsid w:val="001461D3"/>
    <w:rsid w:val="001477B0"/>
    <w:rsid w:val="00147E03"/>
    <w:rsid w:val="00151675"/>
    <w:rsid w:val="001521CF"/>
    <w:rsid w:val="00153750"/>
    <w:rsid w:val="00155236"/>
    <w:rsid w:val="00155B17"/>
    <w:rsid w:val="00156435"/>
    <w:rsid w:val="00157435"/>
    <w:rsid w:val="00160BB7"/>
    <w:rsid w:val="0016159F"/>
    <w:rsid w:val="00161BC2"/>
    <w:rsid w:val="0016419C"/>
    <w:rsid w:val="00164E20"/>
    <w:rsid w:val="00165460"/>
    <w:rsid w:val="001666E6"/>
    <w:rsid w:val="001669B2"/>
    <w:rsid w:val="0016766E"/>
    <w:rsid w:val="001702D4"/>
    <w:rsid w:val="0017035C"/>
    <w:rsid w:val="0017440D"/>
    <w:rsid w:val="0017504D"/>
    <w:rsid w:val="00175B4D"/>
    <w:rsid w:val="0017671A"/>
    <w:rsid w:val="0017691A"/>
    <w:rsid w:val="00176CFD"/>
    <w:rsid w:val="00177422"/>
    <w:rsid w:val="0018082F"/>
    <w:rsid w:val="0018162D"/>
    <w:rsid w:val="00183638"/>
    <w:rsid w:val="001843FE"/>
    <w:rsid w:val="00184590"/>
    <w:rsid w:val="00184BDB"/>
    <w:rsid w:val="00186BF0"/>
    <w:rsid w:val="001870D1"/>
    <w:rsid w:val="0018781E"/>
    <w:rsid w:val="00187E5E"/>
    <w:rsid w:val="001902E5"/>
    <w:rsid w:val="00190CB5"/>
    <w:rsid w:val="00191A1E"/>
    <w:rsid w:val="001923D9"/>
    <w:rsid w:val="0019258C"/>
    <w:rsid w:val="0019262D"/>
    <w:rsid w:val="00192BBE"/>
    <w:rsid w:val="0019314E"/>
    <w:rsid w:val="00195A6F"/>
    <w:rsid w:val="00196407"/>
    <w:rsid w:val="00196B99"/>
    <w:rsid w:val="00196F87"/>
    <w:rsid w:val="0019798F"/>
    <w:rsid w:val="00197AC7"/>
    <w:rsid w:val="001A0A7E"/>
    <w:rsid w:val="001A1308"/>
    <w:rsid w:val="001A130C"/>
    <w:rsid w:val="001A1566"/>
    <w:rsid w:val="001A1B35"/>
    <w:rsid w:val="001A2229"/>
    <w:rsid w:val="001A2D97"/>
    <w:rsid w:val="001A2E94"/>
    <w:rsid w:val="001A48A2"/>
    <w:rsid w:val="001A6F61"/>
    <w:rsid w:val="001B5DA4"/>
    <w:rsid w:val="001B5E51"/>
    <w:rsid w:val="001B5E95"/>
    <w:rsid w:val="001B63E0"/>
    <w:rsid w:val="001B72B8"/>
    <w:rsid w:val="001B7648"/>
    <w:rsid w:val="001C0C8D"/>
    <w:rsid w:val="001C2147"/>
    <w:rsid w:val="001C3146"/>
    <w:rsid w:val="001C450A"/>
    <w:rsid w:val="001C4E44"/>
    <w:rsid w:val="001C6009"/>
    <w:rsid w:val="001C69B3"/>
    <w:rsid w:val="001D3453"/>
    <w:rsid w:val="001D3CEC"/>
    <w:rsid w:val="001D3E56"/>
    <w:rsid w:val="001D47B5"/>
    <w:rsid w:val="001D4DA8"/>
    <w:rsid w:val="001D5595"/>
    <w:rsid w:val="001D55C6"/>
    <w:rsid w:val="001D5832"/>
    <w:rsid w:val="001D6600"/>
    <w:rsid w:val="001D6D00"/>
    <w:rsid w:val="001D7874"/>
    <w:rsid w:val="001D7F22"/>
    <w:rsid w:val="001E0704"/>
    <w:rsid w:val="001E0DEA"/>
    <w:rsid w:val="001E1120"/>
    <w:rsid w:val="001E1230"/>
    <w:rsid w:val="001E1806"/>
    <w:rsid w:val="001E2AF8"/>
    <w:rsid w:val="001E3FAB"/>
    <w:rsid w:val="001E46B8"/>
    <w:rsid w:val="001E5588"/>
    <w:rsid w:val="001E61DF"/>
    <w:rsid w:val="001E691D"/>
    <w:rsid w:val="001E77EF"/>
    <w:rsid w:val="001E7A29"/>
    <w:rsid w:val="001F0F17"/>
    <w:rsid w:val="001F234C"/>
    <w:rsid w:val="001F3347"/>
    <w:rsid w:val="001F46BA"/>
    <w:rsid w:val="001F59E5"/>
    <w:rsid w:val="001F69E4"/>
    <w:rsid w:val="0020170F"/>
    <w:rsid w:val="00202BDA"/>
    <w:rsid w:val="002051CD"/>
    <w:rsid w:val="00205C2F"/>
    <w:rsid w:val="002062B5"/>
    <w:rsid w:val="002066DB"/>
    <w:rsid w:val="002073A8"/>
    <w:rsid w:val="00207412"/>
    <w:rsid w:val="00210079"/>
    <w:rsid w:val="00211D32"/>
    <w:rsid w:val="002125B4"/>
    <w:rsid w:val="00213E30"/>
    <w:rsid w:val="00214075"/>
    <w:rsid w:val="002155B8"/>
    <w:rsid w:val="00216453"/>
    <w:rsid w:val="00221D6C"/>
    <w:rsid w:val="00223B33"/>
    <w:rsid w:val="00223E2C"/>
    <w:rsid w:val="00224839"/>
    <w:rsid w:val="002249B2"/>
    <w:rsid w:val="00224AEA"/>
    <w:rsid w:val="00224B71"/>
    <w:rsid w:val="002253E6"/>
    <w:rsid w:val="00226574"/>
    <w:rsid w:val="002278EC"/>
    <w:rsid w:val="00232395"/>
    <w:rsid w:val="0023280E"/>
    <w:rsid w:val="00233117"/>
    <w:rsid w:val="00233A1E"/>
    <w:rsid w:val="00234250"/>
    <w:rsid w:val="00234253"/>
    <w:rsid w:val="00234758"/>
    <w:rsid w:val="00234EA5"/>
    <w:rsid w:val="00235DDE"/>
    <w:rsid w:val="00236F51"/>
    <w:rsid w:val="002377D1"/>
    <w:rsid w:val="00237A99"/>
    <w:rsid w:val="00237CC0"/>
    <w:rsid w:val="002411C5"/>
    <w:rsid w:val="00242F99"/>
    <w:rsid w:val="0024777A"/>
    <w:rsid w:val="002506BC"/>
    <w:rsid w:val="0025215B"/>
    <w:rsid w:val="00254345"/>
    <w:rsid w:val="0025483C"/>
    <w:rsid w:val="00254B82"/>
    <w:rsid w:val="00256023"/>
    <w:rsid w:val="002561D9"/>
    <w:rsid w:val="00257FA6"/>
    <w:rsid w:val="002603FC"/>
    <w:rsid w:val="00260ED4"/>
    <w:rsid w:val="00262456"/>
    <w:rsid w:val="00262680"/>
    <w:rsid w:val="00263161"/>
    <w:rsid w:val="002637B5"/>
    <w:rsid w:val="00263BBE"/>
    <w:rsid w:val="00264557"/>
    <w:rsid w:val="002647C4"/>
    <w:rsid w:val="00264C41"/>
    <w:rsid w:val="00264F93"/>
    <w:rsid w:val="00266949"/>
    <w:rsid w:val="00270608"/>
    <w:rsid w:val="00270847"/>
    <w:rsid w:val="00271754"/>
    <w:rsid w:val="002722EB"/>
    <w:rsid w:val="002724C6"/>
    <w:rsid w:val="00272F67"/>
    <w:rsid w:val="00273195"/>
    <w:rsid w:val="00273791"/>
    <w:rsid w:val="00274837"/>
    <w:rsid w:val="002757B4"/>
    <w:rsid w:val="0027646A"/>
    <w:rsid w:val="00276C9B"/>
    <w:rsid w:val="00277F95"/>
    <w:rsid w:val="002805AB"/>
    <w:rsid w:val="00280F3B"/>
    <w:rsid w:val="002823D4"/>
    <w:rsid w:val="0028303C"/>
    <w:rsid w:val="00283D65"/>
    <w:rsid w:val="00284204"/>
    <w:rsid w:val="0028491A"/>
    <w:rsid w:val="00287535"/>
    <w:rsid w:val="002906DB"/>
    <w:rsid w:val="00290A8E"/>
    <w:rsid w:val="00291773"/>
    <w:rsid w:val="00291A94"/>
    <w:rsid w:val="00292151"/>
    <w:rsid w:val="00292996"/>
    <w:rsid w:val="00293762"/>
    <w:rsid w:val="00293B33"/>
    <w:rsid w:val="00293C67"/>
    <w:rsid w:val="00295412"/>
    <w:rsid w:val="002954A5"/>
    <w:rsid w:val="002969C4"/>
    <w:rsid w:val="0029702C"/>
    <w:rsid w:val="002A04E1"/>
    <w:rsid w:val="002A168C"/>
    <w:rsid w:val="002A17BE"/>
    <w:rsid w:val="002A3772"/>
    <w:rsid w:val="002A3DC7"/>
    <w:rsid w:val="002A42F3"/>
    <w:rsid w:val="002A4C7A"/>
    <w:rsid w:val="002A7D2C"/>
    <w:rsid w:val="002B042F"/>
    <w:rsid w:val="002B49E2"/>
    <w:rsid w:val="002B4C8E"/>
    <w:rsid w:val="002B525F"/>
    <w:rsid w:val="002B5F79"/>
    <w:rsid w:val="002B6E1E"/>
    <w:rsid w:val="002B7507"/>
    <w:rsid w:val="002B7B00"/>
    <w:rsid w:val="002B7C44"/>
    <w:rsid w:val="002C0043"/>
    <w:rsid w:val="002C0A2C"/>
    <w:rsid w:val="002C2323"/>
    <w:rsid w:val="002C2B17"/>
    <w:rsid w:val="002C3D62"/>
    <w:rsid w:val="002C5215"/>
    <w:rsid w:val="002C587F"/>
    <w:rsid w:val="002D0299"/>
    <w:rsid w:val="002D048C"/>
    <w:rsid w:val="002D0D72"/>
    <w:rsid w:val="002D2045"/>
    <w:rsid w:val="002D2AF5"/>
    <w:rsid w:val="002D2E2B"/>
    <w:rsid w:val="002D3B85"/>
    <w:rsid w:val="002D3DD0"/>
    <w:rsid w:val="002D4972"/>
    <w:rsid w:val="002D54AA"/>
    <w:rsid w:val="002D56C7"/>
    <w:rsid w:val="002D5FD7"/>
    <w:rsid w:val="002D6340"/>
    <w:rsid w:val="002D77CD"/>
    <w:rsid w:val="002E0F47"/>
    <w:rsid w:val="002E1742"/>
    <w:rsid w:val="002E1BA1"/>
    <w:rsid w:val="002E1F3A"/>
    <w:rsid w:val="002E2272"/>
    <w:rsid w:val="002E26BD"/>
    <w:rsid w:val="002E285F"/>
    <w:rsid w:val="002E298A"/>
    <w:rsid w:val="002E4611"/>
    <w:rsid w:val="002E4B09"/>
    <w:rsid w:val="002E5C97"/>
    <w:rsid w:val="002F3011"/>
    <w:rsid w:val="002F4B95"/>
    <w:rsid w:val="002F4ED8"/>
    <w:rsid w:val="002F7A6D"/>
    <w:rsid w:val="00300CBC"/>
    <w:rsid w:val="00301978"/>
    <w:rsid w:val="00302599"/>
    <w:rsid w:val="00302B5E"/>
    <w:rsid w:val="0030332C"/>
    <w:rsid w:val="00303D19"/>
    <w:rsid w:val="003051C2"/>
    <w:rsid w:val="003121D4"/>
    <w:rsid w:val="00312296"/>
    <w:rsid w:val="0031242D"/>
    <w:rsid w:val="00313F9F"/>
    <w:rsid w:val="00314F0E"/>
    <w:rsid w:val="0031521F"/>
    <w:rsid w:val="003156A9"/>
    <w:rsid w:val="00315B68"/>
    <w:rsid w:val="00315C1F"/>
    <w:rsid w:val="00321116"/>
    <w:rsid w:val="003216F6"/>
    <w:rsid w:val="00321D8E"/>
    <w:rsid w:val="00323B6B"/>
    <w:rsid w:val="00325928"/>
    <w:rsid w:val="00326073"/>
    <w:rsid w:val="003266ED"/>
    <w:rsid w:val="00326C7B"/>
    <w:rsid w:val="00327021"/>
    <w:rsid w:val="00331874"/>
    <w:rsid w:val="00331DD8"/>
    <w:rsid w:val="00332863"/>
    <w:rsid w:val="003334EA"/>
    <w:rsid w:val="003342C8"/>
    <w:rsid w:val="00335D0E"/>
    <w:rsid w:val="00335F31"/>
    <w:rsid w:val="0033684D"/>
    <w:rsid w:val="00337B30"/>
    <w:rsid w:val="00337B42"/>
    <w:rsid w:val="00341154"/>
    <w:rsid w:val="00341B42"/>
    <w:rsid w:val="00342625"/>
    <w:rsid w:val="003426B9"/>
    <w:rsid w:val="0034348F"/>
    <w:rsid w:val="003450DE"/>
    <w:rsid w:val="0034562E"/>
    <w:rsid w:val="00345871"/>
    <w:rsid w:val="00345C09"/>
    <w:rsid w:val="0034640F"/>
    <w:rsid w:val="003472DB"/>
    <w:rsid w:val="003476AE"/>
    <w:rsid w:val="00347EF9"/>
    <w:rsid w:val="00351573"/>
    <w:rsid w:val="003520B6"/>
    <w:rsid w:val="0035314D"/>
    <w:rsid w:val="003531FC"/>
    <w:rsid w:val="003542FA"/>
    <w:rsid w:val="00354B6E"/>
    <w:rsid w:val="00354E31"/>
    <w:rsid w:val="00356005"/>
    <w:rsid w:val="00356653"/>
    <w:rsid w:val="00356FCC"/>
    <w:rsid w:val="0035743F"/>
    <w:rsid w:val="00357BE2"/>
    <w:rsid w:val="003615B5"/>
    <w:rsid w:val="0036170C"/>
    <w:rsid w:val="00361D94"/>
    <w:rsid w:val="00363229"/>
    <w:rsid w:val="00363FBF"/>
    <w:rsid w:val="00364980"/>
    <w:rsid w:val="003649A5"/>
    <w:rsid w:val="00364E99"/>
    <w:rsid w:val="00366E0F"/>
    <w:rsid w:val="00374D82"/>
    <w:rsid w:val="00375281"/>
    <w:rsid w:val="00381A72"/>
    <w:rsid w:val="00382CB9"/>
    <w:rsid w:val="00383A51"/>
    <w:rsid w:val="00384676"/>
    <w:rsid w:val="003853E8"/>
    <w:rsid w:val="00385DEF"/>
    <w:rsid w:val="00385F95"/>
    <w:rsid w:val="00390857"/>
    <w:rsid w:val="00391FA0"/>
    <w:rsid w:val="0039304A"/>
    <w:rsid w:val="00394B16"/>
    <w:rsid w:val="00396F4C"/>
    <w:rsid w:val="003A07F7"/>
    <w:rsid w:val="003A163A"/>
    <w:rsid w:val="003A436A"/>
    <w:rsid w:val="003A4924"/>
    <w:rsid w:val="003A494A"/>
    <w:rsid w:val="003A4AAE"/>
    <w:rsid w:val="003A4BF3"/>
    <w:rsid w:val="003A4FAD"/>
    <w:rsid w:val="003A6ED1"/>
    <w:rsid w:val="003A70BE"/>
    <w:rsid w:val="003A7584"/>
    <w:rsid w:val="003A79BA"/>
    <w:rsid w:val="003A79C7"/>
    <w:rsid w:val="003B1445"/>
    <w:rsid w:val="003B3C7D"/>
    <w:rsid w:val="003B420D"/>
    <w:rsid w:val="003B4CD5"/>
    <w:rsid w:val="003B6068"/>
    <w:rsid w:val="003B728B"/>
    <w:rsid w:val="003B7D29"/>
    <w:rsid w:val="003C09B7"/>
    <w:rsid w:val="003C1050"/>
    <w:rsid w:val="003C1A7A"/>
    <w:rsid w:val="003C1B2C"/>
    <w:rsid w:val="003C1D16"/>
    <w:rsid w:val="003C1E13"/>
    <w:rsid w:val="003C2BD0"/>
    <w:rsid w:val="003C3BB9"/>
    <w:rsid w:val="003C5FD1"/>
    <w:rsid w:val="003C675A"/>
    <w:rsid w:val="003C69F8"/>
    <w:rsid w:val="003C6C16"/>
    <w:rsid w:val="003C744D"/>
    <w:rsid w:val="003D03D5"/>
    <w:rsid w:val="003D0E1A"/>
    <w:rsid w:val="003D17B4"/>
    <w:rsid w:val="003D2B31"/>
    <w:rsid w:val="003D2E3F"/>
    <w:rsid w:val="003D61B1"/>
    <w:rsid w:val="003D7566"/>
    <w:rsid w:val="003D769D"/>
    <w:rsid w:val="003D794D"/>
    <w:rsid w:val="003E0125"/>
    <w:rsid w:val="003E10DE"/>
    <w:rsid w:val="003E2149"/>
    <w:rsid w:val="003E2807"/>
    <w:rsid w:val="003E3058"/>
    <w:rsid w:val="003E359F"/>
    <w:rsid w:val="003E37AD"/>
    <w:rsid w:val="003E4708"/>
    <w:rsid w:val="003E5958"/>
    <w:rsid w:val="003E5CB2"/>
    <w:rsid w:val="003E644C"/>
    <w:rsid w:val="003E6AF0"/>
    <w:rsid w:val="003E76A9"/>
    <w:rsid w:val="003F00DD"/>
    <w:rsid w:val="003F0809"/>
    <w:rsid w:val="003F207B"/>
    <w:rsid w:val="003F327E"/>
    <w:rsid w:val="003F3CC0"/>
    <w:rsid w:val="003F423D"/>
    <w:rsid w:val="003F5240"/>
    <w:rsid w:val="003F6A8C"/>
    <w:rsid w:val="003F6ACE"/>
    <w:rsid w:val="003F755C"/>
    <w:rsid w:val="003F7B5A"/>
    <w:rsid w:val="004003B7"/>
    <w:rsid w:val="00400764"/>
    <w:rsid w:val="004029D5"/>
    <w:rsid w:val="00402F6A"/>
    <w:rsid w:val="004035E5"/>
    <w:rsid w:val="00404AEA"/>
    <w:rsid w:val="00404DA7"/>
    <w:rsid w:val="004055B3"/>
    <w:rsid w:val="00405EA1"/>
    <w:rsid w:val="00406F01"/>
    <w:rsid w:val="0040799E"/>
    <w:rsid w:val="00411114"/>
    <w:rsid w:val="00411631"/>
    <w:rsid w:val="004128C0"/>
    <w:rsid w:val="0041498F"/>
    <w:rsid w:val="004154FE"/>
    <w:rsid w:val="00416D50"/>
    <w:rsid w:val="00416FD5"/>
    <w:rsid w:val="0041704E"/>
    <w:rsid w:val="00417772"/>
    <w:rsid w:val="00420A47"/>
    <w:rsid w:val="00420E6A"/>
    <w:rsid w:val="00421AFC"/>
    <w:rsid w:val="004225B3"/>
    <w:rsid w:val="00422E77"/>
    <w:rsid w:val="00424F0A"/>
    <w:rsid w:val="00425A9E"/>
    <w:rsid w:val="004266FE"/>
    <w:rsid w:val="00426D6B"/>
    <w:rsid w:val="00427E00"/>
    <w:rsid w:val="00427FF8"/>
    <w:rsid w:val="00431A21"/>
    <w:rsid w:val="00431AB9"/>
    <w:rsid w:val="00431E6C"/>
    <w:rsid w:val="00431EEB"/>
    <w:rsid w:val="0043390D"/>
    <w:rsid w:val="00433CE7"/>
    <w:rsid w:val="004347AD"/>
    <w:rsid w:val="00434E84"/>
    <w:rsid w:val="00436309"/>
    <w:rsid w:val="00441DDC"/>
    <w:rsid w:val="00441E01"/>
    <w:rsid w:val="0044226E"/>
    <w:rsid w:val="00442D7A"/>
    <w:rsid w:val="00442ED7"/>
    <w:rsid w:val="0044390D"/>
    <w:rsid w:val="00445793"/>
    <w:rsid w:val="00445F80"/>
    <w:rsid w:val="00446323"/>
    <w:rsid w:val="00446B44"/>
    <w:rsid w:val="00450D6A"/>
    <w:rsid w:val="0045101C"/>
    <w:rsid w:val="00452738"/>
    <w:rsid w:val="00452742"/>
    <w:rsid w:val="004527C0"/>
    <w:rsid w:val="004533E7"/>
    <w:rsid w:val="004554CF"/>
    <w:rsid w:val="00456091"/>
    <w:rsid w:val="0045646A"/>
    <w:rsid w:val="00461735"/>
    <w:rsid w:val="0046267B"/>
    <w:rsid w:val="00466052"/>
    <w:rsid w:val="00466321"/>
    <w:rsid w:val="004665FB"/>
    <w:rsid w:val="0046776E"/>
    <w:rsid w:val="004679AF"/>
    <w:rsid w:val="00470178"/>
    <w:rsid w:val="004710CE"/>
    <w:rsid w:val="00471DE2"/>
    <w:rsid w:val="00472331"/>
    <w:rsid w:val="004730C6"/>
    <w:rsid w:val="00473162"/>
    <w:rsid w:val="00473493"/>
    <w:rsid w:val="0047435E"/>
    <w:rsid w:val="004746E7"/>
    <w:rsid w:val="00474C48"/>
    <w:rsid w:val="00474E1F"/>
    <w:rsid w:val="004755B2"/>
    <w:rsid w:val="00476372"/>
    <w:rsid w:val="00477643"/>
    <w:rsid w:val="00477E84"/>
    <w:rsid w:val="004808C8"/>
    <w:rsid w:val="00480941"/>
    <w:rsid w:val="00480ABB"/>
    <w:rsid w:val="004825CD"/>
    <w:rsid w:val="00482665"/>
    <w:rsid w:val="004845F6"/>
    <w:rsid w:val="00484A98"/>
    <w:rsid w:val="00484B9B"/>
    <w:rsid w:val="004855F6"/>
    <w:rsid w:val="0048661E"/>
    <w:rsid w:val="00491F57"/>
    <w:rsid w:val="00492394"/>
    <w:rsid w:val="00492427"/>
    <w:rsid w:val="0049246F"/>
    <w:rsid w:val="004944A7"/>
    <w:rsid w:val="00494670"/>
    <w:rsid w:val="0049491E"/>
    <w:rsid w:val="00495C07"/>
    <w:rsid w:val="0049686A"/>
    <w:rsid w:val="004977EC"/>
    <w:rsid w:val="004A24B7"/>
    <w:rsid w:val="004A26E5"/>
    <w:rsid w:val="004A37C7"/>
    <w:rsid w:val="004A3823"/>
    <w:rsid w:val="004A586B"/>
    <w:rsid w:val="004A69B3"/>
    <w:rsid w:val="004A6D99"/>
    <w:rsid w:val="004A728A"/>
    <w:rsid w:val="004B196B"/>
    <w:rsid w:val="004B204D"/>
    <w:rsid w:val="004B4913"/>
    <w:rsid w:val="004B75D4"/>
    <w:rsid w:val="004B78E9"/>
    <w:rsid w:val="004C0484"/>
    <w:rsid w:val="004C0E6A"/>
    <w:rsid w:val="004C2ACF"/>
    <w:rsid w:val="004C4726"/>
    <w:rsid w:val="004C559F"/>
    <w:rsid w:val="004C74C5"/>
    <w:rsid w:val="004C7C83"/>
    <w:rsid w:val="004D068F"/>
    <w:rsid w:val="004D0804"/>
    <w:rsid w:val="004D2CC3"/>
    <w:rsid w:val="004D2F8E"/>
    <w:rsid w:val="004D3ED0"/>
    <w:rsid w:val="004D44CC"/>
    <w:rsid w:val="004D4B19"/>
    <w:rsid w:val="004D4C70"/>
    <w:rsid w:val="004D647D"/>
    <w:rsid w:val="004D79B4"/>
    <w:rsid w:val="004E1128"/>
    <w:rsid w:val="004E1C8B"/>
    <w:rsid w:val="004E24E8"/>
    <w:rsid w:val="004E56B4"/>
    <w:rsid w:val="004E5727"/>
    <w:rsid w:val="004E5FC0"/>
    <w:rsid w:val="004E6782"/>
    <w:rsid w:val="004E6946"/>
    <w:rsid w:val="004E698E"/>
    <w:rsid w:val="004E73CA"/>
    <w:rsid w:val="004E7B99"/>
    <w:rsid w:val="004E7C3D"/>
    <w:rsid w:val="004E7E67"/>
    <w:rsid w:val="004F0AEC"/>
    <w:rsid w:val="004F1434"/>
    <w:rsid w:val="004F1AD8"/>
    <w:rsid w:val="004F480D"/>
    <w:rsid w:val="004F5406"/>
    <w:rsid w:val="004F56C5"/>
    <w:rsid w:val="004F75BE"/>
    <w:rsid w:val="00502ED0"/>
    <w:rsid w:val="005039CB"/>
    <w:rsid w:val="00503C44"/>
    <w:rsid w:val="00504093"/>
    <w:rsid w:val="0050558F"/>
    <w:rsid w:val="00505C4C"/>
    <w:rsid w:val="00506286"/>
    <w:rsid w:val="00510813"/>
    <w:rsid w:val="00511990"/>
    <w:rsid w:val="00511DE0"/>
    <w:rsid w:val="00512B86"/>
    <w:rsid w:val="0051343F"/>
    <w:rsid w:val="00513F74"/>
    <w:rsid w:val="00514870"/>
    <w:rsid w:val="00514B9B"/>
    <w:rsid w:val="00515481"/>
    <w:rsid w:val="00516579"/>
    <w:rsid w:val="0051705D"/>
    <w:rsid w:val="00517F02"/>
    <w:rsid w:val="00520DFC"/>
    <w:rsid w:val="0052142E"/>
    <w:rsid w:val="0052166F"/>
    <w:rsid w:val="00523D90"/>
    <w:rsid w:val="00524303"/>
    <w:rsid w:val="00525038"/>
    <w:rsid w:val="005258A2"/>
    <w:rsid w:val="005263FB"/>
    <w:rsid w:val="00526BDF"/>
    <w:rsid w:val="005311CF"/>
    <w:rsid w:val="00531349"/>
    <w:rsid w:val="00531D50"/>
    <w:rsid w:val="0053413D"/>
    <w:rsid w:val="00534B02"/>
    <w:rsid w:val="005369B5"/>
    <w:rsid w:val="00540010"/>
    <w:rsid w:val="005401AE"/>
    <w:rsid w:val="00540FBB"/>
    <w:rsid w:val="00542E07"/>
    <w:rsid w:val="00542F48"/>
    <w:rsid w:val="00543F23"/>
    <w:rsid w:val="00545424"/>
    <w:rsid w:val="0054576A"/>
    <w:rsid w:val="00545B24"/>
    <w:rsid w:val="00547AE3"/>
    <w:rsid w:val="00550A73"/>
    <w:rsid w:val="00551F63"/>
    <w:rsid w:val="00552681"/>
    <w:rsid w:val="00552F88"/>
    <w:rsid w:val="005533E4"/>
    <w:rsid w:val="00554A7B"/>
    <w:rsid w:val="00554FC4"/>
    <w:rsid w:val="005554C1"/>
    <w:rsid w:val="0055572C"/>
    <w:rsid w:val="00556399"/>
    <w:rsid w:val="00557308"/>
    <w:rsid w:val="00557CAC"/>
    <w:rsid w:val="00557EED"/>
    <w:rsid w:val="00560BE3"/>
    <w:rsid w:val="0056106A"/>
    <w:rsid w:val="0056264F"/>
    <w:rsid w:val="0056395F"/>
    <w:rsid w:val="00563D45"/>
    <w:rsid w:val="0056495F"/>
    <w:rsid w:val="005651B7"/>
    <w:rsid w:val="00565D68"/>
    <w:rsid w:val="00567156"/>
    <w:rsid w:val="0056746F"/>
    <w:rsid w:val="0057017E"/>
    <w:rsid w:val="005720AE"/>
    <w:rsid w:val="005763B2"/>
    <w:rsid w:val="00577903"/>
    <w:rsid w:val="00580DCE"/>
    <w:rsid w:val="00581FE8"/>
    <w:rsid w:val="0058212E"/>
    <w:rsid w:val="0058245F"/>
    <w:rsid w:val="00585851"/>
    <w:rsid w:val="00585B32"/>
    <w:rsid w:val="0058642C"/>
    <w:rsid w:val="005871D6"/>
    <w:rsid w:val="00592AAF"/>
    <w:rsid w:val="0059336E"/>
    <w:rsid w:val="00594C70"/>
    <w:rsid w:val="00594D77"/>
    <w:rsid w:val="005963A4"/>
    <w:rsid w:val="005969E4"/>
    <w:rsid w:val="00596C52"/>
    <w:rsid w:val="00597796"/>
    <w:rsid w:val="00597C33"/>
    <w:rsid w:val="005A06B7"/>
    <w:rsid w:val="005A13C3"/>
    <w:rsid w:val="005A1759"/>
    <w:rsid w:val="005A179B"/>
    <w:rsid w:val="005A1AFB"/>
    <w:rsid w:val="005A1D9E"/>
    <w:rsid w:val="005A3E69"/>
    <w:rsid w:val="005A4207"/>
    <w:rsid w:val="005A5489"/>
    <w:rsid w:val="005A66B5"/>
    <w:rsid w:val="005A68A7"/>
    <w:rsid w:val="005A76C2"/>
    <w:rsid w:val="005B0213"/>
    <w:rsid w:val="005B021E"/>
    <w:rsid w:val="005B1367"/>
    <w:rsid w:val="005B29FD"/>
    <w:rsid w:val="005B37AA"/>
    <w:rsid w:val="005B674C"/>
    <w:rsid w:val="005B6FB7"/>
    <w:rsid w:val="005B7CA0"/>
    <w:rsid w:val="005C1195"/>
    <w:rsid w:val="005C19FC"/>
    <w:rsid w:val="005C28A4"/>
    <w:rsid w:val="005C2968"/>
    <w:rsid w:val="005C2D34"/>
    <w:rsid w:val="005C6115"/>
    <w:rsid w:val="005C6C7E"/>
    <w:rsid w:val="005C74A4"/>
    <w:rsid w:val="005D0285"/>
    <w:rsid w:val="005D0E31"/>
    <w:rsid w:val="005D27BF"/>
    <w:rsid w:val="005D2B54"/>
    <w:rsid w:val="005D33F0"/>
    <w:rsid w:val="005D36AB"/>
    <w:rsid w:val="005D4343"/>
    <w:rsid w:val="005D5941"/>
    <w:rsid w:val="005D7917"/>
    <w:rsid w:val="005D7E98"/>
    <w:rsid w:val="005E26DE"/>
    <w:rsid w:val="005E2EE4"/>
    <w:rsid w:val="005E4196"/>
    <w:rsid w:val="005E4954"/>
    <w:rsid w:val="005E58B4"/>
    <w:rsid w:val="005E6111"/>
    <w:rsid w:val="005E62B9"/>
    <w:rsid w:val="005E7785"/>
    <w:rsid w:val="005E7DAF"/>
    <w:rsid w:val="005F1847"/>
    <w:rsid w:val="005F44CE"/>
    <w:rsid w:val="005F4608"/>
    <w:rsid w:val="005F4F3D"/>
    <w:rsid w:val="005F5887"/>
    <w:rsid w:val="005F72F6"/>
    <w:rsid w:val="0060039B"/>
    <w:rsid w:val="006003FF"/>
    <w:rsid w:val="00601EA8"/>
    <w:rsid w:val="00603803"/>
    <w:rsid w:val="006055A6"/>
    <w:rsid w:val="00605BD2"/>
    <w:rsid w:val="00605D05"/>
    <w:rsid w:val="006061FF"/>
    <w:rsid w:val="006071FD"/>
    <w:rsid w:val="0060722D"/>
    <w:rsid w:val="0061099C"/>
    <w:rsid w:val="006114AB"/>
    <w:rsid w:val="006116FA"/>
    <w:rsid w:val="00611F58"/>
    <w:rsid w:val="00612167"/>
    <w:rsid w:val="00615DC8"/>
    <w:rsid w:val="00616C43"/>
    <w:rsid w:val="006170C1"/>
    <w:rsid w:val="00617CC3"/>
    <w:rsid w:val="00622BFF"/>
    <w:rsid w:val="00622D84"/>
    <w:rsid w:val="006250EA"/>
    <w:rsid w:val="00625189"/>
    <w:rsid w:val="00630630"/>
    <w:rsid w:val="0063180E"/>
    <w:rsid w:val="00632C5C"/>
    <w:rsid w:val="00632DEF"/>
    <w:rsid w:val="00633F10"/>
    <w:rsid w:val="006362ED"/>
    <w:rsid w:val="0063682A"/>
    <w:rsid w:val="006369DD"/>
    <w:rsid w:val="006377A6"/>
    <w:rsid w:val="0063796F"/>
    <w:rsid w:val="00637A3D"/>
    <w:rsid w:val="00637D19"/>
    <w:rsid w:val="006411EF"/>
    <w:rsid w:val="00641ED6"/>
    <w:rsid w:val="00644B75"/>
    <w:rsid w:val="006455B5"/>
    <w:rsid w:val="00647189"/>
    <w:rsid w:val="00647CA3"/>
    <w:rsid w:val="00647D34"/>
    <w:rsid w:val="0065099C"/>
    <w:rsid w:val="006510C9"/>
    <w:rsid w:val="006510D1"/>
    <w:rsid w:val="00651264"/>
    <w:rsid w:val="0065250C"/>
    <w:rsid w:val="006528DA"/>
    <w:rsid w:val="00652B61"/>
    <w:rsid w:val="00652D98"/>
    <w:rsid w:val="006547FE"/>
    <w:rsid w:val="00660CB2"/>
    <w:rsid w:val="006610C1"/>
    <w:rsid w:val="006615A1"/>
    <w:rsid w:val="0066273B"/>
    <w:rsid w:val="00662CED"/>
    <w:rsid w:val="00662D03"/>
    <w:rsid w:val="00662FE9"/>
    <w:rsid w:val="006641FB"/>
    <w:rsid w:val="00664783"/>
    <w:rsid w:val="00664813"/>
    <w:rsid w:val="00665F0C"/>
    <w:rsid w:val="006670BD"/>
    <w:rsid w:val="00667F08"/>
    <w:rsid w:val="00667F88"/>
    <w:rsid w:val="00670625"/>
    <w:rsid w:val="0067123D"/>
    <w:rsid w:val="006715CD"/>
    <w:rsid w:val="00672965"/>
    <w:rsid w:val="00672F34"/>
    <w:rsid w:val="00673E8A"/>
    <w:rsid w:val="006748B8"/>
    <w:rsid w:val="006754DE"/>
    <w:rsid w:val="00675BB9"/>
    <w:rsid w:val="006775BA"/>
    <w:rsid w:val="006775C3"/>
    <w:rsid w:val="00677BE6"/>
    <w:rsid w:val="00680017"/>
    <w:rsid w:val="00681F22"/>
    <w:rsid w:val="00682B1D"/>
    <w:rsid w:val="006835D7"/>
    <w:rsid w:val="00686951"/>
    <w:rsid w:val="006874F7"/>
    <w:rsid w:val="006876E4"/>
    <w:rsid w:val="00690F34"/>
    <w:rsid w:val="0069290A"/>
    <w:rsid w:val="0069431C"/>
    <w:rsid w:val="00695009"/>
    <w:rsid w:val="006951C7"/>
    <w:rsid w:val="006958B9"/>
    <w:rsid w:val="00695CED"/>
    <w:rsid w:val="006964F8"/>
    <w:rsid w:val="0069651D"/>
    <w:rsid w:val="0069775A"/>
    <w:rsid w:val="00697813"/>
    <w:rsid w:val="00697A76"/>
    <w:rsid w:val="006A017E"/>
    <w:rsid w:val="006A1231"/>
    <w:rsid w:val="006A12F4"/>
    <w:rsid w:val="006A174A"/>
    <w:rsid w:val="006A1E73"/>
    <w:rsid w:val="006A3EE8"/>
    <w:rsid w:val="006A624D"/>
    <w:rsid w:val="006A72BF"/>
    <w:rsid w:val="006A7C8B"/>
    <w:rsid w:val="006B03C1"/>
    <w:rsid w:val="006B03F2"/>
    <w:rsid w:val="006B163E"/>
    <w:rsid w:val="006B24B6"/>
    <w:rsid w:val="006B37DC"/>
    <w:rsid w:val="006B4F68"/>
    <w:rsid w:val="006B5579"/>
    <w:rsid w:val="006B569B"/>
    <w:rsid w:val="006B59BC"/>
    <w:rsid w:val="006B60AC"/>
    <w:rsid w:val="006B60B6"/>
    <w:rsid w:val="006B6929"/>
    <w:rsid w:val="006B72AC"/>
    <w:rsid w:val="006B73F8"/>
    <w:rsid w:val="006B76BC"/>
    <w:rsid w:val="006C0524"/>
    <w:rsid w:val="006C0592"/>
    <w:rsid w:val="006C0AE1"/>
    <w:rsid w:val="006C272E"/>
    <w:rsid w:val="006C3564"/>
    <w:rsid w:val="006C3F9F"/>
    <w:rsid w:val="006C5479"/>
    <w:rsid w:val="006C5AB2"/>
    <w:rsid w:val="006C6C89"/>
    <w:rsid w:val="006C75EF"/>
    <w:rsid w:val="006D019A"/>
    <w:rsid w:val="006D023F"/>
    <w:rsid w:val="006D0A0C"/>
    <w:rsid w:val="006D13B5"/>
    <w:rsid w:val="006D2350"/>
    <w:rsid w:val="006D38FC"/>
    <w:rsid w:val="006D3BAD"/>
    <w:rsid w:val="006D3CA8"/>
    <w:rsid w:val="006D47F1"/>
    <w:rsid w:val="006D5EC4"/>
    <w:rsid w:val="006D616F"/>
    <w:rsid w:val="006E12FF"/>
    <w:rsid w:val="006E187E"/>
    <w:rsid w:val="006E2974"/>
    <w:rsid w:val="006E35BC"/>
    <w:rsid w:val="006E3C1C"/>
    <w:rsid w:val="006E607E"/>
    <w:rsid w:val="006E7F43"/>
    <w:rsid w:val="006F05C7"/>
    <w:rsid w:val="006F23A1"/>
    <w:rsid w:val="006F2BF9"/>
    <w:rsid w:val="006F39B4"/>
    <w:rsid w:val="006F6545"/>
    <w:rsid w:val="006F7219"/>
    <w:rsid w:val="006F795A"/>
    <w:rsid w:val="00700A16"/>
    <w:rsid w:val="00700E07"/>
    <w:rsid w:val="00703D8D"/>
    <w:rsid w:val="00706C5D"/>
    <w:rsid w:val="00707014"/>
    <w:rsid w:val="00707042"/>
    <w:rsid w:val="00707412"/>
    <w:rsid w:val="007101C9"/>
    <w:rsid w:val="00710D47"/>
    <w:rsid w:val="00711AEC"/>
    <w:rsid w:val="00711D52"/>
    <w:rsid w:val="00712AF1"/>
    <w:rsid w:val="00712B44"/>
    <w:rsid w:val="0071312C"/>
    <w:rsid w:val="0071341F"/>
    <w:rsid w:val="007213C2"/>
    <w:rsid w:val="00721A60"/>
    <w:rsid w:val="00723806"/>
    <w:rsid w:val="007238E3"/>
    <w:rsid w:val="00724CCB"/>
    <w:rsid w:val="007250CE"/>
    <w:rsid w:val="007257D5"/>
    <w:rsid w:val="00725EAB"/>
    <w:rsid w:val="007273D2"/>
    <w:rsid w:val="00730BCE"/>
    <w:rsid w:val="00732215"/>
    <w:rsid w:val="00732922"/>
    <w:rsid w:val="007329A2"/>
    <w:rsid w:val="00732CB5"/>
    <w:rsid w:val="007331EE"/>
    <w:rsid w:val="00734E4B"/>
    <w:rsid w:val="007350A2"/>
    <w:rsid w:val="0073543B"/>
    <w:rsid w:val="007361CE"/>
    <w:rsid w:val="007403C3"/>
    <w:rsid w:val="0074058F"/>
    <w:rsid w:val="00740699"/>
    <w:rsid w:val="00740BCB"/>
    <w:rsid w:val="0074169F"/>
    <w:rsid w:val="0074364D"/>
    <w:rsid w:val="00744FFB"/>
    <w:rsid w:val="00745B6F"/>
    <w:rsid w:val="0075162E"/>
    <w:rsid w:val="00752094"/>
    <w:rsid w:val="007529E8"/>
    <w:rsid w:val="00753DB0"/>
    <w:rsid w:val="00753E9D"/>
    <w:rsid w:val="00754034"/>
    <w:rsid w:val="00755F78"/>
    <w:rsid w:val="00756556"/>
    <w:rsid w:val="00756D55"/>
    <w:rsid w:val="007574E9"/>
    <w:rsid w:val="007608F8"/>
    <w:rsid w:val="007618C4"/>
    <w:rsid w:val="00762AF1"/>
    <w:rsid w:val="00764FD9"/>
    <w:rsid w:val="00767980"/>
    <w:rsid w:val="00767BA2"/>
    <w:rsid w:val="00770007"/>
    <w:rsid w:val="00770B19"/>
    <w:rsid w:val="00770BBF"/>
    <w:rsid w:val="00771664"/>
    <w:rsid w:val="0077207C"/>
    <w:rsid w:val="0077463F"/>
    <w:rsid w:val="00774FF4"/>
    <w:rsid w:val="007753A1"/>
    <w:rsid w:val="007757E0"/>
    <w:rsid w:val="00777061"/>
    <w:rsid w:val="0078097D"/>
    <w:rsid w:val="00780BE7"/>
    <w:rsid w:val="0078112F"/>
    <w:rsid w:val="0078117F"/>
    <w:rsid w:val="007818A8"/>
    <w:rsid w:val="00781D00"/>
    <w:rsid w:val="00782836"/>
    <w:rsid w:val="007832BF"/>
    <w:rsid w:val="007836EA"/>
    <w:rsid w:val="007837EE"/>
    <w:rsid w:val="00784CDA"/>
    <w:rsid w:val="007859DF"/>
    <w:rsid w:val="00785EC3"/>
    <w:rsid w:val="007864C7"/>
    <w:rsid w:val="0078682F"/>
    <w:rsid w:val="00787EEA"/>
    <w:rsid w:val="007906C4"/>
    <w:rsid w:val="00791966"/>
    <w:rsid w:val="00792871"/>
    <w:rsid w:val="00792898"/>
    <w:rsid w:val="00793751"/>
    <w:rsid w:val="007940EA"/>
    <w:rsid w:val="00794472"/>
    <w:rsid w:val="007958AB"/>
    <w:rsid w:val="00795A2E"/>
    <w:rsid w:val="00795FE5"/>
    <w:rsid w:val="007967E8"/>
    <w:rsid w:val="007978BD"/>
    <w:rsid w:val="007A17AF"/>
    <w:rsid w:val="007A19B4"/>
    <w:rsid w:val="007A1D9B"/>
    <w:rsid w:val="007A2170"/>
    <w:rsid w:val="007A22BF"/>
    <w:rsid w:val="007A2C5D"/>
    <w:rsid w:val="007A3323"/>
    <w:rsid w:val="007A3CC8"/>
    <w:rsid w:val="007A645D"/>
    <w:rsid w:val="007A682F"/>
    <w:rsid w:val="007A6ADD"/>
    <w:rsid w:val="007A77DC"/>
    <w:rsid w:val="007B0D82"/>
    <w:rsid w:val="007B12D8"/>
    <w:rsid w:val="007B3F53"/>
    <w:rsid w:val="007B44AA"/>
    <w:rsid w:val="007B72B8"/>
    <w:rsid w:val="007B7A58"/>
    <w:rsid w:val="007C1A66"/>
    <w:rsid w:val="007C21B5"/>
    <w:rsid w:val="007C22CC"/>
    <w:rsid w:val="007C28F9"/>
    <w:rsid w:val="007C2C87"/>
    <w:rsid w:val="007C39A0"/>
    <w:rsid w:val="007C4082"/>
    <w:rsid w:val="007C5F18"/>
    <w:rsid w:val="007C660B"/>
    <w:rsid w:val="007C7A38"/>
    <w:rsid w:val="007D0CCF"/>
    <w:rsid w:val="007D1560"/>
    <w:rsid w:val="007D177C"/>
    <w:rsid w:val="007D2A0E"/>
    <w:rsid w:val="007D2C79"/>
    <w:rsid w:val="007D34E7"/>
    <w:rsid w:val="007D3BCC"/>
    <w:rsid w:val="007D44D5"/>
    <w:rsid w:val="007D495C"/>
    <w:rsid w:val="007D53E9"/>
    <w:rsid w:val="007D783B"/>
    <w:rsid w:val="007D7CDF"/>
    <w:rsid w:val="007E0DEF"/>
    <w:rsid w:val="007E15D4"/>
    <w:rsid w:val="007E4BD2"/>
    <w:rsid w:val="007E4C04"/>
    <w:rsid w:val="007E4DE7"/>
    <w:rsid w:val="007E51C2"/>
    <w:rsid w:val="007F086A"/>
    <w:rsid w:val="007F10B5"/>
    <w:rsid w:val="007F1466"/>
    <w:rsid w:val="007F229A"/>
    <w:rsid w:val="007F2674"/>
    <w:rsid w:val="007F27CA"/>
    <w:rsid w:val="007F52CE"/>
    <w:rsid w:val="007F593C"/>
    <w:rsid w:val="007F6A77"/>
    <w:rsid w:val="007F6A83"/>
    <w:rsid w:val="007F6BF7"/>
    <w:rsid w:val="007F7861"/>
    <w:rsid w:val="00801393"/>
    <w:rsid w:val="00801EE5"/>
    <w:rsid w:val="00802F88"/>
    <w:rsid w:val="0080603B"/>
    <w:rsid w:val="008060A5"/>
    <w:rsid w:val="00806752"/>
    <w:rsid w:val="00806BD5"/>
    <w:rsid w:val="008075D3"/>
    <w:rsid w:val="00807BE9"/>
    <w:rsid w:val="00810F73"/>
    <w:rsid w:val="008118B8"/>
    <w:rsid w:val="00811F10"/>
    <w:rsid w:val="0081293E"/>
    <w:rsid w:val="00812B33"/>
    <w:rsid w:val="00813292"/>
    <w:rsid w:val="00814795"/>
    <w:rsid w:val="00815465"/>
    <w:rsid w:val="008157A8"/>
    <w:rsid w:val="00815A9C"/>
    <w:rsid w:val="00816925"/>
    <w:rsid w:val="00817E9A"/>
    <w:rsid w:val="00817F9C"/>
    <w:rsid w:val="00821C1A"/>
    <w:rsid w:val="00822CCA"/>
    <w:rsid w:val="00825EBD"/>
    <w:rsid w:val="00826743"/>
    <w:rsid w:val="00826AE2"/>
    <w:rsid w:val="008271BE"/>
    <w:rsid w:val="00827B4E"/>
    <w:rsid w:val="008306BD"/>
    <w:rsid w:val="00831A80"/>
    <w:rsid w:val="00831CDC"/>
    <w:rsid w:val="00833743"/>
    <w:rsid w:val="008340A4"/>
    <w:rsid w:val="008340B2"/>
    <w:rsid w:val="00834B8B"/>
    <w:rsid w:val="00834DF0"/>
    <w:rsid w:val="00835414"/>
    <w:rsid w:val="00835B62"/>
    <w:rsid w:val="00837561"/>
    <w:rsid w:val="00837F34"/>
    <w:rsid w:val="00840681"/>
    <w:rsid w:val="00841053"/>
    <w:rsid w:val="00842090"/>
    <w:rsid w:val="008428F2"/>
    <w:rsid w:val="00847577"/>
    <w:rsid w:val="00851274"/>
    <w:rsid w:val="0085161D"/>
    <w:rsid w:val="0085169C"/>
    <w:rsid w:val="00852108"/>
    <w:rsid w:val="00853184"/>
    <w:rsid w:val="0085422E"/>
    <w:rsid w:val="00856942"/>
    <w:rsid w:val="00857563"/>
    <w:rsid w:val="00857EFC"/>
    <w:rsid w:val="008608BB"/>
    <w:rsid w:val="00861FFF"/>
    <w:rsid w:val="0086414F"/>
    <w:rsid w:val="00864A36"/>
    <w:rsid w:val="00864DCF"/>
    <w:rsid w:val="00865B90"/>
    <w:rsid w:val="00871188"/>
    <w:rsid w:val="0087135F"/>
    <w:rsid w:val="00871E75"/>
    <w:rsid w:val="008724FF"/>
    <w:rsid w:val="00872695"/>
    <w:rsid w:val="0087282E"/>
    <w:rsid w:val="00872D94"/>
    <w:rsid w:val="0087367C"/>
    <w:rsid w:val="008751C1"/>
    <w:rsid w:val="00875C01"/>
    <w:rsid w:val="00876E83"/>
    <w:rsid w:val="00880364"/>
    <w:rsid w:val="0088081B"/>
    <w:rsid w:val="00883D25"/>
    <w:rsid w:val="00885116"/>
    <w:rsid w:val="00885B23"/>
    <w:rsid w:val="00885B35"/>
    <w:rsid w:val="0088785B"/>
    <w:rsid w:val="0089097A"/>
    <w:rsid w:val="00891070"/>
    <w:rsid w:val="00891592"/>
    <w:rsid w:val="00891A9C"/>
    <w:rsid w:val="00891E9E"/>
    <w:rsid w:val="00892223"/>
    <w:rsid w:val="00895458"/>
    <w:rsid w:val="00895619"/>
    <w:rsid w:val="00895DDE"/>
    <w:rsid w:val="00895FA2"/>
    <w:rsid w:val="00896284"/>
    <w:rsid w:val="00896D8C"/>
    <w:rsid w:val="00896F62"/>
    <w:rsid w:val="00897959"/>
    <w:rsid w:val="008A1E1D"/>
    <w:rsid w:val="008A2F68"/>
    <w:rsid w:val="008A37FE"/>
    <w:rsid w:val="008A38C5"/>
    <w:rsid w:val="008A428B"/>
    <w:rsid w:val="008A49D6"/>
    <w:rsid w:val="008A52C6"/>
    <w:rsid w:val="008A73DF"/>
    <w:rsid w:val="008B1BDC"/>
    <w:rsid w:val="008B1D82"/>
    <w:rsid w:val="008B2038"/>
    <w:rsid w:val="008B2892"/>
    <w:rsid w:val="008B3F22"/>
    <w:rsid w:val="008B4FA6"/>
    <w:rsid w:val="008B5282"/>
    <w:rsid w:val="008B5F6E"/>
    <w:rsid w:val="008B6AC9"/>
    <w:rsid w:val="008B781D"/>
    <w:rsid w:val="008B7C17"/>
    <w:rsid w:val="008B7E2A"/>
    <w:rsid w:val="008C0280"/>
    <w:rsid w:val="008C04EE"/>
    <w:rsid w:val="008C06D9"/>
    <w:rsid w:val="008C0D55"/>
    <w:rsid w:val="008C2CAA"/>
    <w:rsid w:val="008C2D01"/>
    <w:rsid w:val="008C37B3"/>
    <w:rsid w:val="008C40E6"/>
    <w:rsid w:val="008C58AF"/>
    <w:rsid w:val="008C64EC"/>
    <w:rsid w:val="008C6599"/>
    <w:rsid w:val="008C69A4"/>
    <w:rsid w:val="008C6B9A"/>
    <w:rsid w:val="008C6F19"/>
    <w:rsid w:val="008C7097"/>
    <w:rsid w:val="008C71AB"/>
    <w:rsid w:val="008C71C6"/>
    <w:rsid w:val="008C7822"/>
    <w:rsid w:val="008D0012"/>
    <w:rsid w:val="008D0F7A"/>
    <w:rsid w:val="008D1287"/>
    <w:rsid w:val="008D2059"/>
    <w:rsid w:val="008D2FED"/>
    <w:rsid w:val="008D3F29"/>
    <w:rsid w:val="008D53F1"/>
    <w:rsid w:val="008D54E6"/>
    <w:rsid w:val="008D68E4"/>
    <w:rsid w:val="008D6F6A"/>
    <w:rsid w:val="008E0506"/>
    <w:rsid w:val="008E0B66"/>
    <w:rsid w:val="008E0CFF"/>
    <w:rsid w:val="008E0F51"/>
    <w:rsid w:val="008E1146"/>
    <w:rsid w:val="008E2163"/>
    <w:rsid w:val="008E4035"/>
    <w:rsid w:val="008E551A"/>
    <w:rsid w:val="008E5D6B"/>
    <w:rsid w:val="008E6134"/>
    <w:rsid w:val="008E65C2"/>
    <w:rsid w:val="008E7028"/>
    <w:rsid w:val="008E76F0"/>
    <w:rsid w:val="008F15FE"/>
    <w:rsid w:val="008F24E2"/>
    <w:rsid w:val="008F2D29"/>
    <w:rsid w:val="008F2DA5"/>
    <w:rsid w:val="008F5187"/>
    <w:rsid w:val="008F60D8"/>
    <w:rsid w:val="008F63C9"/>
    <w:rsid w:val="008F6E0A"/>
    <w:rsid w:val="008F71A8"/>
    <w:rsid w:val="00901A2C"/>
    <w:rsid w:val="00901EE7"/>
    <w:rsid w:val="00902568"/>
    <w:rsid w:val="00902727"/>
    <w:rsid w:val="00902DB2"/>
    <w:rsid w:val="0090312B"/>
    <w:rsid w:val="009037A8"/>
    <w:rsid w:val="009038C9"/>
    <w:rsid w:val="0090466B"/>
    <w:rsid w:val="00904952"/>
    <w:rsid w:val="00906824"/>
    <w:rsid w:val="00906EE0"/>
    <w:rsid w:val="009073AB"/>
    <w:rsid w:val="00912064"/>
    <w:rsid w:val="0091437F"/>
    <w:rsid w:val="0091524D"/>
    <w:rsid w:val="00915762"/>
    <w:rsid w:val="00915FB9"/>
    <w:rsid w:val="00916898"/>
    <w:rsid w:val="00916FD8"/>
    <w:rsid w:val="0091736D"/>
    <w:rsid w:val="00917439"/>
    <w:rsid w:val="00924522"/>
    <w:rsid w:val="0092656B"/>
    <w:rsid w:val="00926612"/>
    <w:rsid w:val="00927016"/>
    <w:rsid w:val="009302B4"/>
    <w:rsid w:val="0093037A"/>
    <w:rsid w:val="0093064F"/>
    <w:rsid w:val="009308F4"/>
    <w:rsid w:val="00930E88"/>
    <w:rsid w:val="00933027"/>
    <w:rsid w:val="00933657"/>
    <w:rsid w:val="00933769"/>
    <w:rsid w:val="00933D01"/>
    <w:rsid w:val="00936800"/>
    <w:rsid w:val="00936A52"/>
    <w:rsid w:val="00940E0E"/>
    <w:rsid w:val="00940ECF"/>
    <w:rsid w:val="0094154D"/>
    <w:rsid w:val="00942A1A"/>
    <w:rsid w:val="00945E57"/>
    <w:rsid w:val="00945F27"/>
    <w:rsid w:val="0094763B"/>
    <w:rsid w:val="00947EA7"/>
    <w:rsid w:val="00950919"/>
    <w:rsid w:val="00950B58"/>
    <w:rsid w:val="0095155F"/>
    <w:rsid w:val="00954429"/>
    <w:rsid w:val="009547D8"/>
    <w:rsid w:val="00954C38"/>
    <w:rsid w:val="009550C3"/>
    <w:rsid w:val="009561AA"/>
    <w:rsid w:val="009563CE"/>
    <w:rsid w:val="00956FAB"/>
    <w:rsid w:val="009579E1"/>
    <w:rsid w:val="00957B91"/>
    <w:rsid w:val="009602B7"/>
    <w:rsid w:val="00960482"/>
    <w:rsid w:val="009611F5"/>
    <w:rsid w:val="009640BA"/>
    <w:rsid w:val="00964624"/>
    <w:rsid w:val="00964A52"/>
    <w:rsid w:val="00964D41"/>
    <w:rsid w:val="00965971"/>
    <w:rsid w:val="00967C87"/>
    <w:rsid w:val="0097069B"/>
    <w:rsid w:val="00970BDA"/>
    <w:rsid w:val="00970C84"/>
    <w:rsid w:val="00971906"/>
    <w:rsid w:val="00971CB2"/>
    <w:rsid w:val="00973CA8"/>
    <w:rsid w:val="009747A5"/>
    <w:rsid w:val="00975AA3"/>
    <w:rsid w:val="00976328"/>
    <w:rsid w:val="0097647A"/>
    <w:rsid w:val="009767B0"/>
    <w:rsid w:val="0097680D"/>
    <w:rsid w:val="00980BE6"/>
    <w:rsid w:val="00980E0A"/>
    <w:rsid w:val="00981602"/>
    <w:rsid w:val="009816F1"/>
    <w:rsid w:val="00982438"/>
    <w:rsid w:val="009826F0"/>
    <w:rsid w:val="009830BE"/>
    <w:rsid w:val="00983BA7"/>
    <w:rsid w:val="0098404C"/>
    <w:rsid w:val="00985283"/>
    <w:rsid w:val="00986828"/>
    <w:rsid w:val="00986C3B"/>
    <w:rsid w:val="00986DC4"/>
    <w:rsid w:val="00986EAC"/>
    <w:rsid w:val="00987B61"/>
    <w:rsid w:val="00990281"/>
    <w:rsid w:val="009923E0"/>
    <w:rsid w:val="009925FE"/>
    <w:rsid w:val="0099521B"/>
    <w:rsid w:val="00995992"/>
    <w:rsid w:val="00997C62"/>
    <w:rsid w:val="009A03E5"/>
    <w:rsid w:val="009A0F3B"/>
    <w:rsid w:val="009A1423"/>
    <w:rsid w:val="009A1BB4"/>
    <w:rsid w:val="009A2031"/>
    <w:rsid w:val="009A2628"/>
    <w:rsid w:val="009A3200"/>
    <w:rsid w:val="009A3632"/>
    <w:rsid w:val="009A3752"/>
    <w:rsid w:val="009A5A75"/>
    <w:rsid w:val="009A7DA1"/>
    <w:rsid w:val="009A7F2D"/>
    <w:rsid w:val="009B0897"/>
    <w:rsid w:val="009B0B19"/>
    <w:rsid w:val="009B1582"/>
    <w:rsid w:val="009B491F"/>
    <w:rsid w:val="009B6FA6"/>
    <w:rsid w:val="009B70E6"/>
    <w:rsid w:val="009B7BD9"/>
    <w:rsid w:val="009C2E04"/>
    <w:rsid w:val="009C5922"/>
    <w:rsid w:val="009C59B8"/>
    <w:rsid w:val="009C6267"/>
    <w:rsid w:val="009C6BF8"/>
    <w:rsid w:val="009C7150"/>
    <w:rsid w:val="009C75F5"/>
    <w:rsid w:val="009C7740"/>
    <w:rsid w:val="009C7D23"/>
    <w:rsid w:val="009C7DD5"/>
    <w:rsid w:val="009C7EBD"/>
    <w:rsid w:val="009D0142"/>
    <w:rsid w:val="009D0247"/>
    <w:rsid w:val="009D2A77"/>
    <w:rsid w:val="009D3666"/>
    <w:rsid w:val="009D3D28"/>
    <w:rsid w:val="009D3DE4"/>
    <w:rsid w:val="009D3F65"/>
    <w:rsid w:val="009D4057"/>
    <w:rsid w:val="009D4C9E"/>
    <w:rsid w:val="009E0520"/>
    <w:rsid w:val="009E0CC7"/>
    <w:rsid w:val="009E13AC"/>
    <w:rsid w:val="009E189A"/>
    <w:rsid w:val="009E227D"/>
    <w:rsid w:val="009E3E54"/>
    <w:rsid w:val="009E4D43"/>
    <w:rsid w:val="009E5019"/>
    <w:rsid w:val="009E5DB3"/>
    <w:rsid w:val="009E66DE"/>
    <w:rsid w:val="009E6EAE"/>
    <w:rsid w:val="009F0165"/>
    <w:rsid w:val="009F1FF0"/>
    <w:rsid w:val="009F2996"/>
    <w:rsid w:val="009F37B1"/>
    <w:rsid w:val="009F3C5B"/>
    <w:rsid w:val="009F4C15"/>
    <w:rsid w:val="009F6300"/>
    <w:rsid w:val="009F6302"/>
    <w:rsid w:val="00A0014B"/>
    <w:rsid w:val="00A00FB3"/>
    <w:rsid w:val="00A01EB7"/>
    <w:rsid w:val="00A03125"/>
    <w:rsid w:val="00A03414"/>
    <w:rsid w:val="00A03CEB"/>
    <w:rsid w:val="00A04B6B"/>
    <w:rsid w:val="00A04F1B"/>
    <w:rsid w:val="00A0501B"/>
    <w:rsid w:val="00A058E4"/>
    <w:rsid w:val="00A10314"/>
    <w:rsid w:val="00A10B13"/>
    <w:rsid w:val="00A1455C"/>
    <w:rsid w:val="00A14947"/>
    <w:rsid w:val="00A1496B"/>
    <w:rsid w:val="00A14E79"/>
    <w:rsid w:val="00A20135"/>
    <w:rsid w:val="00A209BA"/>
    <w:rsid w:val="00A20FD7"/>
    <w:rsid w:val="00A217C2"/>
    <w:rsid w:val="00A22302"/>
    <w:rsid w:val="00A22FEC"/>
    <w:rsid w:val="00A23626"/>
    <w:rsid w:val="00A24ECC"/>
    <w:rsid w:val="00A26E2B"/>
    <w:rsid w:val="00A27AB1"/>
    <w:rsid w:val="00A31468"/>
    <w:rsid w:val="00A31FA9"/>
    <w:rsid w:val="00A32940"/>
    <w:rsid w:val="00A32A83"/>
    <w:rsid w:val="00A32B01"/>
    <w:rsid w:val="00A32E73"/>
    <w:rsid w:val="00A33B30"/>
    <w:rsid w:val="00A33EDD"/>
    <w:rsid w:val="00A3442C"/>
    <w:rsid w:val="00A346E3"/>
    <w:rsid w:val="00A368DB"/>
    <w:rsid w:val="00A376A4"/>
    <w:rsid w:val="00A4010A"/>
    <w:rsid w:val="00A41770"/>
    <w:rsid w:val="00A4179D"/>
    <w:rsid w:val="00A423AA"/>
    <w:rsid w:val="00A42653"/>
    <w:rsid w:val="00A45A28"/>
    <w:rsid w:val="00A5126C"/>
    <w:rsid w:val="00A536D7"/>
    <w:rsid w:val="00A53EC6"/>
    <w:rsid w:val="00A554B0"/>
    <w:rsid w:val="00A55C0F"/>
    <w:rsid w:val="00A56DB9"/>
    <w:rsid w:val="00A574C6"/>
    <w:rsid w:val="00A578E1"/>
    <w:rsid w:val="00A57977"/>
    <w:rsid w:val="00A62CDA"/>
    <w:rsid w:val="00A63C50"/>
    <w:rsid w:val="00A640C8"/>
    <w:rsid w:val="00A641FB"/>
    <w:rsid w:val="00A65B49"/>
    <w:rsid w:val="00A66345"/>
    <w:rsid w:val="00A705D2"/>
    <w:rsid w:val="00A71E6A"/>
    <w:rsid w:val="00A73896"/>
    <w:rsid w:val="00A75D07"/>
    <w:rsid w:val="00A76843"/>
    <w:rsid w:val="00A77144"/>
    <w:rsid w:val="00A778CD"/>
    <w:rsid w:val="00A80E05"/>
    <w:rsid w:val="00A80FFA"/>
    <w:rsid w:val="00A81CBA"/>
    <w:rsid w:val="00A8213F"/>
    <w:rsid w:val="00A824A9"/>
    <w:rsid w:val="00A82770"/>
    <w:rsid w:val="00A82B14"/>
    <w:rsid w:val="00A837B9"/>
    <w:rsid w:val="00A8452E"/>
    <w:rsid w:val="00A849F0"/>
    <w:rsid w:val="00A851A6"/>
    <w:rsid w:val="00A8649C"/>
    <w:rsid w:val="00A866E2"/>
    <w:rsid w:val="00A8713F"/>
    <w:rsid w:val="00A90845"/>
    <w:rsid w:val="00A90BA1"/>
    <w:rsid w:val="00A90DC0"/>
    <w:rsid w:val="00A927CD"/>
    <w:rsid w:val="00A92ABA"/>
    <w:rsid w:val="00A92C6A"/>
    <w:rsid w:val="00A93A38"/>
    <w:rsid w:val="00A945D4"/>
    <w:rsid w:val="00A94C10"/>
    <w:rsid w:val="00A95431"/>
    <w:rsid w:val="00A9555E"/>
    <w:rsid w:val="00A957AD"/>
    <w:rsid w:val="00A95B1B"/>
    <w:rsid w:val="00A97A9A"/>
    <w:rsid w:val="00AA0671"/>
    <w:rsid w:val="00AA2531"/>
    <w:rsid w:val="00AA28F3"/>
    <w:rsid w:val="00AA41E0"/>
    <w:rsid w:val="00AA53D4"/>
    <w:rsid w:val="00AA5DBB"/>
    <w:rsid w:val="00AA7B89"/>
    <w:rsid w:val="00AB1E09"/>
    <w:rsid w:val="00AB1F63"/>
    <w:rsid w:val="00AB3AA6"/>
    <w:rsid w:val="00AB4B78"/>
    <w:rsid w:val="00AB4DC5"/>
    <w:rsid w:val="00AB5330"/>
    <w:rsid w:val="00AB6AF1"/>
    <w:rsid w:val="00AB6C94"/>
    <w:rsid w:val="00AB7747"/>
    <w:rsid w:val="00AB7DAE"/>
    <w:rsid w:val="00AC1245"/>
    <w:rsid w:val="00AC14CE"/>
    <w:rsid w:val="00AC1573"/>
    <w:rsid w:val="00AC15BC"/>
    <w:rsid w:val="00AC20E8"/>
    <w:rsid w:val="00AC2731"/>
    <w:rsid w:val="00AC28EA"/>
    <w:rsid w:val="00AC2A56"/>
    <w:rsid w:val="00AC31F3"/>
    <w:rsid w:val="00AC3C13"/>
    <w:rsid w:val="00AC4878"/>
    <w:rsid w:val="00AC633E"/>
    <w:rsid w:val="00AC7DFA"/>
    <w:rsid w:val="00AD055E"/>
    <w:rsid w:val="00AD12BB"/>
    <w:rsid w:val="00AD17D7"/>
    <w:rsid w:val="00AD18ED"/>
    <w:rsid w:val="00AD41BF"/>
    <w:rsid w:val="00AD47A7"/>
    <w:rsid w:val="00AD4B1D"/>
    <w:rsid w:val="00AD53AB"/>
    <w:rsid w:val="00AD5EC0"/>
    <w:rsid w:val="00AD69E1"/>
    <w:rsid w:val="00AE16FF"/>
    <w:rsid w:val="00AE1864"/>
    <w:rsid w:val="00AE2570"/>
    <w:rsid w:val="00AE2EC8"/>
    <w:rsid w:val="00AE4399"/>
    <w:rsid w:val="00AE4A28"/>
    <w:rsid w:val="00AE4F20"/>
    <w:rsid w:val="00AE50F1"/>
    <w:rsid w:val="00AF019B"/>
    <w:rsid w:val="00AF0CBF"/>
    <w:rsid w:val="00AF257F"/>
    <w:rsid w:val="00AF26F1"/>
    <w:rsid w:val="00AF33CF"/>
    <w:rsid w:val="00AF4B24"/>
    <w:rsid w:val="00AF4D50"/>
    <w:rsid w:val="00AF52A3"/>
    <w:rsid w:val="00AF6179"/>
    <w:rsid w:val="00AF637A"/>
    <w:rsid w:val="00AF65CE"/>
    <w:rsid w:val="00B004D6"/>
    <w:rsid w:val="00B016AD"/>
    <w:rsid w:val="00B01A85"/>
    <w:rsid w:val="00B01BA1"/>
    <w:rsid w:val="00B03E88"/>
    <w:rsid w:val="00B063AA"/>
    <w:rsid w:val="00B101E1"/>
    <w:rsid w:val="00B11C62"/>
    <w:rsid w:val="00B1232B"/>
    <w:rsid w:val="00B1295A"/>
    <w:rsid w:val="00B13587"/>
    <w:rsid w:val="00B139D2"/>
    <w:rsid w:val="00B156FB"/>
    <w:rsid w:val="00B15C56"/>
    <w:rsid w:val="00B16E45"/>
    <w:rsid w:val="00B20A45"/>
    <w:rsid w:val="00B21306"/>
    <w:rsid w:val="00B21358"/>
    <w:rsid w:val="00B21685"/>
    <w:rsid w:val="00B218D7"/>
    <w:rsid w:val="00B221DD"/>
    <w:rsid w:val="00B22708"/>
    <w:rsid w:val="00B22C5C"/>
    <w:rsid w:val="00B24F30"/>
    <w:rsid w:val="00B26787"/>
    <w:rsid w:val="00B2758F"/>
    <w:rsid w:val="00B31ABF"/>
    <w:rsid w:val="00B323F0"/>
    <w:rsid w:val="00B33BE3"/>
    <w:rsid w:val="00B35202"/>
    <w:rsid w:val="00B4115A"/>
    <w:rsid w:val="00B42063"/>
    <w:rsid w:val="00B43EF4"/>
    <w:rsid w:val="00B44DDB"/>
    <w:rsid w:val="00B509B0"/>
    <w:rsid w:val="00B50F9D"/>
    <w:rsid w:val="00B51750"/>
    <w:rsid w:val="00B51805"/>
    <w:rsid w:val="00B52445"/>
    <w:rsid w:val="00B52B41"/>
    <w:rsid w:val="00B52EB2"/>
    <w:rsid w:val="00B530E3"/>
    <w:rsid w:val="00B5336E"/>
    <w:rsid w:val="00B53A35"/>
    <w:rsid w:val="00B53B5D"/>
    <w:rsid w:val="00B544EC"/>
    <w:rsid w:val="00B56FBE"/>
    <w:rsid w:val="00B6055E"/>
    <w:rsid w:val="00B61867"/>
    <w:rsid w:val="00B6317D"/>
    <w:rsid w:val="00B705F7"/>
    <w:rsid w:val="00B717D0"/>
    <w:rsid w:val="00B72FC5"/>
    <w:rsid w:val="00B73BAF"/>
    <w:rsid w:val="00B74542"/>
    <w:rsid w:val="00B770E6"/>
    <w:rsid w:val="00B7723F"/>
    <w:rsid w:val="00B77EC5"/>
    <w:rsid w:val="00B80534"/>
    <w:rsid w:val="00B8079A"/>
    <w:rsid w:val="00B812C4"/>
    <w:rsid w:val="00B822C1"/>
    <w:rsid w:val="00B82AD7"/>
    <w:rsid w:val="00B82B4C"/>
    <w:rsid w:val="00B840C6"/>
    <w:rsid w:val="00B8433C"/>
    <w:rsid w:val="00B858F5"/>
    <w:rsid w:val="00B864D1"/>
    <w:rsid w:val="00B87491"/>
    <w:rsid w:val="00B87E62"/>
    <w:rsid w:val="00B90EEE"/>
    <w:rsid w:val="00B91BEC"/>
    <w:rsid w:val="00B937AE"/>
    <w:rsid w:val="00B941BF"/>
    <w:rsid w:val="00B942F5"/>
    <w:rsid w:val="00B94CF7"/>
    <w:rsid w:val="00B96777"/>
    <w:rsid w:val="00B96BEA"/>
    <w:rsid w:val="00BA0834"/>
    <w:rsid w:val="00BA29E9"/>
    <w:rsid w:val="00BA46F0"/>
    <w:rsid w:val="00BA7142"/>
    <w:rsid w:val="00BA7BAD"/>
    <w:rsid w:val="00BA7CA7"/>
    <w:rsid w:val="00BB000B"/>
    <w:rsid w:val="00BB0E08"/>
    <w:rsid w:val="00BB1729"/>
    <w:rsid w:val="00BB1AA8"/>
    <w:rsid w:val="00BB1D5F"/>
    <w:rsid w:val="00BB1EC9"/>
    <w:rsid w:val="00BB237C"/>
    <w:rsid w:val="00BB2988"/>
    <w:rsid w:val="00BB3FEE"/>
    <w:rsid w:val="00BB41A3"/>
    <w:rsid w:val="00BB42C1"/>
    <w:rsid w:val="00BB5ACF"/>
    <w:rsid w:val="00BB6ECD"/>
    <w:rsid w:val="00BB74B1"/>
    <w:rsid w:val="00BC00A4"/>
    <w:rsid w:val="00BC00BD"/>
    <w:rsid w:val="00BC22D9"/>
    <w:rsid w:val="00BC23B9"/>
    <w:rsid w:val="00BC2768"/>
    <w:rsid w:val="00BC32DC"/>
    <w:rsid w:val="00BC3517"/>
    <w:rsid w:val="00BC35B6"/>
    <w:rsid w:val="00BC4A3B"/>
    <w:rsid w:val="00BC621B"/>
    <w:rsid w:val="00BC64D9"/>
    <w:rsid w:val="00BC76E6"/>
    <w:rsid w:val="00BC7AAB"/>
    <w:rsid w:val="00BD0054"/>
    <w:rsid w:val="00BD0074"/>
    <w:rsid w:val="00BD08BC"/>
    <w:rsid w:val="00BD1B51"/>
    <w:rsid w:val="00BD267F"/>
    <w:rsid w:val="00BD3F55"/>
    <w:rsid w:val="00BD43EC"/>
    <w:rsid w:val="00BD4596"/>
    <w:rsid w:val="00BD5B54"/>
    <w:rsid w:val="00BD5C5D"/>
    <w:rsid w:val="00BE08AE"/>
    <w:rsid w:val="00BE1405"/>
    <w:rsid w:val="00BE312D"/>
    <w:rsid w:val="00BE4957"/>
    <w:rsid w:val="00BF0A6C"/>
    <w:rsid w:val="00BF1443"/>
    <w:rsid w:val="00BF1C20"/>
    <w:rsid w:val="00BF2727"/>
    <w:rsid w:val="00BF3FBB"/>
    <w:rsid w:val="00BF4E06"/>
    <w:rsid w:val="00BF5A0A"/>
    <w:rsid w:val="00BF5A6C"/>
    <w:rsid w:val="00C016EE"/>
    <w:rsid w:val="00C024BE"/>
    <w:rsid w:val="00C05082"/>
    <w:rsid w:val="00C06894"/>
    <w:rsid w:val="00C075A0"/>
    <w:rsid w:val="00C10578"/>
    <w:rsid w:val="00C10925"/>
    <w:rsid w:val="00C10B34"/>
    <w:rsid w:val="00C10C19"/>
    <w:rsid w:val="00C10F67"/>
    <w:rsid w:val="00C119FB"/>
    <w:rsid w:val="00C11B1C"/>
    <w:rsid w:val="00C11BE3"/>
    <w:rsid w:val="00C11D19"/>
    <w:rsid w:val="00C12A04"/>
    <w:rsid w:val="00C135BC"/>
    <w:rsid w:val="00C13EFB"/>
    <w:rsid w:val="00C15C95"/>
    <w:rsid w:val="00C16AAE"/>
    <w:rsid w:val="00C17118"/>
    <w:rsid w:val="00C2161C"/>
    <w:rsid w:val="00C2596A"/>
    <w:rsid w:val="00C273FF"/>
    <w:rsid w:val="00C27537"/>
    <w:rsid w:val="00C3061A"/>
    <w:rsid w:val="00C3114B"/>
    <w:rsid w:val="00C32533"/>
    <w:rsid w:val="00C328FE"/>
    <w:rsid w:val="00C33217"/>
    <w:rsid w:val="00C33507"/>
    <w:rsid w:val="00C3403A"/>
    <w:rsid w:val="00C347F1"/>
    <w:rsid w:val="00C35096"/>
    <w:rsid w:val="00C40DA7"/>
    <w:rsid w:val="00C4136F"/>
    <w:rsid w:val="00C43151"/>
    <w:rsid w:val="00C43179"/>
    <w:rsid w:val="00C43A3A"/>
    <w:rsid w:val="00C43AE5"/>
    <w:rsid w:val="00C43E19"/>
    <w:rsid w:val="00C4409D"/>
    <w:rsid w:val="00C44E72"/>
    <w:rsid w:val="00C45A06"/>
    <w:rsid w:val="00C479F2"/>
    <w:rsid w:val="00C47B90"/>
    <w:rsid w:val="00C47E5B"/>
    <w:rsid w:val="00C51E85"/>
    <w:rsid w:val="00C52727"/>
    <w:rsid w:val="00C561CE"/>
    <w:rsid w:val="00C567B3"/>
    <w:rsid w:val="00C56FC5"/>
    <w:rsid w:val="00C57657"/>
    <w:rsid w:val="00C60E66"/>
    <w:rsid w:val="00C61DC4"/>
    <w:rsid w:val="00C61E4B"/>
    <w:rsid w:val="00C6219B"/>
    <w:rsid w:val="00C62FD1"/>
    <w:rsid w:val="00C64A51"/>
    <w:rsid w:val="00C64BFF"/>
    <w:rsid w:val="00C64C5E"/>
    <w:rsid w:val="00C6626F"/>
    <w:rsid w:val="00C6630A"/>
    <w:rsid w:val="00C66A19"/>
    <w:rsid w:val="00C67B7B"/>
    <w:rsid w:val="00C70134"/>
    <w:rsid w:val="00C704E9"/>
    <w:rsid w:val="00C70E20"/>
    <w:rsid w:val="00C73190"/>
    <w:rsid w:val="00C73758"/>
    <w:rsid w:val="00C754BD"/>
    <w:rsid w:val="00C75B95"/>
    <w:rsid w:val="00C763C9"/>
    <w:rsid w:val="00C76FEA"/>
    <w:rsid w:val="00C77CB7"/>
    <w:rsid w:val="00C80057"/>
    <w:rsid w:val="00C80FC8"/>
    <w:rsid w:val="00C815D9"/>
    <w:rsid w:val="00C82232"/>
    <w:rsid w:val="00C82913"/>
    <w:rsid w:val="00C84136"/>
    <w:rsid w:val="00C84339"/>
    <w:rsid w:val="00C84A14"/>
    <w:rsid w:val="00C85DB7"/>
    <w:rsid w:val="00C865FE"/>
    <w:rsid w:val="00C86BC0"/>
    <w:rsid w:val="00C912D3"/>
    <w:rsid w:val="00C92C8B"/>
    <w:rsid w:val="00C94324"/>
    <w:rsid w:val="00C972B1"/>
    <w:rsid w:val="00CA010E"/>
    <w:rsid w:val="00CA0DED"/>
    <w:rsid w:val="00CA13CC"/>
    <w:rsid w:val="00CA1801"/>
    <w:rsid w:val="00CA1A48"/>
    <w:rsid w:val="00CA2CCE"/>
    <w:rsid w:val="00CA43FD"/>
    <w:rsid w:val="00CA5E38"/>
    <w:rsid w:val="00CA6067"/>
    <w:rsid w:val="00CA625C"/>
    <w:rsid w:val="00CA655F"/>
    <w:rsid w:val="00CA7BDF"/>
    <w:rsid w:val="00CA7E60"/>
    <w:rsid w:val="00CA7EF8"/>
    <w:rsid w:val="00CB21D4"/>
    <w:rsid w:val="00CB289C"/>
    <w:rsid w:val="00CB386E"/>
    <w:rsid w:val="00CB389B"/>
    <w:rsid w:val="00CB4EF4"/>
    <w:rsid w:val="00CB5B0A"/>
    <w:rsid w:val="00CB77BE"/>
    <w:rsid w:val="00CB792C"/>
    <w:rsid w:val="00CB7D23"/>
    <w:rsid w:val="00CC1FD4"/>
    <w:rsid w:val="00CC31A5"/>
    <w:rsid w:val="00CC4503"/>
    <w:rsid w:val="00CC489B"/>
    <w:rsid w:val="00CC49FE"/>
    <w:rsid w:val="00CC4BED"/>
    <w:rsid w:val="00CC4C5E"/>
    <w:rsid w:val="00CC5C02"/>
    <w:rsid w:val="00CC6905"/>
    <w:rsid w:val="00CC7CA1"/>
    <w:rsid w:val="00CD066D"/>
    <w:rsid w:val="00CD1E69"/>
    <w:rsid w:val="00CD1F8D"/>
    <w:rsid w:val="00CD2BCD"/>
    <w:rsid w:val="00CD3A4C"/>
    <w:rsid w:val="00CD3C3D"/>
    <w:rsid w:val="00CD3E7E"/>
    <w:rsid w:val="00CD48F8"/>
    <w:rsid w:val="00CD6990"/>
    <w:rsid w:val="00CD6C59"/>
    <w:rsid w:val="00CD796D"/>
    <w:rsid w:val="00CE0E4E"/>
    <w:rsid w:val="00CE10E9"/>
    <w:rsid w:val="00CE2910"/>
    <w:rsid w:val="00CE5393"/>
    <w:rsid w:val="00CE6269"/>
    <w:rsid w:val="00CE6FC6"/>
    <w:rsid w:val="00CE73F7"/>
    <w:rsid w:val="00CE7621"/>
    <w:rsid w:val="00CE7EF2"/>
    <w:rsid w:val="00CF06DF"/>
    <w:rsid w:val="00CF1251"/>
    <w:rsid w:val="00CF1AC7"/>
    <w:rsid w:val="00CF2DF6"/>
    <w:rsid w:val="00CF36BE"/>
    <w:rsid w:val="00CF3D14"/>
    <w:rsid w:val="00CF3D20"/>
    <w:rsid w:val="00CF53E6"/>
    <w:rsid w:val="00CF6000"/>
    <w:rsid w:val="00CF6A91"/>
    <w:rsid w:val="00D003F3"/>
    <w:rsid w:val="00D0052C"/>
    <w:rsid w:val="00D0145D"/>
    <w:rsid w:val="00D025BC"/>
    <w:rsid w:val="00D0364F"/>
    <w:rsid w:val="00D03A62"/>
    <w:rsid w:val="00D05C5B"/>
    <w:rsid w:val="00D06834"/>
    <w:rsid w:val="00D103B8"/>
    <w:rsid w:val="00D12370"/>
    <w:rsid w:val="00D13164"/>
    <w:rsid w:val="00D1391A"/>
    <w:rsid w:val="00D1444E"/>
    <w:rsid w:val="00D15152"/>
    <w:rsid w:val="00D1545F"/>
    <w:rsid w:val="00D1570E"/>
    <w:rsid w:val="00D16A7B"/>
    <w:rsid w:val="00D2006D"/>
    <w:rsid w:val="00D20A3F"/>
    <w:rsid w:val="00D20D03"/>
    <w:rsid w:val="00D210DA"/>
    <w:rsid w:val="00D243D3"/>
    <w:rsid w:val="00D253AC"/>
    <w:rsid w:val="00D25692"/>
    <w:rsid w:val="00D257D5"/>
    <w:rsid w:val="00D25AB4"/>
    <w:rsid w:val="00D27DE4"/>
    <w:rsid w:val="00D308ED"/>
    <w:rsid w:val="00D3141C"/>
    <w:rsid w:val="00D329B0"/>
    <w:rsid w:val="00D34746"/>
    <w:rsid w:val="00D34D1F"/>
    <w:rsid w:val="00D365E7"/>
    <w:rsid w:val="00D36D86"/>
    <w:rsid w:val="00D3793A"/>
    <w:rsid w:val="00D37A6F"/>
    <w:rsid w:val="00D40D29"/>
    <w:rsid w:val="00D40F25"/>
    <w:rsid w:val="00D4101D"/>
    <w:rsid w:val="00D41B01"/>
    <w:rsid w:val="00D425E1"/>
    <w:rsid w:val="00D426A8"/>
    <w:rsid w:val="00D428AA"/>
    <w:rsid w:val="00D45D3E"/>
    <w:rsid w:val="00D46CF3"/>
    <w:rsid w:val="00D47FFB"/>
    <w:rsid w:val="00D50A34"/>
    <w:rsid w:val="00D50F05"/>
    <w:rsid w:val="00D527B1"/>
    <w:rsid w:val="00D52979"/>
    <w:rsid w:val="00D53EFA"/>
    <w:rsid w:val="00D5450C"/>
    <w:rsid w:val="00D55FB9"/>
    <w:rsid w:val="00D57570"/>
    <w:rsid w:val="00D57EC3"/>
    <w:rsid w:val="00D6054D"/>
    <w:rsid w:val="00D60B48"/>
    <w:rsid w:val="00D611DF"/>
    <w:rsid w:val="00D61A37"/>
    <w:rsid w:val="00D62E79"/>
    <w:rsid w:val="00D63036"/>
    <w:rsid w:val="00D630BC"/>
    <w:rsid w:val="00D637FF"/>
    <w:rsid w:val="00D64D54"/>
    <w:rsid w:val="00D65988"/>
    <w:rsid w:val="00D72DDF"/>
    <w:rsid w:val="00D743B5"/>
    <w:rsid w:val="00D74ED8"/>
    <w:rsid w:val="00D75588"/>
    <w:rsid w:val="00D75D0E"/>
    <w:rsid w:val="00D763C9"/>
    <w:rsid w:val="00D76558"/>
    <w:rsid w:val="00D76AD2"/>
    <w:rsid w:val="00D76D66"/>
    <w:rsid w:val="00D775A6"/>
    <w:rsid w:val="00D82A20"/>
    <w:rsid w:val="00D82D50"/>
    <w:rsid w:val="00D830DE"/>
    <w:rsid w:val="00D83895"/>
    <w:rsid w:val="00D84588"/>
    <w:rsid w:val="00D8460A"/>
    <w:rsid w:val="00D847E7"/>
    <w:rsid w:val="00D849CB"/>
    <w:rsid w:val="00D84BB2"/>
    <w:rsid w:val="00D859FA"/>
    <w:rsid w:val="00D860AE"/>
    <w:rsid w:val="00D864D1"/>
    <w:rsid w:val="00D87334"/>
    <w:rsid w:val="00D91C21"/>
    <w:rsid w:val="00D925EA"/>
    <w:rsid w:val="00D93985"/>
    <w:rsid w:val="00D943D9"/>
    <w:rsid w:val="00D94A7C"/>
    <w:rsid w:val="00D94C39"/>
    <w:rsid w:val="00D95896"/>
    <w:rsid w:val="00D97200"/>
    <w:rsid w:val="00D9748F"/>
    <w:rsid w:val="00DA1908"/>
    <w:rsid w:val="00DA1F83"/>
    <w:rsid w:val="00DA24A7"/>
    <w:rsid w:val="00DA289A"/>
    <w:rsid w:val="00DA3877"/>
    <w:rsid w:val="00DA46D8"/>
    <w:rsid w:val="00DA47BE"/>
    <w:rsid w:val="00DA5BF1"/>
    <w:rsid w:val="00DA782E"/>
    <w:rsid w:val="00DB103D"/>
    <w:rsid w:val="00DB1329"/>
    <w:rsid w:val="00DB288C"/>
    <w:rsid w:val="00DB2983"/>
    <w:rsid w:val="00DB4A62"/>
    <w:rsid w:val="00DB4E98"/>
    <w:rsid w:val="00DB5F8A"/>
    <w:rsid w:val="00DB62B5"/>
    <w:rsid w:val="00DC0057"/>
    <w:rsid w:val="00DC1257"/>
    <w:rsid w:val="00DC3A2B"/>
    <w:rsid w:val="00DC3DC0"/>
    <w:rsid w:val="00DC4D51"/>
    <w:rsid w:val="00DC57A1"/>
    <w:rsid w:val="00DC5B2B"/>
    <w:rsid w:val="00DC79B6"/>
    <w:rsid w:val="00DD0331"/>
    <w:rsid w:val="00DD096D"/>
    <w:rsid w:val="00DD1688"/>
    <w:rsid w:val="00DD1B1A"/>
    <w:rsid w:val="00DD2D79"/>
    <w:rsid w:val="00DD318D"/>
    <w:rsid w:val="00DD6DDD"/>
    <w:rsid w:val="00DD6DF2"/>
    <w:rsid w:val="00DD7813"/>
    <w:rsid w:val="00DD7E01"/>
    <w:rsid w:val="00DE14F8"/>
    <w:rsid w:val="00DE152C"/>
    <w:rsid w:val="00DE2AD5"/>
    <w:rsid w:val="00DE3D17"/>
    <w:rsid w:val="00DE455B"/>
    <w:rsid w:val="00DE63B3"/>
    <w:rsid w:val="00DF2999"/>
    <w:rsid w:val="00DF2E12"/>
    <w:rsid w:val="00DF514A"/>
    <w:rsid w:val="00DF6690"/>
    <w:rsid w:val="00DF6804"/>
    <w:rsid w:val="00DF6E02"/>
    <w:rsid w:val="00DF77F9"/>
    <w:rsid w:val="00E0265A"/>
    <w:rsid w:val="00E029C5"/>
    <w:rsid w:val="00E031C8"/>
    <w:rsid w:val="00E0358D"/>
    <w:rsid w:val="00E03842"/>
    <w:rsid w:val="00E03FC3"/>
    <w:rsid w:val="00E040EB"/>
    <w:rsid w:val="00E0416E"/>
    <w:rsid w:val="00E04323"/>
    <w:rsid w:val="00E0433C"/>
    <w:rsid w:val="00E05306"/>
    <w:rsid w:val="00E05ACC"/>
    <w:rsid w:val="00E06058"/>
    <w:rsid w:val="00E070A2"/>
    <w:rsid w:val="00E07185"/>
    <w:rsid w:val="00E10BC1"/>
    <w:rsid w:val="00E10DBF"/>
    <w:rsid w:val="00E118D1"/>
    <w:rsid w:val="00E1230E"/>
    <w:rsid w:val="00E13E48"/>
    <w:rsid w:val="00E16275"/>
    <w:rsid w:val="00E1710F"/>
    <w:rsid w:val="00E17A82"/>
    <w:rsid w:val="00E17B43"/>
    <w:rsid w:val="00E23F1F"/>
    <w:rsid w:val="00E24134"/>
    <w:rsid w:val="00E24A21"/>
    <w:rsid w:val="00E25667"/>
    <w:rsid w:val="00E25BEE"/>
    <w:rsid w:val="00E263F9"/>
    <w:rsid w:val="00E2656A"/>
    <w:rsid w:val="00E31A39"/>
    <w:rsid w:val="00E37510"/>
    <w:rsid w:val="00E41290"/>
    <w:rsid w:val="00E412D0"/>
    <w:rsid w:val="00E41A67"/>
    <w:rsid w:val="00E42CB6"/>
    <w:rsid w:val="00E45397"/>
    <w:rsid w:val="00E45AED"/>
    <w:rsid w:val="00E45F48"/>
    <w:rsid w:val="00E46491"/>
    <w:rsid w:val="00E46B9F"/>
    <w:rsid w:val="00E47275"/>
    <w:rsid w:val="00E476E4"/>
    <w:rsid w:val="00E503B2"/>
    <w:rsid w:val="00E50570"/>
    <w:rsid w:val="00E508D8"/>
    <w:rsid w:val="00E50E1B"/>
    <w:rsid w:val="00E518DB"/>
    <w:rsid w:val="00E53FC5"/>
    <w:rsid w:val="00E56322"/>
    <w:rsid w:val="00E602F9"/>
    <w:rsid w:val="00E60982"/>
    <w:rsid w:val="00E60C30"/>
    <w:rsid w:val="00E61CC4"/>
    <w:rsid w:val="00E62C62"/>
    <w:rsid w:val="00E63805"/>
    <w:rsid w:val="00E63922"/>
    <w:rsid w:val="00E6411F"/>
    <w:rsid w:val="00E646FF"/>
    <w:rsid w:val="00E654C1"/>
    <w:rsid w:val="00E6597A"/>
    <w:rsid w:val="00E65D97"/>
    <w:rsid w:val="00E713DC"/>
    <w:rsid w:val="00E7179D"/>
    <w:rsid w:val="00E72A5A"/>
    <w:rsid w:val="00E73354"/>
    <w:rsid w:val="00E77E37"/>
    <w:rsid w:val="00E81900"/>
    <w:rsid w:val="00E819C9"/>
    <w:rsid w:val="00E81B39"/>
    <w:rsid w:val="00E83109"/>
    <w:rsid w:val="00E84CF4"/>
    <w:rsid w:val="00E84E7E"/>
    <w:rsid w:val="00E859E4"/>
    <w:rsid w:val="00E86926"/>
    <w:rsid w:val="00E86A4B"/>
    <w:rsid w:val="00E86D93"/>
    <w:rsid w:val="00E870A8"/>
    <w:rsid w:val="00E87B41"/>
    <w:rsid w:val="00E914DE"/>
    <w:rsid w:val="00E91854"/>
    <w:rsid w:val="00E9242D"/>
    <w:rsid w:val="00E92620"/>
    <w:rsid w:val="00E926B2"/>
    <w:rsid w:val="00E92E18"/>
    <w:rsid w:val="00E92E8F"/>
    <w:rsid w:val="00E9497D"/>
    <w:rsid w:val="00E949EE"/>
    <w:rsid w:val="00E95F2A"/>
    <w:rsid w:val="00E96162"/>
    <w:rsid w:val="00E96E57"/>
    <w:rsid w:val="00EA0320"/>
    <w:rsid w:val="00EA0DD9"/>
    <w:rsid w:val="00EA2A1E"/>
    <w:rsid w:val="00EA3335"/>
    <w:rsid w:val="00EA4EB1"/>
    <w:rsid w:val="00EA564A"/>
    <w:rsid w:val="00EA7AB9"/>
    <w:rsid w:val="00EB0D40"/>
    <w:rsid w:val="00EB1D44"/>
    <w:rsid w:val="00EB2A10"/>
    <w:rsid w:val="00EB2DA2"/>
    <w:rsid w:val="00EB35AC"/>
    <w:rsid w:val="00EB5255"/>
    <w:rsid w:val="00EB549F"/>
    <w:rsid w:val="00EB57B5"/>
    <w:rsid w:val="00EB5C47"/>
    <w:rsid w:val="00EB69C3"/>
    <w:rsid w:val="00EB6B0A"/>
    <w:rsid w:val="00EB7735"/>
    <w:rsid w:val="00EC0D42"/>
    <w:rsid w:val="00EC0F0C"/>
    <w:rsid w:val="00EC3744"/>
    <w:rsid w:val="00EC457C"/>
    <w:rsid w:val="00EC469C"/>
    <w:rsid w:val="00EC47E9"/>
    <w:rsid w:val="00EC5DDE"/>
    <w:rsid w:val="00EC61EA"/>
    <w:rsid w:val="00EC6218"/>
    <w:rsid w:val="00EC7C17"/>
    <w:rsid w:val="00ED0639"/>
    <w:rsid w:val="00ED0C90"/>
    <w:rsid w:val="00ED1D26"/>
    <w:rsid w:val="00ED205A"/>
    <w:rsid w:val="00ED37D4"/>
    <w:rsid w:val="00ED3F20"/>
    <w:rsid w:val="00ED53BE"/>
    <w:rsid w:val="00ED6CC4"/>
    <w:rsid w:val="00ED7206"/>
    <w:rsid w:val="00ED7216"/>
    <w:rsid w:val="00ED77F0"/>
    <w:rsid w:val="00ED7A07"/>
    <w:rsid w:val="00ED7B1D"/>
    <w:rsid w:val="00EE00C9"/>
    <w:rsid w:val="00EE11B0"/>
    <w:rsid w:val="00EE3E40"/>
    <w:rsid w:val="00EE488F"/>
    <w:rsid w:val="00EE5563"/>
    <w:rsid w:val="00EE675C"/>
    <w:rsid w:val="00EE7848"/>
    <w:rsid w:val="00EF001D"/>
    <w:rsid w:val="00EF2B8B"/>
    <w:rsid w:val="00EF4755"/>
    <w:rsid w:val="00EF5D88"/>
    <w:rsid w:val="00EF5F80"/>
    <w:rsid w:val="00EF7135"/>
    <w:rsid w:val="00F006FC"/>
    <w:rsid w:val="00F008E2"/>
    <w:rsid w:val="00F0144A"/>
    <w:rsid w:val="00F027DB"/>
    <w:rsid w:val="00F03A41"/>
    <w:rsid w:val="00F03A9B"/>
    <w:rsid w:val="00F04A8C"/>
    <w:rsid w:val="00F04AC2"/>
    <w:rsid w:val="00F04E8C"/>
    <w:rsid w:val="00F060E0"/>
    <w:rsid w:val="00F0634F"/>
    <w:rsid w:val="00F139B9"/>
    <w:rsid w:val="00F143E3"/>
    <w:rsid w:val="00F14A7A"/>
    <w:rsid w:val="00F1602E"/>
    <w:rsid w:val="00F16BB9"/>
    <w:rsid w:val="00F16C2A"/>
    <w:rsid w:val="00F20143"/>
    <w:rsid w:val="00F21547"/>
    <w:rsid w:val="00F22034"/>
    <w:rsid w:val="00F223B2"/>
    <w:rsid w:val="00F22985"/>
    <w:rsid w:val="00F23AC0"/>
    <w:rsid w:val="00F2407A"/>
    <w:rsid w:val="00F24A4D"/>
    <w:rsid w:val="00F25D74"/>
    <w:rsid w:val="00F30516"/>
    <w:rsid w:val="00F330FE"/>
    <w:rsid w:val="00F334F4"/>
    <w:rsid w:val="00F3383E"/>
    <w:rsid w:val="00F33D45"/>
    <w:rsid w:val="00F34196"/>
    <w:rsid w:val="00F3461B"/>
    <w:rsid w:val="00F366EA"/>
    <w:rsid w:val="00F36962"/>
    <w:rsid w:val="00F372C2"/>
    <w:rsid w:val="00F42428"/>
    <w:rsid w:val="00F43300"/>
    <w:rsid w:val="00F446FD"/>
    <w:rsid w:val="00F449FA"/>
    <w:rsid w:val="00F45283"/>
    <w:rsid w:val="00F465A7"/>
    <w:rsid w:val="00F46D85"/>
    <w:rsid w:val="00F47FFD"/>
    <w:rsid w:val="00F50B7C"/>
    <w:rsid w:val="00F52FFB"/>
    <w:rsid w:val="00F53369"/>
    <w:rsid w:val="00F545B0"/>
    <w:rsid w:val="00F54689"/>
    <w:rsid w:val="00F550E6"/>
    <w:rsid w:val="00F55DE2"/>
    <w:rsid w:val="00F56194"/>
    <w:rsid w:val="00F5636D"/>
    <w:rsid w:val="00F563AB"/>
    <w:rsid w:val="00F5686E"/>
    <w:rsid w:val="00F56D2D"/>
    <w:rsid w:val="00F600C8"/>
    <w:rsid w:val="00F60981"/>
    <w:rsid w:val="00F6211C"/>
    <w:rsid w:val="00F62245"/>
    <w:rsid w:val="00F62677"/>
    <w:rsid w:val="00F62E72"/>
    <w:rsid w:val="00F63DDB"/>
    <w:rsid w:val="00F6525E"/>
    <w:rsid w:val="00F65674"/>
    <w:rsid w:val="00F67C61"/>
    <w:rsid w:val="00F72950"/>
    <w:rsid w:val="00F7303B"/>
    <w:rsid w:val="00F7392C"/>
    <w:rsid w:val="00F74345"/>
    <w:rsid w:val="00F7481F"/>
    <w:rsid w:val="00F748E3"/>
    <w:rsid w:val="00F74CB8"/>
    <w:rsid w:val="00F7500A"/>
    <w:rsid w:val="00F77EDE"/>
    <w:rsid w:val="00F801E9"/>
    <w:rsid w:val="00F80A0A"/>
    <w:rsid w:val="00F80F5E"/>
    <w:rsid w:val="00F82780"/>
    <w:rsid w:val="00F82B19"/>
    <w:rsid w:val="00F840EF"/>
    <w:rsid w:val="00F85A6C"/>
    <w:rsid w:val="00F85CD5"/>
    <w:rsid w:val="00F87C84"/>
    <w:rsid w:val="00F90587"/>
    <w:rsid w:val="00F9212D"/>
    <w:rsid w:val="00F931E9"/>
    <w:rsid w:val="00F9462D"/>
    <w:rsid w:val="00F94D93"/>
    <w:rsid w:val="00F951D4"/>
    <w:rsid w:val="00F965DA"/>
    <w:rsid w:val="00F96AF9"/>
    <w:rsid w:val="00F96C23"/>
    <w:rsid w:val="00F96D60"/>
    <w:rsid w:val="00F972FF"/>
    <w:rsid w:val="00F9730F"/>
    <w:rsid w:val="00F973E4"/>
    <w:rsid w:val="00F97771"/>
    <w:rsid w:val="00FA2027"/>
    <w:rsid w:val="00FA33CA"/>
    <w:rsid w:val="00FA357A"/>
    <w:rsid w:val="00FA406A"/>
    <w:rsid w:val="00FA4EAD"/>
    <w:rsid w:val="00FA5900"/>
    <w:rsid w:val="00FA5B3F"/>
    <w:rsid w:val="00FA6480"/>
    <w:rsid w:val="00FA665E"/>
    <w:rsid w:val="00FB1E32"/>
    <w:rsid w:val="00FB2E29"/>
    <w:rsid w:val="00FB30A3"/>
    <w:rsid w:val="00FB4491"/>
    <w:rsid w:val="00FB4662"/>
    <w:rsid w:val="00FB49CF"/>
    <w:rsid w:val="00FB4DD4"/>
    <w:rsid w:val="00FB503A"/>
    <w:rsid w:val="00FB516C"/>
    <w:rsid w:val="00FB54A4"/>
    <w:rsid w:val="00FB5C62"/>
    <w:rsid w:val="00FB5FC8"/>
    <w:rsid w:val="00FC02BB"/>
    <w:rsid w:val="00FC14D2"/>
    <w:rsid w:val="00FC1B40"/>
    <w:rsid w:val="00FC1E8D"/>
    <w:rsid w:val="00FC2DAD"/>
    <w:rsid w:val="00FC35F9"/>
    <w:rsid w:val="00FC3631"/>
    <w:rsid w:val="00FC3C96"/>
    <w:rsid w:val="00FC460E"/>
    <w:rsid w:val="00FC761E"/>
    <w:rsid w:val="00FD0236"/>
    <w:rsid w:val="00FD0D2E"/>
    <w:rsid w:val="00FD131D"/>
    <w:rsid w:val="00FD18F4"/>
    <w:rsid w:val="00FD30F5"/>
    <w:rsid w:val="00FD4324"/>
    <w:rsid w:val="00FD48E6"/>
    <w:rsid w:val="00FD4C6B"/>
    <w:rsid w:val="00FD54DB"/>
    <w:rsid w:val="00FD619F"/>
    <w:rsid w:val="00FD644E"/>
    <w:rsid w:val="00FD711C"/>
    <w:rsid w:val="00FE2BE6"/>
    <w:rsid w:val="00FE4FB4"/>
    <w:rsid w:val="00FE52BA"/>
    <w:rsid w:val="00FE59BC"/>
    <w:rsid w:val="00FF0925"/>
    <w:rsid w:val="00FF28D6"/>
    <w:rsid w:val="00FF39E0"/>
    <w:rsid w:val="00FF4568"/>
    <w:rsid w:val="00FF4ED1"/>
    <w:rsid w:val="00FF603C"/>
    <w:rsid w:val="00FF6444"/>
    <w:rsid w:val="00FF7C1D"/>
    <w:rsid w:val="010540F7"/>
    <w:rsid w:val="010F4D97"/>
    <w:rsid w:val="011B6997"/>
    <w:rsid w:val="011F3940"/>
    <w:rsid w:val="01290F7E"/>
    <w:rsid w:val="012F5F9F"/>
    <w:rsid w:val="01321CDD"/>
    <w:rsid w:val="013958EE"/>
    <w:rsid w:val="015C4E83"/>
    <w:rsid w:val="015D1E09"/>
    <w:rsid w:val="01687E91"/>
    <w:rsid w:val="016A2597"/>
    <w:rsid w:val="0178123A"/>
    <w:rsid w:val="017E6F26"/>
    <w:rsid w:val="01810B3A"/>
    <w:rsid w:val="019404F8"/>
    <w:rsid w:val="01A23466"/>
    <w:rsid w:val="01A52705"/>
    <w:rsid w:val="01BB7833"/>
    <w:rsid w:val="01C7267B"/>
    <w:rsid w:val="01C761D7"/>
    <w:rsid w:val="01C963F3"/>
    <w:rsid w:val="01D47DE9"/>
    <w:rsid w:val="01E828A4"/>
    <w:rsid w:val="01E925F2"/>
    <w:rsid w:val="01E956F4"/>
    <w:rsid w:val="01EB1987"/>
    <w:rsid w:val="0204742C"/>
    <w:rsid w:val="020624C0"/>
    <w:rsid w:val="020D0916"/>
    <w:rsid w:val="021B5753"/>
    <w:rsid w:val="0227136C"/>
    <w:rsid w:val="02343387"/>
    <w:rsid w:val="023615AF"/>
    <w:rsid w:val="023A4BFB"/>
    <w:rsid w:val="023F0464"/>
    <w:rsid w:val="024A3CE3"/>
    <w:rsid w:val="0264502E"/>
    <w:rsid w:val="02697903"/>
    <w:rsid w:val="02702D13"/>
    <w:rsid w:val="0273635F"/>
    <w:rsid w:val="02777918"/>
    <w:rsid w:val="02866093"/>
    <w:rsid w:val="02867DA3"/>
    <w:rsid w:val="02931780"/>
    <w:rsid w:val="02B35B31"/>
    <w:rsid w:val="02BF35AA"/>
    <w:rsid w:val="02C33B77"/>
    <w:rsid w:val="02CD1F13"/>
    <w:rsid w:val="02D74B40"/>
    <w:rsid w:val="02DB2DD5"/>
    <w:rsid w:val="02DF1815"/>
    <w:rsid w:val="02E64D83"/>
    <w:rsid w:val="02EA4873"/>
    <w:rsid w:val="02EF7565"/>
    <w:rsid w:val="02F01568"/>
    <w:rsid w:val="02F9602F"/>
    <w:rsid w:val="02F96569"/>
    <w:rsid w:val="02FE1274"/>
    <w:rsid w:val="031275DC"/>
    <w:rsid w:val="033E0DCD"/>
    <w:rsid w:val="03426474"/>
    <w:rsid w:val="034B4237"/>
    <w:rsid w:val="03634626"/>
    <w:rsid w:val="0365153D"/>
    <w:rsid w:val="03657A72"/>
    <w:rsid w:val="036D1000"/>
    <w:rsid w:val="03704963"/>
    <w:rsid w:val="037D56E7"/>
    <w:rsid w:val="03914CEF"/>
    <w:rsid w:val="039914C7"/>
    <w:rsid w:val="03A40660"/>
    <w:rsid w:val="03A43768"/>
    <w:rsid w:val="03AD2702"/>
    <w:rsid w:val="03B31109"/>
    <w:rsid w:val="03B76980"/>
    <w:rsid w:val="03CC1E33"/>
    <w:rsid w:val="03CD6C8A"/>
    <w:rsid w:val="03E730BD"/>
    <w:rsid w:val="03EA7B21"/>
    <w:rsid w:val="03FC62B7"/>
    <w:rsid w:val="03FE68E0"/>
    <w:rsid w:val="03FF097B"/>
    <w:rsid w:val="04043713"/>
    <w:rsid w:val="0405748B"/>
    <w:rsid w:val="040B77C8"/>
    <w:rsid w:val="040C1C42"/>
    <w:rsid w:val="040E4592"/>
    <w:rsid w:val="041110E3"/>
    <w:rsid w:val="04150817"/>
    <w:rsid w:val="041D2A27"/>
    <w:rsid w:val="041F7A0A"/>
    <w:rsid w:val="04280FC5"/>
    <w:rsid w:val="04414D65"/>
    <w:rsid w:val="0442423B"/>
    <w:rsid w:val="04561939"/>
    <w:rsid w:val="045A3333"/>
    <w:rsid w:val="0465447A"/>
    <w:rsid w:val="04674E6C"/>
    <w:rsid w:val="04684391"/>
    <w:rsid w:val="046F6A50"/>
    <w:rsid w:val="04750BEA"/>
    <w:rsid w:val="0479743D"/>
    <w:rsid w:val="048C7EBE"/>
    <w:rsid w:val="04A92787"/>
    <w:rsid w:val="04B32549"/>
    <w:rsid w:val="04C455F7"/>
    <w:rsid w:val="04D13746"/>
    <w:rsid w:val="04DB21CB"/>
    <w:rsid w:val="04E25A41"/>
    <w:rsid w:val="04E92909"/>
    <w:rsid w:val="04ED3767"/>
    <w:rsid w:val="04FF57DA"/>
    <w:rsid w:val="05064981"/>
    <w:rsid w:val="05110BD1"/>
    <w:rsid w:val="0517199C"/>
    <w:rsid w:val="051F632A"/>
    <w:rsid w:val="0528391D"/>
    <w:rsid w:val="052A1BD0"/>
    <w:rsid w:val="0541414F"/>
    <w:rsid w:val="055E6E53"/>
    <w:rsid w:val="05696C71"/>
    <w:rsid w:val="056E0609"/>
    <w:rsid w:val="0571302A"/>
    <w:rsid w:val="05866977"/>
    <w:rsid w:val="058D598A"/>
    <w:rsid w:val="059E1945"/>
    <w:rsid w:val="059F5401"/>
    <w:rsid w:val="05AA2834"/>
    <w:rsid w:val="05AF5900"/>
    <w:rsid w:val="05BF652E"/>
    <w:rsid w:val="05D31ED5"/>
    <w:rsid w:val="05D709B3"/>
    <w:rsid w:val="05EA5F5A"/>
    <w:rsid w:val="05F83EAE"/>
    <w:rsid w:val="060C2D53"/>
    <w:rsid w:val="06177108"/>
    <w:rsid w:val="062215D1"/>
    <w:rsid w:val="0622522B"/>
    <w:rsid w:val="06283BB7"/>
    <w:rsid w:val="0633197B"/>
    <w:rsid w:val="06366E11"/>
    <w:rsid w:val="063E7D85"/>
    <w:rsid w:val="06455476"/>
    <w:rsid w:val="06587459"/>
    <w:rsid w:val="065B492C"/>
    <w:rsid w:val="06615801"/>
    <w:rsid w:val="0667442D"/>
    <w:rsid w:val="06686486"/>
    <w:rsid w:val="066E05B6"/>
    <w:rsid w:val="06A27213"/>
    <w:rsid w:val="06A40086"/>
    <w:rsid w:val="06B44D5C"/>
    <w:rsid w:val="06C2321A"/>
    <w:rsid w:val="06C54360"/>
    <w:rsid w:val="06C54CB0"/>
    <w:rsid w:val="06C9139E"/>
    <w:rsid w:val="06D01FD2"/>
    <w:rsid w:val="06D373CC"/>
    <w:rsid w:val="06E54CB2"/>
    <w:rsid w:val="06E70287"/>
    <w:rsid w:val="06F32BF7"/>
    <w:rsid w:val="06F821CF"/>
    <w:rsid w:val="06F86E33"/>
    <w:rsid w:val="07066A6C"/>
    <w:rsid w:val="07075EFB"/>
    <w:rsid w:val="071719AF"/>
    <w:rsid w:val="07293586"/>
    <w:rsid w:val="07295285"/>
    <w:rsid w:val="072D2F81"/>
    <w:rsid w:val="072F492D"/>
    <w:rsid w:val="07302A71"/>
    <w:rsid w:val="07350AD3"/>
    <w:rsid w:val="07417D10"/>
    <w:rsid w:val="074D53D1"/>
    <w:rsid w:val="07636392"/>
    <w:rsid w:val="076444C8"/>
    <w:rsid w:val="076F17EB"/>
    <w:rsid w:val="07750484"/>
    <w:rsid w:val="07770C56"/>
    <w:rsid w:val="077F16A3"/>
    <w:rsid w:val="07802AE8"/>
    <w:rsid w:val="078C16E9"/>
    <w:rsid w:val="078C4E56"/>
    <w:rsid w:val="07A02959"/>
    <w:rsid w:val="07B059DC"/>
    <w:rsid w:val="07B21C5B"/>
    <w:rsid w:val="07BA6457"/>
    <w:rsid w:val="07C00AA8"/>
    <w:rsid w:val="07C1191B"/>
    <w:rsid w:val="07C21A6A"/>
    <w:rsid w:val="07D258D6"/>
    <w:rsid w:val="07D27DF0"/>
    <w:rsid w:val="07D37248"/>
    <w:rsid w:val="07D660E3"/>
    <w:rsid w:val="07D668D5"/>
    <w:rsid w:val="07D77292"/>
    <w:rsid w:val="07E43281"/>
    <w:rsid w:val="07E8334B"/>
    <w:rsid w:val="07EA4131"/>
    <w:rsid w:val="07FF0162"/>
    <w:rsid w:val="080649A5"/>
    <w:rsid w:val="080B2B96"/>
    <w:rsid w:val="081F6A2B"/>
    <w:rsid w:val="0820258B"/>
    <w:rsid w:val="08210512"/>
    <w:rsid w:val="08290BEF"/>
    <w:rsid w:val="082D0D5E"/>
    <w:rsid w:val="082F16FD"/>
    <w:rsid w:val="082F2D28"/>
    <w:rsid w:val="08314CF2"/>
    <w:rsid w:val="083E3AC5"/>
    <w:rsid w:val="0840304B"/>
    <w:rsid w:val="084C3AC3"/>
    <w:rsid w:val="084F6FFD"/>
    <w:rsid w:val="08681FF2"/>
    <w:rsid w:val="087675F5"/>
    <w:rsid w:val="087A6126"/>
    <w:rsid w:val="087F559D"/>
    <w:rsid w:val="08856DEC"/>
    <w:rsid w:val="08962DA7"/>
    <w:rsid w:val="089808CE"/>
    <w:rsid w:val="08981CD3"/>
    <w:rsid w:val="08A6123D"/>
    <w:rsid w:val="08AB40DD"/>
    <w:rsid w:val="08AC25CB"/>
    <w:rsid w:val="08B2703E"/>
    <w:rsid w:val="08BE466A"/>
    <w:rsid w:val="08C22DFE"/>
    <w:rsid w:val="08CC398C"/>
    <w:rsid w:val="08D24D05"/>
    <w:rsid w:val="08D613F6"/>
    <w:rsid w:val="08DA0DBD"/>
    <w:rsid w:val="08E258F3"/>
    <w:rsid w:val="08EA2D6D"/>
    <w:rsid w:val="08EB6C4F"/>
    <w:rsid w:val="08F3017C"/>
    <w:rsid w:val="08F53D13"/>
    <w:rsid w:val="08F80D6D"/>
    <w:rsid w:val="08FA1588"/>
    <w:rsid w:val="08FD2EAB"/>
    <w:rsid w:val="090925C7"/>
    <w:rsid w:val="09093579"/>
    <w:rsid w:val="09126DD6"/>
    <w:rsid w:val="091F2CA2"/>
    <w:rsid w:val="092217DD"/>
    <w:rsid w:val="0922570D"/>
    <w:rsid w:val="092D6686"/>
    <w:rsid w:val="09320F20"/>
    <w:rsid w:val="0935436E"/>
    <w:rsid w:val="093A33BF"/>
    <w:rsid w:val="093A7294"/>
    <w:rsid w:val="093E57AE"/>
    <w:rsid w:val="093E665F"/>
    <w:rsid w:val="095835BB"/>
    <w:rsid w:val="095A2ED7"/>
    <w:rsid w:val="095B7D02"/>
    <w:rsid w:val="09633DCF"/>
    <w:rsid w:val="096E162E"/>
    <w:rsid w:val="097B4C27"/>
    <w:rsid w:val="097E5DA1"/>
    <w:rsid w:val="09803FD9"/>
    <w:rsid w:val="098E2AFB"/>
    <w:rsid w:val="098F7F23"/>
    <w:rsid w:val="099412C7"/>
    <w:rsid w:val="09C364DA"/>
    <w:rsid w:val="09C37BCC"/>
    <w:rsid w:val="09CA381B"/>
    <w:rsid w:val="09D122E9"/>
    <w:rsid w:val="09D26061"/>
    <w:rsid w:val="09E75CD7"/>
    <w:rsid w:val="09E87633"/>
    <w:rsid w:val="09EE2822"/>
    <w:rsid w:val="09F47CA3"/>
    <w:rsid w:val="0A0B0146"/>
    <w:rsid w:val="0A0B62BC"/>
    <w:rsid w:val="0A0D30C8"/>
    <w:rsid w:val="0A1C3D21"/>
    <w:rsid w:val="0A2148F3"/>
    <w:rsid w:val="0A263993"/>
    <w:rsid w:val="0A2D3AC2"/>
    <w:rsid w:val="0A355F10"/>
    <w:rsid w:val="0A377FFE"/>
    <w:rsid w:val="0A4367FC"/>
    <w:rsid w:val="0A465547"/>
    <w:rsid w:val="0A7B6DF6"/>
    <w:rsid w:val="0A7F7F97"/>
    <w:rsid w:val="0A8818A5"/>
    <w:rsid w:val="0A886720"/>
    <w:rsid w:val="0A8A06EA"/>
    <w:rsid w:val="0A8D18A7"/>
    <w:rsid w:val="0A902734"/>
    <w:rsid w:val="0A9357F1"/>
    <w:rsid w:val="0A9F4195"/>
    <w:rsid w:val="0AA03F62"/>
    <w:rsid w:val="0AA572D2"/>
    <w:rsid w:val="0AA755DF"/>
    <w:rsid w:val="0AA772AF"/>
    <w:rsid w:val="0AB37C41"/>
    <w:rsid w:val="0ABA4019"/>
    <w:rsid w:val="0AC02B16"/>
    <w:rsid w:val="0AC43BFC"/>
    <w:rsid w:val="0AD5056D"/>
    <w:rsid w:val="0AF448C5"/>
    <w:rsid w:val="0AF61F0A"/>
    <w:rsid w:val="0AFB02FE"/>
    <w:rsid w:val="0B035FED"/>
    <w:rsid w:val="0B120D44"/>
    <w:rsid w:val="0B1306DF"/>
    <w:rsid w:val="0B1E75D8"/>
    <w:rsid w:val="0B227B99"/>
    <w:rsid w:val="0B2612BD"/>
    <w:rsid w:val="0B3379DE"/>
    <w:rsid w:val="0B3520E8"/>
    <w:rsid w:val="0B3543DB"/>
    <w:rsid w:val="0B3F14D4"/>
    <w:rsid w:val="0B422D73"/>
    <w:rsid w:val="0B4E3C9D"/>
    <w:rsid w:val="0B4F2283"/>
    <w:rsid w:val="0B50557A"/>
    <w:rsid w:val="0B571C3E"/>
    <w:rsid w:val="0B675812"/>
    <w:rsid w:val="0B6E6353"/>
    <w:rsid w:val="0B7256FC"/>
    <w:rsid w:val="0B732D53"/>
    <w:rsid w:val="0B792C38"/>
    <w:rsid w:val="0B7D5F89"/>
    <w:rsid w:val="0B816C15"/>
    <w:rsid w:val="0B8272F2"/>
    <w:rsid w:val="0B8320F7"/>
    <w:rsid w:val="0B8E5FB8"/>
    <w:rsid w:val="0B902219"/>
    <w:rsid w:val="0B93537C"/>
    <w:rsid w:val="0B9C1DF2"/>
    <w:rsid w:val="0BA5796D"/>
    <w:rsid w:val="0BAA1044"/>
    <w:rsid w:val="0BAE21B6"/>
    <w:rsid w:val="0BB70527"/>
    <w:rsid w:val="0BC42581"/>
    <w:rsid w:val="0BC84FE1"/>
    <w:rsid w:val="0BCE4606"/>
    <w:rsid w:val="0BCE730A"/>
    <w:rsid w:val="0BD27BF6"/>
    <w:rsid w:val="0BD54A1D"/>
    <w:rsid w:val="0BD936D7"/>
    <w:rsid w:val="0BDA1B36"/>
    <w:rsid w:val="0BE86C04"/>
    <w:rsid w:val="0BF35AAF"/>
    <w:rsid w:val="0BF903FB"/>
    <w:rsid w:val="0BF93222"/>
    <w:rsid w:val="0C0359D2"/>
    <w:rsid w:val="0C060860"/>
    <w:rsid w:val="0C083FBC"/>
    <w:rsid w:val="0C1427A2"/>
    <w:rsid w:val="0C1C09D0"/>
    <w:rsid w:val="0C2228AF"/>
    <w:rsid w:val="0C27479D"/>
    <w:rsid w:val="0C2C32DA"/>
    <w:rsid w:val="0C3B3C7D"/>
    <w:rsid w:val="0C46581C"/>
    <w:rsid w:val="0C4A36DB"/>
    <w:rsid w:val="0C525F2C"/>
    <w:rsid w:val="0C526FE5"/>
    <w:rsid w:val="0C561E23"/>
    <w:rsid w:val="0C5E1E2E"/>
    <w:rsid w:val="0C662A91"/>
    <w:rsid w:val="0C6736F5"/>
    <w:rsid w:val="0C692C1B"/>
    <w:rsid w:val="0C782EF0"/>
    <w:rsid w:val="0C981078"/>
    <w:rsid w:val="0CA24776"/>
    <w:rsid w:val="0CA912FB"/>
    <w:rsid w:val="0CAB2EAE"/>
    <w:rsid w:val="0CAE0F5E"/>
    <w:rsid w:val="0CB145DE"/>
    <w:rsid w:val="0CBF26C9"/>
    <w:rsid w:val="0CC2416B"/>
    <w:rsid w:val="0CCF05ED"/>
    <w:rsid w:val="0CD13905"/>
    <w:rsid w:val="0CD65AE4"/>
    <w:rsid w:val="0CEA6E64"/>
    <w:rsid w:val="0CF43EFA"/>
    <w:rsid w:val="0CF54541"/>
    <w:rsid w:val="0CFE6F11"/>
    <w:rsid w:val="0D0C3638"/>
    <w:rsid w:val="0D191352"/>
    <w:rsid w:val="0D266145"/>
    <w:rsid w:val="0D335069"/>
    <w:rsid w:val="0D343217"/>
    <w:rsid w:val="0D621C7D"/>
    <w:rsid w:val="0D697396"/>
    <w:rsid w:val="0D6D2037"/>
    <w:rsid w:val="0D7331F9"/>
    <w:rsid w:val="0D7B2671"/>
    <w:rsid w:val="0D800BC6"/>
    <w:rsid w:val="0D8A10EE"/>
    <w:rsid w:val="0D9A6F87"/>
    <w:rsid w:val="0D9F0712"/>
    <w:rsid w:val="0DA61272"/>
    <w:rsid w:val="0DA711A7"/>
    <w:rsid w:val="0DA90E87"/>
    <w:rsid w:val="0DB64BBE"/>
    <w:rsid w:val="0DBE022F"/>
    <w:rsid w:val="0DC12892"/>
    <w:rsid w:val="0DC13976"/>
    <w:rsid w:val="0DC147AE"/>
    <w:rsid w:val="0DC762F3"/>
    <w:rsid w:val="0DDA7EE5"/>
    <w:rsid w:val="0DF34163"/>
    <w:rsid w:val="0DF419FB"/>
    <w:rsid w:val="0DF5199B"/>
    <w:rsid w:val="0DFC70CA"/>
    <w:rsid w:val="0E082052"/>
    <w:rsid w:val="0E215ACF"/>
    <w:rsid w:val="0E423D59"/>
    <w:rsid w:val="0E466E67"/>
    <w:rsid w:val="0E4D57A9"/>
    <w:rsid w:val="0E65619C"/>
    <w:rsid w:val="0E675CD8"/>
    <w:rsid w:val="0E73034D"/>
    <w:rsid w:val="0E743149"/>
    <w:rsid w:val="0E7C69A8"/>
    <w:rsid w:val="0E7D5611"/>
    <w:rsid w:val="0E7F24E3"/>
    <w:rsid w:val="0E845BDB"/>
    <w:rsid w:val="0E8D5C3B"/>
    <w:rsid w:val="0EAA425E"/>
    <w:rsid w:val="0EAC15F9"/>
    <w:rsid w:val="0EB67D00"/>
    <w:rsid w:val="0EBB38BF"/>
    <w:rsid w:val="0ED059DF"/>
    <w:rsid w:val="0ED168E7"/>
    <w:rsid w:val="0EE155DA"/>
    <w:rsid w:val="0EEF06A8"/>
    <w:rsid w:val="0EF852E6"/>
    <w:rsid w:val="0EFB6CF5"/>
    <w:rsid w:val="0F0F5662"/>
    <w:rsid w:val="0F114E67"/>
    <w:rsid w:val="0F1355BC"/>
    <w:rsid w:val="0F13775A"/>
    <w:rsid w:val="0F18453E"/>
    <w:rsid w:val="0F2377E5"/>
    <w:rsid w:val="0F260D7E"/>
    <w:rsid w:val="0F291509"/>
    <w:rsid w:val="0F345751"/>
    <w:rsid w:val="0F362AC4"/>
    <w:rsid w:val="0F4603CF"/>
    <w:rsid w:val="0F4C2412"/>
    <w:rsid w:val="0F5B32D6"/>
    <w:rsid w:val="0F5D157F"/>
    <w:rsid w:val="0F5F45FE"/>
    <w:rsid w:val="0F5F5CA1"/>
    <w:rsid w:val="0F717A41"/>
    <w:rsid w:val="0F733789"/>
    <w:rsid w:val="0F931008"/>
    <w:rsid w:val="0F990E85"/>
    <w:rsid w:val="0F9A112B"/>
    <w:rsid w:val="0FA81FBD"/>
    <w:rsid w:val="0FB771F2"/>
    <w:rsid w:val="0FC87607"/>
    <w:rsid w:val="0FC95811"/>
    <w:rsid w:val="0FD33B7B"/>
    <w:rsid w:val="0FDC3304"/>
    <w:rsid w:val="0FDF3286"/>
    <w:rsid w:val="0FE95CB0"/>
    <w:rsid w:val="0FF53908"/>
    <w:rsid w:val="0FFB36E2"/>
    <w:rsid w:val="100B420C"/>
    <w:rsid w:val="101B0308"/>
    <w:rsid w:val="1026724A"/>
    <w:rsid w:val="103B1BF6"/>
    <w:rsid w:val="10413679"/>
    <w:rsid w:val="105C1A17"/>
    <w:rsid w:val="105E08C5"/>
    <w:rsid w:val="1063632A"/>
    <w:rsid w:val="106402AB"/>
    <w:rsid w:val="106C6DEC"/>
    <w:rsid w:val="106D2F64"/>
    <w:rsid w:val="106E4B7E"/>
    <w:rsid w:val="10982862"/>
    <w:rsid w:val="10A2578E"/>
    <w:rsid w:val="10B63710"/>
    <w:rsid w:val="10BD5F86"/>
    <w:rsid w:val="10CB2AAE"/>
    <w:rsid w:val="10D51B29"/>
    <w:rsid w:val="10D54B64"/>
    <w:rsid w:val="10D601E5"/>
    <w:rsid w:val="10D64689"/>
    <w:rsid w:val="10D82668"/>
    <w:rsid w:val="10E3232D"/>
    <w:rsid w:val="10E62B8E"/>
    <w:rsid w:val="10ED6D79"/>
    <w:rsid w:val="10F10820"/>
    <w:rsid w:val="11077C54"/>
    <w:rsid w:val="110F3B44"/>
    <w:rsid w:val="111807FE"/>
    <w:rsid w:val="111A3B43"/>
    <w:rsid w:val="111C2F7A"/>
    <w:rsid w:val="11464EF6"/>
    <w:rsid w:val="11567578"/>
    <w:rsid w:val="116457F1"/>
    <w:rsid w:val="11665CA1"/>
    <w:rsid w:val="117110D3"/>
    <w:rsid w:val="117450BC"/>
    <w:rsid w:val="117623A3"/>
    <w:rsid w:val="11766AA6"/>
    <w:rsid w:val="11777690"/>
    <w:rsid w:val="117B3C49"/>
    <w:rsid w:val="117D2D56"/>
    <w:rsid w:val="11813B0C"/>
    <w:rsid w:val="1191235E"/>
    <w:rsid w:val="11931423"/>
    <w:rsid w:val="11964243"/>
    <w:rsid w:val="11B06CDA"/>
    <w:rsid w:val="11B4621F"/>
    <w:rsid w:val="11BF0A31"/>
    <w:rsid w:val="11C24566"/>
    <w:rsid w:val="11D0732A"/>
    <w:rsid w:val="11D14E7D"/>
    <w:rsid w:val="11E305CC"/>
    <w:rsid w:val="11E42DD6"/>
    <w:rsid w:val="11E608FC"/>
    <w:rsid w:val="11F27E27"/>
    <w:rsid w:val="11F949FE"/>
    <w:rsid w:val="11FC590F"/>
    <w:rsid w:val="12000615"/>
    <w:rsid w:val="12033A9B"/>
    <w:rsid w:val="121F796A"/>
    <w:rsid w:val="12241424"/>
    <w:rsid w:val="123954CC"/>
    <w:rsid w:val="123F7018"/>
    <w:rsid w:val="12504C2C"/>
    <w:rsid w:val="12556352"/>
    <w:rsid w:val="126F4B46"/>
    <w:rsid w:val="12743D6F"/>
    <w:rsid w:val="12781A80"/>
    <w:rsid w:val="127A7296"/>
    <w:rsid w:val="127B5307"/>
    <w:rsid w:val="12897BDB"/>
    <w:rsid w:val="129D0AB4"/>
    <w:rsid w:val="12A73615"/>
    <w:rsid w:val="12AC0833"/>
    <w:rsid w:val="12B14A48"/>
    <w:rsid w:val="12BA2136"/>
    <w:rsid w:val="12C36042"/>
    <w:rsid w:val="12D44A81"/>
    <w:rsid w:val="12E44266"/>
    <w:rsid w:val="12ED4198"/>
    <w:rsid w:val="12FC5EFD"/>
    <w:rsid w:val="130354DD"/>
    <w:rsid w:val="130E4DC6"/>
    <w:rsid w:val="1312116C"/>
    <w:rsid w:val="13121F3B"/>
    <w:rsid w:val="131F2C8A"/>
    <w:rsid w:val="1322281D"/>
    <w:rsid w:val="13294F44"/>
    <w:rsid w:val="133A0C3D"/>
    <w:rsid w:val="13407CE4"/>
    <w:rsid w:val="1356560D"/>
    <w:rsid w:val="13581D3B"/>
    <w:rsid w:val="135B774E"/>
    <w:rsid w:val="136071B7"/>
    <w:rsid w:val="13625E91"/>
    <w:rsid w:val="1369556C"/>
    <w:rsid w:val="136B468E"/>
    <w:rsid w:val="136C3441"/>
    <w:rsid w:val="13706970"/>
    <w:rsid w:val="13846196"/>
    <w:rsid w:val="138C6631"/>
    <w:rsid w:val="13942655"/>
    <w:rsid w:val="13951726"/>
    <w:rsid w:val="139D4FEA"/>
    <w:rsid w:val="139E31FE"/>
    <w:rsid w:val="13BF7656"/>
    <w:rsid w:val="13C407C9"/>
    <w:rsid w:val="13D900B3"/>
    <w:rsid w:val="13D949D7"/>
    <w:rsid w:val="13DF5603"/>
    <w:rsid w:val="13E175CD"/>
    <w:rsid w:val="13E56991"/>
    <w:rsid w:val="13EB41FA"/>
    <w:rsid w:val="13FA6691"/>
    <w:rsid w:val="13FC4407"/>
    <w:rsid w:val="13FF2E56"/>
    <w:rsid w:val="14047A3C"/>
    <w:rsid w:val="14091685"/>
    <w:rsid w:val="14092B57"/>
    <w:rsid w:val="140A6336"/>
    <w:rsid w:val="140E7C96"/>
    <w:rsid w:val="140F390B"/>
    <w:rsid w:val="14290A07"/>
    <w:rsid w:val="142D095D"/>
    <w:rsid w:val="14333BA0"/>
    <w:rsid w:val="14354DB0"/>
    <w:rsid w:val="143959B3"/>
    <w:rsid w:val="14396509"/>
    <w:rsid w:val="144841F3"/>
    <w:rsid w:val="144B372B"/>
    <w:rsid w:val="14551D69"/>
    <w:rsid w:val="1458357A"/>
    <w:rsid w:val="1467440F"/>
    <w:rsid w:val="146869DA"/>
    <w:rsid w:val="146A27B3"/>
    <w:rsid w:val="148461AA"/>
    <w:rsid w:val="149444D3"/>
    <w:rsid w:val="149A16C0"/>
    <w:rsid w:val="14C4497C"/>
    <w:rsid w:val="14C57350"/>
    <w:rsid w:val="14C722BE"/>
    <w:rsid w:val="14C8078D"/>
    <w:rsid w:val="14C97064"/>
    <w:rsid w:val="14D07641"/>
    <w:rsid w:val="14DA6BD5"/>
    <w:rsid w:val="14DD2C3C"/>
    <w:rsid w:val="14DE6D49"/>
    <w:rsid w:val="14DF07E9"/>
    <w:rsid w:val="14E01C36"/>
    <w:rsid w:val="14ED029E"/>
    <w:rsid w:val="14ED4EAF"/>
    <w:rsid w:val="14F16637"/>
    <w:rsid w:val="14FA47C8"/>
    <w:rsid w:val="14FE7D0A"/>
    <w:rsid w:val="150372C2"/>
    <w:rsid w:val="150712B5"/>
    <w:rsid w:val="150A6FDA"/>
    <w:rsid w:val="15203CE6"/>
    <w:rsid w:val="15282FD9"/>
    <w:rsid w:val="152F676E"/>
    <w:rsid w:val="153225E2"/>
    <w:rsid w:val="15337566"/>
    <w:rsid w:val="153875F9"/>
    <w:rsid w:val="15433B41"/>
    <w:rsid w:val="15475B55"/>
    <w:rsid w:val="154B0F45"/>
    <w:rsid w:val="154C6CC8"/>
    <w:rsid w:val="155251A4"/>
    <w:rsid w:val="1556033E"/>
    <w:rsid w:val="155657DC"/>
    <w:rsid w:val="155B6F0F"/>
    <w:rsid w:val="15636D69"/>
    <w:rsid w:val="15660544"/>
    <w:rsid w:val="156C736A"/>
    <w:rsid w:val="15724254"/>
    <w:rsid w:val="157840C7"/>
    <w:rsid w:val="15911FC1"/>
    <w:rsid w:val="15922F94"/>
    <w:rsid w:val="159468C1"/>
    <w:rsid w:val="15981F0D"/>
    <w:rsid w:val="159A6C0A"/>
    <w:rsid w:val="15A12BAA"/>
    <w:rsid w:val="15A42FA8"/>
    <w:rsid w:val="15A52FCF"/>
    <w:rsid w:val="15A85032"/>
    <w:rsid w:val="15A93EF2"/>
    <w:rsid w:val="15AA39E1"/>
    <w:rsid w:val="15B825AF"/>
    <w:rsid w:val="15BB209F"/>
    <w:rsid w:val="15BF393E"/>
    <w:rsid w:val="15C36092"/>
    <w:rsid w:val="15E96C0C"/>
    <w:rsid w:val="15F14077"/>
    <w:rsid w:val="15F46E3E"/>
    <w:rsid w:val="15FA0766"/>
    <w:rsid w:val="15FB249C"/>
    <w:rsid w:val="16087E1D"/>
    <w:rsid w:val="16153CF4"/>
    <w:rsid w:val="161929CE"/>
    <w:rsid w:val="162714E3"/>
    <w:rsid w:val="163E3003"/>
    <w:rsid w:val="16457FE9"/>
    <w:rsid w:val="16491459"/>
    <w:rsid w:val="164B4BEC"/>
    <w:rsid w:val="16536272"/>
    <w:rsid w:val="165467DD"/>
    <w:rsid w:val="165C524B"/>
    <w:rsid w:val="165F2A2B"/>
    <w:rsid w:val="16677B31"/>
    <w:rsid w:val="167427AE"/>
    <w:rsid w:val="167F30CD"/>
    <w:rsid w:val="16867138"/>
    <w:rsid w:val="169E79F7"/>
    <w:rsid w:val="16A576FF"/>
    <w:rsid w:val="16A7036B"/>
    <w:rsid w:val="16B005DC"/>
    <w:rsid w:val="16B73A83"/>
    <w:rsid w:val="16BB219B"/>
    <w:rsid w:val="16BC1C2B"/>
    <w:rsid w:val="16D8332C"/>
    <w:rsid w:val="16DC3C30"/>
    <w:rsid w:val="16EF21CD"/>
    <w:rsid w:val="16F23E34"/>
    <w:rsid w:val="16F5338F"/>
    <w:rsid w:val="16FC0E27"/>
    <w:rsid w:val="16FE64BD"/>
    <w:rsid w:val="17244A52"/>
    <w:rsid w:val="172D2B29"/>
    <w:rsid w:val="172F064F"/>
    <w:rsid w:val="173008D1"/>
    <w:rsid w:val="17377504"/>
    <w:rsid w:val="174D6D27"/>
    <w:rsid w:val="17627078"/>
    <w:rsid w:val="17701D14"/>
    <w:rsid w:val="17733F0B"/>
    <w:rsid w:val="17735226"/>
    <w:rsid w:val="17832749"/>
    <w:rsid w:val="17874E68"/>
    <w:rsid w:val="17875081"/>
    <w:rsid w:val="178A3AD7"/>
    <w:rsid w:val="17A252C5"/>
    <w:rsid w:val="17A378F0"/>
    <w:rsid w:val="17AA5F28"/>
    <w:rsid w:val="17AE7E39"/>
    <w:rsid w:val="17B248C5"/>
    <w:rsid w:val="17C92604"/>
    <w:rsid w:val="17DC0E56"/>
    <w:rsid w:val="17E5451B"/>
    <w:rsid w:val="17ED243B"/>
    <w:rsid w:val="17FA6EAF"/>
    <w:rsid w:val="180F31EF"/>
    <w:rsid w:val="181D2B9D"/>
    <w:rsid w:val="183E0BAE"/>
    <w:rsid w:val="18420856"/>
    <w:rsid w:val="18527996"/>
    <w:rsid w:val="18596009"/>
    <w:rsid w:val="18641486"/>
    <w:rsid w:val="18644328"/>
    <w:rsid w:val="18686313"/>
    <w:rsid w:val="186E6D83"/>
    <w:rsid w:val="18745314"/>
    <w:rsid w:val="187A7FF0"/>
    <w:rsid w:val="187B502C"/>
    <w:rsid w:val="189F367A"/>
    <w:rsid w:val="189F624C"/>
    <w:rsid w:val="18AB63FB"/>
    <w:rsid w:val="18B502D3"/>
    <w:rsid w:val="18BA2477"/>
    <w:rsid w:val="18BC6B72"/>
    <w:rsid w:val="18C05678"/>
    <w:rsid w:val="18C4126B"/>
    <w:rsid w:val="18C8355C"/>
    <w:rsid w:val="18CC437C"/>
    <w:rsid w:val="18D1476C"/>
    <w:rsid w:val="18D23E3D"/>
    <w:rsid w:val="18D92F68"/>
    <w:rsid w:val="18DA592A"/>
    <w:rsid w:val="18DC6F08"/>
    <w:rsid w:val="18E10A3C"/>
    <w:rsid w:val="18E70C9F"/>
    <w:rsid w:val="18E97D1E"/>
    <w:rsid w:val="18EE2799"/>
    <w:rsid w:val="18EF7227"/>
    <w:rsid w:val="18F02060"/>
    <w:rsid w:val="18F3765E"/>
    <w:rsid w:val="18F62894"/>
    <w:rsid w:val="19037FE5"/>
    <w:rsid w:val="190A1C0F"/>
    <w:rsid w:val="191018E5"/>
    <w:rsid w:val="19102569"/>
    <w:rsid w:val="192166BD"/>
    <w:rsid w:val="192D693B"/>
    <w:rsid w:val="192E442A"/>
    <w:rsid w:val="193C52A5"/>
    <w:rsid w:val="19497352"/>
    <w:rsid w:val="194A5AB4"/>
    <w:rsid w:val="194D1260"/>
    <w:rsid w:val="194F528B"/>
    <w:rsid w:val="19587232"/>
    <w:rsid w:val="195A5E2A"/>
    <w:rsid w:val="19651B2C"/>
    <w:rsid w:val="197473CE"/>
    <w:rsid w:val="1977586A"/>
    <w:rsid w:val="19805192"/>
    <w:rsid w:val="19864ACE"/>
    <w:rsid w:val="19947512"/>
    <w:rsid w:val="19A37AEB"/>
    <w:rsid w:val="19A86ACA"/>
    <w:rsid w:val="19B164B9"/>
    <w:rsid w:val="19B66E06"/>
    <w:rsid w:val="19D07148"/>
    <w:rsid w:val="19D2255C"/>
    <w:rsid w:val="19D438FD"/>
    <w:rsid w:val="19D83D7C"/>
    <w:rsid w:val="19E10884"/>
    <w:rsid w:val="19E962F6"/>
    <w:rsid w:val="19F24478"/>
    <w:rsid w:val="19F86CB5"/>
    <w:rsid w:val="19FB6F0E"/>
    <w:rsid w:val="1A0029B2"/>
    <w:rsid w:val="1A0D71CF"/>
    <w:rsid w:val="1A187AC0"/>
    <w:rsid w:val="1A1B135F"/>
    <w:rsid w:val="1A1C66C0"/>
    <w:rsid w:val="1A2C356C"/>
    <w:rsid w:val="1A320547"/>
    <w:rsid w:val="1A3D4B88"/>
    <w:rsid w:val="1A41201A"/>
    <w:rsid w:val="1A42393B"/>
    <w:rsid w:val="1A564145"/>
    <w:rsid w:val="1A6229BC"/>
    <w:rsid w:val="1A651D31"/>
    <w:rsid w:val="1A680009"/>
    <w:rsid w:val="1A7570F7"/>
    <w:rsid w:val="1A82066E"/>
    <w:rsid w:val="1A8B6179"/>
    <w:rsid w:val="1A9353D6"/>
    <w:rsid w:val="1A967EB6"/>
    <w:rsid w:val="1AAD45DE"/>
    <w:rsid w:val="1AB31597"/>
    <w:rsid w:val="1AC05F42"/>
    <w:rsid w:val="1AC63078"/>
    <w:rsid w:val="1AD7603E"/>
    <w:rsid w:val="1ADB5E74"/>
    <w:rsid w:val="1AE67825"/>
    <w:rsid w:val="1AED5DB2"/>
    <w:rsid w:val="1AF52BBE"/>
    <w:rsid w:val="1AFB43B9"/>
    <w:rsid w:val="1AFF16D2"/>
    <w:rsid w:val="1B021A39"/>
    <w:rsid w:val="1B046F80"/>
    <w:rsid w:val="1B0B4F2F"/>
    <w:rsid w:val="1B104450"/>
    <w:rsid w:val="1B17546B"/>
    <w:rsid w:val="1B1765A9"/>
    <w:rsid w:val="1B1B5FD7"/>
    <w:rsid w:val="1B2A7AAB"/>
    <w:rsid w:val="1B3267B5"/>
    <w:rsid w:val="1B373F76"/>
    <w:rsid w:val="1B3E550F"/>
    <w:rsid w:val="1B40161D"/>
    <w:rsid w:val="1B441859"/>
    <w:rsid w:val="1B4F7149"/>
    <w:rsid w:val="1B52666E"/>
    <w:rsid w:val="1B600D8D"/>
    <w:rsid w:val="1B604A89"/>
    <w:rsid w:val="1B624471"/>
    <w:rsid w:val="1B6606B1"/>
    <w:rsid w:val="1B664E62"/>
    <w:rsid w:val="1B6805D3"/>
    <w:rsid w:val="1B7D5565"/>
    <w:rsid w:val="1B7E3953"/>
    <w:rsid w:val="1B8336CC"/>
    <w:rsid w:val="1B8C7672"/>
    <w:rsid w:val="1B9C027D"/>
    <w:rsid w:val="1BA16D45"/>
    <w:rsid w:val="1BC31088"/>
    <w:rsid w:val="1BC3580A"/>
    <w:rsid w:val="1BD34562"/>
    <w:rsid w:val="1BDB0DA5"/>
    <w:rsid w:val="1BE158EC"/>
    <w:rsid w:val="1BF12377"/>
    <w:rsid w:val="1BF27EB8"/>
    <w:rsid w:val="1BF92E57"/>
    <w:rsid w:val="1C183E7E"/>
    <w:rsid w:val="1C236088"/>
    <w:rsid w:val="1C35495A"/>
    <w:rsid w:val="1C3C3892"/>
    <w:rsid w:val="1C4027D8"/>
    <w:rsid w:val="1C4C3A51"/>
    <w:rsid w:val="1C4D4FFA"/>
    <w:rsid w:val="1C5801A4"/>
    <w:rsid w:val="1C5A47E6"/>
    <w:rsid w:val="1C5E7925"/>
    <w:rsid w:val="1C5F7F2C"/>
    <w:rsid w:val="1C6963B1"/>
    <w:rsid w:val="1C6B715B"/>
    <w:rsid w:val="1C7D0090"/>
    <w:rsid w:val="1C7F3E11"/>
    <w:rsid w:val="1C99656B"/>
    <w:rsid w:val="1CAA1F24"/>
    <w:rsid w:val="1CAE3636"/>
    <w:rsid w:val="1CAF2BA6"/>
    <w:rsid w:val="1CC30785"/>
    <w:rsid w:val="1CCB6719"/>
    <w:rsid w:val="1CCF02AF"/>
    <w:rsid w:val="1CD24D32"/>
    <w:rsid w:val="1CD50451"/>
    <w:rsid w:val="1CE3322C"/>
    <w:rsid w:val="1CF846A0"/>
    <w:rsid w:val="1CFD070F"/>
    <w:rsid w:val="1D130FDA"/>
    <w:rsid w:val="1D184E62"/>
    <w:rsid w:val="1D1E3640"/>
    <w:rsid w:val="1D2624F4"/>
    <w:rsid w:val="1D263975"/>
    <w:rsid w:val="1D295B06"/>
    <w:rsid w:val="1D2B7DA0"/>
    <w:rsid w:val="1D5F6196"/>
    <w:rsid w:val="1D6132A5"/>
    <w:rsid w:val="1D712E66"/>
    <w:rsid w:val="1D7738EA"/>
    <w:rsid w:val="1D7C5487"/>
    <w:rsid w:val="1D7F72AF"/>
    <w:rsid w:val="1D80474B"/>
    <w:rsid w:val="1D8714D6"/>
    <w:rsid w:val="1D874F90"/>
    <w:rsid w:val="1D8E56D5"/>
    <w:rsid w:val="1DA05FD2"/>
    <w:rsid w:val="1DA531BA"/>
    <w:rsid w:val="1DAB104F"/>
    <w:rsid w:val="1DB13DE6"/>
    <w:rsid w:val="1DBD20AD"/>
    <w:rsid w:val="1DC63408"/>
    <w:rsid w:val="1DD6562D"/>
    <w:rsid w:val="1DDC7057"/>
    <w:rsid w:val="1DFE521F"/>
    <w:rsid w:val="1E0909A9"/>
    <w:rsid w:val="1E1B09F9"/>
    <w:rsid w:val="1E312EFF"/>
    <w:rsid w:val="1E345DEC"/>
    <w:rsid w:val="1E380731"/>
    <w:rsid w:val="1E3D42FA"/>
    <w:rsid w:val="1E4034C4"/>
    <w:rsid w:val="1E430E84"/>
    <w:rsid w:val="1E4A616F"/>
    <w:rsid w:val="1E5014A3"/>
    <w:rsid w:val="1E674B72"/>
    <w:rsid w:val="1E6F1C79"/>
    <w:rsid w:val="1E7355E2"/>
    <w:rsid w:val="1E7A43DA"/>
    <w:rsid w:val="1E827BFE"/>
    <w:rsid w:val="1E9572D0"/>
    <w:rsid w:val="1E9640ED"/>
    <w:rsid w:val="1E9846F5"/>
    <w:rsid w:val="1E9F5123"/>
    <w:rsid w:val="1EA72D26"/>
    <w:rsid w:val="1EAD4B0E"/>
    <w:rsid w:val="1EB8717C"/>
    <w:rsid w:val="1ECB3DB9"/>
    <w:rsid w:val="1ED45F96"/>
    <w:rsid w:val="1EE25AB6"/>
    <w:rsid w:val="1EEF072D"/>
    <w:rsid w:val="1EF36406"/>
    <w:rsid w:val="1F0F24C5"/>
    <w:rsid w:val="1F114ADE"/>
    <w:rsid w:val="1F130856"/>
    <w:rsid w:val="1F1545CE"/>
    <w:rsid w:val="1F1D3826"/>
    <w:rsid w:val="1F206574"/>
    <w:rsid w:val="1F2760B0"/>
    <w:rsid w:val="1F2F6352"/>
    <w:rsid w:val="1F30178C"/>
    <w:rsid w:val="1F3B0574"/>
    <w:rsid w:val="1F4B4494"/>
    <w:rsid w:val="1F5A3F12"/>
    <w:rsid w:val="1F5C4B11"/>
    <w:rsid w:val="1F5D7D23"/>
    <w:rsid w:val="1F666BD8"/>
    <w:rsid w:val="1F69528C"/>
    <w:rsid w:val="1F704434"/>
    <w:rsid w:val="1F7532BF"/>
    <w:rsid w:val="1F777037"/>
    <w:rsid w:val="1F9279CD"/>
    <w:rsid w:val="1F973B73"/>
    <w:rsid w:val="1F98341F"/>
    <w:rsid w:val="1FA140B4"/>
    <w:rsid w:val="1FAF3F98"/>
    <w:rsid w:val="1FB63C0F"/>
    <w:rsid w:val="1FC502B3"/>
    <w:rsid w:val="1FCE1CDC"/>
    <w:rsid w:val="1FD00E7A"/>
    <w:rsid w:val="1FDC333E"/>
    <w:rsid w:val="1FE7539E"/>
    <w:rsid w:val="1FF36F03"/>
    <w:rsid w:val="1FF468DA"/>
    <w:rsid w:val="1FF569E9"/>
    <w:rsid w:val="1FFA50EB"/>
    <w:rsid w:val="200308CB"/>
    <w:rsid w:val="20052895"/>
    <w:rsid w:val="200E7FAC"/>
    <w:rsid w:val="20286F28"/>
    <w:rsid w:val="202F16C0"/>
    <w:rsid w:val="202F7336"/>
    <w:rsid w:val="203D6CBE"/>
    <w:rsid w:val="20427645"/>
    <w:rsid w:val="20431205"/>
    <w:rsid w:val="205A2C47"/>
    <w:rsid w:val="205D2306"/>
    <w:rsid w:val="206100C4"/>
    <w:rsid w:val="20622D50"/>
    <w:rsid w:val="2066556E"/>
    <w:rsid w:val="20671BE0"/>
    <w:rsid w:val="20675467"/>
    <w:rsid w:val="20683870"/>
    <w:rsid w:val="20687B48"/>
    <w:rsid w:val="2069769F"/>
    <w:rsid w:val="20760185"/>
    <w:rsid w:val="207812B9"/>
    <w:rsid w:val="207D7922"/>
    <w:rsid w:val="208732AA"/>
    <w:rsid w:val="20920262"/>
    <w:rsid w:val="20923F96"/>
    <w:rsid w:val="209244B7"/>
    <w:rsid w:val="20931C4F"/>
    <w:rsid w:val="20963CB8"/>
    <w:rsid w:val="20966EA7"/>
    <w:rsid w:val="20974F17"/>
    <w:rsid w:val="20A81A1B"/>
    <w:rsid w:val="20AE7BCC"/>
    <w:rsid w:val="20B07FB6"/>
    <w:rsid w:val="20B646FB"/>
    <w:rsid w:val="20BB4438"/>
    <w:rsid w:val="20BD0E34"/>
    <w:rsid w:val="20C305B3"/>
    <w:rsid w:val="20C75D9C"/>
    <w:rsid w:val="20DD1FBE"/>
    <w:rsid w:val="20F64E12"/>
    <w:rsid w:val="21060987"/>
    <w:rsid w:val="21074BF0"/>
    <w:rsid w:val="210F368D"/>
    <w:rsid w:val="2116532A"/>
    <w:rsid w:val="212136FE"/>
    <w:rsid w:val="21261A71"/>
    <w:rsid w:val="212654D9"/>
    <w:rsid w:val="212F6708"/>
    <w:rsid w:val="21307616"/>
    <w:rsid w:val="21397684"/>
    <w:rsid w:val="213B74B1"/>
    <w:rsid w:val="214544F1"/>
    <w:rsid w:val="214A7D74"/>
    <w:rsid w:val="215313DE"/>
    <w:rsid w:val="21562C7C"/>
    <w:rsid w:val="215A2310"/>
    <w:rsid w:val="21642126"/>
    <w:rsid w:val="216A6484"/>
    <w:rsid w:val="217529D3"/>
    <w:rsid w:val="217F75ED"/>
    <w:rsid w:val="218B5FEC"/>
    <w:rsid w:val="218E2416"/>
    <w:rsid w:val="21963AE0"/>
    <w:rsid w:val="219E56F4"/>
    <w:rsid w:val="21A74C97"/>
    <w:rsid w:val="21B955C6"/>
    <w:rsid w:val="21BE6135"/>
    <w:rsid w:val="21C347B6"/>
    <w:rsid w:val="21CE1676"/>
    <w:rsid w:val="21D21245"/>
    <w:rsid w:val="21DC6119"/>
    <w:rsid w:val="21DE318A"/>
    <w:rsid w:val="21DE5EB8"/>
    <w:rsid w:val="21E11534"/>
    <w:rsid w:val="21E90BF7"/>
    <w:rsid w:val="21EF5B80"/>
    <w:rsid w:val="21F4496F"/>
    <w:rsid w:val="22032E04"/>
    <w:rsid w:val="220E38AC"/>
    <w:rsid w:val="22131D94"/>
    <w:rsid w:val="22190E6E"/>
    <w:rsid w:val="221A3D42"/>
    <w:rsid w:val="22241179"/>
    <w:rsid w:val="22241E22"/>
    <w:rsid w:val="22261C57"/>
    <w:rsid w:val="222D60D3"/>
    <w:rsid w:val="223053CE"/>
    <w:rsid w:val="22314554"/>
    <w:rsid w:val="22331F66"/>
    <w:rsid w:val="224C56E4"/>
    <w:rsid w:val="224D0523"/>
    <w:rsid w:val="22576990"/>
    <w:rsid w:val="225B73E8"/>
    <w:rsid w:val="226436BB"/>
    <w:rsid w:val="22691C0F"/>
    <w:rsid w:val="2269726E"/>
    <w:rsid w:val="228757E3"/>
    <w:rsid w:val="22995516"/>
    <w:rsid w:val="229B3FF9"/>
    <w:rsid w:val="22AC349C"/>
    <w:rsid w:val="22B3207E"/>
    <w:rsid w:val="22B73772"/>
    <w:rsid w:val="22BB3D01"/>
    <w:rsid w:val="22C24914"/>
    <w:rsid w:val="22C34341"/>
    <w:rsid w:val="22CF125C"/>
    <w:rsid w:val="22EC1AEA"/>
    <w:rsid w:val="22F47480"/>
    <w:rsid w:val="22FC2BB3"/>
    <w:rsid w:val="231C6B57"/>
    <w:rsid w:val="23201636"/>
    <w:rsid w:val="23261DDD"/>
    <w:rsid w:val="23263AC5"/>
    <w:rsid w:val="232803E1"/>
    <w:rsid w:val="23294AEC"/>
    <w:rsid w:val="233C2903"/>
    <w:rsid w:val="234E4553"/>
    <w:rsid w:val="23503E27"/>
    <w:rsid w:val="23515DF1"/>
    <w:rsid w:val="23553891"/>
    <w:rsid w:val="23580F2E"/>
    <w:rsid w:val="23674A84"/>
    <w:rsid w:val="23700878"/>
    <w:rsid w:val="23735FE8"/>
    <w:rsid w:val="238A5F5C"/>
    <w:rsid w:val="23922691"/>
    <w:rsid w:val="23952182"/>
    <w:rsid w:val="239739F2"/>
    <w:rsid w:val="23A62E22"/>
    <w:rsid w:val="23A854F6"/>
    <w:rsid w:val="23B31D5F"/>
    <w:rsid w:val="23BA70DD"/>
    <w:rsid w:val="23C705CF"/>
    <w:rsid w:val="23D26466"/>
    <w:rsid w:val="23D51752"/>
    <w:rsid w:val="23D902C0"/>
    <w:rsid w:val="23DE1C48"/>
    <w:rsid w:val="23ED1D8C"/>
    <w:rsid w:val="23F724F4"/>
    <w:rsid w:val="24015A37"/>
    <w:rsid w:val="240210CD"/>
    <w:rsid w:val="24062738"/>
    <w:rsid w:val="240D3AC6"/>
    <w:rsid w:val="24305C8D"/>
    <w:rsid w:val="2432138A"/>
    <w:rsid w:val="245B0CD5"/>
    <w:rsid w:val="2479405E"/>
    <w:rsid w:val="248024EA"/>
    <w:rsid w:val="24877D1C"/>
    <w:rsid w:val="248975AD"/>
    <w:rsid w:val="249259A1"/>
    <w:rsid w:val="24984F69"/>
    <w:rsid w:val="24AA326D"/>
    <w:rsid w:val="24AC7B2C"/>
    <w:rsid w:val="24B005A2"/>
    <w:rsid w:val="24B21C45"/>
    <w:rsid w:val="24B978C6"/>
    <w:rsid w:val="24BF09F7"/>
    <w:rsid w:val="24C24761"/>
    <w:rsid w:val="24C9564F"/>
    <w:rsid w:val="24E26C15"/>
    <w:rsid w:val="24E30CCB"/>
    <w:rsid w:val="24E849DC"/>
    <w:rsid w:val="250476FB"/>
    <w:rsid w:val="250F6D3B"/>
    <w:rsid w:val="251F61A7"/>
    <w:rsid w:val="25213E48"/>
    <w:rsid w:val="2526226D"/>
    <w:rsid w:val="252D53FE"/>
    <w:rsid w:val="252E1F46"/>
    <w:rsid w:val="25357778"/>
    <w:rsid w:val="253B28B5"/>
    <w:rsid w:val="25441769"/>
    <w:rsid w:val="25474447"/>
    <w:rsid w:val="25494FD2"/>
    <w:rsid w:val="25543463"/>
    <w:rsid w:val="25555909"/>
    <w:rsid w:val="256911D0"/>
    <w:rsid w:val="25716F0D"/>
    <w:rsid w:val="257543EE"/>
    <w:rsid w:val="257B7155"/>
    <w:rsid w:val="25824893"/>
    <w:rsid w:val="258E229D"/>
    <w:rsid w:val="259866BA"/>
    <w:rsid w:val="25A04CE7"/>
    <w:rsid w:val="25A75EE1"/>
    <w:rsid w:val="25AC730F"/>
    <w:rsid w:val="25C277B6"/>
    <w:rsid w:val="25CF21B6"/>
    <w:rsid w:val="25D24BC1"/>
    <w:rsid w:val="25E602E6"/>
    <w:rsid w:val="25EC2D81"/>
    <w:rsid w:val="25ED0053"/>
    <w:rsid w:val="25F30A92"/>
    <w:rsid w:val="25F83B9F"/>
    <w:rsid w:val="2602649D"/>
    <w:rsid w:val="260A59DD"/>
    <w:rsid w:val="260B3A16"/>
    <w:rsid w:val="26116BBB"/>
    <w:rsid w:val="26121868"/>
    <w:rsid w:val="26170C2C"/>
    <w:rsid w:val="261902CB"/>
    <w:rsid w:val="261B6ABC"/>
    <w:rsid w:val="263649B3"/>
    <w:rsid w:val="26392447"/>
    <w:rsid w:val="263E088F"/>
    <w:rsid w:val="264E5B47"/>
    <w:rsid w:val="26663540"/>
    <w:rsid w:val="266876DA"/>
    <w:rsid w:val="2677273A"/>
    <w:rsid w:val="267B395C"/>
    <w:rsid w:val="267E0CAB"/>
    <w:rsid w:val="26812549"/>
    <w:rsid w:val="268F2EB8"/>
    <w:rsid w:val="269313D4"/>
    <w:rsid w:val="2698099F"/>
    <w:rsid w:val="26B446CD"/>
    <w:rsid w:val="26C012C4"/>
    <w:rsid w:val="26C11752"/>
    <w:rsid w:val="26F30D56"/>
    <w:rsid w:val="26F37412"/>
    <w:rsid w:val="2708609A"/>
    <w:rsid w:val="27143053"/>
    <w:rsid w:val="271D3DCF"/>
    <w:rsid w:val="272514F0"/>
    <w:rsid w:val="273A5DF5"/>
    <w:rsid w:val="274243CE"/>
    <w:rsid w:val="274A2662"/>
    <w:rsid w:val="274F1A8E"/>
    <w:rsid w:val="2753422E"/>
    <w:rsid w:val="277021CB"/>
    <w:rsid w:val="27704AA1"/>
    <w:rsid w:val="277057A2"/>
    <w:rsid w:val="27862D48"/>
    <w:rsid w:val="279409CC"/>
    <w:rsid w:val="279420CB"/>
    <w:rsid w:val="27AC35F6"/>
    <w:rsid w:val="27CA2623"/>
    <w:rsid w:val="27CC19B5"/>
    <w:rsid w:val="27DE4570"/>
    <w:rsid w:val="27E86D24"/>
    <w:rsid w:val="280D4F67"/>
    <w:rsid w:val="280F7216"/>
    <w:rsid w:val="281556A3"/>
    <w:rsid w:val="28175083"/>
    <w:rsid w:val="281D62A2"/>
    <w:rsid w:val="28222077"/>
    <w:rsid w:val="282706B2"/>
    <w:rsid w:val="282826BE"/>
    <w:rsid w:val="282D51B1"/>
    <w:rsid w:val="28342CAB"/>
    <w:rsid w:val="283830DC"/>
    <w:rsid w:val="284D4DD9"/>
    <w:rsid w:val="285443B9"/>
    <w:rsid w:val="28642123"/>
    <w:rsid w:val="28734C1A"/>
    <w:rsid w:val="287812CD"/>
    <w:rsid w:val="28846321"/>
    <w:rsid w:val="288640F1"/>
    <w:rsid w:val="288B40B1"/>
    <w:rsid w:val="28904CC6"/>
    <w:rsid w:val="28940C5A"/>
    <w:rsid w:val="28A16ED3"/>
    <w:rsid w:val="28A95D87"/>
    <w:rsid w:val="28B704A4"/>
    <w:rsid w:val="28C826B1"/>
    <w:rsid w:val="28DE153F"/>
    <w:rsid w:val="28E009CD"/>
    <w:rsid w:val="28E46157"/>
    <w:rsid w:val="28ED24D4"/>
    <w:rsid w:val="28ED4736"/>
    <w:rsid w:val="29015BC3"/>
    <w:rsid w:val="291471FF"/>
    <w:rsid w:val="291833B1"/>
    <w:rsid w:val="29191F31"/>
    <w:rsid w:val="291D0C4F"/>
    <w:rsid w:val="29206EB8"/>
    <w:rsid w:val="29244385"/>
    <w:rsid w:val="292A0185"/>
    <w:rsid w:val="292A36CE"/>
    <w:rsid w:val="293A6401"/>
    <w:rsid w:val="293D4E4D"/>
    <w:rsid w:val="29437F8A"/>
    <w:rsid w:val="294A543B"/>
    <w:rsid w:val="29580844"/>
    <w:rsid w:val="29595666"/>
    <w:rsid w:val="29670BA5"/>
    <w:rsid w:val="296D367F"/>
    <w:rsid w:val="2971098A"/>
    <w:rsid w:val="29874881"/>
    <w:rsid w:val="298C3F25"/>
    <w:rsid w:val="29966FCF"/>
    <w:rsid w:val="29B517FD"/>
    <w:rsid w:val="29BE37C1"/>
    <w:rsid w:val="29C02D41"/>
    <w:rsid w:val="29CE019B"/>
    <w:rsid w:val="29CF0DE9"/>
    <w:rsid w:val="29DE2928"/>
    <w:rsid w:val="29E325E0"/>
    <w:rsid w:val="29E4351B"/>
    <w:rsid w:val="29E53986"/>
    <w:rsid w:val="29E94589"/>
    <w:rsid w:val="29F334D4"/>
    <w:rsid w:val="29FC1E31"/>
    <w:rsid w:val="2A0E2346"/>
    <w:rsid w:val="2A1619A1"/>
    <w:rsid w:val="2A2D4F6C"/>
    <w:rsid w:val="2A3224D8"/>
    <w:rsid w:val="2A33345F"/>
    <w:rsid w:val="2A37408C"/>
    <w:rsid w:val="2A452503"/>
    <w:rsid w:val="2A4E52D0"/>
    <w:rsid w:val="2A52423E"/>
    <w:rsid w:val="2A581813"/>
    <w:rsid w:val="2A5C7555"/>
    <w:rsid w:val="2A641325"/>
    <w:rsid w:val="2A6C0975"/>
    <w:rsid w:val="2A6E247C"/>
    <w:rsid w:val="2A762F7B"/>
    <w:rsid w:val="2A7A5C2D"/>
    <w:rsid w:val="2A81555D"/>
    <w:rsid w:val="2A823C72"/>
    <w:rsid w:val="2A9362CE"/>
    <w:rsid w:val="2A9919A7"/>
    <w:rsid w:val="2A9C0162"/>
    <w:rsid w:val="2AC93B5E"/>
    <w:rsid w:val="2AD134EB"/>
    <w:rsid w:val="2AD56FF7"/>
    <w:rsid w:val="2AD62479"/>
    <w:rsid w:val="2AD92954"/>
    <w:rsid w:val="2AE270E3"/>
    <w:rsid w:val="2AEE4D35"/>
    <w:rsid w:val="2AFA0B1C"/>
    <w:rsid w:val="2B0103D6"/>
    <w:rsid w:val="2B0A0D5F"/>
    <w:rsid w:val="2B0C0F7B"/>
    <w:rsid w:val="2B2524EE"/>
    <w:rsid w:val="2B4A7FE2"/>
    <w:rsid w:val="2B5A62A8"/>
    <w:rsid w:val="2B5C1D20"/>
    <w:rsid w:val="2B6F240F"/>
    <w:rsid w:val="2B7128C3"/>
    <w:rsid w:val="2B74502C"/>
    <w:rsid w:val="2B762899"/>
    <w:rsid w:val="2B874618"/>
    <w:rsid w:val="2B9B68F9"/>
    <w:rsid w:val="2BA56CDA"/>
    <w:rsid w:val="2BA936A8"/>
    <w:rsid w:val="2BAD7335"/>
    <w:rsid w:val="2BAF6B8A"/>
    <w:rsid w:val="2BC1277E"/>
    <w:rsid w:val="2BC26E2B"/>
    <w:rsid w:val="2BC5737C"/>
    <w:rsid w:val="2BD15027"/>
    <w:rsid w:val="2BE2146F"/>
    <w:rsid w:val="2BEB02BC"/>
    <w:rsid w:val="2BF14700"/>
    <w:rsid w:val="2BFF4565"/>
    <w:rsid w:val="2C0003B4"/>
    <w:rsid w:val="2C080D24"/>
    <w:rsid w:val="2C0E7F04"/>
    <w:rsid w:val="2C106849"/>
    <w:rsid w:val="2C1354E0"/>
    <w:rsid w:val="2C165D58"/>
    <w:rsid w:val="2C2911D7"/>
    <w:rsid w:val="2C315A5A"/>
    <w:rsid w:val="2C367CBA"/>
    <w:rsid w:val="2C3B13EC"/>
    <w:rsid w:val="2C444A69"/>
    <w:rsid w:val="2C46226B"/>
    <w:rsid w:val="2C464019"/>
    <w:rsid w:val="2C4B1C25"/>
    <w:rsid w:val="2C4E2ECE"/>
    <w:rsid w:val="2C602C01"/>
    <w:rsid w:val="2C61432D"/>
    <w:rsid w:val="2C6C5774"/>
    <w:rsid w:val="2C6D5A4A"/>
    <w:rsid w:val="2C7A48C9"/>
    <w:rsid w:val="2C9233B6"/>
    <w:rsid w:val="2C934D84"/>
    <w:rsid w:val="2C9649A2"/>
    <w:rsid w:val="2C97396A"/>
    <w:rsid w:val="2C9C067B"/>
    <w:rsid w:val="2CA32987"/>
    <w:rsid w:val="2CA80EF8"/>
    <w:rsid w:val="2CB74F17"/>
    <w:rsid w:val="2CC01F2B"/>
    <w:rsid w:val="2CC63CD8"/>
    <w:rsid w:val="2CC872DF"/>
    <w:rsid w:val="2CD21D51"/>
    <w:rsid w:val="2CDB7071"/>
    <w:rsid w:val="2CDC665A"/>
    <w:rsid w:val="2CF14AAA"/>
    <w:rsid w:val="2CF33223"/>
    <w:rsid w:val="2CFF241A"/>
    <w:rsid w:val="2D0A2003"/>
    <w:rsid w:val="2D172DB1"/>
    <w:rsid w:val="2D1A3D65"/>
    <w:rsid w:val="2D22596E"/>
    <w:rsid w:val="2D267460"/>
    <w:rsid w:val="2D3B78F6"/>
    <w:rsid w:val="2D3E35E5"/>
    <w:rsid w:val="2D4349FC"/>
    <w:rsid w:val="2D4A7B39"/>
    <w:rsid w:val="2D5467A6"/>
    <w:rsid w:val="2D622CF6"/>
    <w:rsid w:val="2D684D9A"/>
    <w:rsid w:val="2D746EF7"/>
    <w:rsid w:val="2D773D42"/>
    <w:rsid w:val="2D79777D"/>
    <w:rsid w:val="2D7F5397"/>
    <w:rsid w:val="2D99286E"/>
    <w:rsid w:val="2D9E56F5"/>
    <w:rsid w:val="2DA2171B"/>
    <w:rsid w:val="2DAF2D35"/>
    <w:rsid w:val="2DB31B82"/>
    <w:rsid w:val="2DB84C15"/>
    <w:rsid w:val="2DD218DC"/>
    <w:rsid w:val="2DDA12DD"/>
    <w:rsid w:val="2DDA6B1D"/>
    <w:rsid w:val="2DDD275B"/>
    <w:rsid w:val="2DEA4514"/>
    <w:rsid w:val="2DEF6E3B"/>
    <w:rsid w:val="2DF108E3"/>
    <w:rsid w:val="2E07092A"/>
    <w:rsid w:val="2E076890"/>
    <w:rsid w:val="2E0940C9"/>
    <w:rsid w:val="2E147429"/>
    <w:rsid w:val="2E1E2E94"/>
    <w:rsid w:val="2E1E4AC5"/>
    <w:rsid w:val="2E334A71"/>
    <w:rsid w:val="2E3E65FB"/>
    <w:rsid w:val="2E424CB4"/>
    <w:rsid w:val="2E4C4F25"/>
    <w:rsid w:val="2E4D51B5"/>
    <w:rsid w:val="2E4F0AB3"/>
    <w:rsid w:val="2E617578"/>
    <w:rsid w:val="2E624BF9"/>
    <w:rsid w:val="2E6266D9"/>
    <w:rsid w:val="2E667F96"/>
    <w:rsid w:val="2E71479D"/>
    <w:rsid w:val="2E7713DD"/>
    <w:rsid w:val="2E7E7554"/>
    <w:rsid w:val="2E810A57"/>
    <w:rsid w:val="2E8226AB"/>
    <w:rsid w:val="2E834A79"/>
    <w:rsid w:val="2E870919"/>
    <w:rsid w:val="2E956A7A"/>
    <w:rsid w:val="2E9E0949"/>
    <w:rsid w:val="2EAB014D"/>
    <w:rsid w:val="2EAC2152"/>
    <w:rsid w:val="2EAE29CA"/>
    <w:rsid w:val="2EB77450"/>
    <w:rsid w:val="2ECA6E12"/>
    <w:rsid w:val="2EDA32F0"/>
    <w:rsid w:val="2EE205A6"/>
    <w:rsid w:val="2EE5628B"/>
    <w:rsid w:val="2EE8585B"/>
    <w:rsid w:val="2EEB0EA8"/>
    <w:rsid w:val="2EF07CC5"/>
    <w:rsid w:val="2EF57B70"/>
    <w:rsid w:val="2EF82832"/>
    <w:rsid w:val="2F0D7070"/>
    <w:rsid w:val="2F0F103A"/>
    <w:rsid w:val="2F1B0556"/>
    <w:rsid w:val="2F322268"/>
    <w:rsid w:val="2F397E65"/>
    <w:rsid w:val="2F3B28B9"/>
    <w:rsid w:val="2F3E547B"/>
    <w:rsid w:val="2F57227D"/>
    <w:rsid w:val="2F5877D3"/>
    <w:rsid w:val="2F5E5B1E"/>
    <w:rsid w:val="2F672776"/>
    <w:rsid w:val="2F672D0C"/>
    <w:rsid w:val="2F761215"/>
    <w:rsid w:val="2F7F4ABD"/>
    <w:rsid w:val="2F81180C"/>
    <w:rsid w:val="2FCC4306"/>
    <w:rsid w:val="2FD065E6"/>
    <w:rsid w:val="2FD16DC5"/>
    <w:rsid w:val="2FD45BA7"/>
    <w:rsid w:val="2FD96870"/>
    <w:rsid w:val="2FDD5A21"/>
    <w:rsid w:val="2FFB336C"/>
    <w:rsid w:val="30017B36"/>
    <w:rsid w:val="30034980"/>
    <w:rsid w:val="300426F1"/>
    <w:rsid w:val="30092EA2"/>
    <w:rsid w:val="30104E4D"/>
    <w:rsid w:val="304016E7"/>
    <w:rsid w:val="30502ECC"/>
    <w:rsid w:val="30580BC9"/>
    <w:rsid w:val="30647164"/>
    <w:rsid w:val="306535FD"/>
    <w:rsid w:val="30655C24"/>
    <w:rsid w:val="30676ADC"/>
    <w:rsid w:val="306C3891"/>
    <w:rsid w:val="306C7FDB"/>
    <w:rsid w:val="306F23BC"/>
    <w:rsid w:val="30782C0F"/>
    <w:rsid w:val="307A328B"/>
    <w:rsid w:val="307B6093"/>
    <w:rsid w:val="30870E8A"/>
    <w:rsid w:val="308725A7"/>
    <w:rsid w:val="3087275D"/>
    <w:rsid w:val="30891471"/>
    <w:rsid w:val="30896BCA"/>
    <w:rsid w:val="30897A5F"/>
    <w:rsid w:val="30907F59"/>
    <w:rsid w:val="309358A3"/>
    <w:rsid w:val="30947B21"/>
    <w:rsid w:val="30A12166"/>
    <w:rsid w:val="30A261C6"/>
    <w:rsid w:val="30A6777C"/>
    <w:rsid w:val="30B40D15"/>
    <w:rsid w:val="30B755D1"/>
    <w:rsid w:val="30B95DB5"/>
    <w:rsid w:val="30C30C93"/>
    <w:rsid w:val="30C9346B"/>
    <w:rsid w:val="30CE6CD3"/>
    <w:rsid w:val="30E60C1A"/>
    <w:rsid w:val="30EB77A1"/>
    <w:rsid w:val="30F860E0"/>
    <w:rsid w:val="30F93D50"/>
    <w:rsid w:val="310802C0"/>
    <w:rsid w:val="311A5A74"/>
    <w:rsid w:val="311E2ED7"/>
    <w:rsid w:val="31215055"/>
    <w:rsid w:val="31255814"/>
    <w:rsid w:val="312A7F91"/>
    <w:rsid w:val="314350F7"/>
    <w:rsid w:val="31460FA1"/>
    <w:rsid w:val="31502FBE"/>
    <w:rsid w:val="31504356"/>
    <w:rsid w:val="315619EE"/>
    <w:rsid w:val="315C1E36"/>
    <w:rsid w:val="315C449C"/>
    <w:rsid w:val="31600067"/>
    <w:rsid w:val="31690D45"/>
    <w:rsid w:val="316F3947"/>
    <w:rsid w:val="316F5C83"/>
    <w:rsid w:val="316F6600"/>
    <w:rsid w:val="319C169E"/>
    <w:rsid w:val="319D04B7"/>
    <w:rsid w:val="319D33E7"/>
    <w:rsid w:val="31A00FAE"/>
    <w:rsid w:val="31A33CBC"/>
    <w:rsid w:val="31A87524"/>
    <w:rsid w:val="31A97CD4"/>
    <w:rsid w:val="31AA329C"/>
    <w:rsid w:val="31B06076"/>
    <w:rsid w:val="31B82709"/>
    <w:rsid w:val="31B92AED"/>
    <w:rsid w:val="31C66C85"/>
    <w:rsid w:val="31D05482"/>
    <w:rsid w:val="31D917B3"/>
    <w:rsid w:val="31E247E4"/>
    <w:rsid w:val="31F321FE"/>
    <w:rsid w:val="31F56E59"/>
    <w:rsid w:val="32001D00"/>
    <w:rsid w:val="320102B5"/>
    <w:rsid w:val="3202443C"/>
    <w:rsid w:val="32084B53"/>
    <w:rsid w:val="321D46FF"/>
    <w:rsid w:val="32231F6E"/>
    <w:rsid w:val="3226690F"/>
    <w:rsid w:val="3227268C"/>
    <w:rsid w:val="322F7182"/>
    <w:rsid w:val="323B0AA0"/>
    <w:rsid w:val="32400B34"/>
    <w:rsid w:val="324A4665"/>
    <w:rsid w:val="3250369B"/>
    <w:rsid w:val="32627887"/>
    <w:rsid w:val="326C27D8"/>
    <w:rsid w:val="326E7E26"/>
    <w:rsid w:val="32701DFC"/>
    <w:rsid w:val="32780CEF"/>
    <w:rsid w:val="327B6E8F"/>
    <w:rsid w:val="32831F1F"/>
    <w:rsid w:val="329E6876"/>
    <w:rsid w:val="329F734D"/>
    <w:rsid w:val="32A042D2"/>
    <w:rsid w:val="32A277E4"/>
    <w:rsid w:val="32AC4DF2"/>
    <w:rsid w:val="32B06690"/>
    <w:rsid w:val="32B63A55"/>
    <w:rsid w:val="32BA306B"/>
    <w:rsid w:val="32BC11EF"/>
    <w:rsid w:val="32C3438B"/>
    <w:rsid w:val="32D44F5D"/>
    <w:rsid w:val="32F010B6"/>
    <w:rsid w:val="32F12805"/>
    <w:rsid w:val="331A7FAD"/>
    <w:rsid w:val="33270098"/>
    <w:rsid w:val="332E1CAB"/>
    <w:rsid w:val="333015F2"/>
    <w:rsid w:val="33340462"/>
    <w:rsid w:val="33425C4C"/>
    <w:rsid w:val="334B6320"/>
    <w:rsid w:val="334B7A74"/>
    <w:rsid w:val="33554D42"/>
    <w:rsid w:val="3356516A"/>
    <w:rsid w:val="33582884"/>
    <w:rsid w:val="335A5793"/>
    <w:rsid w:val="33697713"/>
    <w:rsid w:val="336D096D"/>
    <w:rsid w:val="33752ADF"/>
    <w:rsid w:val="337D0287"/>
    <w:rsid w:val="337D4D04"/>
    <w:rsid w:val="338251CF"/>
    <w:rsid w:val="338B4C95"/>
    <w:rsid w:val="33993AA7"/>
    <w:rsid w:val="33A20484"/>
    <w:rsid w:val="33B15B92"/>
    <w:rsid w:val="33B20E12"/>
    <w:rsid w:val="33B51E35"/>
    <w:rsid w:val="33CB12A8"/>
    <w:rsid w:val="33D5131F"/>
    <w:rsid w:val="33D934D4"/>
    <w:rsid w:val="33E83C08"/>
    <w:rsid w:val="33FB1B8D"/>
    <w:rsid w:val="33FE2F6A"/>
    <w:rsid w:val="3400304F"/>
    <w:rsid w:val="34052A0C"/>
    <w:rsid w:val="340E07E5"/>
    <w:rsid w:val="34152F1C"/>
    <w:rsid w:val="34173E29"/>
    <w:rsid w:val="34186248"/>
    <w:rsid w:val="342002E1"/>
    <w:rsid w:val="34235BF7"/>
    <w:rsid w:val="342D5018"/>
    <w:rsid w:val="344277BC"/>
    <w:rsid w:val="3448436C"/>
    <w:rsid w:val="344B4545"/>
    <w:rsid w:val="344D6161"/>
    <w:rsid w:val="3454481F"/>
    <w:rsid w:val="34585026"/>
    <w:rsid w:val="34592D57"/>
    <w:rsid w:val="345C562A"/>
    <w:rsid w:val="34694A1D"/>
    <w:rsid w:val="34753860"/>
    <w:rsid w:val="347831DE"/>
    <w:rsid w:val="3479517A"/>
    <w:rsid w:val="347C131E"/>
    <w:rsid w:val="347F3686"/>
    <w:rsid w:val="34802092"/>
    <w:rsid w:val="34806536"/>
    <w:rsid w:val="34860910"/>
    <w:rsid w:val="348A2F11"/>
    <w:rsid w:val="34991662"/>
    <w:rsid w:val="34A93442"/>
    <w:rsid w:val="34B22884"/>
    <w:rsid w:val="34BB756E"/>
    <w:rsid w:val="34C957E7"/>
    <w:rsid w:val="34D16D92"/>
    <w:rsid w:val="34E0563C"/>
    <w:rsid w:val="34EB6554"/>
    <w:rsid w:val="35001BFA"/>
    <w:rsid w:val="35092088"/>
    <w:rsid w:val="350D34A2"/>
    <w:rsid w:val="3518676F"/>
    <w:rsid w:val="351C3FB8"/>
    <w:rsid w:val="35386E11"/>
    <w:rsid w:val="353E4E8E"/>
    <w:rsid w:val="35437DA5"/>
    <w:rsid w:val="35480CAE"/>
    <w:rsid w:val="354E655F"/>
    <w:rsid w:val="355157DD"/>
    <w:rsid w:val="355919E3"/>
    <w:rsid w:val="356B2D42"/>
    <w:rsid w:val="3577656E"/>
    <w:rsid w:val="358838F4"/>
    <w:rsid w:val="358A7BE5"/>
    <w:rsid w:val="358A7CC6"/>
    <w:rsid w:val="358C5FA8"/>
    <w:rsid w:val="359978AF"/>
    <w:rsid w:val="35A42A4E"/>
    <w:rsid w:val="35A52744"/>
    <w:rsid w:val="35B02D42"/>
    <w:rsid w:val="35C15DF1"/>
    <w:rsid w:val="35C42453"/>
    <w:rsid w:val="35C6312A"/>
    <w:rsid w:val="35CD5577"/>
    <w:rsid w:val="35D63A1A"/>
    <w:rsid w:val="35DF3B9A"/>
    <w:rsid w:val="35E30B2B"/>
    <w:rsid w:val="35E76CF9"/>
    <w:rsid w:val="35ED45A3"/>
    <w:rsid w:val="35F0352E"/>
    <w:rsid w:val="36074A7F"/>
    <w:rsid w:val="361C403D"/>
    <w:rsid w:val="3624187A"/>
    <w:rsid w:val="36280C33"/>
    <w:rsid w:val="362A04E0"/>
    <w:rsid w:val="362C6A62"/>
    <w:rsid w:val="36315D3A"/>
    <w:rsid w:val="363C16DB"/>
    <w:rsid w:val="36462E68"/>
    <w:rsid w:val="36541A28"/>
    <w:rsid w:val="365B3E4B"/>
    <w:rsid w:val="365D08DD"/>
    <w:rsid w:val="367A450C"/>
    <w:rsid w:val="367B0D63"/>
    <w:rsid w:val="367E74E1"/>
    <w:rsid w:val="368057C9"/>
    <w:rsid w:val="368946CB"/>
    <w:rsid w:val="368B7564"/>
    <w:rsid w:val="36923549"/>
    <w:rsid w:val="36A24EDC"/>
    <w:rsid w:val="36A8235C"/>
    <w:rsid w:val="36B629EE"/>
    <w:rsid w:val="36B75FBF"/>
    <w:rsid w:val="36BB5604"/>
    <w:rsid w:val="36BD0C45"/>
    <w:rsid w:val="36BD137C"/>
    <w:rsid w:val="36C42D91"/>
    <w:rsid w:val="36C962B6"/>
    <w:rsid w:val="36C96F41"/>
    <w:rsid w:val="36D935FC"/>
    <w:rsid w:val="36DB5CA6"/>
    <w:rsid w:val="36F40BE6"/>
    <w:rsid w:val="37030C64"/>
    <w:rsid w:val="37040B1B"/>
    <w:rsid w:val="37040D59"/>
    <w:rsid w:val="370451FC"/>
    <w:rsid w:val="37063266"/>
    <w:rsid w:val="37117919"/>
    <w:rsid w:val="37133692"/>
    <w:rsid w:val="37184E13"/>
    <w:rsid w:val="372A42BA"/>
    <w:rsid w:val="373E3439"/>
    <w:rsid w:val="374E074C"/>
    <w:rsid w:val="37527DAF"/>
    <w:rsid w:val="37637A04"/>
    <w:rsid w:val="3773603C"/>
    <w:rsid w:val="377834F5"/>
    <w:rsid w:val="378C062D"/>
    <w:rsid w:val="37982761"/>
    <w:rsid w:val="379A6E32"/>
    <w:rsid w:val="37A10C9D"/>
    <w:rsid w:val="37B71C22"/>
    <w:rsid w:val="37BD53AB"/>
    <w:rsid w:val="37BE4E98"/>
    <w:rsid w:val="37C43DED"/>
    <w:rsid w:val="37C87FD8"/>
    <w:rsid w:val="37CC4E57"/>
    <w:rsid w:val="37D90437"/>
    <w:rsid w:val="37E00298"/>
    <w:rsid w:val="37E82428"/>
    <w:rsid w:val="37EE7000"/>
    <w:rsid w:val="37F012DD"/>
    <w:rsid w:val="37F517B8"/>
    <w:rsid w:val="37F84D6D"/>
    <w:rsid w:val="37FF59C4"/>
    <w:rsid w:val="38074FA9"/>
    <w:rsid w:val="3813490F"/>
    <w:rsid w:val="38144DA2"/>
    <w:rsid w:val="38174ABC"/>
    <w:rsid w:val="381B1D4A"/>
    <w:rsid w:val="38392C84"/>
    <w:rsid w:val="384F4255"/>
    <w:rsid w:val="3851621F"/>
    <w:rsid w:val="38615D63"/>
    <w:rsid w:val="386A7CCC"/>
    <w:rsid w:val="388C0E59"/>
    <w:rsid w:val="38967818"/>
    <w:rsid w:val="38AA25F3"/>
    <w:rsid w:val="38B302F9"/>
    <w:rsid w:val="38BC3F52"/>
    <w:rsid w:val="38C74FF5"/>
    <w:rsid w:val="38D155B2"/>
    <w:rsid w:val="38D66725"/>
    <w:rsid w:val="38E65928"/>
    <w:rsid w:val="38EE08E2"/>
    <w:rsid w:val="38EE7F12"/>
    <w:rsid w:val="38F06C4F"/>
    <w:rsid w:val="38F12CD3"/>
    <w:rsid w:val="38F17DEA"/>
    <w:rsid w:val="38F60BFD"/>
    <w:rsid w:val="38F94775"/>
    <w:rsid w:val="39137926"/>
    <w:rsid w:val="3914724D"/>
    <w:rsid w:val="391A2E3D"/>
    <w:rsid w:val="391C0A56"/>
    <w:rsid w:val="391C2D8E"/>
    <w:rsid w:val="391F00CC"/>
    <w:rsid w:val="39215BDF"/>
    <w:rsid w:val="392971ED"/>
    <w:rsid w:val="392C27E9"/>
    <w:rsid w:val="392E3856"/>
    <w:rsid w:val="39302928"/>
    <w:rsid w:val="39325651"/>
    <w:rsid w:val="393E073A"/>
    <w:rsid w:val="39457CAC"/>
    <w:rsid w:val="39475874"/>
    <w:rsid w:val="39564D18"/>
    <w:rsid w:val="395A1104"/>
    <w:rsid w:val="396E4BAF"/>
    <w:rsid w:val="397D0F25"/>
    <w:rsid w:val="39874483"/>
    <w:rsid w:val="398919E9"/>
    <w:rsid w:val="39893DBB"/>
    <w:rsid w:val="398A6389"/>
    <w:rsid w:val="398B5119"/>
    <w:rsid w:val="39914D8E"/>
    <w:rsid w:val="3992166C"/>
    <w:rsid w:val="399652AF"/>
    <w:rsid w:val="39A84565"/>
    <w:rsid w:val="39B3430B"/>
    <w:rsid w:val="39BE1BE5"/>
    <w:rsid w:val="39BE3638"/>
    <w:rsid w:val="39BF540B"/>
    <w:rsid w:val="39C46996"/>
    <w:rsid w:val="39C4762B"/>
    <w:rsid w:val="39D3481C"/>
    <w:rsid w:val="39D54C2E"/>
    <w:rsid w:val="39D57A2D"/>
    <w:rsid w:val="39DE3C18"/>
    <w:rsid w:val="39F32DDC"/>
    <w:rsid w:val="39F536A6"/>
    <w:rsid w:val="39FA4F8C"/>
    <w:rsid w:val="3A013AE2"/>
    <w:rsid w:val="3A02332D"/>
    <w:rsid w:val="3A104AA6"/>
    <w:rsid w:val="3A1669B1"/>
    <w:rsid w:val="3A1E64BE"/>
    <w:rsid w:val="3A35045F"/>
    <w:rsid w:val="3A436745"/>
    <w:rsid w:val="3A443B62"/>
    <w:rsid w:val="3A45246D"/>
    <w:rsid w:val="3A54022F"/>
    <w:rsid w:val="3A5F1324"/>
    <w:rsid w:val="3A6429E9"/>
    <w:rsid w:val="3A701774"/>
    <w:rsid w:val="3A720424"/>
    <w:rsid w:val="3A777A93"/>
    <w:rsid w:val="3A7B3A28"/>
    <w:rsid w:val="3A8640ED"/>
    <w:rsid w:val="3A872856"/>
    <w:rsid w:val="3A8E7CB4"/>
    <w:rsid w:val="3A9E3450"/>
    <w:rsid w:val="3A9F1AE0"/>
    <w:rsid w:val="3AA06F12"/>
    <w:rsid w:val="3AA978EF"/>
    <w:rsid w:val="3AB27FC1"/>
    <w:rsid w:val="3AC0541D"/>
    <w:rsid w:val="3AD06FA0"/>
    <w:rsid w:val="3AD145D1"/>
    <w:rsid w:val="3AD60676"/>
    <w:rsid w:val="3AD72FA4"/>
    <w:rsid w:val="3AD73DA3"/>
    <w:rsid w:val="3ADD52D8"/>
    <w:rsid w:val="3AE21092"/>
    <w:rsid w:val="3AEA02C5"/>
    <w:rsid w:val="3AF61300"/>
    <w:rsid w:val="3AF64FD7"/>
    <w:rsid w:val="3B0C3552"/>
    <w:rsid w:val="3B145EB9"/>
    <w:rsid w:val="3B16331A"/>
    <w:rsid w:val="3B2613FE"/>
    <w:rsid w:val="3B3763D1"/>
    <w:rsid w:val="3B3F0447"/>
    <w:rsid w:val="3B6338CD"/>
    <w:rsid w:val="3B7C08F0"/>
    <w:rsid w:val="3B8248A0"/>
    <w:rsid w:val="3B881B73"/>
    <w:rsid w:val="3B936B4F"/>
    <w:rsid w:val="3B954675"/>
    <w:rsid w:val="3B9558F2"/>
    <w:rsid w:val="3B9D352A"/>
    <w:rsid w:val="3BAA095B"/>
    <w:rsid w:val="3BB34468"/>
    <w:rsid w:val="3BB44539"/>
    <w:rsid w:val="3BB833BF"/>
    <w:rsid w:val="3BD442B2"/>
    <w:rsid w:val="3BDF3B42"/>
    <w:rsid w:val="3BED1010"/>
    <w:rsid w:val="3BF258B8"/>
    <w:rsid w:val="3BF26F51"/>
    <w:rsid w:val="3C060031"/>
    <w:rsid w:val="3C265C06"/>
    <w:rsid w:val="3C272004"/>
    <w:rsid w:val="3C2854E9"/>
    <w:rsid w:val="3C2B322B"/>
    <w:rsid w:val="3C2D66EC"/>
    <w:rsid w:val="3C2F6E1E"/>
    <w:rsid w:val="3C31009A"/>
    <w:rsid w:val="3C3B276F"/>
    <w:rsid w:val="3C4F64BA"/>
    <w:rsid w:val="3C5753BF"/>
    <w:rsid w:val="3C5938F5"/>
    <w:rsid w:val="3C7166BC"/>
    <w:rsid w:val="3C8C66A3"/>
    <w:rsid w:val="3C9506EC"/>
    <w:rsid w:val="3C9568F7"/>
    <w:rsid w:val="3C9B51E5"/>
    <w:rsid w:val="3CA17809"/>
    <w:rsid w:val="3CA7601D"/>
    <w:rsid w:val="3CAF79B9"/>
    <w:rsid w:val="3CB14F31"/>
    <w:rsid w:val="3CB21257"/>
    <w:rsid w:val="3CBB45AF"/>
    <w:rsid w:val="3CCA65A0"/>
    <w:rsid w:val="3CDA245A"/>
    <w:rsid w:val="3CDB1B29"/>
    <w:rsid w:val="3CDE3DFA"/>
    <w:rsid w:val="3CDF6F42"/>
    <w:rsid w:val="3CE15FA5"/>
    <w:rsid w:val="3CE358B4"/>
    <w:rsid w:val="3CE54EBA"/>
    <w:rsid w:val="3CEE644C"/>
    <w:rsid w:val="3CFC719C"/>
    <w:rsid w:val="3D0B55FE"/>
    <w:rsid w:val="3D152858"/>
    <w:rsid w:val="3D1E06B7"/>
    <w:rsid w:val="3D2130B2"/>
    <w:rsid w:val="3D24055D"/>
    <w:rsid w:val="3D266485"/>
    <w:rsid w:val="3D2A5291"/>
    <w:rsid w:val="3D322801"/>
    <w:rsid w:val="3D3A18B6"/>
    <w:rsid w:val="3D4F63CE"/>
    <w:rsid w:val="3D561E10"/>
    <w:rsid w:val="3D605157"/>
    <w:rsid w:val="3D665664"/>
    <w:rsid w:val="3D66752E"/>
    <w:rsid w:val="3D667BC5"/>
    <w:rsid w:val="3D7152B5"/>
    <w:rsid w:val="3D765CE8"/>
    <w:rsid w:val="3D77319E"/>
    <w:rsid w:val="3D9707B2"/>
    <w:rsid w:val="3DAF10E5"/>
    <w:rsid w:val="3DB15EF0"/>
    <w:rsid w:val="3DB548AA"/>
    <w:rsid w:val="3DB9059F"/>
    <w:rsid w:val="3DC2115D"/>
    <w:rsid w:val="3DC54FBA"/>
    <w:rsid w:val="3DC70D32"/>
    <w:rsid w:val="3DCC459A"/>
    <w:rsid w:val="3DDA0E2F"/>
    <w:rsid w:val="3DDB371D"/>
    <w:rsid w:val="3DDD67A7"/>
    <w:rsid w:val="3DDD76F0"/>
    <w:rsid w:val="3DE23DBE"/>
    <w:rsid w:val="3DED7CB6"/>
    <w:rsid w:val="3E06151A"/>
    <w:rsid w:val="3E262116"/>
    <w:rsid w:val="3E4A2B6A"/>
    <w:rsid w:val="3E502D8E"/>
    <w:rsid w:val="3E510116"/>
    <w:rsid w:val="3E774854"/>
    <w:rsid w:val="3E811066"/>
    <w:rsid w:val="3E815385"/>
    <w:rsid w:val="3E86299B"/>
    <w:rsid w:val="3E8C0269"/>
    <w:rsid w:val="3E93265B"/>
    <w:rsid w:val="3EA01CAF"/>
    <w:rsid w:val="3EC075D9"/>
    <w:rsid w:val="3EC3257A"/>
    <w:rsid w:val="3EC6799A"/>
    <w:rsid w:val="3ED472C1"/>
    <w:rsid w:val="3EDA0523"/>
    <w:rsid w:val="3EDC080D"/>
    <w:rsid w:val="3EE6168C"/>
    <w:rsid w:val="3EE64519"/>
    <w:rsid w:val="3EF47797"/>
    <w:rsid w:val="3EFB5137"/>
    <w:rsid w:val="3EFE257B"/>
    <w:rsid w:val="3F0111C3"/>
    <w:rsid w:val="3F0C10F2"/>
    <w:rsid w:val="3F161F71"/>
    <w:rsid w:val="3F1F26AC"/>
    <w:rsid w:val="3F22290B"/>
    <w:rsid w:val="3F25167E"/>
    <w:rsid w:val="3F376398"/>
    <w:rsid w:val="3F387A53"/>
    <w:rsid w:val="3F4B7D4A"/>
    <w:rsid w:val="3F5A1C88"/>
    <w:rsid w:val="3F5B3EE6"/>
    <w:rsid w:val="3F600210"/>
    <w:rsid w:val="3F607BDF"/>
    <w:rsid w:val="3F6660E0"/>
    <w:rsid w:val="3F6A7679"/>
    <w:rsid w:val="3F7153F9"/>
    <w:rsid w:val="3F777D79"/>
    <w:rsid w:val="3F7B0B40"/>
    <w:rsid w:val="3F7D5B4C"/>
    <w:rsid w:val="3F843D3D"/>
    <w:rsid w:val="3F9F6425"/>
    <w:rsid w:val="3FA35EC9"/>
    <w:rsid w:val="3FA96941"/>
    <w:rsid w:val="3FAB4115"/>
    <w:rsid w:val="3FAE100B"/>
    <w:rsid w:val="3FB143F3"/>
    <w:rsid w:val="3FBD419A"/>
    <w:rsid w:val="3FCE3493"/>
    <w:rsid w:val="3FD9785C"/>
    <w:rsid w:val="3FE2553A"/>
    <w:rsid w:val="3FFB1F03"/>
    <w:rsid w:val="3FFE65A7"/>
    <w:rsid w:val="4000422C"/>
    <w:rsid w:val="40093A14"/>
    <w:rsid w:val="401F4384"/>
    <w:rsid w:val="40201299"/>
    <w:rsid w:val="4021297B"/>
    <w:rsid w:val="403E451E"/>
    <w:rsid w:val="40417378"/>
    <w:rsid w:val="40447D36"/>
    <w:rsid w:val="40677D34"/>
    <w:rsid w:val="40735C32"/>
    <w:rsid w:val="407631C5"/>
    <w:rsid w:val="407A6407"/>
    <w:rsid w:val="40802ECC"/>
    <w:rsid w:val="40866C82"/>
    <w:rsid w:val="40890521"/>
    <w:rsid w:val="40910C68"/>
    <w:rsid w:val="40991C3E"/>
    <w:rsid w:val="409E221E"/>
    <w:rsid w:val="40A5799B"/>
    <w:rsid w:val="40D514AA"/>
    <w:rsid w:val="40D51B37"/>
    <w:rsid w:val="40E54378"/>
    <w:rsid w:val="40EF2A79"/>
    <w:rsid w:val="40FE2B4E"/>
    <w:rsid w:val="410353D4"/>
    <w:rsid w:val="410D746C"/>
    <w:rsid w:val="41120D1D"/>
    <w:rsid w:val="411843BD"/>
    <w:rsid w:val="41200E85"/>
    <w:rsid w:val="4124398E"/>
    <w:rsid w:val="4125649B"/>
    <w:rsid w:val="412F4F08"/>
    <w:rsid w:val="413235C1"/>
    <w:rsid w:val="413572FA"/>
    <w:rsid w:val="413640C3"/>
    <w:rsid w:val="413D4376"/>
    <w:rsid w:val="41414B61"/>
    <w:rsid w:val="41526B64"/>
    <w:rsid w:val="41601281"/>
    <w:rsid w:val="416074D3"/>
    <w:rsid w:val="41683AB7"/>
    <w:rsid w:val="417662C5"/>
    <w:rsid w:val="417E5BAB"/>
    <w:rsid w:val="41955B7E"/>
    <w:rsid w:val="419D7696"/>
    <w:rsid w:val="41B24A2D"/>
    <w:rsid w:val="41D27E27"/>
    <w:rsid w:val="41D67795"/>
    <w:rsid w:val="41EC0683"/>
    <w:rsid w:val="41EC3725"/>
    <w:rsid w:val="41EE0F83"/>
    <w:rsid w:val="4200449D"/>
    <w:rsid w:val="420329CB"/>
    <w:rsid w:val="420C026B"/>
    <w:rsid w:val="420C0FEE"/>
    <w:rsid w:val="422315BA"/>
    <w:rsid w:val="42237EFE"/>
    <w:rsid w:val="42261B80"/>
    <w:rsid w:val="42291FBB"/>
    <w:rsid w:val="42342D2C"/>
    <w:rsid w:val="423A3BCC"/>
    <w:rsid w:val="4240790A"/>
    <w:rsid w:val="42467FE4"/>
    <w:rsid w:val="424E57D2"/>
    <w:rsid w:val="42554263"/>
    <w:rsid w:val="42597107"/>
    <w:rsid w:val="425D524B"/>
    <w:rsid w:val="4265079F"/>
    <w:rsid w:val="42784D1B"/>
    <w:rsid w:val="427E2307"/>
    <w:rsid w:val="42884E78"/>
    <w:rsid w:val="42A5553A"/>
    <w:rsid w:val="42A8722B"/>
    <w:rsid w:val="42A965FF"/>
    <w:rsid w:val="42AC7206"/>
    <w:rsid w:val="42B26C49"/>
    <w:rsid w:val="42B36831"/>
    <w:rsid w:val="42BE0955"/>
    <w:rsid w:val="42CC4B76"/>
    <w:rsid w:val="42D50A61"/>
    <w:rsid w:val="42D55C9F"/>
    <w:rsid w:val="42F04887"/>
    <w:rsid w:val="42F53A50"/>
    <w:rsid w:val="430F11B1"/>
    <w:rsid w:val="43127223"/>
    <w:rsid w:val="431E31A2"/>
    <w:rsid w:val="432B2EF9"/>
    <w:rsid w:val="432D0D1B"/>
    <w:rsid w:val="432D63C5"/>
    <w:rsid w:val="43362BE2"/>
    <w:rsid w:val="433A6FE6"/>
    <w:rsid w:val="43480868"/>
    <w:rsid w:val="434B2D37"/>
    <w:rsid w:val="4350713C"/>
    <w:rsid w:val="4354348B"/>
    <w:rsid w:val="43587F44"/>
    <w:rsid w:val="43634EF3"/>
    <w:rsid w:val="436653E0"/>
    <w:rsid w:val="43675A04"/>
    <w:rsid w:val="43691B6D"/>
    <w:rsid w:val="436E7A83"/>
    <w:rsid w:val="437F4916"/>
    <w:rsid w:val="439C6A4C"/>
    <w:rsid w:val="43A53412"/>
    <w:rsid w:val="43B852D1"/>
    <w:rsid w:val="43C4431A"/>
    <w:rsid w:val="43DA5C97"/>
    <w:rsid w:val="43E208A7"/>
    <w:rsid w:val="43E53CC0"/>
    <w:rsid w:val="43E705E8"/>
    <w:rsid w:val="43EF015E"/>
    <w:rsid w:val="43F32881"/>
    <w:rsid w:val="4400388A"/>
    <w:rsid w:val="44071E88"/>
    <w:rsid w:val="440A0D76"/>
    <w:rsid w:val="440D0C25"/>
    <w:rsid w:val="44190522"/>
    <w:rsid w:val="441D35F1"/>
    <w:rsid w:val="443F7874"/>
    <w:rsid w:val="444B6F67"/>
    <w:rsid w:val="445C4F4F"/>
    <w:rsid w:val="446217B4"/>
    <w:rsid w:val="446C4D30"/>
    <w:rsid w:val="44710941"/>
    <w:rsid w:val="44742D6A"/>
    <w:rsid w:val="449053D3"/>
    <w:rsid w:val="44936637"/>
    <w:rsid w:val="4496320C"/>
    <w:rsid w:val="44973D4D"/>
    <w:rsid w:val="44A973E3"/>
    <w:rsid w:val="44B7603C"/>
    <w:rsid w:val="44B951CC"/>
    <w:rsid w:val="44CD14E0"/>
    <w:rsid w:val="44EA36A2"/>
    <w:rsid w:val="44EC0F3D"/>
    <w:rsid w:val="44ED5E27"/>
    <w:rsid w:val="44F20B0B"/>
    <w:rsid w:val="44FE5AC3"/>
    <w:rsid w:val="45085EB8"/>
    <w:rsid w:val="4519609A"/>
    <w:rsid w:val="45267A0D"/>
    <w:rsid w:val="45285849"/>
    <w:rsid w:val="452D47A4"/>
    <w:rsid w:val="452E5F4C"/>
    <w:rsid w:val="45336CAD"/>
    <w:rsid w:val="453B25D8"/>
    <w:rsid w:val="45467BF7"/>
    <w:rsid w:val="454F132E"/>
    <w:rsid w:val="45525385"/>
    <w:rsid w:val="455D2986"/>
    <w:rsid w:val="45612018"/>
    <w:rsid w:val="45622B78"/>
    <w:rsid w:val="45634846"/>
    <w:rsid w:val="45651B7F"/>
    <w:rsid w:val="45726472"/>
    <w:rsid w:val="457C68A6"/>
    <w:rsid w:val="457F003D"/>
    <w:rsid w:val="458071E8"/>
    <w:rsid w:val="45862323"/>
    <w:rsid w:val="458946E9"/>
    <w:rsid w:val="45942176"/>
    <w:rsid w:val="45997458"/>
    <w:rsid w:val="45A47C0E"/>
    <w:rsid w:val="45B7094D"/>
    <w:rsid w:val="45B7168C"/>
    <w:rsid w:val="45BD1572"/>
    <w:rsid w:val="45D854EC"/>
    <w:rsid w:val="45F702E1"/>
    <w:rsid w:val="46080139"/>
    <w:rsid w:val="460A62B9"/>
    <w:rsid w:val="460E6F54"/>
    <w:rsid w:val="461F5B97"/>
    <w:rsid w:val="46353B46"/>
    <w:rsid w:val="46367005"/>
    <w:rsid w:val="46392D25"/>
    <w:rsid w:val="463E4D11"/>
    <w:rsid w:val="46407634"/>
    <w:rsid w:val="46577FD6"/>
    <w:rsid w:val="466C5EC0"/>
    <w:rsid w:val="4674600D"/>
    <w:rsid w:val="467C4DAF"/>
    <w:rsid w:val="46893E4C"/>
    <w:rsid w:val="46A240EA"/>
    <w:rsid w:val="46A83551"/>
    <w:rsid w:val="46A937CA"/>
    <w:rsid w:val="46B31EAB"/>
    <w:rsid w:val="46B43C28"/>
    <w:rsid w:val="46CD363E"/>
    <w:rsid w:val="46D02A05"/>
    <w:rsid w:val="46D41B1D"/>
    <w:rsid w:val="46D87D9E"/>
    <w:rsid w:val="46D955A7"/>
    <w:rsid w:val="46DD1A9B"/>
    <w:rsid w:val="46E9029E"/>
    <w:rsid w:val="46EF502B"/>
    <w:rsid w:val="47072195"/>
    <w:rsid w:val="47133957"/>
    <w:rsid w:val="4714323A"/>
    <w:rsid w:val="47240FA3"/>
    <w:rsid w:val="47310DEC"/>
    <w:rsid w:val="47445C41"/>
    <w:rsid w:val="474510D0"/>
    <w:rsid w:val="475226E7"/>
    <w:rsid w:val="475353E4"/>
    <w:rsid w:val="47607AA6"/>
    <w:rsid w:val="47631ACB"/>
    <w:rsid w:val="476A181D"/>
    <w:rsid w:val="476A4649"/>
    <w:rsid w:val="477E4B57"/>
    <w:rsid w:val="478832E0"/>
    <w:rsid w:val="479779C7"/>
    <w:rsid w:val="479E48B1"/>
    <w:rsid w:val="47A07E0C"/>
    <w:rsid w:val="47A81BD4"/>
    <w:rsid w:val="47B23B74"/>
    <w:rsid w:val="47C018DD"/>
    <w:rsid w:val="47C3362C"/>
    <w:rsid w:val="47C540BD"/>
    <w:rsid w:val="47D961EF"/>
    <w:rsid w:val="47DB29B5"/>
    <w:rsid w:val="47EC6216"/>
    <w:rsid w:val="47EC759F"/>
    <w:rsid w:val="47ED2FE5"/>
    <w:rsid w:val="47F723EB"/>
    <w:rsid w:val="47F81BC3"/>
    <w:rsid w:val="48014C45"/>
    <w:rsid w:val="480768FB"/>
    <w:rsid w:val="481F481F"/>
    <w:rsid w:val="48253552"/>
    <w:rsid w:val="482A7D64"/>
    <w:rsid w:val="4835194E"/>
    <w:rsid w:val="483B0352"/>
    <w:rsid w:val="484437C6"/>
    <w:rsid w:val="48482A6F"/>
    <w:rsid w:val="48595A72"/>
    <w:rsid w:val="485D3281"/>
    <w:rsid w:val="48627FD5"/>
    <w:rsid w:val="486C1F93"/>
    <w:rsid w:val="4870272E"/>
    <w:rsid w:val="48846EF1"/>
    <w:rsid w:val="4893018E"/>
    <w:rsid w:val="48A201D3"/>
    <w:rsid w:val="48A42A08"/>
    <w:rsid w:val="48A7185A"/>
    <w:rsid w:val="48A979B2"/>
    <w:rsid w:val="48D86234"/>
    <w:rsid w:val="48EC583F"/>
    <w:rsid w:val="490523FE"/>
    <w:rsid w:val="49143AC3"/>
    <w:rsid w:val="4918172B"/>
    <w:rsid w:val="49217DF9"/>
    <w:rsid w:val="492359B6"/>
    <w:rsid w:val="4929464F"/>
    <w:rsid w:val="492A07DE"/>
    <w:rsid w:val="492E7EB7"/>
    <w:rsid w:val="495918BC"/>
    <w:rsid w:val="49696F6A"/>
    <w:rsid w:val="49743271"/>
    <w:rsid w:val="49765C9B"/>
    <w:rsid w:val="497B34B6"/>
    <w:rsid w:val="4983200C"/>
    <w:rsid w:val="49833345"/>
    <w:rsid w:val="49883A6B"/>
    <w:rsid w:val="498902F7"/>
    <w:rsid w:val="49900B72"/>
    <w:rsid w:val="4996358E"/>
    <w:rsid w:val="499C04BE"/>
    <w:rsid w:val="49A05622"/>
    <w:rsid w:val="49B12727"/>
    <w:rsid w:val="49B54134"/>
    <w:rsid w:val="49B56EA7"/>
    <w:rsid w:val="49D0011E"/>
    <w:rsid w:val="49D942C7"/>
    <w:rsid w:val="49DC7715"/>
    <w:rsid w:val="49DE69F3"/>
    <w:rsid w:val="49DF11B1"/>
    <w:rsid w:val="49EC4162"/>
    <w:rsid w:val="49F92D8A"/>
    <w:rsid w:val="49FA0C53"/>
    <w:rsid w:val="49FA2BDB"/>
    <w:rsid w:val="49FA691D"/>
    <w:rsid w:val="49FC7FB5"/>
    <w:rsid w:val="4A023139"/>
    <w:rsid w:val="4A042085"/>
    <w:rsid w:val="4A103E82"/>
    <w:rsid w:val="4A1A6683"/>
    <w:rsid w:val="4A1D7B6C"/>
    <w:rsid w:val="4A3264B9"/>
    <w:rsid w:val="4A370B46"/>
    <w:rsid w:val="4A3C6604"/>
    <w:rsid w:val="4A551387"/>
    <w:rsid w:val="4A5C2802"/>
    <w:rsid w:val="4A617FE4"/>
    <w:rsid w:val="4A740A99"/>
    <w:rsid w:val="4A745D9D"/>
    <w:rsid w:val="4A7B576F"/>
    <w:rsid w:val="4A7C1707"/>
    <w:rsid w:val="4A8172DE"/>
    <w:rsid w:val="4A8532D5"/>
    <w:rsid w:val="4A8D57EB"/>
    <w:rsid w:val="4A9E1EBD"/>
    <w:rsid w:val="4AAA13E1"/>
    <w:rsid w:val="4ABD4F47"/>
    <w:rsid w:val="4AC42881"/>
    <w:rsid w:val="4AC42904"/>
    <w:rsid w:val="4AC62BC0"/>
    <w:rsid w:val="4AC72B86"/>
    <w:rsid w:val="4ACF162A"/>
    <w:rsid w:val="4AD430F4"/>
    <w:rsid w:val="4AD60806"/>
    <w:rsid w:val="4AE623AF"/>
    <w:rsid w:val="4AF561A9"/>
    <w:rsid w:val="4AF65903"/>
    <w:rsid w:val="4B01192F"/>
    <w:rsid w:val="4B074E64"/>
    <w:rsid w:val="4B0C271E"/>
    <w:rsid w:val="4B154DFB"/>
    <w:rsid w:val="4B194F4C"/>
    <w:rsid w:val="4B210D16"/>
    <w:rsid w:val="4B2257F9"/>
    <w:rsid w:val="4B2E20E3"/>
    <w:rsid w:val="4B310C69"/>
    <w:rsid w:val="4B42219E"/>
    <w:rsid w:val="4B4B18CC"/>
    <w:rsid w:val="4B4B3C69"/>
    <w:rsid w:val="4B4D08DD"/>
    <w:rsid w:val="4B5538D6"/>
    <w:rsid w:val="4B5C0D0B"/>
    <w:rsid w:val="4B5C5B9F"/>
    <w:rsid w:val="4B63653E"/>
    <w:rsid w:val="4B7031AD"/>
    <w:rsid w:val="4B717577"/>
    <w:rsid w:val="4B751DCD"/>
    <w:rsid w:val="4B7A5635"/>
    <w:rsid w:val="4B8A6ACD"/>
    <w:rsid w:val="4B8E10E1"/>
    <w:rsid w:val="4B942733"/>
    <w:rsid w:val="4BC97A64"/>
    <w:rsid w:val="4BCD32A4"/>
    <w:rsid w:val="4BD66F05"/>
    <w:rsid w:val="4BDA4326"/>
    <w:rsid w:val="4BDF1609"/>
    <w:rsid w:val="4BE832CF"/>
    <w:rsid w:val="4BF52F0E"/>
    <w:rsid w:val="4BF9034D"/>
    <w:rsid w:val="4C044CA2"/>
    <w:rsid w:val="4C0D3812"/>
    <w:rsid w:val="4C1D5C05"/>
    <w:rsid w:val="4C497552"/>
    <w:rsid w:val="4C4A0649"/>
    <w:rsid w:val="4C575977"/>
    <w:rsid w:val="4C5D1363"/>
    <w:rsid w:val="4C635E39"/>
    <w:rsid w:val="4C7E5ECA"/>
    <w:rsid w:val="4C801B49"/>
    <w:rsid w:val="4C87625C"/>
    <w:rsid w:val="4C876AA5"/>
    <w:rsid w:val="4C9C683E"/>
    <w:rsid w:val="4C9D4B1B"/>
    <w:rsid w:val="4C9D71BD"/>
    <w:rsid w:val="4CAA5AA7"/>
    <w:rsid w:val="4CB73BD7"/>
    <w:rsid w:val="4CBB1996"/>
    <w:rsid w:val="4CCA439B"/>
    <w:rsid w:val="4CD90FF8"/>
    <w:rsid w:val="4CE92A73"/>
    <w:rsid w:val="4CF87FA5"/>
    <w:rsid w:val="4D027691"/>
    <w:rsid w:val="4D076DF2"/>
    <w:rsid w:val="4D0B0E96"/>
    <w:rsid w:val="4D0C6761"/>
    <w:rsid w:val="4D0E00FB"/>
    <w:rsid w:val="4D176606"/>
    <w:rsid w:val="4D2C1219"/>
    <w:rsid w:val="4D2E2B7B"/>
    <w:rsid w:val="4D4201A6"/>
    <w:rsid w:val="4D4244E7"/>
    <w:rsid w:val="4D482C03"/>
    <w:rsid w:val="4D6E292D"/>
    <w:rsid w:val="4D764FEC"/>
    <w:rsid w:val="4D86700D"/>
    <w:rsid w:val="4D8C33FE"/>
    <w:rsid w:val="4D943EC8"/>
    <w:rsid w:val="4D9549A9"/>
    <w:rsid w:val="4D9F3C11"/>
    <w:rsid w:val="4DAB5F7A"/>
    <w:rsid w:val="4DAF7614"/>
    <w:rsid w:val="4DC932F8"/>
    <w:rsid w:val="4DCE1C69"/>
    <w:rsid w:val="4DD14002"/>
    <w:rsid w:val="4DD440AA"/>
    <w:rsid w:val="4DE70FB6"/>
    <w:rsid w:val="4DE84AD8"/>
    <w:rsid w:val="4DE93F5D"/>
    <w:rsid w:val="4DEC4FB0"/>
    <w:rsid w:val="4E034154"/>
    <w:rsid w:val="4E075D8A"/>
    <w:rsid w:val="4E2A4103"/>
    <w:rsid w:val="4E451F2B"/>
    <w:rsid w:val="4E4752EF"/>
    <w:rsid w:val="4E481A1B"/>
    <w:rsid w:val="4E5401B4"/>
    <w:rsid w:val="4E565762"/>
    <w:rsid w:val="4E5869CD"/>
    <w:rsid w:val="4E6034E4"/>
    <w:rsid w:val="4E7032A3"/>
    <w:rsid w:val="4E72289C"/>
    <w:rsid w:val="4E80084D"/>
    <w:rsid w:val="4E85196F"/>
    <w:rsid w:val="4E8862C9"/>
    <w:rsid w:val="4E93430C"/>
    <w:rsid w:val="4E94701A"/>
    <w:rsid w:val="4E9F56B3"/>
    <w:rsid w:val="4EA628BA"/>
    <w:rsid w:val="4EAD0C11"/>
    <w:rsid w:val="4EBB21ED"/>
    <w:rsid w:val="4EBE49F8"/>
    <w:rsid w:val="4EC00FAD"/>
    <w:rsid w:val="4ED137BE"/>
    <w:rsid w:val="4EDB0903"/>
    <w:rsid w:val="4F003091"/>
    <w:rsid w:val="4F01762D"/>
    <w:rsid w:val="4F095FFE"/>
    <w:rsid w:val="4F0B1FD5"/>
    <w:rsid w:val="4F1B4E81"/>
    <w:rsid w:val="4F1D0403"/>
    <w:rsid w:val="4F245F7B"/>
    <w:rsid w:val="4F31595E"/>
    <w:rsid w:val="4F3354BB"/>
    <w:rsid w:val="4F3D70A6"/>
    <w:rsid w:val="4F5874FC"/>
    <w:rsid w:val="4F610FE6"/>
    <w:rsid w:val="4F613271"/>
    <w:rsid w:val="4F616A1C"/>
    <w:rsid w:val="4F626B0C"/>
    <w:rsid w:val="4F742F59"/>
    <w:rsid w:val="4F7A20A8"/>
    <w:rsid w:val="4F887240"/>
    <w:rsid w:val="4F8A6438"/>
    <w:rsid w:val="4F8D4D59"/>
    <w:rsid w:val="4F922F57"/>
    <w:rsid w:val="4F9843DC"/>
    <w:rsid w:val="4FA64C04"/>
    <w:rsid w:val="4FA83605"/>
    <w:rsid w:val="4FB27182"/>
    <w:rsid w:val="4FB35BC0"/>
    <w:rsid w:val="4FBF07C1"/>
    <w:rsid w:val="4FC62A8C"/>
    <w:rsid w:val="4FC6709B"/>
    <w:rsid w:val="4FCC21D8"/>
    <w:rsid w:val="4FD47897"/>
    <w:rsid w:val="4FD72579"/>
    <w:rsid w:val="4FDA75BC"/>
    <w:rsid w:val="4FE20F0D"/>
    <w:rsid w:val="4FE51552"/>
    <w:rsid w:val="500660EC"/>
    <w:rsid w:val="500D4CCA"/>
    <w:rsid w:val="50160FEC"/>
    <w:rsid w:val="501C7D9B"/>
    <w:rsid w:val="502B7A1D"/>
    <w:rsid w:val="503D2C4E"/>
    <w:rsid w:val="50504C4B"/>
    <w:rsid w:val="505E5526"/>
    <w:rsid w:val="505E616B"/>
    <w:rsid w:val="506348EA"/>
    <w:rsid w:val="50723E43"/>
    <w:rsid w:val="508D2300"/>
    <w:rsid w:val="508D4C3A"/>
    <w:rsid w:val="509176A9"/>
    <w:rsid w:val="509C6E7C"/>
    <w:rsid w:val="509E5922"/>
    <w:rsid w:val="509F4F62"/>
    <w:rsid w:val="50DB6B76"/>
    <w:rsid w:val="50E83041"/>
    <w:rsid w:val="50EA500B"/>
    <w:rsid w:val="50EC1EC5"/>
    <w:rsid w:val="50FE1712"/>
    <w:rsid w:val="5107293F"/>
    <w:rsid w:val="51081D09"/>
    <w:rsid w:val="510E0CFA"/>
    <w:rsid w:val="51131632"/>
    <w:rsid w:val="511D0F3D"/>
    <w:rsid w:val="5124653C"/>
    <w:rsid w:val="51270325"/>
    <w:rsid w:val="512E185C"/>
    <w:rsid w:val="512F7D01"/>
    <w:rsid w:val="51347FD9"/>
    <w:rsid w:val="51372589"/>
    <w:rsid w:val="51403283"/>
    <w:rsid w:val="51450C65"/>
    <w:rsid w:val="515D57DD"/>
    <w:rsid w:val="5162104E"/>
    <w:rsid w:val="51651EBE"/>
    <w:rsid w:val="516A1BD9"/>
    <w:rsid w:val="517448D5"/>
    <w:rsid w:val="51782617"/>
    <w:rsid w:val="517B0995"/>
    <w:rsid w:val="517B2107"/>
    <w:rsid w:val="51831D23"/>
    <w:rsid w:val="51916A23"/>
    <w:rsid w:val="51957A2F"/>
    <w:rsid w:val="51966226"/>
    <w:rsid w:val="51A404F0"/>
    <w:rsid w:val="51B67968"/>
    <w:rsid w:val="51CF6818"/>
    <w:rsid w:val="51D70186"/>
    <w:rsid w:val="51DD3BEB"/>
    <w:rsid w:val="51F25CD6"/>
    <w:rsid w:val="51F85506"/>
    <w:rsid w:val="51FC5E66"/>
    <w:rsid w:val="51FF0B8E"/>
    <w:rsid w:val="520B071F"/>
    <w:rsid w:val="52141D9C"/>
    <w:rsid w:val="521E103E"/>
    <w:rsid w:val="52224331"/>
    <w:rsid w:val="52282AB6"/>
    <w:rsid w:val="523464FC"/>
    <w:rsid w:val="523C584B"/>
    <w:rsid w:val="523D3DDC"/>
    <w:rsid w:val="52446F6F"/>
    <w:rsid w:val="5245699D"/>
    <w:rsid w:val="524B3200"/>
    <w:rsid w:val="525B252C"/>
    <w:rsid w:val="52650DED"/>
    <w:rsid w:val="52691F60"/>
    <w:rsid w:val="526E18E2"/>
    <w:rsid w:val="527B7428"/>
    <w:rsid w:val="528172E2"/>
    <w:rsid w:val="52850C18"/>
    <w:rsid w:val="52853C10"/>
    <w:rsid w:val="528A6EAF"/>
    <w:rsid w:val="529E1C09"/>
    <w:rsid w:val="529E33EE"/>
    <w:rsid w:val="52A76957"/>
    <w:rsid w:val="52AB07CA"/>
    <w:rsid w:val="52B7716F"/>
    <w:rsid w:val="52CF0ECD"/>
    <w:rsid w:val="52D23FA9"/>
    <w:rsid w:val="52D647A9"/>
    <w:rsid w:val="52D90E94"/>
    <w:rsid w:val="52DA2EC4"/>
    <w:rsid w:val="52EC1142"/>
    <w:rsid w:val="5303124D"/>
    <w:rsid w:val="53066D20"/>
    <w:rsid w:val="530C74BB"/>
    <w:rsid w:val="531F68DA"/>
    <w:rsid w:val="53204028"/>
    <w:rsid w:val="53264247"/>
    <w:rsid w:val="532D7163"/>
    <w:rsid w:val="53370B35"/>
    <w:rsid w:val="534327B1"/>
    <w:rsid w:val="53486019"/>
    <w:rsid w:val="53496EC5"/>
    <w:rsid w:val="53516BF1"/>
    <w:rsid w:val="535765B6"/>
    <w:rsid w:val="536A2433"/>
    <w:rsid w:val="537771F6"/>
    <w:rsid w:val="537806AC"/>
    <w:rsid w:val="53794425"/>
    <w:rsid w:val="537D2167"/>
    <w:rsid w:val="538057B3"/>
    <w:rsid w:val="538664F2"/>
    <w:rsid w:val="53962C9E"/>
    <w:rsid w:val="53996EAE"/>
    <w:rsid w:val="53A039CC"/>
    <w:rsid w:val="53A1505A"/>
    <w:rsid w:val="53AB0A82"/>
    <w:rsid w:val="53AE3427"/>
    <w:rsid w:val="53B266F7"/>
    <w:rsid w:val="53B84F4D"/>
    <w:rsid w:val="53C03E0F"/>
    <w:rsid w:val="53C30C8D"/>
    <w:rsid w:val="53C47D96"/>
    <w:rsid w:val="53CC5083"/>
    <w:rsid w:val="53CE29C2"/>
    <w:rsid w:val="53F51CFD"/>
    <w:rsid w:val="53F8443B"/>
    <w:rsid w:val="54063E08"/>
    <w:rsid w:val="5415720C"/>
    <w:rsid w:val="541865A3"/>
    <w:rsid w:val="541B5A8C"/>
    <w:rsid w:val="541E0E92"/>
    <w:rsid w:val="542315E1"/>
    <w:rsid w:val="542425E2"/>
    <w:rsid w:val="542E4D92"/>
    <w:rsid w:val="543437E8"/>
    <w:rsid w:val="54422A68"/>
    <w:rsid w:val="544773A1"/>
    <w:rsid w:val="54543F81"/>
    <w:rsid w:val="545C6528"/>
    <w:rsid w:val="545E76AA"/>
    <w:rsid w:val="54672977"/>
    <w:rsid w:val="54952B5B"/>
    <w:rsid w:val="549F610D"/>
    <w:rsid w:val="54A454D1"/>
    <w:rsid w:val="54AF45A2"/>
    <w:rsid w:val="54B870E1"/>
    <w:rsid w:val="54BA0D48"/>
    <w:rsid w:val="54C17E31"/>
    <w:rsid w:val="54C93FA5"/>
    <w:rsid w:val="54CB7F1E"/>
    <w:rsid w:val="54CC2F9D"/>
    <w:rsid w:val="54CC5154"/>
    <w:rsid w:val="54D6501D"/>
    <w:rsid w:val="54D80B85"/>
    <w:rsid w:val="54D9517B"/>
    <w:rsid w:val="54DC4007"/>
    <w:rsid w:val="54E7540B"/>
    <w:rsid w:val="54F322E2"/>
    <w:rsid w:val="54F73313"/>
    <w:rsid w:val="54F80955"/>
    <w:rsid w:val="54FD16E7"/>
    <w:rsid w:val="55073BE1"/>
    <w:rsid w:val="55094239"/>
    <w:rsid w:val="550965BE"/>
    <w:rsid w:val="551B1C37"/>
    <w:rsid w:val="552F6762"/>
    <w:rsid w:val="55474E28"/>
    <w:rsid w:val="5549127B"/>
    <w:rsid w:val="554A42CB"/>
    <w:rsid w:val="555170A7"/>
    <w:rsid w:val="555C3226"/>
    <w:rsid w:val="555C5410"/>
    <w:rsid w:val="556F788D"/>
    <w:rsid w:val="55771F73"/>
    <w:rsid w:val="55805F3E"/>
    <w:rsid w:val="5587536D"/>
    <w:rsid w:val="5589787B"/>
    <w:rsid w:val="558A38DC"/>
    <w:rsid w:val="559B174B"/>
    <w:rsid w:val="55A5338B"/>
    <w:rsid w:val="55BB5C2C"/>
    <w:rsid w:val="55C04FDA"/>
    <w:rsid w:val="55C53951"/>
    <w:rsid w:val="55CC5DDD"/>
    <w:rsid w:val="55CE0CF4"/>
    <w:rsid w:val="55CE4A2D"/>
    <w:rsid w:val="55DC76FF"/>
    <w:rsid w:val="55E36EE6"/>
    <w:rsid w:val="55E464CD"/>
    <w:rsid w:val="55EB1D19"/>
    <w:rsid w:val="55FE6724"/>
    <w:rsid w:val="561548BD"/>
    <w:rsid w:val="56176FF1"/>
    <w:rsid w:val="561E110F"/>
    <w:rsid w:val="56223C41"/>
    <w:rsid w:val="562B2188"/>
    <w:rsid w:val="56312AF7"/>
    <w:rsid w:val="56333CCD"/>
    <w:rsid w:val="56336B0D"/>
    <w:rsid w:val="563A60ED"/>
    <w:rsid w:val="563E32A2"/>
    <w:rsid w:val="56480CF8"/>
    <w:rsid w:val="564F04F9"/>
    <w:rsid w:val="565D002E"/>
    <w:rsid w:val="56644F18"/>
    <w:rsid w:val="567C3952"/>
    <w:rsid w:val="568D48D7"/>
    <w:rsid w:val="569357FD"/>
    <w:rsid w:val="569F0646"/>
    <w:rsid w:val="56B22A9C"/>
    <w:rsid w:val="56BA6F07"/>
    <w:rsid w:val="56BF09C1"/>
    <w:rsid w:val="56C46453"/>
    <w:rsid w:val="56C73918"/>
    <w:rsid w:val="56D560E5"/>
    <w:rsid w:val="56E20856"/>
    <w:rsid w:val="56EC67F5"/>
    <w:rsid w:val="56F05B62"/>
    <w:rsid w:val="570D3816"/>
    <w:rsid w:val="571526B6"/>
    <w:rsid w:val="571F7091"/>
    <w:rsid w:val="57243E77"/>
    <w:rsid w:val="57285A2F"/>
    <w:rsid w:val="572E1BAE"/>
    <w:rsid w:val="573064A0"/>
    <w:rsid w:val="573B2DDC"/>
    <w:rsid w:val="574344FC"/>
    <w:rsid w:val="57435475"/>
    <w:rsid w:val="57605808"/>
    <w:rsid w:val="57626D08"/>
    <w:rsid w:val="57646731"/>
    <w:rsid w:val="577264AF"/>
    <w:rsid w:val="577E7445"/>
    <w:rsid w:val="5780282D"/>
    <w:rsid w:val="57882E88"/>
    <w:rsid w:val="5797131D"/>
    <w:rsid w:val="57996E43"/>
    <w:rsid w:val="57A14C30"/>
    <w:rsid w:val="57A81B4F"/>
    <w:rsid w:val="57AC1A79"/>
    <w:rsid w:val="57B72A76"/>
    <w:rsid w:val="57C2150B"/>
    <w:rsid w:val="57C3426C"/>
    <w:rsid w:val="57CA55C9"/>
    <w:rsid w:val="57CE1F93"/>
    <w:rsid w:val="57D65757"/>
    <w:rsid w:val="57DF7C5F"/>
    <w:rsid w:val="57E62AB9"/>
    <w:rsid w:val="57F74AEB"/>
    <w:rsid w:val="581A4428"/>
    <w:rsid w:val="58227FA1"/>
    <w:rsid w:val="58305B05"/>
    <w:rsid w:val="583358A1"/>
    <w:rsid w:val="5836417F"/>
    <w:rsid w:val="58412B00"/>
    <w:rsid w:val="58475C93"/>
    <w:rsid w:val="584C035A"/>
    <w:rsid w:val="5853793A"/>
    <w:rsid w:val="58606524"/>
    <w:rsid w:val="58627B7D"/>
    <w:rsid w:val="58740946"/>
    <w:rsid w:val="587836D4"/>
    <w:rsid w:val="587C0C3F"/>
    <w:rsid w:val="587D0513"/>
    <w:rsid w:val="588743D1"/>
    <w:rsid w:val="5887701A"/>
    <w:rsid w:val="58920462"/>
    <w:rsid w:val="589E1064"/>
    <w:rsid w:val="58A12453"/>
    <w:rsid w:val="58A13375"/>
    <w:rsid w:val="58A9755A"/>
    <w:rsid w:val="58AB6611"/>
    <w:rsid w:val="58AF2EB9"/>
    <w:rsid w:val="58C07A2B"/>
    <w:rsid w:val="58D6588E"/>
    <w:rsid w:val="58E32A6C"/>
    <w:rsid w:val="58E86387"/>
    <w:rsid w:val="58E94BB5"/>
    <w:rsid w:val="58E97C2C"/>
    <w:rsid w:val="58F741A0"/>
    <w:rsid w:val="58F84874"/>
    <w:rsid w:val="59002040"/>
    <w:rsid w:val="59116E4E"/>
    <w:rsid w:val="591B2227"/>
    <w:rsid w:val="591B3D19"/>
    <w:rsid w:val="592F7135"/>
    <w:rsid w:val="595C42E3"/>
    <w:rsid w:val="597A049D"/>
    <w:rsid w:val="598E50E7"/>
    <w:rsid w:val="59A81BA6"/>
    <w:rsid w:val="59B241EC"/>
    <w:rsid w:val="59B76C5B"/>
    <w:rsid w:val="59BA330C"/>
    <w:rsid w:val="59C0439F"/>
    <w:rsid w:val="59C867CF"/>
    <w:rsid w:val="59E85E60"/>
    <w:rsid w:val="59EC76FE"/>
    <w:rsid w:val="59EF4EA9"/>
    <w:rsid w:val="59F56466"/>
    <w:rsid w:val="59F716C4"/>
    <w:rsid w:val="59FB6AE6"/>
    <w:rsid w:val="5A085BEB"/>
    <w:rsid w:val="5A0E3173"/>
    <w:rsid w:val="5A183FED"/>
    <w:rsid w:val="5A1854E3"/>
    <w:rsid w:val="5A211A8E"/>
    <w:rsid w:val="5A23531B"/>
    <w:rsid w:val="5A2D19B3"/>
    <w:rsid w:val="5A2F648A"/>
    <w:rsid w:val="5A341CC9"/>
    <w:rsid w:val="5A3A72BD"/>
    <w:rsid w:val="5A4A2112"/>
    <w:rsid w:val="5A4C2BEF"/>
    <w:rsid w:val="5A7140A7"/>
    <w:rsid w:val="5A762D88"/>
    <w:rsid w:val="5A786C2A"/>
    <w:rsid w:val="5A9A36C4"/>
    <w:rsid w:val="5A9C47FB"/>
    <w:rsid w:val="5AB52C6E"/>
    <w:rsid w:val="5AB84EAA"/>
    <w:rsid w:val="5ABB2555"/>
    <w:rsid w:val="5ABE2233"/>
    <w:rsid w:val="5AC22F58"/>
    <w:rsid w:val="5AC5432B"/>
    <w:rsid w:val="5AC96735"/>
    <w:rsid w:val="5ACB7C53"/>
    <w:rsid w:val="5ACF4B5D"/>
    <w:rsid w:val="5ADB7B72"/>
    <w:rsid w:val="5ADF1011"/>
    <w:rsid w:val="5AF11EC8"/>
    <w:rsid w:val="5AF77819"/>
    <w:rsid w:val="5B0075B6"/>
    <w:rsid w:val="5B0373F5"/>
    <w:rsid w:val="5B1769FD"/>
    <w:rsid w:val="5B2619EF"/>
    <w:rsid w:val="5B295FB0"/>
    <w:rsid w:val="5B305D11"/>
    <w:rsid w:val="5B345801"/>
    <w:rsid w:val="5B363095"/>
    <w:rsid w:val="5B3C0FA6"/>
    <w:rsid w:val="5B3C507F"/>
    <w:rsid w:val="5B440962"/>
    <w:rsid w:val="5B461903"/>
    <w:rsid w:val="5B51179D"/>
    <w:rsid w:val="5B6F4A8B"/>
    <w:rsid w:val="5B80129C"/>
    <w:rsid w:val="5B8C2182"/>
    <w:rsid w:val="5B9124C2"/>
    <w:rsid w:val="5B977B3E"/>
    <w:rsid w:val="5B993134"/>
    <w:rsid w:val="5B9B294C"/>
    <w:rsid w:val="5BA50348"/>
    <w:rsid w:val="5BA830B6"/>
    <w:rsid w:val="5BC1645D"/>
    <w:rsid w:val="5BC621D1"/>
    <w:rsid w:val="5BC85C6B"/>
    <w:rsid w:val="5BCC2B28"/>
    <w:rsid w:val="5BD8513A"/>
    <w:rsid w:val="5BDF5D95"/>
    <w:rsid w:val="5BF31218"/>
    <w:rsid w:val="5BFE7528"/>
    <w:rsid w:val="5BFF581E"/>
    <w:rsid w:val="5C020D75"/>
    <w:rsid w:val="5C044480"/>
    <w:rsid w:val="5C0A68F9"/>
    <w:rsid w:val="5C0E6052"/>
    <w:rsid w:val="5C0F2C68"/>
    <w:rsid w:val="5C0F5926"/>
    <w:rsid w:val="5C1504DE"/>
    <w:rsid w:val="5C1B0F0A"/>
    <w:rsid w:val="5C297F2A"/>
    <w:rsid w:val="5C3122D0"/>
    <w:rsid w:val="5C3B2BBF"/>
    <w:rsid w:val="5C425B40"/>
    <w:rsid w:val="5C5A1297"/>
    <w:rsid w:val="5C5D1481"/>
    <w:rsid w:val="5C6B4AA6"/>
    <w:rsid w:val="5C851596"/>
    <w:rsid w:val="5C9612B9"/>
    <w:rsid w:val="5C985442"/>
    <w:rsid w:val="5CA73DB1"/>
    <w:rsid w:val="5CAF244F"/>
    <w:rsid w:val="5CB32755"/>
    <w:rsid w:val="5CB768C6"/>
    <w:rsid w:val="5CBE7B42"/>
    <w:rsid w:val="5CBF10FA"/>
    <w:rsid w:val="5CC22998"/>
    <w:rsid w:val="5CCD0D12"/>
    <w:rsid w:val="5CD51F7E"/>
    <w:rsid w:val="5CD7681B"/>
    <w:rsid w:val="5CDC7EFE"/>
    <w:rsid w:val="5CDD337D"/>
    <w:rsid w:val="5CE9036D"/>
    <w:rsid w:val="5CE943C9"/>
    <w:rsid w:val="5CE96AB8"/>
    <w:rsid w:val="5CF662A5"/>
    <w:rsid w:val="5D066D29"/>
    <w:rsid w:val="5D186DA5"/>
    <w:rsid w:val="5D1A5F8E"/>
    <w:rsid w:val="5D245401"/>
    <w:rsid w:val="5D26561D"/>
    <w:rsid w:val="5D2967F0"/>
    <w:rsid w:val="5D303F19"/>
    <w:rsid w:val="5D47256A"/>
    <w:rsid w:val="5D494E68"/>
    <w:rsid w:val="5D545550"/>
    <w:rsid w:val="5D617650"/>
    <w:rsid w:val="5D663C6C"/>
    <w:rsid w:val="5D695D87"/>
    <w:rsid w:val="5D6B77D9"/>
    <w:rsid w:val="5D722610"/>
    <w:rsid w:val="5D7C4A1B"/>
    <w:rsid w:val="5D835DA4"/>
    <w:rsid w:val="5D8400BF"/>
    <w:rsid w:val="5D8410F1"/>
    <w:rsid w:val="5D851169"/>
    <w:rsid w:val="5D861C18"/>
    <w:rsid w:val="5D8D2FA6"/>
    <w:rsid w:val="5D8D3526"/>
    <w:rsid w:val="5DA7029B"/>
    <w:rsid w:val="5DA86032"/>
    <w:rsid w:val="5DAA7FFC"/>
    <w:rsid w:val="5DB76275"/>
    <w:rsid w:val="5DB87461"/>
    <w:rsid w:val="5DC32E6C"/>
    <w:rsid w:val="5DCF73F1"/>
    <w:rsid w:val="5DDA7F64"/>
    <w:rsid w:val="5DE51034"/>
    <w:rsid w:val="5DE66B5A"/>
    <w:rsid w:val="5DF02C3C"/>
    <w:rsid w:val="5DF17D07"/>
    <w:rsid w:val="5DF406CB"/>
    <w:rsid w:val="5DF45C30"/>
    <w:rsid w:val="5DF86B86"/>
    <w:rsid w:val="5DF9694A"/>
    <w:rsid w:val="5E021BE6"/>
    <w:rsid w:val="5E055233"/>
    <w:rsid w:val="5E0A0384"/>
    <w:rsid w:val="5E0C65C1"/>
    <w:rsid w:val="5E1271A8"/>
    <w:rsid w:val="5E1D4C3B"/>
    <w:rsid w:val="5E2467F1"/>
    <w:rsid w:val="5E263D0B"/>
    <w:rsid w:val="5E27682A"/>
    <w:rsid w:val="5E325998"/>
    <w:rsid w:val="5E3E3A04"/>
    <w:rsid w:val="5E453881"/>
    <w:rsid w:val="5E5C0A2E"/>
    <w:rsid w:val="5E5F57D9"/>
    <w:rsid w:val="5E6463FD"/>
    <w:rsid w:val="5E6B0A61"/>
    <w:rsid w:val="5E6B43FB"/>
    <w:rsid w:val="5E746D3A"/>
    <w:rsid w:val="5E846400"/>
    <w:rsid w:val="5E847CE6"/>
    <w:rsid w:val="5E8C7E9E"/>
    <w:rsid w:val="5E8E423A"/>
    <w:rsid w:val="5E9A5872"/>
    <w:rsid w:val="5EA031AD"/>
    <w:rsid w:val="5EAC08FB"/>
    <w:rsid w:val="5EAD6A4D"/>
    <w:rsid w:val="5EBF74DB"/>
    <w:rsid w:val="5EC10BD9"/>
    <w:rsid w:val="5EC831A0"/>
    <w:rsid w:val="5ECD53BC"/>
    <w:rsid w:val="5ECD64F0"/>
    <w:rsid w:val="5ED052C1"/>
    <w:rsid w:val="5ED35331"/>
    <w:rsid w:val="5ED94431"/>
    <w:rsid w:val="5EDA7DE2"/>
    <w:rsid w:val="5F18146C"/>
    <w:rsid w:val="5F1815A1"/>
    <w:rsid w:val="5F1A2B43"/>
    <w:rsid w:val="5F224EC2"/>
    <w:rsid w:val="5F2479A8"/>
    <w:rsid w:val="5F2F3C61"/>
    <w:rsid w:val="5F3502E9"/>
    <w:rsid w:val="5F374522"/>
    <w:rsid w:val="5F426012"/>
    <w:rsid w:val="5F49226B"/>
    <w:rsid w:val="5F4B4EC7"/>
    <w:rsid w:val="5F5E109E"/>
    <w:rsid w:val="5F611427"/>
    <w:rsid w:val="5F762DBA"/>
    <w:rsid w:val="5F7A475C"/>
    <w:rsid w:val="5F7F2DC3"/>
    <w:rsid w:val="5F8A071A"/>
    <w:rsid w:val="5F8D1984"/>
    <w:rsid w:val="5F9347C8"/>
    <w:rsid w:val="5F9D694A"/>
    <w:rsid w:val="5FB527AE"/>
    <w:rsid w:val="5FB837BB"/>
    <w:rsid w:val="5FB95E5F"/>
    <w:rsid w:val="5FC614C6"/>
    <w:rsid w:val="5FCE3E5E"/>
    <w:rsid w:val="5FD1399C"/>
    <w:rsid w:val="5FDE0A5B"/>
    <w:rsid w:val="5FE70BD1"/>
    <w:rsid w:val="5FE94095"/>
    <w:rsid w:val="5FEB66AA"/>
    <w:rsid w:val="5FEE6835"/>
    <w:rsid w:val="5FEE6D38"/>
    <w:rsid w:val="5FF46D36"/>
    <w:rsid w:val="6005776C"/>
    <w:rsid w:val="60145E23"/>
    <w:rsid w:val="6017742A"/>
    <w:rsid w:val="60375E3E"/>
    <w:rsid w:val="603911C4"/>
    <w:rsid w:val="60544F6C"/>
    <w:rsid w:val="605E0C2A"/>
    <w:rsid w:val="606E0B3C"/>
    <w:rsid w:val="607E0191"/>
    <w:rsid w:val="6083524C"/>
    <w:rsid w:val="608B1863"/>
    <w:rsid w:val="608B3864"/>
    <w:rsid w:val="60972D03"/>
    <w:rsid w:val="6098238E"/>
    <w:rsid w:val="609B06BE"/>
    <w:rsid w:val="60A129A5"/>
    <w:rsid w:val="60B57F7E"/>
    <w:rsid w:val="60C94BDE"/>
    <w:rsid w:val="60CC405A"/>
    <w:rsid w:val="60E25FF8"/>
    <w:rsid w:val="60E66B25"/>
    <w:rsid w:val="60E7023C"/>
    <w:rsid w:val="60ED1E67"/>
    <w:rsid w:val="610537C5"/>
    <w:rsid w:val="610F74B2"/>
    <w:rsid w:val="61110DB5"/>
    <w:rsid w:val="61120392"/>
    <w:rsid w:val="611C35AA"/>
    <w:rsid w:val="611F7516"/>
    <w:rsid w:val="61267457"/>
    <w:rsid w:val="612B7CA0"/>
    <w:rsid w:val="61333ED1"/>
    <w:rsid w:val="614C3178"/>
    <w:rsid w:val="614C4DA4"/>
    <w:rsid w:val="614E73EE"/>
    <w:rsid w:val="61580AB1"/>
    <w:rsid w:val="6164634C"/>
    <w:rsid w:val="61706E67"/>
    <w:rsid w:val="61774699"/>
    <w:rsid w:val="617B4581"/>
    <w:rsid w:val="619D39D4"/>
    <w:rsid w:val="61AD00BB"/>
    <w:rsid w:val="61B74A96"/>
    <w:rsid w:val="61B75687"/>
    <w:rsid w:val="61C25FD2"/>
    <w:rsid w:val="61C277CE"/>
    <w:rsid w:val="61C86CA3"/>
    <w:rsid w:val="61CB0541"/>
    <w:rsid w:val="61CE2221"/>
    <w:rsid w:val="61D70210"/>
    <w:rsid w:val="61DC39D8"/>
    <w:rsid w:val="61DC44EC"/>
    <w:rsid w:val="61DE5D37"/>
    <w:rsid w:val="61E17D65"/>
    <w:rsid w:val="61E215D8"/>
    <w:rsid w:val="61E91312"/>
    <w:rsid w:val="61F77588"/>
    <w:rsid w:val="61FC4B9F"/>
    <w:rsid w:val="6200468F"/>
    <w:rsid w:val="62040A2E"/>
    <w:rsid w:val="621604FF"/>
    <w:rsid w:val="62193498"/>
    <w:rsid w:val="621A56D6"/>
    <w:rsid w:val="621B3775"/>
    <w:rsid w:val="622540F5"/>
    <w:rsid w:val="623205C0"/>
    <w:rsid w:val="6236396F"/>
    <w:rsid w:val="62364782"/>
    <w:rsid w:val="624204D3"/>
    <w:rsid w:val="624B588B"/>
    <w:rsid w:val="62555298"/>
    <w:rsid w:val="626A76BB"/>
    <w:rsid w:val="627B3C63"/>
    <w:rsid w:val="628506B4"/>
    <w:rsid w:val="628A3F58"/>
    <w:rsid w:val="629628FD"/>
    <w:rsid w:val="62A81381"/>
    <w:rsid w:val="62AF376B"/>
    <w:rsid w:val="62B20D9C"/>
    <w:rsid w:val="62BB2364"/>
    <w:rsid w:val="62D3036B"/>
    <w:rsid w:val="62D602F2"/>
    <w:rsid w:val="62F64A26"/>
    <w:rsid w:val="62F6792A"/>
    <w:rsid w:val="62FD2816"/>
    <w:rsid w:val="63097573"/>
    <w:rsid w:val="6313474E"/>
    <w:rsid w:val="631B2E02"/>
    <w:rsid w:val="632550B7"/>
    <w:rsid w:val="632829E2"/>
    <w:rsid w:val="632B4AC2"/>
    <w:rsid w:val="633B34A5"/>
    <w:rsid w:val="633B4A20"/>
    <w:rsid w:val="633F13EC"/>
    <w:rsid w:val="63426FCC"/>
    <w:rsid w:val="63452AE3"/>
    <w:rsid w:val="634F1B41"/>
    <w:rsid w:val="636339C6"/>
    <w:rsid w:val="636447A9"/>
    <w:rsid w:val="6367429A"/>
    <w:rsid w:val="6369376B"/>
    <w:rsid w:val="636A7EAB"/>
    <w:rsid w:val="636D354D"/>
    <w:rsid w:val="63760293"/>
    <w:rsid w:val="637623B5"/>
    <w:rsid w:val="638345D0"/>
    <w:rsid w:val="63843AA9"/>
    <w:rsid w:val="63871156"/>
    <w:rsid w:val="638B442C"/>
    <w:rsid w:val="6394356A"/>
    <w:rsid w:val="63992F3B"/>
    <w:rsid w:val="639B7BD6"/>
    <w:rsid w:val="639D31EB"/>
    <w:rsid w:val="63A85BD9"/>
    <w:rsid w:val="63A94710"/>
    <w:rsid w:val="63B15515"/>
    <w:rsid w:val="63BC7657"/>
    <w:rsid w:val="63C61B2C"/>
    <w:rsid w:val="63CD4BDA"/>
    <w:rsid w:val="63D40BE9"/>
    <w:rsid w:val="63D763D0"/>
    <w:rsid w:val="63D95197"/>
    <w:rsid w:val="63E21890"/>
    <w:rsid w:val="63E56E61"/>
    <w:rsid w:val="63E923CB"/>
    <w:rsid w:val="63EF118B"/>
    <w:rsid w:val="63F77E67"/>
    <w:rsid w:val="64084086"/>
    <w:rsid w:val="640A2189"/>
    <w:rsid w:val="64102431"/>
    <w:rsid w:val="64163F89"/>
    <w:rsid w:val="64234664"/>
    <w:rsid w:val="64264155"/>
    <w:rsid w:val="64287ECD"/>
    <w:rsid w:val="64315F99"/>
    <w:rsid w:val="643229C8"/>
    <w:rsid w:val="643957F1"/>
    <w:rsid w:val="64414AEB"/>
    <w:rsid w:val="644724BF"/>
    <w:rsid w:val="64542A70"/>
    <w:rsid w:val="645544BE"/>
    <w:rsid w:val="6472739A"/>
    <w:rsid w:val="64770DAE"/>
    <w:rsid w:val="647B624F"/>
    <w:rsid w:val="64824B42"/>
    <w:rsid w:val="64850E7B"/>
    <w:rsid w:val="648B5B81"/>
    <w:rsid w:val="648C74E3"/>
    <w:rsid w:val="64917F83"/>
    <w:rsid w:val="649221DF"/>
    <w:rsid w:val="64A31746"/>
    <w:rsid w:val="64A5243A"/>
    <w:rsid w:val="64A57927"/>
    <w:rsid w:val="64A83A6C"/>
    <w:rsid w:val="64A85A82"/>
    <w:rsid w:val="64AC465A"/>
    <w:rsid w:val="64AD3F2E"/>
    <w:rsid w:val="64BF4DED"/>
    <w:rsid w:val="64C93ECA"/>
    <w:rsid w:val="64CD6821"/>
    <w:rsid w:val="64D771FD"/>
    <w:rsid w:val="64E04304"/>
    <w:rsid w:val="64E60F7F"/>
    <w:rsid w:val="64F20531"/>
    <w:rsid w:val="64F531DE"/>
    <w:rsid w:val="650F1A5D"/>
    <w:rsid w:val="65205629"/>
    <w:rsid w:val="65235ED9"/>
    <w:rsid w:val="65267CFC"/>
    <w:rsid w:val="65373578"/>
    <w:rsid w:val="653D45D2"/>
    <w:rsid w:val="65451ACC"/>
    <w:rsid w:val="654A5B37"/>
    <w:rsid w:val="655568FA"/>
    <w:rsid w:val="65626A8A"/>
    <w:rsid w:val="65695A1C"/>
    <w:rsid w:val="656C203B"/>
    <w:rsid w:val="65703021"/>
    <w:rsid w:val="6576421D"/>
    <w:rsid w:val="657809E0"/>
    <w:rsid w:val="65791F4E"/>
    <w:rsid w:val="657C0CFB"/>
    <w:rsid w:val="65832956"/>
    <w:rsid w:val="659E4D09"/>
    <w:rsid w:val="659F21F0"/>
    <w:rsid w:val="65A45331"/>
    <w:rsid w:val="65AD00C0"/>
    <w:rsid w:val="65BD7A51"/>
    <w:rsid w:val="65D248F6"/>
    <w:rsid w:val="65DF280D"/>
    <w:rsid w:val="65E47E23"/>
    <w:rsid w:val="65F809FF"/>
    <w:rsid w:val="660027F1"/>
    <w:rsid w:val="660D56B7"/>
    <w:rsid w:val="661701F9"/>
    <w:rsid w:val="6626795D"/>
    <w:rsid w:val="66286CD3"/>
    <w:rsid w:val="663F2EF7"/>
    <w:rsid w:val="66454C79"/>
    <w:rsid w:val="665F41A2"/>
    <w:rsid w:val="667635FA"/>
    <w:rsid w:val="66805D9E"/>
    <w:rsid w:val="669C425A"/>
    <w:rsid w:val="669D3016"/>
    <w:rsid w:val="66A601AC"/>
    <w:rsid w:val="66AA2D4C"/>
    <w:rsid w:val="66AB175B"/>
    <w:rsid w:val="66AB639F"/>
    <w:rsid w:val="66AE0620"/>
    <w:rsid w:val="66BA1819"/>
    <w:rsid w:val="66C22463"/>
    <w:rsid w:val="66CF4630"/>
    <w:rsid w:val="66E05FA6"/>
    <w:rsid w:val="66F57901"/>
    <w:rsid w:val="66F810A2"/>
    <w:rsid w:val="66F9395E"/>
    <w:rsid w:val="66FB3E37"/>
    <w:rsid w:val="67042FDB"/>
    <w:rsid w:val="67053094"/>
    <w:rsid w:val="6715797F"/>
    <w:rsid w:val="671604B0"/>
    <w:rsid w:val="67191CD7"/>
    <w:rsid w:val="671F124A"/>
    <w:rsid w:val="67216E80"/>
    <w:rsid w:val="67284204"/>
    <w:rsid w:val="6731099D"/>
    <w:rsid w:val="67335D67"/>
    <w:rsid w:val="673921D1"/>
    <w:rsid w:val="673E2598"/>
    <w:rsid w:val="675F0460"/>
    <w:rsid w:val="67605A5A"/>
    <w:rsid w:val="6764082F"/>
    <w:rsid w:val="677A33C6"/>
    <w:rsid w:val="678278F4"/>
    <w:rsid w:val="6784541A"/>
    <w:rsid w:val="67937A3D"/>
    <w:rsid w:val="67AE2497"/>
    <w:rsid w:val="67C312AD"/>
    <w:rsid w:val="67CB11AE"/>
    <w:rsid w:val="67D619EE"/>
    <w:rsid w:val="67DB02A6"/>
    <w:rsid w:val="67F27A65"/>
    <w:rsid w:val="67F6528F"/>
    <w:rsid w:val="67FB1B7E"/>
    <w:rsid w:val="68000819"/>
    <w:rsid w:val="68064081"/>
    <w:rsid w:val="681232EC"/>
    <w:rsid w:val="681943BC"/>
    <w:rsid w:val="681A18DB"/>
    <w:rsid w:val="681A3612"/>
    <w:rsid w:val="681A7646"/>
    <w:rsid w:val="681F6961"/>
    <w:rsid w:val="6821545C"/>
    <w:rsid w:val="6825011B"/>
    <w:rsid w:val="682D1897"/>
    <w:rsid w:val="68304E69"/>
    <w:rsid w:val="68305636"/>
    <w:rsid w:val="68451E71"/>
    <w:rsid w:val="68531C91"/>
    <w:rsid w:val="686023E2"/>
    <w:rsid w:val="68610A2F"/>
    <w:rsid w:val="686226DB"/>
    <w:rsid w:val="68805514"/>
    <w:rsid w:val="68837FD6"/>
    <w:rsid w:val="6885603B"/>
    <w:rsid w:val="68894AFD"/>
    <w:rsid w:val="689C0FA2"/>
    <w:rsid w:val="689C29CB"/>
    <w:rsid w:val="68B51829"/>
    <w:rsid w:val="68BA116D"/>
    <w:rsid w:val="68BC67E4"/>
    <w:rsid w:val="68BF4B7A"/>
    <w:rsid w:val="68C16F60"/>
    <w:rsid w:val="68C22923"/>
    <w:rsid w:val="68C40A85"/>
    <w:rsid w:val="68D306AF"/>
    <w:rsid w:val="68DD6592"/>
    <w:rsid w:val="68DD7EDB"/>
    <w:rsid w:val="68E13F49"/>
    <w:rsid w:val="68E50D27"/>
    <w:rsid w:val="68F17EB2"/>
    <w:rsid w:val="68F93778"/>
    <w:rsid w:val="6901242C"/>
    <w:rsid w:val="69012A9A"/>
    <w:rsid w:val="69142D7A"/>
    <w:rsid w:val="691602F4"/>
    <w:rsid w:val="6923634F"/>
    <w:rsid w:val="69294999"/>
    <w:rsid w:val="692E7D33"/>
    <w:rsid w:val="693115D2"/>
    <w:rsid w:val="69316E2F"/>
    <w:rsid w:val="693B6868"/>
    <w:rsid w:val="69401443"/>
    <w:rsid w:val="694035C3"/>
    <w:rsid w:val="6942733B"/>
    <w:rsid w:val="69467F71"/>
    <w:rsid w:val="694E2071"/>
    <w:rsid w:val="69553C11"/>
    <w:rsid w:val="69561384"/>
    <w:rsid w:val="69686408"/>
    <w:rsid w:val="696E471E"/>
    <w:rsid w:val="69766163"/>
    <w:rsid w:val="697A3B33"/>
    <w:rsid w:val="697B2D3C"/>
    <w:rsid w:val="69895945"/>
    <w:rsid w:val="698C463A"/>
    <w:rsid w:val="69967687"/>
    <w:rsid w:val="699D3C78"/>
    <w:rsid w:val="69AF1C0D"/>
    <w:rsid w:val="69B76804"/>
    <w:rsid w:val="69BD3298"/>
    <w:rsid w:val="69CB598D"/>
    <w:rsid w:val="69D106BF"/>
    <w:rsid w:val="69D44760"/>
    <w:rsid w:val="69D930A1"/>
    <w:rsid w:val="69DD0D02"/>
    <w:rsid w:val="69DD3507"/>
    <w:rsid w:val="69ED0F76"/>
    <w:rsid w:val="69F30635"/>
    <w:rsid w:val="6A092CB0"/>
    <w:rsid w:val="6A0A6348"/>
    <w:rsid w:val="6A0E3E33"/>
    <w:rsid w:val="6A142D3C"/>
    <w:rsid w:val="6A2069F6"/>
    <w:rsid w:val="6A2825AD"/>
    <w:rsid w:val="6A2B7301"/>
    <w:rsid w:val="6A305323"/>
    <w:rsid w:val="6A381183"/>
    <w:rsid w:val="6A4728D8"/>
    <w:rsid w:val="6A4C3E1C"/>
    <w:rsid w:val="6A520EC7"/>
    <w:rsid w:val="6A733103"/>
    <w:rsid w:val="6A874925"/>
    <w:rsid w:val="6A9950DE"/>
    <w:rsid w:val="6A9C3ED8"/>
    <w:rsid w:val="6AA47B81"/>
    <w:rsid w:val="6AB21ECF"/>
    <w:rsid w:val="6ABB15B5"/>
    <w:rsid w:val="6ABD7D4C"/>
    <w:rsid w:val="6ABE50E7"/>
    <w:rsid w:val="6AD631DB"/>
    <w:rsid w:val="6ADB7A47"/>
    <w:rsid w:val="6AF2635D"/>
    <w:rsid w:val="6AF27B8C"/>
    <w:rsid w:val="6AF87E20"/>
    <w:rsid w:val="6AF91C7B"/>
    <w:rsid w:val="6B002807"/>
    <w:rsid w:val="6B013226"/>
    <w:rsid w:val="6B031A80"/>
    <w:rsid w:val="6B164461"/>
    <w:rsid w:val="6B1B42E7"/>
    <w:rsid w:val="6B2A075F"/>
    <w:rsid w:val="6B322639"/>
    <w:rsid w:val="6B423310"/>
    <w:rsid w:val="6B4548E0"/>
    <w:rsid w:val="6B480E55"/>
    <w:rsid w:val="6B482E90"/>
    <w:rsid w:val="6B534A22"/>
    <w:rsid w:val="6B6749AF"/>
    <w:rsid w:val="6B700FA8"/>
    <w:rsid w:val="6B80414A"/>
    <w:rsid w:val="6B97756C"/>
    <w:rsid w:val="6B99345E"/>
    <w:rsid w:val="6BA8033A"/>
    <w:rsid w:val="6BAF40AC"/>
    <w:rsid w:val="6BB34520"/>
    <w:rsid w:val="6BB40298"/>
    <w:rsid w:val="6BB71229"/>
    <w:rsid w:val="6BBC5C13"/>
    <w:rsid w:val="6BCA4792"/>
    <w:rsid w:val="6BDB0948"/>
    <w:rsid w:val="6BEB6328"/>
    <w:rsid w:val="6BF6605B"/>
    <w:rsid w:val="6BF9053F"/>
    <w:rsid w:val="6C2B055A"/>
    <w:rsid w:val="6C2B2882"/>
    <w:rsid w:val="6C343FE7"/>
    <w:rsid w:val="6C4127E0"/>
    <w:rsid w:val="6C42579D"/>
    <w:rsid w:val="6C45685B"/>
    <w:rsid w:val="6C487252"/>
    <w:rsid w:val="6C5C7A22"/>
    <w:rsid w:val="6C5D623A"/>
    <w:rsid w:val="6C636C38"/>
    <w:rsid w:val="6C702411"/>
    <w:rsid w:val="6C8D1356"/>
    <w:rsid w:val="6C934B84"/>
    <w:rsid w:val="6CAF118B"/>
    <w:rsid w:val="6CB467A2"/>
    <w:rsid w:val="6CBE13CE"/>
    <w:rsid w:val="6CC0451D"/>
    <w:rsid w:val="6CCC33F6"/>
    <w:rsid w:val="6CCE3443"/>
    <w:rsid w:val="6CE10C19"/>
    <w:rsid w:val="6CEA74FF"/>
    <w:rsid w:val="6CEF77DA"/>
    <w:rsid w:val="6CF03552"/>
    <w:rsid w:val="6D052A92"/>
    <w:rsid w:val="6D056FEF"/>
    <w:rsid w:val="6D114B3A"/>
    <w:rsid w:val="6D1D2973"/>
    <w:rsid w:val="6D2437F8"/>
    <w:rsid w:val="6D30394E"/>
    <w:rsid w:val="6D315B34"/>
    <w:rsid w:val="6D400035"/>
    <w:rsid w:val="6D495027"/>
    <w:rsid w:val="6D561607"/>
    <w:rsid w:val="6D60479B"/>
    <w:rsid w:val="6D6E4110"/>
    <w:rsid w:val="6D6F4477"/>
    <w:rsid w:val="6D716441"/>
    <w:rsid w:val="6D7221B9"/>
    <w:rsid w:val="6D827BAE"/>
    <w:rsid w:val="6D8B6DD7"/>
    <w:rsid w:val="6DA32372"/>
    <w:rsid w:val="6DB34098"/>
    <w:rsid w:val="6DB545B6"/>
    <w:rsid w:val="6DC44239"/>
    <w:rsid w:val="6DCE5641"/>
    <w:rsid w:val="6DCE6BF2"/>
    <w:rsid w:val="6DE02FB4"/>
    <w:rsid w:val="6E0A7F32"/>
    <w:rsid w:val="6E166FE8"/>
    <w:rsid w:val="6E302B36"/>
    <w:rsid w:val="6E455F22"/>
    <w:rsid w:val="6E4A6DAE"/>
    <w:rsid w:val="6E4E22DE"/>
    <w:rsid w:val="6E514CED"/>
    <w:rsid w:val="6E522C25"/>
    <w:rsid w:val="6E5F4335"/>
    <w:rsid w:val="6E693F43"/>
    <w:rsid w:val="6E7A21AF"/>
    <w:rsid w:val="6E851A78"/>
    <w:rsid w:val="6E881C94"/>
    <w:rsid w:val="6E896EA8"/>
    <w:rsid w:val="6E9F307A"/>
    <w:rsid w:val="6EA05E5C"/>
    <w:rsid w:val="6EB02F99"/>
    <w:rsid w:val="6EB563D5"/>
    <w:rsid w:val="6EB84995"/>
    <w:rsid w:val="6EB945FB"/>
    <w:rsid w:val="6EC74B56"/>
    <w:rsid w:val="6ED02582"/>
    <w:rsid w:val="6ED92677"/>
    <w:rsid w:val="6EE3511C"/>
    <w:rsid w:val="6EE90986"/>
    <w:rsid w:val="6EE92007"/>
    <w:rsid w:val="6EF6073B"/>
    <w:rsid w:val="6EFE1F56"/>
    <w:rsid w:val="6F04446E"/>
    <w:rsid w:val="6F173018"/>
    <w:rsid w:val="6F225983"/>
    <w:rsid w:val="6F287F6F"/>
    <w:rsid w:val="6F377216"/>
    <w:rsid w:val="6F420EF4"/>
    <w:rsid w:val="6F4247C4"/>
    <w:rsid w:val="6F5B7D32"/>
    <w:rsid w:val="6F651FD5"/>
    <w:rsid w:val="6F656CDC"/>
    <w:rsid w:val="6F7246F2"/>
    <w:rsid w:val="6F742218"/>
    <w:rsid w:val="6F747259"/>
    <w:rsid w:val="6F773AB6"/>
    <w:rsid w:val="6F7C7C3D"/>
    <w:rsid w:val="6F834209"/>
    <w:rsid w:val="6F946416"/>
    <w:rsid w:val="6F992A76"/>
    <w:rsid w:val="6F9A3937"/>
    <w:rsid w:val="6FAC1096"/>
    <w:rsid w:val="6FAD74D8"/>
    <w:rsid w:val="6FB46AB9"/>
    <w:rsid w:val="6FC62348"/>
    <w:rsid w:val="6FE5272B"/>
    <w:rsid w:val="6FEE436C"/>
    <w:rsid w:val="6FEF189F"/>
    <w:rsid w:val="6FFC5590"/>
    <w:rsid w:val="70003D90"/>
    <w:rsid w:val="700417EE"/>
    <w:rsid w:val="700A5D51"/>
    <w:rsid w:val="701F3DAE"/>
    <w:rsid w:val="70231548"/>
    <w:rsid w:val="702851B6"/>
    <w:rsid w:val="702966B0"/>
    <w:rsid w:val="703B5010"/>
    <w:rsid w:val="704D1BB3"/>
    <w:rsid w:val="70504EE3"/>
    <w:rsid w:val="705927EA"/>
    <w:rsid w:val="70671D7D"/>
    <w:rsid w:val="706856BC"/>
    <w:rsid w:val="706D1DD0"/>
    <w:rsid w:val="7073737B"/>
    <w:rsid w:val="707945F2"/>
    <w:rsid w:val="70820965"/>
    <w:rsid w:val="70856B87"/>
    <w:rsid w:val="70871AD7"/>
    <w:rsid w:val="70873A01"/>
    <w:rsid w:val="708D0632"/>
    <w:rsid w:val="7098222D"/>
    <w:rsid w:val="709A0BC4"/>
    <w:rsid w:val="70A2124C"/>
    <w:rsid w:val="70A24B63"/>
    <w:rsid w:val="70A42F80"/>
    <w:rsid w:val="70AD3C34"/>
    <w:rsid w:val="70B0102E"/>
    <w:rsid w:val="70BD6F53"/>
    <w:rsid w:val="70C44AD9"/>
    <w:rsid w:val="70CB6564"/>
    <w:rsid w:val="70D527EE"/>
    <w:rsid w:val="70DC2A92"/>
    <w:rsid w:val="70E042A1"/>
    <w:rsid w:val="71033AE0"/>
    <w:rsid w:val="710B6BAC"/>
    <w:rsid w:val="710C3FE4"/>
    <w:rsid w:val="711E68DF"/>
    <w:rsid w:val="71201B49"/>
    <w:rsid w:val="71290DE0"/>
    <w:rsid w:val="71314370"/>
    <w:rsid w:val="71325012"/>
    <w:rsid w:val="71420B55"/>
    <w:rsid w:val="714D30AE"/>
    <w:rsid w:val="715A543E"/>
    <w:rsid w:val="715B5300"/>
    <w:rsid w:val="7160289B"/>
    <w:rsid w:val="716158DB"/>
    <w:rsid w:val="716C61FC"/>
    <w:rsid w:val="716D10DD"/>
    <w:rsid w:val="71896B4C"/>
    <w:rsid w:val="71925D28"/>
    <w:rsid w:val="719D1DA6"/>
    <w:rsid w:val="719E17CE"/>
    <w:rsid w:val="71A26F30"/>
    <w:rsid w:val="71A33B87"/>
    <w:rsid w:val="71A442F1"/>
    <w:rsid w:val="71AF334B"/>
    <w:rsid w:val="71B25ABF"/>
    <w:rsid w:val="71C50F80"/>
    <w:rsid w:val="71CB23A3"/>
    <w:rsid w:val="71CF6311"/>
    <w:rsid w:val="71D1530D"/>
    <w:rsid w:val="71D27F8A"/>
    <w:rsid w:val="71DB1FBC"/>
    <w:rsid w:val="71DF320F"/>
    <w:rsid w:val="71E17B50"/>
    <w:rsid w:val="71E829A7"/>
    <w:rsid w:val="71FA2269"/>
    <w:rsid w:val="71FE7167"/>
    <w:rsid w:val="720338CA"/>
    <w:rsid w:val="7212767E"/>
    <w:rsid w:val="72277CC7"/>
    <w:rsid w:val="72312642"/>
    <w:rsid w:val="72391175"/>
    <w:rsid w:val="72393B1B"/>
    <w:rsid w:val="723E3948"/>
    <w:rsid w:val="7243433A"/>
    <w:rsid w:val="724C35E6"/>
    <w:rsid w:val="72553024"/>
    <w:rsid w:val="72565C05"/>
    <w:rsid w:val="725D3437"/>
    <w:rsid w:val="72690611"/>
    <w:rsid w:val="72752750"/>
    <w:rsid w:val="727F45A8"/>
    <w:rsid w:val="72815739"/>
    <w:rsid w:val="728A13AF"/>
    <w:rsid w:val="729447A4"/>
    <w:rsid w:val="72AA5080"/>
    <w:rsid w:val="72C47013"/>
    <w:rsid w:val="72D2478B"/>
    <w:rsid w:val="72DD1E82"/>
    <w:rsid w:val="72DF772F"/>
    <w:rsid w:val="72E107E0"/>
    <w:rsid w:val="72E17BC5"/>
    <w:rsid w:val="72E82F61"/>
    <w:rsid w:val="72EF5723"/>
    <w:rsid w:val="72F1592E"/>
    <w:rsid w:val="72FA6ED8"/>
    <w:rsid w:val="730309B3"/>
    <w:rsid w:val="73093B02"/>
    <w:rsid w:val="73122968"/>
    <w:rsid w:val="731F5D5E"/>
    <w:rsid w:val="73295F24"/>
    <w:rsid w:val="732A3A85"/>
    <w:rsid w:val="732F18A5"/>
    <w:rsid w:val="734343DB"/>
    <w:rsid w:val="735465E8"/>
    <w:rsid w:val="7361190F"/>
    <w:rsid w:val="73641F8C"/>
    <w:rsid w:val="736F3422"/>
    <w:rsid w:val="737A5699"/>
    <w:rsid w:val="737C06FC"/>
    <w:rsid w:val="73833A6E"/>
    <w:rsid w:val="73993FFB"/>
    <w:rsid w:val="73AD43B3"/>
    <w:rsid w:val="73AE5CC9"/>
    <w:rsid w:val="73C51AD5"/>
    <w:rsid w:val="73CC6CA5"/>
    <w:rsid w:val="73CF6A1B"/>
    <w:rsid w:val="73D50144"/>
    <w:rsid w:val="73F25E01"/>
    <w:rsid w:val="73F86908"/>
    <w:rsid w:val="74024296"/>
    <w:rsid w:val="741D60E7"/>
    <w:rsid w:val="741E793C"/>
    <w:rsid w:val="744D6EFB"/>
    <w:rsid w:val="74542618"/>
    <w:rsid w:val="745641D9"/>
    <w:rsid w:val="745D45FF"/>
    <w:rsid w:val="745E3944"/>
    <w:rsid w:val="746265F9"/>
    <w:rsid w:val="7467234B"/>
    <w:rsid w:val="746C7CA8"/>
    <w:rsid w:val="74715A2C"/>
    <w:rsid w:val="7482436D"/>
    <w:rsid w:val="74842EFD"/>
    <w:rsid w:val="74866CC7"/>
    <w:rsid w:val="74897266"/>
    <w:rsid w:val="749B0247"/>
    <w:rsid w:val="749F787C"/>
    <w:rsid w:val="74AC6666"/>
    <w:rsid w:val="74B5116F"/>
    <w:rsid w:val="74B97CDB"/>
    <w:rsid w:val="74BE4261"/>
    <w:rsid w:val="74C031CD"/>
    <w:rsid w:val="74C257D4"/>
    <w:rsid w:val="74C43FE4"/>
    <w:rsid w:val="74CE5DEF"/>
    <w:rsid w:val="74D13E3E"/>
    <w:rsid w:val="74EF3F9F"/>
    <w:rsid w:val="74F529F2"/>
    <w:rsid w:val="74FD05BA"/>
    <w:rsid w:val="751275F4"/>
    <w:rsid w:val="75140D38"/>
    <w:rsid w:val="75205D9A"/>
    <w:rsid w:val="75265D63"/>
    <w:rsid w:val="75324707"/>
    <w:rsid w:val="75345731"/>
    <w:rsid w:val="75456FFC"/>
    <w:rsid w:val="755B29C7"/>
    <w:rsid w:val="75662603"/>
    <w:rsid w:val="7569258E"/>
    <w:rsid w:val="75786F12"/>
    <w:rsid w:val="757D0F1B"/>
    <w:rsid w:val="757E5B9F"/>
    <w:rsid w:val="757F0B28"/>
    <w:rsid w:val="75927037"/>
    <w:rsid w:val="75975B91"/>
    <w:rsid w:val="759D2027"/>
    <w:rsid w:val="759D409B"/>
    <w:rsid w:val="75A126E1"/>
    <w:rsid w:val="75B23A9A"/>
    <w:rsid w:val="75B32764"/>
    <w:rsid w:val="75B34170"/>
    <w:rsid w:val="75B909E3"/>
    <w:rsid w:val="75C03A54"/>
    <w:rsid w:val="75C612F4"/>
    <w:rsid w:val="75CA1C7B"/>
    <w:rsid w:val="75DD762C"/>
    <w:rsid w:val="75F22F33"/>
    <w:rsid w:val="7601057E"/>
    <w:rsid w:val="76045978"/>
    <w:rsid w:val="760472A1"/>
    <w:rsid w:val="761024BB"/>
    <w:rsid w:val="76155113"/>
    <w:rsid w:val="761D616A"/>
    <w:rsid w:val="7621477C"/>
    <w:rsid w:val="7621652A"/>
    <w:rsid w:val="762229CE"/>
    <w:rsid w:val="762451EA"/>
    <w:rsid w:val="762D1373"/>
    <w:rsid w:val="762F092F"/>
    <w:rsid w:val="7635099D"/>
    <w:rsid w:val="76404C02"/>
    <w:rsid w:val="765863F0"/>
    <w:rsid w:val="76684159"/>
    <w:rsid w:val="76685F07"/>
    <w:rsid w:val="7671125F"/>
    <w:rsid w:val="7673058E"/>
    <w:rsid w:val="767821B1"/>
    <w:rsid w:val="768A0F6F"/>
    <w:rsid w:val="76906E66"/>
    <w:rsid w:val="7691545E"/>
    <w:rsid w:val="76933041"/>
    <w:rsid w:val="769A1C06"/>
    <w:rsid w:val="76C24545"/>
    <w:rsid w:val="76C47022"/>
    <w:rsid w:val="76C94A5B"/>
    <w:rsid w:val="76D208F4"/>
    <w:rsid w:val="76E01F41"/>
    <w:rsid w:val="76F57C54"/>
    <w:rsid w:val="76F83289"/>
    <w:rsid w:val="76FF24C3"/>
    <w:rsid w:val="77071BC4"/>
    <w:rsid w:val="7712347D"/>
    <w:rsid w:val="771953B8"/>
    <w:rsid w:val="772C0835"/>
    <w:rsid w:val="773D7394"/>
    <w:rsid w:val="77516CA3"/>
    <w:rsid w:val="77553269"/>
    <w:rsid w:val="77563501"/>
    <w:rsid w:val="775748F9"/>
    <w:rsid w:val="775A7F45"/>
    <w:rsid w:val="775B2C07"/>
    <w:rsid w:val="776B2153"/>
    <w:rsid w:val="776B3A31"/>
    <w:rsid w:val="776D5ECB"/>
    <w:rsid w:val="77762421"/>
    <w:rsid w:val="777F40F1"/>
    <w:rsid w:val="778D15C0"/>
    <w:rsid w:val="77970C59"/>
    <w:rsid w:val="77A92677"/>
    <w:rsid w:val="77AE203F"/>
    <w:rsid w:val="77B27D81"/>
    <w:rsid w:val="77B56B1F"/>
    <w:rsid w:val="77BD0ACC"/>
    <w:rsid w:val="77C522E0"/>
    <w:rsid w:val="77F03C03"/>
    <w:rsid w:val="77F4039A"/>
    <w:rsid w:val="77F44B0A"/>
    <w:rsid w:val="77F93F69"/>
    <w:rsid w:val="780B7492"/>
    <w:rsid w:val="780F09F4"/>
    <w:rsid w:val="781379F5"/>
    <w:rsid w:val="7826607A"/>
    <w:rsid w:val="782859AC"/>
    <w:rsid w:val="782E34CF"/>
    <w:rsid w:val="783267CC"/>
    <w:rsid w:val="78372663"/>
    <w:rsid w:val="783C3B9C"/>
    <w:rsid w:val="785B3F75"/>
    <w:rsid w:val="7876453C"/>
    <w:rsid w:val="78823229"/>
    <w:rsid w:val="788627DB"/>
    <w:rsid w:val="78A90480"/>
    <w:rsid w:val="78A969F2"/>
    <w:rsid w:val="78B064B0"/>
    <w:rsid w:val="78B13B17"/>
    <w:rsid w:val="78B44E91"/>
    <w:rsid w:val="78BB46F9"/>
    <w:rsid w:val="78CD2184"/>
    <w:rsid w:val="78D21041"/>
    <w:rsid w:val="78DA7590"/>
    <w:rsid w:val="78E65B43"/>
    <w:rsid w:val="78F5185E"/>
    <w:rsid w:val="790463BB"/>
    <w:rsid w:val="79053EE1"/>
    <w:rsid w:val="790E2F6A"/>
    <w:rsid w:val="791C749F"/>
    <w:rsid w:val="79201516"/>
    <w:rsid w:val="792076FE"/>
    <w:rsid w:val="79246A5D"/>
    <w:rsid w:val="79270F41"/>
    <w:rsid w:val="79393B8B"/>
    <w:rsid w:val="79442C5B"/>
    <w:rsid w:val="79455C17"/>
    <w:rsid w:val="795D38CC"/>
    <w:rsid w:val="7961380D"/>
    <w:rsid w:val="797B3489"/>
    <w:rsid w:val="797E48C6"/>
    <w:rsid w:val="7986195D"/>
    <w:rsid w:val="798A4C3D"/>
    <w:rsid w:val="799356A1"/>
    <w:rsid w:val="799514BD"/>
    <w:rsid w:val="79966ECD"/>
    <w:rsid w:val="79980F99"/>
    <w:rsid w:val="79A506AC"/>
    <w:rsid w:val="79AA4599"/>
    <w:rsid w:val="79AC2DBE"/>
    <w:rsid w:val="79B44D75"/>
    <w:rsid w:val="79B843D8"/>
    <w:rsid w:val="79C43D9C"/>
    <w:rsid w:val="79D14E67"/>
    <w:rsid w:val="79D20267"/>
    <w:rsid w:val="79DF4732"/>
    <w:rsid w:val="79E15291"/>
    <w:rsid w:val="79E173C3"/>
    <w:rsid w:val="79E31283"/>
    <w:rsid w:val="79E3408B"/>
    <w:rsid w:val="79EB0EB8"/>
    <w:rsid w:val="79F05E32"/>
    <w:rsid w:val="7A291E51"/>
    <w:rsid w:val="7A2F1838"/>
    <w:rsid w:val="7A364017"/>
    <w:rsid w:val="7A3D7DFA"/>
    <w:rsid w:val="7A454579"/>
    <w:rsid w:val="7A4C2473"/>
    <w:rsid w:val="7A4C4DD4"/>
    <w:rsid w:val="7A5275FA"/>
    <w:rsid w:val="7A5906B8"/>
    <w:rsid w:val="7A5A4F59"/>
    <w:rsid w:val="7A725A33"/>
    <w:rsid w:val="7A74560C"/>
    <w:rsid w:val="7A7C1C5A"/>
    <w:rsid w:val="7A8265E1"/>
    <w:rsid w:val="7A8D23E0"/>
    <w:rsid w:val="7A951295"/>
    <w:rsid w:val="7A984522"/>
    <w:rsid w:val="7A9A1334"/>
    <w:rsid w:val="7AA02113"/>
    <w:rsid w:val="7AA942AA"/>
    <w:rsid w:val="7AAE7045"/>
    <w:rsid w:val="7AB506C9"/>
    <w:rsid w:val="7AC27647"/>
    <w:rsid w:val="7ACC115A"/>
    <w:rsid w:val="7ACF201F"/>
    <w:rsid w:val="7AD037C6"/>
    <w:rsid w:val="7AD7044B"/>
    <w:rsid w:val="7ADA0DA4"/>
    <w:rsid w:val="7AF45ADA"/>
    <w:rsid w:val="7B046B46"/>
    <w:rsid w:val="7B072A15"/>
    <w:rsid w:val="7B2520F9"/>
    <w:rsid w:val="7B285B4E"/>
    <w:rsid w:val="7B456A20"/>
    <w:rsid w:val="7B4938A5"/>
    <w:rsid w:val="7B4F58E7"/>
    <w:rsid w:val="7B560A24"/>
    <w:rsid w:val="7B5A3446"/>
    <w:rsid w:val="7B6124A0"/>
    <w:rsid w:val="7B66335D"/>
    <w:rsid w:val="7B686D42"/>
    <w:rsid w:val="7B8101C5"/>
    <w:rsid w:val="7B8414C9"/>
    <w:rsid w:val="7B841746"/>
    <w:rsid w:val="7B9D44DD"/>
    <w:rsid w:val="7B9D65B2"/>
    <w:rsid w:val="7B9F0C04"/>
    <w:rsid w:val="7BAE06FE"/>
    <w:rsid w:val="7BD65980"/>
    <w:rsid w:val="7BE50213"/>
    <w:rsid w:val="7BE70C45"/>
    <w:rsid w:val="7BE95D3C"/>
    <w:rsid w:val="7BEA396E"/>
    <w:rsid w:val="7BFC2A96"/>
    <w:rsid w:val="7C013CB8"/>
    <w:rsid w:val="7C015A36"/>
    <w:rsid w:val="7C07182A"/>
    <w:rsid w:val="7C0B180E"/>
    <w:rsid w:val="7C0E70CD"/>
    <w:rsid w:val="7C253574"/>
    <w:rsid w:val="7C274500"/>
    <w:rsid w:val="7C3201A0"/>
    <w:rsid w:val="7C3818F4"/>
    <w:rsid w:val="7C3A120F"/>
    <w:rsid w:val="7C3B30AD"/>
    <w:rsid w:val="7C3D3FF9"/>
    <w:rsid w:val="7C3D7180"/>
    <w:rsid w:val="7C43369E"/>
    <w:rsid w:val="7C484A4B"/>
    <w:rsid w:val="7C4C1AC8"/>
    <w:rsid w:val="7C605E43"/>
    <w:rsid w:val="7C6C02EB"/>
    <w:rsid w:val="7C6C5AC7"/>
    <w:rsid w:val="7C78621B"/>
    <w:rsid w:val="7C7F41E6"/>
    <w:rsid w:val="7C95065F"/>
    <w:rsid w:val="7CA24E23"/>
    <w:rsid w:val="7CAD5210"/>
    <w:rsid w:val="7CB60B67"/>
    <w:rsid w:val="7CC6544B"/>
    <w:rsid w:val="7CD30CFC"/>
    <w:rsid w:val="7CD459DA"/>
    <w:rsid w:val="7CD928E0"/>
    <w:rsid w:val="7CDD5F0E"/>
    <w:rsid w:val="7CDE5893"/>
    <w:rsid w:val="7CF10E5E"/>
    <w:rsid w:val="7D010348"/>
    <w:rsid w:val="7D0239FF"/>
    <w:rsid w:val="7D0F3580"/>
    <w:rsid w:val="7D1943FF"/>
    <w:rsid w:val="7D1B7C84"/>
    <w:rsid w:val="7D2144F8"/>
    <w:rsid w:val="7D2863F0"/>
    <w:rsid w:val="7D2B2BA1"/>
    <w:rsid w:val="7D4B6F67"/>
    <w:rsid w:val="7D4D5E56"/>
    <w:rsid w:val="7D4E3192"/>
    <w:rsid w:val="7D520713"/>
    <w:rsid w:val="7D533B34"/>
    <w:rsid w:val="7D5710FC"/>
    <w:rsid w:val="7D5B7984"/>
    <w:rsid w:val="7D5E40CD"/>
    <w:rsid w:val="7D6065E3"/>
    <w:rsid w:val="7D621902"/>
    <w:rsid w:val="7D630815"/>
    <w:rsid w:val="7D6D7DCE"/>
    <w:rsid w:val="7D72164A"/>
    <w:rsid w:val="7D7417A3"/>
    <w:rsid w:val="7D750491"/>
    <w:rsid w:val="7D7539AD"/>
    <w:rsid w:val="7D755AD9"/>
    <w:rsid w:val="7D7653AD"/>
    <w:rsid w:val="7D796C4C"/>
    <w:rsid w:val="7D7F6537"/>
    <w:rsid w:val="7D853842"/>
    <w:rsid w:val="7D980CB5"/>
    <w:rsid w:val="7DBA6684"/>
    <w:rsid w:val="7DC9372F"/>
    <w:rsid w:val="7DCD56F2"/>
    <w:rsid w:val="7DCE6F97"/>
    <w:rsid w:val="7DD62491"/>
    <w:rsid w:val="7DD93F7C"/>
    <w:rsid w:val="7DDD71DA"/>
    <w:rsid w:val="7DEB5D9B"/>
    <w:rsid w:val="7DF64C65"/>
    <w:rsid w:val="7DF86D11"/>
    <w:rsid w:val="7E0043DD"/>
    <w:rsid w:val="7E1E33F5"/>
    <w:rsid w:val="7E236173"/>
    <w:rsid w:val="7E301A00"/>
    <w:rsid w:val="7E452BDF"/>
    <w:rsid w:val="7E484F9C"/>
    <w:rsid w:val="7E4B4A8C"/>
    <w:rsid w:val="7E4D7032"/>
    <w:rsid w:val="7E521976"/>
    <w:rsid w:val="7E546002"/>
    <w:rsid w:val="7E593494"/>
    <w:rsid w:val="7E643E29"/>
    <w:rsid w:val="7E6C1868"/>
    <w:rsid w:val="7E725B75"/>
    <w:rsid w:val="7E7538B7"/>
    <w:rsid w:val="7E7933A7"/>
    <w:rsid w:val="7E7A2580"/>
    <w:rsid w:val="7E8104F7"/>
    <w:rsid w:val="7E8A243F"/>
    <w:rsid w:val="7EA7730B"/>
    <w:rsid w:val="7EB668EB"/>
    <w:rsid w:val="7EC27586"/>
    <w:rsid w:val="7ED54FAA"/>
    <w:rsid w:val="7EDF09EF"/>
    <w:rsid w:val="7EE67829"/>
    <w:rsid w:val="7EEA116F"/>
    <w:rsid w:val="7EEF71EA"/>
    <w:rsid w:val="7EF41C12"/>
    <w:rsid w:val="7F001CE7"/>
    <w:rsid w:val="7F1B620C"/>
    <w:rsid w:val="7F243F59"/>
    <w:rsid w:val="7F25474F"/>
    <w:rsid w:val="7F2C21C7"/>
    <w:rsid w:val="7F303862"/>
    <w:rsid w:val="7F345520"/>
    <w:rsid w:val="7F372393"/>
    <w:rsid w:val="7F374DB1"/>
    <w:rsid w:val="7F3B1D39"/>
    <w:rsid w:val="7F4736ED"/>
    <w:rsid w:val="7F497047"/>
    <w:rsid w:val="7F4C3665"/>
    <w:rsid w:val="7F50169C"/>
    <w:rsid w:val="7F5753A0"/>
    <w:rsid w:val="7F5D5590"/>
    <w:rsid w:val="7F6700FE"/>
    <w:rsid w:val="7F6A7194"/>
    <w:rsid w:val="7F6F39C2"/>
    <w:rsid w:val="7F737DF6"/>
    <w:rsid w:val="7F753A5C"/>
    <w:rsid w:val="7F780FFA"/>
    <w:rsid w:val="7F9016EF"/>
    <w:rsid w:val="7F9B74A5"/>
    <w:rsid w:val="7F9C7A97"/>
    <w:rsid w:val="7FA30C06"/>
    <w:rsid w:val="7FA51D84"/>
    <w:rsid w:val="7FB14F0C"/>
    <w:rsid w:val="7FC27C35"/>
    <w:rsid w:val="7FC40652"/>
    <w:rsid w:val="7FC74552"/>
    <w:rsid w:val="7FC8660A"/>
    <w:rsid w:val="7FDA60C7"/>
    <w:rsid w:val="7FE47E50"/>
    <w:rsid w:val="7FFA619E"/>
    <w:rsid w:val="7FFB261B"/>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99" w:semiHidden="0" w:name="heading 2" w:locked="1"/>
    <w:lsdException w:qFormat="1" w:unhideWhenUsed="0" w:uiPriority="99" w:semiHidden="0" w:name="heading 3" w:locked="1"/>
    <w:lsdException w:qFormat="1" w:unhideWhenUsed="0" w:uiPriority="99" w:semiHidden="0" w:name="heading 4" w:locked="1"/>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name="index 1" w:locked="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name="toc 1" w:locked="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qFormat="1" w:unhideWhenUsed="0" w:uiPriority="39" w:semiHidden="0" w:name="toc 9"/>
    <w:lsdException w:qFormat="1" w:unhideWhenUsed="0" w:uiPriority="99" w:semiHidden="0" w:name="Normal Indent" w:locked="1"/>
    <w:lsdException w:uiPriority="99" w:name="footnote text"/>
    <w:lsdException w:qFormat="1" w:unhideWhenUsed="0" w:uiPriority="99" w:name="annotation text"/>
    <w:lsdException w:qFormat="1" w:unhideWhenUsed="0" w:uiPriority="99" w:semiHidden="0" w:name="header"/>
    <w:lsdException w:qFormat="1" w:unhideWhenUsed="0" w:uiPriority="99" w:semiHidden="0" w:name="footer"/>
    <w:lsdException w:qFormat="1" w:unhideWhenUsed="0" w:uiPriority="99" w:name="index heading" w:locked="1"/>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name="annotation reference"/>
    <w:lsdException w:uiPriority="99" w:name="line number"/>
    <w:lsdException w:qFormat="1" w:unhideWhenUsed="0" w:uiPriority="99" w:semiHidden="0" w:name="page number" w:locked="1"/>
    <w:lsdException w:uiPriority="99" w:name="endnote reference"/>
    <w:lsdException w:uiPriority="99" w:name="endnote text"/>
    <w:lsdException w:unhideWhenUsed="0" w:uiPriority="0" w:semiHidden="0" w:name="table of authorities" w:locked="1"/>
    <w:lsdException w:uiPriority="99" w:name="macro"/>
    <w:lsdException w:uiPriority="99" w:name="toa heading"/>
    <w:lsdException w:qFormat="1" w:unhideWhenUsed="0" w:uiPriority="99" w:semiHidden="0" w:name="List" w:locked="1"/>
    <w:lsdException w:unhideWhenUsed="0" w:uiPriority="0" w:semiHidden="0" w:name="List Bullet" w:locked="1"/>
    <w:lsdException w:uiPriority="99" w:name="List Number"/>
    <w:lsdException w:uiPriority="99" w:name="List 2"/>
    <w:lsdException w:uiPriority="99" w:name="List 3"/>
    <w:lsdException w:uiPriority="99" w:name="List 4"/>
    <w:lsdException w:uiPriority="99" w:name="List 5"/>
    <w:lsdException w:qFormat="1" w:unhideWhenUsed="0" w:uiPriority="99" w:semiHidden="0" w:name="List Bullet 2" w:locked="1"/>
    <w:lsdException w:uiPriority="99" w:name="List Bullet 3"/>
    <w:lsdException w:uiPriority="99" w:name="List Bullet 4"/>
    <w:lsdException w:qFormat="1"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iPriority="99" w:name="Message Header"/>
    <w:lsdException w:qFormat="1" w:unhideWhenUsed="0" w:uiPriority="0" w:semiHidden="0" w:name="Subtitle"/>
    <w:lsdException w:qFormat="1" w:unhideWhenUsed="0" w:uiPriority="99" w:name="Salutation"/>
    <w:lsdException w:qFormat="1" w:unhideWhenUsed="0" w:uiPriority="99" w:semiHidden="0" w:name="Date"/>
    <w:lsdException w:qFormat="1" w:unhideWhenUsed="0" w:uiPriority="0" w:semiHidden="0" w:name="Body Text First Indent"/>
    <w:lsdException w:qFormat="1" w:unhideWhenUsed="0" w:uiPriority="99" w:semiHidden="0" w:name="Body Text First Indent 2" w:locked="1"/>
    <w:lsdException w:uiPriority="99" w:name="Note Heading"/>
    <w:lsdException w:qFormat="1" w:unhideWhenUsed="0" w:uiPriority="99" w:semiHidden="0" w:name="Body Text 2" w:locked="1"/>
    <w:lsdException w:uiPriority="99" w:name="Body Text 3"/>
    <w:lsdException w:qFormat="1" w:unhideWhenUsed="0" w:uiPriority="99" w:semiHidden="0" w:name="Body Text Indent 2" w:locked="1"/>
    <w:lsdException w:qFormat="1" w:unhideWhenUsed="0" w:uiPriority="99" w:semiHidden="0" w:name="Body Text Indent 3" w:locked="1"/>
    <w:lsdException w:qFormat="1" w:unhideWhenUsed="0" w:uiPriority="99" w:semiHidden="0" w:name="Block Text" w:locked="1"/>
    <w:lsdException w:qFormat="1" w:uiPriority="99" w:name="Hyperlink"/>
    <w:lsdException w:uiPriority="99" w:name="FollowedHyperlink"/>
    <w:lsdException w:qFormat="1" w:unhideWhenUsed="0" w:uiPriority="99" w:semiHidden="0" w:name="Strong" w:locked="1"/>
    <w:lsdException w:qFormat="1" w:unhideWhenUsed="0" w:uiPriority="99" w:semiHidden="0" w:name="Emphasis" w:locked="1"/>
    <w:lsdException w:qFormat="1" w:unhideWhenUsed="0" w:uiPriority="99" w:name="Document Map" w:locked="1"/>
    <w:lsdException w:qFormat="1" w:unhideWhenUsed="0" w:uiPriority="99" w:semiHidden="0" w:name="Plain Text" w:locked="1"/>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3">
    <w:name w:val="heading 1"/>
    <w:basedOn w:val="1"/>
    <w:next w:val="1"/>
    <w:link w:val="52"/>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1"/>
    <w:next w:val="1"/>
    <w:link w:val="53"/>
    <w:qFormat/>
    <w:locked/>
    <w:uiPriority w:val="99"/>
    <w:pPr>
      <w:keepNext/>
      <w:keepLines/>
      <w:spacing w:before="260" w:after="260" w:line="416" w:lineRule="auto"/>
      <w:outlineLvl w:val="1"/>
    </w:pPr>
    <w:rPr>
      <w:rFonts w:ascii="Cambria" w:hAnsi="Cambria" w:cs="Cambria"/>
      <w:b/>
      <w:bCs/>
      <w:sz w:val="32"/>
      <w:szCs w:val="32"/>
    </w:rPr>
  </w:style>
  <w:style w:type="paragraph" w:styleId="4">
    <w:name w:val="heading 3"/>
    <w:basedOn w:val="1"/>
    <w:next w:val="1"/>
    <w:link w:val="54"/>
    <w:qFormat/>
    <w:locked/>
    <w:uiPriority w:val="99"/>
    <w:pPr>
      <w:keepNext/>
      <w:keepLines/>
      <w:widowControl/>
      <w:spacing w:before="260" w:after="260" w:line="416" w:lineRule="auto"/>
      <w:jc w:val="left"/>
      <w:outlineLvl w:val="2"/>
    </w:pPr>
    <w:rPr>
      <w:rFonts w:ascii="宋体" w:hAnsi="宋体" w:cs="宋体"/>
      <w:b/>
      <w:bCs/>
      <w:color w:val="000000"/>
      <w:kern w:val="0"/>
      <w:sz w:val="32"/>
      <w:szCs w:val="32"/>
    </w:rPr>
  </w:style>
  <w:style w:type="paragraph" w:styleId="5">
    <w:name w:val="heading 4"/>
    <w:basedOn w:val="1"/>
    <w:next w:val="1"/>
    <w:link w:val="55"/>
    <w:qFormat/>
    <w:locked/>
    <w:uiPriority w:val="99"/>
    <w:pPr>
      <w:keepNext/>
      <w:keepLines/>
      <w:spacing w:before="280" w:after="290" w:line="376" w:lineRule="auto"/>
      <w:outlineLvl w:val="3"/>
    </w:pPr>
    <w:rPr>
      <w:rFonts w:ascii="Cambria" w:hAnsi="Cambria" w:cs="Cambria"/>
      <w:b/>
      <w:bCs/>
      <w:sz w:val="28"/>
      <w:szCs w:val="28"/>
    </w:rPr>
  </w:style>
  <w:style w:type="character" w:default="1" w:styleId="39">
    <w:name w:val="Default Paragraph Font"/>
    <w:semiHidden/>
    <w:unhideWhenUsed/>
    <w:qFormat/>
    <w:uiPriority w:val="1"/>
  </w:style>
  <w:style w:type="table" w:default="1" w:styleId="37">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1"/>
    <w:qFormat/>
    <w:locked/>
    <w:uiPriority w:val="99"/>
    <w:pPr>
      <w:adjustRightInd w:val="0"/>
      <w:ind w:firstLine="420" w:firstLineChars="200"/>
      <w:textAlignment w:val="baseline"/>
    </w:pPr>
    <w:rPr>
      <w:rFonts w:ascii="宋体" w:hAnsi="宋体" w:cs="宋体"/>
      <w:sz w:val="24"/>
      <w:szCs w:val="24"/>
    </w:rPr>
  </w:style>
  <w:style w:type="paragraph" w:styleId="7">
    <w:name w:val="Document Map"/>
    <w:basedOn w:val="1"/>
    <w:link w:val="56"/>
    <w:semiHidden/>
    <w:qFormat/>
    <w:locked/>
    <w:uiPriority w:val="99"/>
    <w:rPr>
      <w:rFonts w:ascii="宋体" w:cs="宋体"/>
      <w:sz w:val="18"/>
      <w:szCs w:val="18"/>
    </w:rPr>
  </w:style>
  <w:style w:type="paragraph" w:styleId="8">
    <w:name w:val="annotation text"/>
    <w:basedOn w:val="1"/>
    <w:link w:val="57"/>
    <w:semiHidden/>
    <w:qFormat/>
    <w:uiPriority w:val="99"/>
    <w:pPr>
      <w:jc w:val="left"/>
    </w:pPr>
    <w:rPr>
      <w:kern w:val="0"/>
      <w:sz w:val="24"/>
      <w:szCs w:val="24"/>
    </w:rPr>
  </w:style>
  <w:style w:type="paragraph" w:styleId="9">
    <w:name w:val="Salutation"/>
    <w:basedOn w:val="1"/>
    <w:next w:val="1"/>
    <w:semiHidden/>
    <w:qFormat/>
    <w:uiPriority w:val="99"/>
    <w:pPr>
      <w:pBdr>
        <w:top w:val="single" w:color="auto" w:sz="4" w:space="1"/>
      </w:pBdr>
      <w:adjustRightInd w:val="0"/>
      <w:spacing w:line="360" w:lineRule="atLeast"/>
      <w:jc w:val="left"/>
      <w:textAlignment w:val="baseline"/>
    </w:pPr>
    <w:rPr>
      <w:kern w:val="0"/>
      <w:sz w:val="24"/>
      <w:szCs w:val="24"/>
    </w:rPr>
  </w:style>
  <w:style w:type="paragraph" w:styleId="10">
    <w:name w:val="Body Text"/>
    <w:basedOn w:val="1"/>
    <w:next w:val="11"/>
    <w:link w:val="58"/>
    <w:qFormat/>
    <w:uiPriority w:val="99"/>
    <w:pPr>
      <w:widowControl/>
      <w:snapToGrid w:val="0"/>
      <w:spacing w:before="60" w:after="160" w:line="259" w:lineRule="auto"/>
      <w:ind w:right="113"/>
    </w:pPr>
    <w:rPr>
      <w:kern w:val="0"/>
      <w:sz w:val="18"/>
      <w:szCs w:val="18"/>
    </w:rPr>
  </w:style>
  <w:style w:type="paragraph" w:customStyle="1" w:styleId="11">
    <w:name w:val="xl27"/>
    <w:basedOn w:val="1"/>
    <w:next w:val="12"/>
    <w:qFormat/>
    <w:uiPriority w:val="99"/>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34"/>
      <w:szCs w:val="34"/>
    </w:rPr>
  </w:style>
  <w:style w:type="paragraph" w:customStyle="1" w:styleId="12">
    <w:name w:val="A正文"/>
    <w:basedOn w:val="1"/>
    <w:qFormat/>
    <w:uiPriority w:val="99"/>
    <w:pPr>
      <w:spacing w:line="360" w:lineRule="auto"/>
      <w:ind w:firstLine="480" w:firstLineChars="200"/>
      <w:jc w:val="left"/>
    </w:pPr>
    <w:rPr>
      <w:rFonts w:ascii="宋体" w:hAnsi="宋体" w:cs="宋体"/>
      <w:sz w:val="24"/>
      <w:szCs w:val="24"/>
    </w:rPr>
  </w:style>
  <w:style w:type="paragraph" w:styleId="13">
    <w:name w:val="Body Text Indent"/>
    <w:basedOn w:val="1"/>
    <w:next w:val="14"/>
    <w:link w:val="59"/>
    <w:qFormat/>
    <w:uiPriority w:val="99"/>
    <w:pPr>
      <w:spacing w:after="120"/>
      <w:ind w:left="420" w:leftChars="200"/>
    </w:pPr>
    <w:rPr>
      <w:kern w:val="0"/>
      <w:sz w:val="24"/>
      <w:szCs w:val="24"/>
    </w:rPr>
  </w:style>
  <w:style w:type="paragraph" w:customStyle="1" w:styleId="14">
    <w:name w:val="样式 正文文本缩进 + 行距: 1.5 倍行距"/>
    <w:basedOn w:val="15"/>
    <w:autoRedefine/>
    <w:qFormat/>
    <w:uiPriority w:val="0"/>
    <w:pPr>
      <w:ind w:left="90" w:leftChars="32" w:firstLine="560" w:firstLineChars="200"/>
    </w:pPr>
    <w:rPr>
      <w:rFonts w:cs="宋体"/>
    </w:rPr>
  </w:style>
  <w:style w:type="paragraph" w:customStyle="1" w:styleId="15">
    <w:name w:val="Body Text Indent"/>
    <w:basedOn w:val="1"/>
    <w:next w:val="14"/>
    <w:autoRedefine/>
    <w:qFormat/>
    <w:uiPriority w:val="0"/>
    <w:pPr>
      <w:spacing w:after="120" w:afterLines="0"/>
      <w:ind w:left="420" w:leftChars="200"/>
    </w:pPr>
    <w:rPr>
      <w:rFonts w:ascii="Times New Roman" w:hAnsi="Times New Roman" w:eastAsia="宋体"/>
      <w:sz w:val="24"/>
    </w:rPr>
  </w:style>
  <w:style w:type="paragraph" w:styleId="16">
    <w:name w:val="Block Text"/>
    <w:basedOn w:val="1"/>
    <w:qFormat/>
    <w:locked/>
    <w:uiPriority w:val="99"/>
    <w:pPr>
      <w:adjustRightInd w:val="0"/>
      <w:spacing w:line="500" w:lineRule="exact"/>
      <w:ind w:left="147" w:leftChars="70" w:right="160" w:rightChars="76"/>
    </w:pPr>
    <w:rPr>
      <w:rFonts w:ascii="宋体" w:hAnsi="宋体" w:cs="宋体"/>
    </w:rPr>
  </w:style>
  <w:style w:type="paragraph" w:styleId="17">
    <w:name w:val="List Bullet 2"/>
    <w:basedOn w:val="1"/>
    <w:qFormat/>
    <w:locked/>
    <w:uiPriority w:val="99"/>
    <w:pPr>
      <w:widowControl/>
      <w:tabs>
        <w:tab w:val="left" w:pos="780"/>
      </w:tabs>
      <w:ind w:left="780" w:leftChars="200" w:hanging="360" w:hangingChars="200"/>
      <w:jc w:val="left"/>
    </w:pPr>
    <w:rPr>
      <w:rFonts w:ascii="宋体" w:hAnsi="宋体" w:eastAsia="等线" w:cs="宋体"/>
      <w:color w:val="000000"/>
      <w:kern w:val="0"/>
    </w:rPr>
  </w:style>
  <w:style w:type="paragraph" w:styleId="18">
    <w:name w:val="Plain Text"/>
    <w:basedOn w:val="1"/>
    <w:next w:val="9"/>
    <w:link w:val="62"/>
    <w:qFormat/>
    <w:locked/>
    <w:uiPriority w:val="99"/>
    <w:rPr>
      <w:rFonts w:ascii="宋体" w:hAnsi="Courier New" w:cs="宋体"/>
    </w:rPr>
  </w:style>
  <w:style w:type="paragraph" w:styleId="19">
    <w:name w:val="List Bullet 5"/>
    <w:basedOn w:val="1"/>
    <w:semiHidden/>
    <w:unhideWhenUsed/>
    <w:qFormat/>
    <w:uiPriority w:val="99"/>
    <w:pPr>
      <w:numPr>
        <w:ilvl w:val="0"/>
        <w:numId w:val="1"/>
      </w:numPr>
    </w:pPr>
  </w:style>
  <w:style w:type="paragraph" w:styleId="20">
    <w:name w:val="Date"/>
    <w:basedOn w:val="1"/>
    <w:next w:val="1"/>
    <w:link w:val="63"/>
    <w:qFormat/>
    <w:uiPriority w:val="99"/>
    <w:pPr>
      <w:ind w:left="100" w:leftChars="2500"/>
    </w:pPr>
    <w:rPr>
      <w:kern w:val="0"/>
      <w:sz w:val="24"/>
      <w:szCs w:val="24"/>
    </w:rPr>
  </w:style>
  <w:style w:type="paragraph" w:styleId="21">
    <w:name w:val="Body Text Indent 2"/>
    <w:basedOn w:val="1"/>
    <w:next w:val="22"/>
    <w:link w:val="60"/>
    <w:qFormat/>
    <w:locked/>
    <w:uiPriority w:val="99"/>
    <w:pPr>
      <w:spacing w:after="120" w:line="480" w:lineRule="auto"/>
      <w:ind w:left="420" w:leftChars="200"/>
    </w:pPr>
  </w:style>
  <w:style w:type="paragraph" w:styleId="22">
    <w:name w:val="Body Text First Indent 2"/>
    <w:basedOn w:val="13"/>
    <w:next w:val="1"/>
    <w:link w:val="61"/>
    <w:qFormat/>
    <w:locked/>
    <w:uiPriority w:val="99"/>
    <w:pPr>
      <w:ind w:firstLine="420" w:firstLineChars="200"/>
    </w:pPr>
  </w:style>
  <w:style w:type="paragraph" w:styleId="23">
    <w:name w:val="Balloon Text"/>
    <w:basedOn w:val="1"/>
    <w:link w:val="64"/>
    <w:semiHidden/>
    <w:qFormat/>
    <w:uiPriority w:val="99"/>
    <w:rPr>
      <w:kern w:val="0"/>
      <w:sz w:val="18"/>
      <w:szCs w:val="18"/>
    </w:rPr>
  </w:style>
  <w:style w:type="paragraph" w:styleId="24">
    <w:name w:val="footer"/>
    <w:basedOn w:val="1"/>
    <w:link w:val="65"/>
    <w:qFormat/>
    <w:uiPriority w:val="99"/>
    <w:pPr>
      <w:tabs>
        <w:tab w:val="center" w:pos="4153"/>
        <w:tab w:val="right" w:pos="8306"/>
      </w:tabs>
      <w:snapToGrid w:val="0"/>
      <w:jc w:val="left"/>
    </w:pPr>
    <w:rPr>
      <w:kern w:val="0"/>
      <w:sz w:val="18"/>
      <w:szCs w:val="18"/>
    </w:rPr>
  </w:style>
  <w:style w:type="paragraph" w:styleId="25">
    <w:name w:val="header"/>
    <w:basedOn w:val="1"/>
    <w:next w:val="10"/>
    <w:link w:val="66"/>
    <w:qFormat/>
    <w:uiPriority w:val="99"/>
    <w:pPr>
      <w:pBdr>
        <w:bottom w:val="single" w:color="auto" w:sz="6" w:space="1"/>
      </w:pBdr>
      <w:tabs>
        <w:tab w:val="center" w:pos="4153"/>
        <w:tab w:val="right" w:pos="8306"/>
      </w:tabs>
      <w:snapToGrid w:val="0"/>
      <w:jc w:val="center"/>
    </w:pPr>
    <w:rPr>
      <w:kern w:val="0"/>
      <w:sz w:val="18"/>
      <w:szCs w:val="18"/>
    </w:rPr>
  </w:style>
  <w:style w:type="paragraph" w:styleId="26">
    <w:name w:val="toc 1"/>
    <w:basedOn w:val="1"/>
    <w:next w:val="1"/>
    <w:semiHidden/>
    <w:qFormat/>
    <w:locked/>
    <w:uiPriority w:val="99"/>
    <w:pPr>
      <w:spacing w:before="120" w:after="120"/>
      <w:jc w:val="left"/>
    </w:pPr>
    <w:rPr>
      <w:b/>
      <w:bCs/>
      <w:caps/>
      <w:sz w:val="20"/>
      <w:szCs w:val="20"/>
    </w:rPr>
  </w:style>
  <w:style w:type="paragraph" w:styleId="27">
    <w:name w:val="index heading"/>
    <w:basedOn w:val="1"/>
    <w:next w:val="28"/>
    <w:semiHidden/>
    <w:qFormat/>
    <w:locked/>
    <w:uiPriority w:val="99"/>
    <w:pPr>
      <w:spacing w:line="480" w:lineRule="exact"/>
    </w:pPr>
    <w:rPr>
      <w:rFonts w:ascii="Arial" w:hAnsi="Arial" w:cs="Arial"/>
      <w:b/>
      <w:bCs/>
      <w:sz w:val="24"/>
      <w:szCs w:val="24"/>
    </w:rPr>
  </w:style>
  <w:style w:type="paragraph" w:styleId="28">
    <w:name w:val="index 1"/>
    <w:basedOn w:val="1"/>
    <w:next w:val="1"/>
    <w:semiHidden/>
    <w:qFormat/>
    <w:locked/>
    <w:uiPriority w:val="99"/>
  </w:style>
  <w:style w:type="paragraph" w:styleId="29">
    <w:name w:val="Subtitle"/>
    <w:basedOn w:val="1"/>
    <w:next w:val="1"/>
    <w:qFormat/>
    <w:uiPriority w:val="0"/>
    <w:pPr>
      <w:ind w:firstLine="482"/>
    </w:pPr>
    <w:rPr>
      <w:b/>
    </w:rPr>
  </w:style>
  <w:style w:type="paragraph" w:styleId="30">
    <w:name w:val="List"/>
    <w:basedOn w:val="1"/>
    <w:qFormat/>
    <w:locked/>
    <w:uiPriority w:val="99"/>
    <w:pPr>
      <w:ind w:left="200" w:hanging="200" w:hangingChars="200"/>
    </w:pPr>
  </w:style>
  <w:style w:type="paragraph" w:styleId="31">
    <w:name w:val="Body Text Indent 3"/>
    <w:basedOn w:val="1"/>
    <w:link w:val="67"/>
    <w:qFormat/>
    <w:locked/>
    <w:uiPriority w:val="99"/>
    <w:pPr>
      <w:spacing w:after="120"/>
      <w:ind w:left="420" w:leftChars="200"/>
    </w:pPr>
    <w:rPr>
      <w:sz w:val="16"/>
      <w:szCs w:val="16"/>
    </w:rPr>
  </w:style>
  <w:style w:type="paragraph" w:styleId="32">
    <w:name w:val="toc 9"/>
    <w:basedOn w:val="1"/>
    <w:next w:val="1"/>
    <w:qFormat/>
    <w:uiPriority w:val="39"/>
    <w:pPr>
      <w:spacing w:line="360" w:lineRule="auto"/>
      <w:ind w:firstLine="480" w:firstLineChars="200"/>
    </w:pPr>
    <w:rPr>
      <w:sz w:val="24"/>
      <w:szCs w:val="28"/>
    </w:rPr>
  </w:style>
  <w:style w:type="paragraph" w:styleId="33">
    <w:name w:val="Body Text 2"/>
    <w:basedOn w:val="1"/>
    <w:next w:val="1"/>
    <w:link w:val="68"/>
    <w:qFormat/>
    <w:locked/>
    <w:uiPriority w:val="99"/>
    <w:pPr>
      <w:spacing w:after="120" w:line="480" w:lineRule="auto"/>
    </w:pPr>
    <w:rPr>
      <w:kern w:val="0"/>
      <w:sz w:val="24"/>
      <w:szCs w:val="24"/>
    </w:rPr>
  </w:style>
  <w:style w:type="paragraph" w:styleId="34">
    <w:name w:val="Normal (Web)"/>
    <w:basedOn w:val="1"/>
    <w:link w:val="72"/>
    <w:qFormat/>
    <w:uiPriority w:val="99"/>
    <w:pPr>
      <w:widowControl/>
      <w:spacing w:before="100" w:beforeAutospacing="1" w:after="100" w:afterAutospacing="1"/>
      <w:jc w:val="left"/>
    </w:pPr>
    <w:rPr>
      <w:rFonts w:ascii="宋体" w:hAnsi="宋体" w:cs="宋体"/>
      <w:kern w:val="0"/>
      <w:sz w:val="24"/>
      <w:szCs w:val="24"/>
    </w:rPr>
  </w:style>
  <w:style w:type="paragraph" w:styleId="35">
    <w:name w:val="annotation subject"/>
    <w:basedOn w:val="8"/>
    <w:next w:val="8"/>
    <w:link w:val="69"/>
    <w:semiHidden/>
    <w:qFormat/>
    <w:uiPriority w:val="99"/>
    <w:rPr>
      <w:b/>
      <w:bCs/>
      <w:kern w:val="2"/>
    </w:rPr>
  </w:style>
  <w:style w:type="paragraph" w:styleId="36">
    <w:name w:val="Body Text First Indent"/>
    <w:basedOn w:val="10"/>
    <w:next w:val="1"/>
    <w:qFormat/>
    <w:uiPriority w:val="0"/>
    <w:pPr>
      <w:spacing w:before="120" w:after="240"/>
      <w:ind w:left="100" w:leftChars="100" w:firstLine="420" w:firstLineChars="100"/>
    </w:pPr>
  </w:style>
  <w:style w:type="table" w:styleId="38">
    <w:name w:val="Table Grid"/>
    <w:basedOn w:val="37"/>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0">
    <w:name w:val="Strong"/>
    <w:qFormat/>
    <w:locked/>
    <w:uiPriority w:val="99"/>
    <w:rPr>
      <w:b/>
      <w:bCs/>
    </w:rPr>
  </w:style>
  <w:style w:type="character" w:styleId="41">
    <w:name w:val="page number"/>
    <w:basedOn w:val="39"/>
    <w:qFormat/>
    <w:locked/>
    <w:uiPriority w:val="99"/>
  </w:style>
  <w:style w:type="character" w:styleId="42">
    <w:name w:val="Emphasis"/>
    <w:qFormat/>
    <w:locked/>
    <w:uiPriority w:val="99"/>
    <w:rPr>
      <w:i/>
      <w:iCs/>
    </w:rPr>
  </w:style>
  <w:style w:type="character" w:styleId="43">
    <w:name w:val="Hyperlink"/>
    <w:semiHidden/>
    <w:unhideWhenUsed/>
    <w:qFormat/>
    <w:uiPriority w:val="99"/>
    <w:rPr>
      <w:color w:val="0000FF"/>
      <w:u w:val="single"/>
    </w:rPr>
  </w:style>
  <w:style w:type="character" w:styleId="44">
    <w:name w:val="annotation reference"/>
    <w:semiHidden/>
    <w:qFormat/>
    <w:uiPriority w:val="99"/>
    <w:rPr>
      <w:sz w:val="21"/>
      <w:szCs w:val="21"/>
    </w:rPr>
  </w:style>
  <w:style w:type="paragraph" w:customStyle="1" w:styleId="45">
    <w:name w:val="Default"/>
    <w:basedOn w:val="46"/>
    <w:next w:val="47"/>
    <w:qFormat/>
    <w:uiPriority w:val="99"/>
    <w:pPr>
      <w:autoSpaceDE w:val="0"/>
      <w:autoSpaceDN w:val="0"/>
    </w:pPr>
    <w:rPr>
      <w:rFonts w:ascii="Times New Roman" w:hAnsi="Times New Roman"/>
      <w:color w:val="000000"/>
      <w:kern w:val="0"/>
      <w:sz w:val="24"/>
      <w:szCs w:val="24"/>
    </w:rPr>
  </w:style>
  <w:style w:type="paragraph" w:customStyle="1" w:styleId="46">
    <w:name w:val="标题2"/>
    <w:basedOn w:val="1"/>
    <w:autoRedefine/>
    <w:qFormat/>
    <w:uiPriority w:val="0"/>
    <w:rPr>
      <w:rFonts w:ascii="宋体" w:hAnsi="宋体"/>
      <w:b/>
      <w:kern w:val="0"/>
      <w:sz w:val="24"/>
    </w:rPr>
  </w:style>
  <w:style w:type="paragraph" w:customStyle="1" w:styleId="47">
    <w:name w:val="样式3"/>
    <w:basedOn w:val="1"/>
    <w:next w:val="48"/>
    <w:autoRedefine/>
    <w:qFormat/>
    <w:uiPriority w:val="0"/>
    <w:pPr>
      <w:widowControl w:val="0"/>
      <w:autoSpaceDE w:val="0"/>
      <w:autoSpaceDN w:val="0"/>
      <w:snapToGrid w:val="0"/>
      <w:spacing w:before="120" w:line="460" w:lineRule="atLeast"/>
      <w:jc w:val="center"/>
    </w:pPr>
    <w:rPr>
      <w:rFonts w:eastAsia="黑体"/>
      <w:kern w:val="2"/>
      <w:sz w:val="28"/>
      <w:szCs w:val="24"/>
    </w:rPr>
  </w:style>
  <w:style w:type="paragraph" w:customStyle="1" w:styleId="48">
    <w:name w:val="目录 53"/>
    <w:basedOn w:val="1"/>
    <w:next w:val="1"/>
    <w:autoRedefine/>
    <w:qFormat/>
    <w:uiPriority w:val="0"/>
    <w:pPr>
      <w:ind w:left="840"/>
    </w:pPr>
    <w:rPr>
      <w:rFonts w:cs="宋体"/>
      <w:color w:val="000000"/>
    </w:rPr>
  </w:style>
  <w:style w:type="paragraph" w:customStyle="1" w:styleId="49">
    <w:name w:val="纯文本1"/>
    <w:basedOn w:val="1"/>
    <w:qFormat/>
    <w:uiPriority w:val="0"/>
    <w:pPr>
      <w:adjustRightInd w:val="0"/>
    </w:pPr>
    <w:rPr>
      <w:rFonts w:ascii="宋体" w:hAnsi="Courier New"/>
      <w:szCs w:val="20"/>
    </w:rPr>
  </w:style>
  <w:style w:type="paragraph" w:customStyle="1" w:styleId="50">
    <w:name w:val="样式1"/>
    <w:basedOn w:val="27"/>
    <w:next w:val="1"/>
    <w:qFormat/>
    <w:uiPriority w:val="99"/>
    <w:pPr>
      <w:tabs>
        <w:tab w:val="right" w:leader="dot" w:pos="9061"/>
        <w:tab w:val="right" w:leader="dot" w:pos="9459"/>
      </w:tabs>
      <w:adjustRightInd w:val="0"/>
      <w:spacing w:line="360" w:lineRule="auto"/>
      <w:outlineLvl w:val="0"/>
    </w:pPr>
    <w:rPr>
      <w:sz w:val="28"/>
      <w:szCs w:val="28"/>
    </w:rPr>
  </w:style>
  <w:style w:type="paragraph" w:customStyle="1" w:styleId="51">
    <w:name w:val="文本"/>
    <w:basedOn w:val="1"/>
    <w:next w:val="1"/>
    <w:qFormat/>
    <w:uiPriority w:val="0"/>
    <w:pPr>
      <w:autoSpaceDE w:val="0"/>
      <w:autoSpaceDN w:val="0"/>
      <w:ind w:firstLine="480"/>
    </w:pPr>
    <w:rPr>
      <w:lang w:val="zh-CN"/>
    </w:rPr>
  </w:style>
  <w:style w:type="character" w:customStyle="1" w:styleId="52">
    <w:name w:val="标题 1 字符"/>
    <w:link w:val="3"/>
    <w:qFormat/>
    <w:uiPriority w:val="9"/>
    <w:rPr>
      <w:b/>
      <w:bCs/>
      <w:kern w:val="44"/>
      <w:sz w:val="44"/>
      <w:szCs w:val="44"/>
    </w:rPr>
  </w:style>
  <w:style w:type="character" w:customStyle="1" w:styleId="53">
    <w:name w:val="标题 2 字符"/>
    <w:link w:val="2"/>
    <w:qFormat/>
    <w:locked/>
    <w:uiPriority w:val="99"/>
    <w:rPr>
      <w:rFonts w:ascii="Cambria" w:hAnsi="Cambria" w:eastAsia="宋体" w:cs="Cambria"/>
      <w:b/>
      <w:bCs/>
      <w:kern w:val="2"/>
      <w:sz w:val="32"/>
      <w:szCs w:val="32"/>
    </w:rPr>
  </w:style>
  <w:style w:type="character" w:customStyle="1" w:styleId="54">
    <w:name w:val="标题 3 字符"/>
    <w:link w:val="4"/>
    <w:qFormat/>
    <w:locked/>
    <w:uiPriority w:val="99"/>
    <w:rPr>
      <w:rFonts w:ascii="宋体" w:eastAsia="宋体" w:cs="宋体"/>
      <w:b/>
      <w:bCs/>
      <w:color w:val="000000"/>
      <w:sz w:val="32"/>
      <w:szCs w:val="32"/>
    </w:rPr>
  </w:style>
  <w:style w:type="character" w:customStyle="1" w:styleId="55">
    <w:name w:val="标题 4 字符"/>
    <w:link w:val="5"/>
    <w:semiHidden/>
    <w:qFormat/>
    <w:locked/>
    <w:uiPriority w:val="99"/>
    <w:rPr>
      <w:rFonts w:ascii="Cambria" w:hAnsi="Cambria" w:eastAsia="宋体" w:cs="Cambria"/>
      <w:b/>
      <w:bCs/>
      <w:kern w:val="2"/>
      <w:sz w:val="28"/>
      <w:szCs w:val="28"/>
    </w:rPr>
  </w:style>
  <w:style w:type="character" w:customStyle="1" w:styleId="56">
    <w:name w:val="文档结构图 字符"/>
    <w:link w:val="7"/>
    <w:qFormat/>
    <w:locked/>
    <w:uiPriority w:val="99"/>
    <w:rPr>
      <w:rFonts w:ascii="宋体" w:cs="宋体"/>
      <w:kern w:val="2"/>
      <w:sz w:val="18"/>
      <w:szCs w:val="18"/>
    </w:rPr>
  </w:style>
  <w:style w:type="character" w:customStyle="1" w:styleId="57">
    <w:name w:val="批注文字 字符"/>
    <w:link w:val="8"/>
    <w:qFormat/>
    <w:locked/>
    <w:uiPriority w:val="99"/>
    <w:rPr>
      <w:rFonts w:ascii="Times New Roman" w:hAnsi="Times New Roman" w:eastAsia="宋体" w:cs="Times New Roman"/>
      <w:sz w:val="24"/>
      <w:szCs w:val="24"/>
    </w:rPr>
  </w:style>
  <w:style w:type="character" w:customStyle="1" w:styleId="58">
    <w:name w:val="正文文本 字符"/>
    <w:link w:val="10"/>
    <w:qFormat/>
    <w:locked/>
    <w:uiPriority w:val="99"/>
    <w:rPr>
      <w:sz w:val="18"/>
      <w:szCs w:val="18"/>
    </w:rPr>
  </w:style>
  <w:style w:type="character" w:customStyle="1" w:styleId="59">
    <w:name w:val="正文文本缩进 字符"/>
    <w:link w:val="13"/>
    <w:semiHidden/>
    <w:qFormat/>
    <w:locked/>
    <w:uiPriority w:val="99"/>
    <w:rPr>
      <w:rFonts w:ascii="Times New Roman" w:hAnsi="Times New Roman" w:eastAsia="宋体" w:cs="Times New Roman"/>
      <w:sz w:val="24"/>
      <w:szCs w:val="24"/>
    </w:rPr>
  </w:style>
  <w:style w:type="character" w:customStyle="1" w:styleId="60">
    <w:name w:val="正文文本缩进 2 字符"/>
    <w:link w:val="21"/>
    <w:qFormat/>
    <w:locked/>
    <w:uiPriority w:val="99"/>
    <w:rPr>
      <w:kern w:val="2"/>
      <w:sz w:val="24"/>
      <w:szCs w:val="24"/>
    </w:rPr>
  </w:style>
  <w:style w:type="character" w:customStyle="1" w:styleId="61">
    <w:name w:val="正文首行缩进 2 字符"/>
    <w:link w:val="22"/>
    <w:qFormat/>
    <w:locked/>
    <w:uiPriority w:val="99"/>
    <w:rPr>
      <w:rFonts w:ascii="Times New Roman" w:hAnsi="Times New Roman" w:eastAsia="宋体" w:cs="Times New Roman"/>
      <w:kern w:val="2"/>
      <w:sz w:val="24"/>
      <w:szCs w:val="24"/>
    </w:rPr>
  </w:style>
  <w:style w:type="character" w:customStyle="1" w:styleId="62">
    <w:name w:val="纯文本 字符"/>
    <w:link w:val="18"/>
    <w:semiHidden/>
    <w:qFormat/>
    <w:uiPriority w:val="99"/>
    <w:rPr>
      <w:rFonts w:ascii="宋体" w:hAnsi="Courier New" w:cs="Courier New"/>
      <w:szCs w:val="21"/>
    </w:rPr>
  </w:style>
  <w:style w:type="character" w:customStyle="1" w:styleId="63">
    <w:name w:val="日期 字符1"/>
    <w:link w:val="20"/>
    <w:qFormat/>
    <w:locked/>
    <w:uiPriority w:val="99"/>
    <w:rPr>
      <w:rFonts w:ascii="Times New Roman" w:hAnsi="Times New Roman" w:eastAsia="宋体" w:cs="Times New Roman"/>
      <w:sz w:val="24"/>
      <w:szCs w:val="24"/>
    </w:rPr>
  </w:style>
  <w:style w:type="character" w:customStyle="1" w:styleId="64">
    <w:name w:val="批注框文本 字符"/>
    <w:link w:val="23"/>
    <w:semiHidden/>
    <w:qFormat/>
    <w:locked/>
    <w:uiPriority w:val="99"/>
    <w:rPr>
      <w:rFonts w:ascii="Times New Roman" w:hAnsi="Times New Roman" w:eastAsia="宋体" w:cs="Times New Roman"/>
      <w:sz w:val="18"/>
      <w:szCs w:val="18"/>
    </w:rPr>
  </w:style>
  <w:style w:type="character" w:customStyle="1" w:styleId="65">
    <w:name w:val="页脚 字符1"/>
    <w:link w:val="24"/>
    <w:qFormat/>
    <w:locked/>
    <w:uiPriority w:val="99"/>
    <w:rPr>
      <w:sz w:val="18"/>
      <w:szCs w:val="18"/>
    </w:rPr>
  </w:style>
  <w:style w:type="character" w:customStyle="1" w:styleId="66">
    <w:name w:val="页眉 字符"/>
    <w:link w:val="25"/>
    <w:qFormat/>
    <w:locked/>
    <w:uiPriority w:val="99"/>
    <w:rPr>
      <w:sz w:val="18"/>
      <w:szCs w:val="18"/>
    </w:rPr>
  </w:style>
  <w:style w:type="character" w:customStyle="1" w:styleId="67">
    <w:name w:val="正文文本缩进 3 字符"/>
    <w:link w:val="31"/>
    <w:semiHidden/>
    <w:qFormat/>
    <w:uiPriority w:val="99"/>
    <w:rPr>
      <w:sz w:val="16"/>
      <w:szCs w:val="16"/>
    </w:rPr>
  </w:style>
  <w:style w:type="character" w:customStyle="1" w:styleId="68">
    <w:name w:val="正文文本 2 字符"/>
    <w:link w:val="33"/>
    <w:qFormat/>
    <w:locked/>
    <w:uiPriority w:val="99"/>
    <w:rPr>
      <w:sz w:val="24"/>
      <w:szCs w:val="24"/>
    </w:rPr>
  </w:style>
  <w:style w:type="character" w:customStyle="1" w:styleId="69">
    <w:name w:val="批注主题 字符"/>
    <w:link w:val="35"/>
    <w:semiHidden/>
    <w:qFormat/>
    <w:locked/>
    <w:uiPriority w:val="99"/>
    <w:rPr>
      <w:rFonts w:ascii="Times New Roman" w:hAnsi="Times New Roman" w:eastAsia="宋体" w:cs="Times New Roman"/>
      <w:b/>
      <w:bCs/>
      <w:kern w:val="2"/>
      <w:sz w:val="24"/>
      <w:szCs w:val="24"/>
    </w:rPr>
  </w:style>
  <w:style w:type="paragraph" w:customStyle="1" w:styleId="70">
    <w:name w:val="T正文"/>
    <w:qFormat/>
    <w:uiPriority w:val="99"/>
    <w:pPr>
      <w:widowControl w:val="0"/>
      <w:adjustRightInd w:val="0"/>
      <w:snapToGrid w:val="0"/>
      <w:spacing w:line="360" w:lineRule="auto"/>
      <w:ind w:firstLine="200" w:firstLineChars="200"/>
      <w:jc w:val="both"/>
    </w:pPr>
    <w:rPr>
      <w:rFonts w:ascii="Times New Roman" w:hAnsi="Times New Roman" w:eastAsia="仿宋_GB2312" w:cs="Times New Roman"/>
      <w:sz w:val="28"/>
      <w:szCs w:val="28"/>
      <w:lang w:val="en-US" w:eastAsia="zh-CN" w:bidi="ar-SA"/>
    </w:rPr>
  </w:style>
  <w:style w:type="character" w:customStyle="1" w:styleId="71">
    <w:name w:val="页脚 字符"/>
    <w:basedOn w:val="39"/>
    <w:qFormat/>
    <w:uiPriority w:val="99"/>
  </w:style>
  <w:style w:type="character" w:customStyle="1" w:styleId="72">
    <w:name w:val="普通(网站) 字符1"/>
    <w:link w:val="34"/>
    <w:qFormat/>
    <w:locked/>
    <w:uiPriority w:val="99"/>
    <w:rPr>
      <w:rFonts w:ascii="宋体" w:hAnsi="宋体" w:eastAsia="宋体" w:cs="宋体"/>
      <w:sz w:val="24"/>
      <w:szCs w:val="24"/>
    </w:rPr>
  </w:style>
  <w:style w:type="character" w:customStyle="1" w:styleId="73">
    <w:name w:val="正文文本 字符1"/>
    <w:semiHidden/>
    <w:qFormat/>
    <w:uiPriority w:val="99"/>
    <w:rPr>
      <w:rFonts w:ascii="Times New Roman" w:hAnsi="Times New Roman" w:eastAsia="宋体" w:cs="Times New Roman"/>
      <w:sz w:val="24"/>
      <w:szCs w:val="24"/>
    </w:rPr>
  </w:style>
  <w:style w:type="character" w:customStyle="1" w:styleId="74">
    <w:name w:val="表格 Char"/>
    <w:link w:val="75"/>
    <w:qFormat/>
    <w:locked/>
    <w:uiPriority w:val="99"/>
    <w:rPr>
      <w:rFonts w:ascii="宋体" w:cs="宋体"/>
      <w:sz w:val="21"/>
      <w:szCs w:val="21"/>
    </w:rPr>
  </w:style>
  <w:style w:type="paragraph" w:customStyle="1" w:styleId="75">
    <w:name w:val="表格"/>
    <w:basedOn w:val="76"/>
    <w:next w:val="1"/>
    <w:link w:val="74"/>
    <w:qFormat/>
    <w:uiPriority w:val="99"/>
    <w:pPr>
      <w:adjustRightInd w:val="0"/>
      <w:snapToGrid w:val="0"/>
      <w:spacing w:beforeLines="10" w:afterLines="10" w:line="259" w:lineRule="auto"/>
    </w:pPr>
    <w:rPr>
      <w:rFonts w:cs="宋体"/>
      <w:kern w:val="0"/>
    </w:rPr>
  </w:style>
  <w:style w:type="paragraph" w:customStyle="1" w:styleId="76">
    <w:name w:val="图示"/>
    <w:basedOn w:val="1"/>
    <w:autoRedefine/>
    <w:qFormat/>
    <w:uiPriority w:val="0"/>
    <w:pPr>
      <w:ind w:firstLine="0" w:firstLineChars="0"/>
      <w:jc w:val="center"/>
    </w:pPr>
    <w:rPr>
      <w:rFonts w:eastAsia="黑体"/>
      <w:kern w:val="0"/>
      <w:sz w:val="21"/>
    </w:rPr>
  </w:style>
  <w:style w:type="paragraph" w:customStyle="1" w:styleId="77">
    <w:name w:val="表格式"/>
    <w:basedOn w:val="30"/>
    <w:qFormat/>
    <w:uiPriority w:val="0"/>
    <w:pPr>
      <w:spacing w:before="60" w:after="100" w:line="320" w:lineRule="exact"/>
      <w:ind w:left="0" w:firstLine="0" w:firstLineChars="0"/>
      <w:jc w:val="center"/>
    </w:pPr>
    <w:rPr>
      <w:rFonts w:ascii="宋体" w:hAnsi="Brush Script MT"/>
      <w:szCs w:val="20"/>
    </w:rPr>
  </w:style>
  <w:style w:type="character" w:customStyle="1" w:styleId="78">
    <w:name w:val="日期 字符"/>
    <w:semiHidden/>
    <w:qFormat/>
    <w:uiPriority w:val="99"/>
    <w:rPr>
      <w:rFonts w:ascii="Times New Roman" w:hAnsi="Times New Roman" w:eastAsia="宋体" w:cs="Times New Roman"/>
      <w:sz w:val="24"/>
      <w:szCs w:val="24"/>
    </w:rPr>
  </w:style>
  <w:style w:type="character" w:customStyle="1" w:styleId="79">
    <w:name w:val="批注文字 字符1"/>
    <w:semiHidden/>
    <w:qFormat/>
    <w:uiPriority w:val="99"/>
    <w:rPr>
      <w:rFonts w:ascii="Times New Roman" w:hAnsi="Times New Roman" w:eastAsia="宋体" w:cs="Times New Roman"/>
      <w:sz w:val="24"/>
      <w:szCs w:val="24"/>
    </w:rPr>
  </w:style>
  <w:style w:type="paragraph" w:customStyle="1" w:styleId="80">
    <w:name w:val="正文_10"/>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81">
    <w:name w:val="普通(网站)2"/>
    <w:basedOn w:val="1"/>
    <w:qFormat/>
    <w:uiPriority w:val="99"/>
    <w:pPr>
      <w:widowControl/>
      <w:spacing w:before="100" w:beforeAutospacing="1" w:after="100" w:afterAutospacing="1"/>
      <w:jc w:val="left"/>
    </w:pPr>
    <w:rPr>
      <w:rFonts w:ascii="宋体" w:hAnsi="宋体" w:cs="宋体"/>
      <w:sz w:val="24"/>
      <w:szCs w:val="24"/>
    </w:rPr>
  </w:style>
  <w:style w:type="character" w:customStyle="1" w:styleId="82">
    <w:name w:val="正文1 Char"/>
    <w:link w:val="83"/>
    <w:qFormat/>
    <w:locked/>
    <w:uiPriority w:val="99"/>
    <w:rPr>
      <w:kern w:val="2"/>
      <w:sz w:val="24"/>
      <w:szCs w:val="24"/>
    </w:rPr>
  </w:style>
  <w:style w:type="paragraph" w:customStyle="1" w:styleId="83">
    <w:name w:val="正文1"/>
    <w:basedOn w:val="1"/>
    <w:link w:val="82"/>
    <w:qFormat/>
    <w:uiPriority w:val="99"/>
    <w:pPr>
      <w:widowControl/>
      <w:adjustRightInd w:val="0"/>
      <w:snapToGrid w:val="0"/>
      <w:spacing w:line="480" w:lineRule="exact"/>
      <w:ind w:firstLine="200" w:firstLineChars="200"/>
      <w:jc w:val="left"/>
    </w:pPr>
    <w:rPr>
      <w:sz w:val="24"/>
      <w:szCs w:val="24"/>
    </w:rPr>
  </w:style>
  <w:style w:type="paragraph" w:customStyle="1" w:styleId="84">
    <w:name w:val="p0"/>
    <w:basedOn w:val="1"/>
    <w:qFormat/>
    <w:uiPriority w:val="99"/>
    <w:pPr>
      <w:widowControl/>
    </w:pPr>
    <w:rPr>
      <w:kern w:val="0"/>
    </w:rPr>
  </w:style>
  <w:style w:type="character" w:customStyle="1" w:styleId="85">
    <w:name w:val="标题 2 Char Char"/>
    <w:qFormat/>
    <w:uiPriority w:val="99"/>
    <w:rPr>
      <w:rFonts w:eastAsia="宋体"/>
      <w:b/>
      <w:bCs/>
      <w:sz w:val="24"/>
      <w:szCs w:val="24"/>
      <w:lang w:val="en-US" w:eastAsia="zh-CN"/>
    </w:rPr>
  </w:style>
  <w:style w:type="table" w:customStyle="1" w:styleId="86">
    <w:name w:val="Table Normal1"/>
    <w:semiHidden/>
    <w:qFormat/>
    <w:uiPriority w:val="99"/>
    <w:pPr>
      <w:widowControl w:val="0"/>
      <w:autoSpaceDE w:val="0"/>
      <w:autoSpaceDN w:val="0"/>
    </w:pPr>
    <w:rPr>
      <w:rFonts w:ascii="Calibri" w:hAnsi="Calibri" w:cs="Calibri"/>
      <w:sz w:val="22"/>
      <w:lang w:eastAsia="en-US"/>
    </w:rPr>
    <w:tblPr>
      <w:tblCellMar>
        <w:top w:w="0" w:type="dxa"/>
        <w:left w:w="0" w:type="dxa"/>
        <w:bottom w:w="0" w:type="dxa"/>
        <w:right w:w="0" w:type="dxa"/>
      </w:tblCellMar>
    </w:tblPr>
  </w:style>
  <w:style w:type="paragraph" w:customStyle="1" w:styleId="87">
    <w:name w:val="D图表标题"/>
    <w:basedOn w:val="30"/>
    <w:next w:val="1"/>
    <w:link w:val="88"/>
    <w:qFormat/>
    <w:uiPriority w:val="99"/>
    <w:pPr>
      <w:spacing w:after="100"/>
      <w:ind w:left="0" w:firstLine="0" w:firstLineChars="0"/>
      <w:jc w:val="center"/>
    </w:pPr>
    <w:rPr>
      <w:b/>
      <w:bCs/>
    </w:rPr>
  </w:style>
  <w:style w:type="character" w:customStyle="1" w:styleId="88">
    <w:name w:val="D图表标题 字符"/>
    <w:link w:val="87"/>
    <w:qFormat/>
    <w:locked/>
    <w:uiPriority w:val="99"/>
    <w:rPr>
      <w:b/>
      <w:bCs/>
      <w:kern w:val="2"/>
      <w:sz w:val="21"/>
      <w:szCs w:val="21"/>
    </w:rPr>
  </w:style>
  <w:style w:type="paragraph" w:customStyle="1" w:styleId="89">
    <w:name w:val="D图表内容"/>
    <w:basedOn w:val="1"/>
    <w:next w:val="1"/>
    <w:link w:val="90"/>
    <w:qFormat/>
    <w:uiPriority w:val="99"/>
    <w:pPr>
      <w:widowControl/>
      <w:jc w:val="center"/>
    </w:pPr>
  </w:style>
  <w:style w:type="character" w:customStyle="1" w:styleId="90">
    <w:name w:val="D图表内容 字符"/>
    <w:link w:val="89"/>
    <w:qFormat/>
    <w:locked/>
    <w:uiPriority w:val="99"/>
    <w:rPr>
      <w:kern w:val="2"/>
      <w:sz w:val="18"/>
      <w:szCs w:val="18"/>
    </w:rPr>
  </w:style>
  <w:style w:type="paragraph" w:styleId="91">
    <w:name w:val="List Paragraph"/>
    <w:basedOn w:val="1"/>
    <w:qFormat/>
    <w:uiPriority w:val="99"/>
    <w:pPr>
      <w:ind w:firstLine="420" w:firstLineChars="200"/>
    </w:pPr>
  </w:style>
  <w:style w:type="character" w:customStyle="1" w:styleId="92">
    <w:name w:val="font31"/>
    <w:qFormat/>
    <w:uiPriority w:val="99"/>
    <w:rPr>
      <w:rFonts w:ascii="宋体" w:hAnsi="宋体" w:eastAsia="宋体" w:cs="宋体"/>
      <w:color w:val="000000"/>
      <w:sz w:val="24"/>
      <w:szCs w:val="24"/>
      <w:u w:val="none"/>
    </w:rPr>
  </w:style>
  <w:style w:type="character" w:customStyle="1" w:styleId="93">
    <w:name w:val="font21"/>
    <w:qFormat/>
    <w:uiPriority w:val="99"/>
    <w:rPr>
      <w:rFonts w:ascii="Times New Roman" w:hAnsi="Times New Roman" w:cs="Times New Roman"/>
      <w:color w:val="000000"/>
      <w:sz w:val="24"/>
      <w:szCs w:val="24"/>
      <w:u w:val="none"/>
    </w:rPr>
  </w:style>
  <w:style w:type="character" w:customStyle="1" w:styleId="94">
    <w:name w:val="正文 4 Char"/>
    <w:link w:val="95"/>
    <w:qFormat/>
    <w:locked/>
    <w:uiPriority w:val="99"/>
    <w:rPr>
      <w:sz w:val="24"/>
      <w:szCs w:val="24"/>
    </w:rPr>
  </w:style>
  <w:style w:type="paragraph" w:customStyle="1" w:styleId="95">
    <w:name w:val="正文 4"/>
    <w:basedOn w:val="1"/>
    <w:link w:val="94"/>
    <w:qFormat/>
    <w:uiPriority w:val="99"/>
    <w:pPr>
      <w:autoSpaceDE w:val="0"/>
      <w:autoSpaceDN w:val="0"/>
      <w:adjustRightInd w:val="0"/>
      <w:snapToGrid w:val="0"/>
      <w:spacing w:line="360" w:lineRule="auto"/>
      <w:ind w:firstLine="480" w:firstLineChars="200"/>
    </w:pPr>
    <w:rPr>
      <w:kern w:val="0"/>
      <w:sz w:val="24"/>
      <w:szCs w:val="24"/>
    </w:rPr>
  </w:style>
  <w:style w:type="character" w:customStyle="1" w:styleId="96">
    <w:name w:val="可研报告正文 Char"/>
    <w:link w:val="97"/>
    <w:qFormat/>
    <w:locked/>
    <w:uiPriority w:val="99"/>
    <w:rPr>
      <w:kern w:val="2"/>
      <w:sz w:val="28"/>
      <w:szCs w:val="28"/>
    </w:rPr>
  </w:style>
  <w:style w:type="paragraph" w:customStyle="1" w:styleId="97">
    <w:name w:val="可研报告正文"/>
    <w:basedOn w:val="1"/>
    <w:link w:val="96"/>
    <w:qFormat/>
    <w:uiPriority w:val="99"/>
    <w:pPr>
      <w:snapToGrid w:val="0"/>
      <w:spacing w:line="540" w:lineRule="exact"/>
      <w:ind w:firstLine="200" w:firstLineChars="200"/>
    </w:pPr>
    <w:rPr>
      <w:sz w:val="28"/>
      <w:szCs w:val="28"/>
    </w:rPr>
  </w:style>
  <w:style w:type="paragraph" w:customStyle="1" w:styleId="98">
    <w:name w:val="报告"/>
    <w:basedOn w:val="1"/>
    <w:qFormat/>
    <w:uiPriority w:val="99"/>
    <w:pPr>
      <w:adjustRightInd w:val="0"/>
      <w:spacing w:line="560" w:lineRule="exact"/>
      <w:ind w:firstLine="200" w:firstLineChars="200"/>
      <w:textAlignment w:val="baseline"/>
    </w:pPr>
    <w:rPr>
      <w:kern w:val="0"/>
      <w:sz w:val="28"/>
      <w:szCs w:val="28"/>
    </w:rPr>
  </w:style>
  <w:style w:type="paragraph" w:customStyle="1" w:styleId="99">
    <w:name w:val="报告书正文"/>
    <w:basedOn w:val="1"/>
    <w:link w:val="100"/>
    <w:qFormat/>
    <w:uiPriority w:val="99"/>
    <w:pPr>
      <w:autoSpaceDE w:val="0"/>
      <w:autoSpaceDN w:val="0"/>
      <w:spacing w:line="520" w:lineRule="exact"/>
      <w:ind w:firstLine="200" w:firstLineChars="200"/>
    </w:pPr>
    <w:rPr>
      <w:sz w:val="28"/>
      <w:szCs w:val="28"/>
    </w:rPr>
  </w:style>
  <w:style w:type="character" w:customStyle="1" w:styleId="100">
    <w:name w:val="报告书正文 Char"/>
    <w:link w:val="99"/>
    <w:qFormat/>
    <w:locked/>
    <w:uiPriority w:val="99"/>
    <w:rPr>
      <w:kern w:val="2"/>
      <w:sz w:val="28"/>
      <w:szCs w:val="28"/>
    </w:rPr>
  </w:style>
  <w:style w:type="character" w:customStyle="1" w:styleId="101">
    <w:name w:val="常用表格样式 Char1"/>
    <w:link w:val="102"/>
    <w:qFormat/>
    <w:locked/>
    <w:uiPriority w:val="99"/>
    <w:rPr>
      <w:rFonts w:ascii="宋体" w:hAnsi="新宋体" w:eastAsia="Times New Roman" w:cs="宋体"/>
      <w:spacing w:val="2"/>
      <w:kern w:val="2"/>
      <w:sz w:val="24"/>
      <w:szCs w:val="24"/>
    </w:rPr>
  </w:style>
  <w:style w:type="paragraph" w:customStyle="1" w:styleId="102">
    <w:name w:val="常用表格样式"/>
    <w:basedOn w:val="1"/>
    <w:next w:val="1"/>
    <w:link w:val="101"/>
    <w:qFormat/>
    <w:uiPriority w:val="99"/>
    <w:pPr>
      <w:jc w:val="center"/>
    </w:pPr>
    <w:rPr>
      <w:rFonts w:ascii="宋体" w:hAnsi="新宋体" w:eastAsia="Times New Roman" w:cs="宋体"/>
      <w:spacing w:val="2"/>
      <w:sz w:val="24"/>
      <w:szCs w:val="24"/>
    </w:rPr>
  </w:style>
  <w:style w:type="paragraph" w:customStyle="1" w:styleId="103">
    <w:name w:val="表头"/>
    <w:basedOn w:val="104"/>
    <w:next w:val="105"/>
    <w:link w:val="106"/>
    <w:qFormat/>
    <w:uiPriority w:val="99"/>
    <w:pPr>
      <w:spacing w:line="480" w:lineRule="exact"/>
      <w:ind w:firstLine="200" w:firstLineChars="200"/>
    </w:pPr>
    <w:rPr>
      <w:rFonts w:eastAsia="黑体"/>
      <w:sz w:val="24"/>
      <w:szCs w:val="24"/>
    </w:rPr>
  </w:style>
  <w:style w:type="paragraph" w:customStyle="1" w:styleId="104">
    <w:name w:val="表内"/>
    <w:basedOn w:val="1"/>
    <w:qFormat/>
    <w:uiPriority w:val="99"/>
    <w:pPr>
      <w:jc w:val="center"/>
    </w:pPr>
  </w:style>
  <w:style w:type="paragraph" w:customStyle="1" w:styleId="105">
    <w:name w:val="表"/>
    <w:basedOn w:val="1"/>
    <w:next w:val="1"/>
    <w:qFormat/>
    <w:uiPriority w:val="0"/>
    <w:pPr>
      <w:adjustRightInd w:val="0"/>
      <w:spacing w:line="400" w:lineRule="exact"/>
      <w:jc w:val="center"/>
    </w:pPr>
    <w:rPr>
      <w:rFonts w:ascii="宋体"/>
      <w:sz w:val="24"/>
      <w:szCs w:val="20"/>
    </w:rPr>
  </w:style>
  <w:style w:type="character" w:customStyle="1" w:styleId="106">
    <w:name w:val="表头 Char Char"/>
    <w:link w:val="103"/>
    <w:qFormat/>
    <w:locked/>
    <w:uiPriority w:val="99"/>
    <w:rPr>
      <w:rFonts w:eastAsia="黑体"/>
      <w:snapToGrid w:val="0"/>
      <w:kern w:val="2"/>
      <w:sz w:val="24"/>
      <w:szCs w:val="24"/>
    </w:rPr>
  </w:style>
  <w:style w:type="character" w:customStyle="1" w:styleId="107">
    <w:name w:val="表格标题 Exact"/>
    <w:qFormat/>
    <w:uiPriority w:val="99"/>
    <w:rPr>
      <w:rFonts w:ascii="宋体" w:hAnsi="宋体" w:eastAsia="宋体" w:cs="宋体"/>
      <w:sz w:val="22"/>
      <w:szCs w:val="22"/>
      <w:u w:val="none"/>
    </w:rPr>
  </w:style>
  <w:style w:type="paragraph" w:customStyle="1" w:styleId="108">
    <w:name w:val="正文 首行缩进:  2 字符"/>
    <w:basedOn w:val="1"/>
    <w:qFormat/>
    <w:uiPriority w:val="99"/>
    <w:pPr>
      <w:ind w:firstLine="579"/>
    </w:pPr>
  </w:style>
  <w:style w:type="character" w:customStyle="1" w:styleId="109">
    <w:name w:val="普通(网站) 字符"/>
    <w:qFormat/>
    <w:uiPriority w:val="99"/>
    <w:rPr>
      <w:sz w:val="24"/>
      <w:szCs w:val="24"/>
    </w:rPr>
  </w:style>
  <w:style w:type="paragraph" w:customStyle="1" w:styleId="110">
    <w:name w:val="报告表内字"/>
    <w:qFormat/>
    <w:uiPriority w:val="99"/>
    <w:pPr>
      <w:spacing w:line="320" w:lineRule="exact"/>
      <w:jc w:val="center"/>
    </w:pPr>
    <w:rPr>
      <w:rFonts w:ascii="Times New Roman" w:hAnsi="Times New Roman" w:eastAsia="宋体" w:cs="Times New Roman"/>
      <w:kern w:val="2"/>
      <w:sz w:val="21"/>
      <w:szCs w:val="21"/>
      <w:lang w:val="en-US" w:eastAsia="zh-CN" w:bidi="ar-SA"/>
    </w:rPr>
  </w:style>
  <w:style w:type="paragraph" w:customStyle="1" w:styleId="111">
    <w:name w:val="Table Paragraph"/>
    <w:basedOn w:val="1"/>
    <w:qFormat/>
    <w:uiPriority w:val="99"/>
    <w:pPr>
      <w:autoSpaceDE w:val="0"/>
      <w:autoSpaceDN w:val="0"/>
      <w:jc w:val="left"/>
    </w:pPr>
    <w:rPr>
      <w:rFonts w:ascii="宋体" w:hAnsi="宋体" w:cs="宋体"/>
      <w:kern w:val="0"/>
      <w:sz w:val="22"/>
      <w:szCs w:val="22"/>
      <w:lang w:val="zh-CN"/>
    </w:rPr>
  </w:style>
  <w:style w:type="paragraph" w:customStyle="1" w:styleId="112">
    <w:name w:val="表格内容"/>
    <w:basedOn w:val="113"/>
    <w:next w:val="1"/>
    <w:qFormat/>
    <w:uiPriority w:val="99"/>
    <w:pPr>
      <w:spacing w:line="240" w:lineRule="atLeast"/>
    </w:pPr>
    <w:rPr>
      <w:rFonts w:eastAsia="宋体"/>
      <w:sz w:val="21"/>
      <w:szCs w:val="21"/>
    </w:rPr>
  </w:style>
  <w:style w:type="paragraph" w:customStyle="1" w:styleId="113">
    <w:name w:val="表格标题"/>
    <w:basedOn w:val="36"/>
    <w:next w:val="1"/>
    <w:qFormat/>
    <w:uiPriority w:val="99"/>
    <w:pPr>
      <w:spacing w:line="360" w:lineRule="auto"/>
      <w:jc w:val="center"/>
    </w:pPr>
    <w:rPr>
      <w:rFonts w:eastAsia="黑体"/>
      <w:sz w:val="24"/>
      <w:szCs w:val="24"/>
    </w:rPr>
  </w:style>
  <w:style w:type="paragraph" w:customStyle="1" w:styleId="114">
    <w:name w:val="表内容"/>
    <w:basedOn w:val="115"/>
    <w:qFormat/>
    <w:uiPriority w:val="99"/>
    <w:pPr>
      <w:spacing w:line="360" w:lineRule="exact"/>
      <w:jc w:val="center"/>
    </w:pPr>
  </w:style>
  <w:style w:type="paragraph" w:customStyle="1" w:styleId="115">
    <w:name w:val="24磅正文"/>
    <w:basedOn w:val="1"/>
    <w:autoRedefine/>
    <w:qFormat/>
    <w:uiPriority w:val="0"/>
    <w:pPr>
      <w:spacing w:line="480" w:lineRule="exact"/>
      <w:ind w:firstLine="480" w:firstLineChars="200"/>
    </w:pPr>
    <w:rPr>
      <w:rFonts w:eastAsia="宋体"/>
    </w:rPr>
  </w:style>
  <w:style w:type="character" w:customStyle="1" w:styleId="116">
    <w:name w:val="表格正文 Char1"/>
    <w:link w:val="117"/>
    <w:qFormat/>
    <w:locked/>
    <w:uiPriority w:val="99"/>
  </w:style>
  <w:style w:type="paragraph" w:customStyle="1" w:styleId="117">
    <w:name w:val="表格正文"/>
    <w:basedOn w:val="6"/>
    <w:link w:val="116"/>
    <w:qFormat/>
    <w:uiPriority w:val="99"/>
    <w:pPr>
      <w:widowControl/>
      <w:snapToGrid w:val="0"/>
      <w:jc w:val="center"/>
    </w:pPr>
    <w:rPr>
      <w:kern w:val="0"/>
      <w:sz w:val="20"/>
      <w:szCs w:val="20"/>
    </w:rPr>
  </w:style>
  <w:style w:type="character" w:customStyle="1" w:styleId="118">
    <w:name w:val="页眉 Char21"/>
    <w:qFormat/>
    <w:uiPriority w:val="99"/>
    <w:rPr>
      <w:rFonts w:ascii="Times New Roman" w:hAnsi="Times New Roman" w:eastAsia="宋体" w:cs="Times New Roman"/>
      <w:kern w:val="2"/>
      <w:sz w:val="18"/>
      <w:szCs w:val="18"/>
      <w:lang w:val="en-US" w:eastAsia="zh-CN"/>
    </w:rPr>
  </w:style>
  <w:style w:type="character" w:customStyle="1" w:styleId="119">
    <w:name w:val="正文文本 2 字符1"/>
    <w:semiHidden/>
    <w:qFormat/>
    <w:uiPriority w:val="99"/>
    <w:rPr>
      <w:kern w:val="2"/>
      <w:sz w:val="24"/>
      <w:szCs w:val="24"/>
    </w:rPr>
  </w:style>
  <w:style w:type="paragraph" w:customStyle="1" w:styleId="120">
    <w:name w:val="Char Char Char1 Char Char Char Char Char Char Char"/>
    <w:basedOn w:val="1"/>
    <w:qFormat/>
    <w:uiPriority w:val="99"/>
    <w:rPr>
      <w:rFonts w:ascii="等线" w:hAnsi="等线" w:cs="等线"/>
      <w:spacing w:val="-2"/>
      <w:kern w:val="0"/>
    </w:rPr>
  </w:style>
  <w:style w:type="paragraph" w:customStyle="1" w:styleId="121">
    <w:name w:val="表中文字"/>
    <w:basedOn w:val="1"/>
    <w:qFormat/>
    <w:uiPriority w:val="99"/>
    <w:pPr>
      <w:adjustRightInd w:val="0"/>
      <w:snapToGrid w:val="0"/>
      <w:jc w:val="center"/>
    </w:pPr>
  </w:style>
  <w:style w:type="paragraph" w:customStyle="1" w:styleId="122">
    <w:name w:val="我的正文"/>
    <w:basedOn w:val="83"/>
    <w:qFormat/>
    <w:uiPriority w:val="99"/>
    <w:pPr>
      <w:ind w:firstLine="480"/>
    </w:pPr>
  </w:style>
  <w:style w:type="paragraph" w:customStyle="1" w:styleId="123">
    <w:name w:val="中文报告书样式"/>
    <w:basedOn w:val="1"/>
    <w:qFormat/>
    <w:uiPriority w:val="99"/>
    <w:pPr>
      <w:adjustRightInd w:val="0"/>
      <w:spacing w:line="480" w:lineRule="atLeast"/>
      <w:ind w:firstLine="482"/>
      <w:textAlignment w:val="baseline"/>
    </w:pPr>
    <w:rPr>
      <w:kern w:val="24"/>
      <w:sz w:val="24"/>
      <w:szCs w:val="24"/>
    </w:rPr>
  </w:style>
  <w:style w:type="paragraph" w:customStyle="1" w:styleId="124">
    <w:name w:val="样式35"/>
    <w:basedOn w:val="1"/>
    <w:qFormat/>
    <w:uiPriority w:val="0"/>
    <w:pPr>
      <w:adjustRightInd w:val="0"/>
      <w:spacing w:line="312" w:lineRule="auto"/>
      <w:ind w:firstLine="567"/>
    </w:pPr>
    <w:rPr>
      <w:rFonts w:ascii="宋体"/>
      <w:kern w:val="0"/>
      <w:sz w:val="28"/>
      <w:szCs w:val="20"/>
    </w:rPr>
  </w:style>
  <w:style w:type="paragraph" w:customStyle="1" w:styleId="125">
    <w:name w:val="正文20110920"/>
    <w:basedOn w:val="126"/>
    <w:qFormat/>
    <w:uiPriority w:val="0"/>
    <w:pPr>
      <w:ind w:firstLine="480"/>
    </w:pPr>
  </w:style>
  <w:style w:type="paragraph" w:customStyle="1" w:styleId="126">
    <w:name w:val="样式 正文20110824 + 宋体 首行缩进:  2 字符"/>
    <w:basedOn w:val="127"/>
    <w:qFormat/>
    <w:uiPriority w:val="0"/>
    <w:rPr>
      <w:rFonts w:cs="宋体"/>
    </w:rPr>
  </w:style>
  <w:style w:type="paragraph" w:customStyle="1" w:styleId="127">
    <w:name w:val="正文20110824"/>
    <w:basedOn w:val="1"/>
    <w:qFormat/>
    <w:uiPriority w:val="0"/>
    <w:pPr>
      <w:spacing w:line="360" w:lineRule="auto"/>
      <w:ind w:firstLine="200" w:firstLineChars="200"/>
    </w:pPr>
    <w:rPr>
      <w:color w:val="000000"/>
      <w:sz w:val="24"/>
    </w:rPr>
  </w:style>
  <w:style w:type="paragraph" w:customStyle="1" w:styleId="128">
    <w:name w:val="图、表内容"/>
    <w:basedOn w:val="1"/>
    <w:qFormat/>
    <w:uiPriority w:val="0"/>
    <w:pPr>
      <w:adjustRightInd w:val="0"/>
      <w:snapToGrid w:val="0"/>
      <w:jc w:val="center"/>
    </w:pPr>
    <w:rPr>
      <w:rFonts w:cs="宋体"/>
      <w:spacing w:val="-2"/>
      <w:kern w:val="0"/>
      <w:szCs w:val="20"/>
    </w:rPr>
  </w:style>
  <w:style w:type="paragraph" w:customStyle="1" w:styleId="129">
    <w:name w:val="Other|1"/>
    <w:basedOn w:val="1"/>
    <w:qFormat/>
    <w:uiPriority w:val="0"/>
    <w:pPr>
      <w:jc w:val="center"/>
    </w:pPr>
    <w:rPr>
      <w:rFonts w:ascii="宋体" w:hAnsi="宋体" w:cs="宋体"/>
      <w:sz w:val="20"/>
      <w:szCs w:val="20"/>
      <w:lang w:val="zh-TW" w:eastAsia="zh-TW" w:bidi="zh-TW"/>
    </w:rPr>
  </w:style>
  <w:style w:type="paragraph" w:customStyle="1" w:styleId="130">
    <w:name w:val="正文2"/>
    <w:basedOn w:val="1"/>
    <w:qFormat/>
    <w:uiPriority w:val="0"/>
    <w:pPr>
      <w:adjustRightInd w:val="0"/>
      <w:spacing w:line="360" w:lineRule="auto"/>
      <w:ind w:firstLine="480" w:firstLineChars="200"/>
      <w:textAlignment w:val="baseline"/>
    </w:pPr>
    <w:rPr>
      <w:rFonts w:ascii="宋体" w:hAnsi="宋体" w:cs="宋体"/>
      <w:kern w:val="21"/>
      <w:sz w:val="24"/>
    </w:rPr>
  </w:style>
  <w:style w:type="character" w:customStyle="1" w:styleId="131">
    <w:name w:val="fontstyle01"/>
    <w:qFormat/>
    <w:uiPriority w:val="0"/>
    <w:rPr>
      <w:rFonts w:hint="eastAsia" w:ascii="宋体" w:hAnsi="宋体" w:eastAsia="宋体" w:cs="宋体"/>
      <w:color w:val="000000"/>
      <w:sz w:val="24"/>
      <w:szCs w:val="24"/>
    </w:rPr>
  </w:style>
  <w:style w:type="character" w:customStyle="1" w:styleId="132">
    <w:name w:val="fontstyle21"/>
    <w:qFormat/>
    <w:uiPriority w:val="0"/>
    <w:rPr>
      <w:rFonts w:hint="default" w:ascii="Times New Roman" w:hAnsi="Times New Roman" w:cs="Times New Roman"/>
      <w:color w:val="000000"/>
      <w:sz w:val="24"/>
      <w:szCs w:val="24"/>
    </w:rPr>
  </w:style>
  <w:style w:type="character" w:customStyle="1" w:styleId="133">
    <w:name w:val="font181"/>
    <w:qFormat/>
    <w:uiPriority w:val="0"/>
    <w:rPr>
      <w:rFonts w:hint="eastAsia" w:ascii="仿宋" w:hAnsi="仿宋" w:eastAsia="仿宋" w:cs="仿宋"/>
      <w:b/>
      <w:color w:val="000000"/>
      <w:sz w:val="22"/>
      <w:szCs w:val="22"/>
      <w:u w:val="none"/>
    </w:rPr>
  </w:style>
  <w:style w:type="paragraph" w:customStyle="1" w:styleId="134">
    <w:name w:val="表体"/>
    <w:qFormat/>
    <w:uiPriority w:val="0"/>
    <w:pPr>
      <w:adjustRightInd w:val="0"/>
      <w:snapToGrid w:val="0"/>
      <w:jc w:val="center"/>
    </w:pPr>
    <w:rPr>
      <w:rFonts w:ascii="宋体" w:hAnsi="Times New Roman" w:eastAsia="宋体" w:cs="Times New Roman"/>
      <w:color w:val="000080"/>
      <w:kern w:val="2"/>
      <w:sz w:val="21"/>
      <w:szCs w:val="24"/>
      <w:lang w:val="en-US" w:eastAsia="zh-CN" w:bidi="ar-SA"/>
    </w:rPr>
  </w:style>
  <w:style w:type="paragraph" w:customStyle="1" w:styleId="135">
    <w:name w:val="1正文段落"/>
    <w:basedOn w:val="1"/>
    <w:autoRedefine/>
    <w:qFormat/>
    <w:uiPriority w:val="0"/>
    <w:pPr>
      <w:spacing w:line="360" w:lineRule="auto"/>
      <w:ind w:firstLine="480" w:firstLineChars="200"/>
      <w:jc w:val="left"/>
    </w:pPr>
    <w:rPr>
      <w:snapToGrid w:val="0"/>
      <w:kern w:val="0"/>
      <w:sz w:val="24"/>
    </w:rPr>
  </w:style>
  <w:style w:type="paragraph" w:customStyle="1" w:styleId="136">
    <w:name w:val="Default1"/>
    <w:basedOn w:val="1"/>
    <w:qFormat/>
    <w:uiPriority w:val="0"/>
    <w:pPr>
      <w:autoSpaceDE w:val="0"/>
      <w:autoSpaceDN w:val="0"/>
      <w:adjustRightInd w:val="0"/>
      <w:jc w:val="left"/>
    </w:pPr>
    <w:rPr>
      <w:rFonts w:ascii="宋体" w:hAnsi="宋体" w:cs="宋体"/>
      <w:color w:val="000000"/>
      <w:kern w:val="0"/>
      <w:sz w:val="24"/>
    </w:rPr>
  </w:style>
  <w:style w:type="paragraph" w:customStyle="1" w:styleId="137">
    <w:name w:val="Table Text"/>
    <w:basedOn w:val="1"/>
    <w:autoRedefine/>
    <w:semiHidden/>
    <w:qFormat/>
    <w:uiPriority w:val="99"/>
    <w:rPr>
      <w:sz w:val="24"/>
      <w:szCs w:val="24"/>
      <w:lang w:eastAsia="en-US"/>
    </w:rPr>
  </w:style>
  <w:style w:type="table" w:customStyle="1" w:styleId="138">
    <w:name w:val="Table Normal"/>
    <w:autoRedefine/>
    <w:semiHidden/>
    <w:unhideWhenUsed/>
    <w:qFormat/>
    <w:uiPriority w:val="0"/>
    <w:tblPr>
      <w:tblCellMar>
        <w:top w:w="0" w:type="dxa"/>
        <w:left w:w="0" w:type="dxa"/>
        <w:bottom w:w="0" w:type="dxa"/>
        <w:right w:w="0" w:type="dxa"/>
      </w:tblCellMar>
    </w:tblPr>
  </w:style>
  <w:style w:type="paragraph" w:customStyle="1" w:styleId="139">
    <w:name w:val="表格格式"/>
    <w:basedOn w:val="1"/>
    <w:next w:val="1"/>
    <w:qFormat/>
    <w:uiPriority w:val="0"/>
    <w:pPr>
      <w:jc w:val="center"/>
    </w:pPr>
  </w:style>
  <w:style w:type="paragraph" w:customStyle="1" w:styleId="140">
    <w:name w:val="0☆☆☆正文"/>
    <w:basedOn w:val="1"/>
    <w:autoRedefine/>
    <w:unhideWhenUsed/>
    <w:qFormat/>
    <w:uiPriority w:val="99"/>
    <w:pPr>
      <w:widowControl/>
      <w:snapToGrid w:val="0"/>
      <w:spacing w:line="360" w:lineRule="auto"/>
      <w:ind w:firstLine="480" w:firstLineChars="200"/>
      <w:jc w:val="left"/>
    </w:pPr>
    <w:rPr>
      <w:rFonts w:ascii="Times New Roman" w:hAnsi="Times New Roman" w:cs="Times New Roman"/>
      <w:kern w:val="0"/>
      <w:szCs w:val="24"/>
    </w:rPr>
  </w:style>
  <w:style w:type="paragraph" w:customStyle="1" w:styleId="141">
    <w:name w:val="样式 加粗 居中"/>
    <w:basedOn w:val="1"/>
    <w:autoRedefine/>
    <w:qFormat/>
    <w:uiPriority w:val="0"/>
    <w:pPr>
      <w:spacing w:line="440" w:lineRule="exact"/>
      <w:jc w:val="center"/>
    </w:pPr>
    <w:rPr>
      <w:rFonts w:cs="宋体"/>
      <w:b/>
      <w:bCs/>
      <w:sz w:val="24"/>
    </w:rPr>
  </w:style>
  <w:style w:type="paragraph" w:customStyle="1" w:styleId="142">
    <w:name w:val="报告表正文"/>
    <w:basedOn w:val="1"/>
    <w:autoRedefine/>
    <w:qFormat/>
    <w:uiPriority w:val="0"/>
    <w:pPr>
      <w:spacing w:line="360" w:lineRule="auto"/>
      <w:ind w:firstLine="720" w:firstLineChars="200"/>
      <w:jc w:val="left"/>
    </w:pPr>
    <w:rPr>
      <w:kern w:val="0"/>
      <w:sz w:val="21"/>
      <w:szCs w:val="20"/>
    </w:rPr>
  </w:style>
  <w:style w:type="paragraph" w:customStyle="1" w:styleId="143">
    <w:name w:val="正文（用）"/>
    <w:basedOn w:val="1"/>
    <w:qFormat/>
    <w:uiPriority w:val="0"/>
    <w:pPr>
      <w:spacing w:line="360" w:lineRule="auto"/>
      <w:ind w:firstLine="480" w:firstLineChars="200"/>
      <w:jc w:val="left"/>
    </w:pPr>
    <w:rPr>
      <w:rFonts w:ascii="宋体" w:hAnsi="宋体" w:cs="宋体"/>
      <w:sz w:val="24"/>
    </w:rPr>
  </w:style>
  <w:style w:type="paragraph" w:customStyle="1" w:styleId="144">
    <w:name w:val="环评正文"/>
    <w:qFormat/>
    <w:uiPriority w:val="99"/>
    <w:pPr>
      <w:widowControl w:val="0"/>
      <w:spacing w:beforeLines="30"/>
      <w:ind w:firstLine="480" w:firstLineChars="200"/>
      <w:jc w:val="both"/>
    </w:pPr>
    <w:rPr>
      <w:rFonts w:ascii="Tahoma" w:hAnsi="Tahoma" w:eastAsia="宋体" w:cs="Tahoma"/>
      <w:kern w:val="0"/>
      <w:sz w:val="24"/>
      <w:szCs w:val="2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66</Pages>
  <Words>12981</Words>
  <Characters>13759</Characters>
  <Lines>193</Lines>
  <Paragraphs>54</Paragraphs>
  <TotalTime>4</TotalTime>
  <ScaleCrop>false</ScaleCrop>
  <LinksUpToDate>false</LinksUpToDate>
  <CharactersWithSpaces>13937</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2022-01-14T02:16:00Z</dcterms:created>
  <dc:creator>lhj</dc:creator>
  <cp:lastModifiedBy>WPS_1561811786</cp:lastModifiedBy>
  <cp:lastPrinted>2025-05-30T01:27:00Z</cp:lastPrinted>
  <dcterms:modified xsi:type="dcterms:W3CDTF">2025-07-03T03:22:30Z</dcterms:modified>
  <dc:title>附件2</dc:title>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98B7EB992FEA4E329D6E5549E1BD54FF_13</vt:lpwstr>
  </property>
  <property fmtid="{D5CDD505-2E9C-101B-9397-08002B2CF9AE}" pid="4" name="KSOTemplateDocerSaveRecord">
    <vt:lpwstr>eyJoZGlkIjoiNDNlMDc5MjJiMjJiMzNkMTczNzAyNTAxOTVjMGVmMGMiLCJ1c2VySWQiOiI1OTU2Mjk1MDQifQ==</vt:lpwstr>
  </property>
</Properties>
</file>